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2DD" w:rsidRPr="00E56AA3" w:rsidP="00D832DD" w14:paraId="08431DE2" w14:textId="77777777">
      <w:pPr>
        <w:widowControl w:val="0"/>
        <w:autoSpaceDE w:val="0"/>
        <w:autoSpaceDN w:val="0"/>
        <w:adjustRightInd w:val="0"/>
        <w:spacing w:line="436" w:lineRule="exact"/>
      </w:pPr>
    </w:p>
    <w:p w:rsidR="00D832DD" w:rsidRPr="00E56AA3" w:rsidP="00D832DD" w14:paraId="11DE0D2B" w14:textId="77777777">
      <w:pPr>
        <w:widowControl w:val="0"/>
        <w:autoSpaceDE w:val="0"/>
        <w:autoSpaceDN w:val="0"/>
        <w:adjustRightInd w:val="0"/>
        <w:spacing w:line="436" w:lineRule="exact"/>
      </w:pPr>
    </w:p>
    <w:p w:rsidR="00D832DD" w:rsidRPr="00E56AA3" w:rsidP="00D832DD" w14:paraId="0EABE897" w14:textId="77777777">
      <w:pPr>
        <w:widowControl w:val="0"/>
        <w:autoSpaceDE w:val="0"/>
        <w:autoSpaceDN w:val="0"/>
        <w:adjustRightInd w:val="0"/>
        <w:spacing w:line="436" w:lineRule="exact"/>
      </w:pPr>
    </w:p>
    <w:p w:rsidR="00D832DD" w:rsidRPr="00E56AA3" w:rsidP="00D832DD" w14:paraId="7406A4A5" w14:textId="77777777">
      <w:pPr>
        <w:widowControl w:val="0"/>
        <w:autoSpaceDE w:val="0"/>
        <w:autoSpaceDN w:val="0"/>
        <w:adjustRightInd w:val="0"/>
        <w:spacing w:line="436" w:lineRule="exact"/>
      </w:pPr>
    </w:p>
    <w:p w:rsidR="00D832DD" w:rsidRPr="00E56AA3" w:rsidP="00D832DD" w14:paraId="3DE74C32" w14:textId="77777777">
      <w:pPr>
        <w:widowControl w:val="0"/>
        <w:autoSpaceDE w:val="0"/>
        <w:autoSpaceDN w:val="0"/>
        <w:adjustRightInd w:val="0"/>
        <w:spacing w:line="436" w:lineRule="exact"/>
      </w:pPr>
    </w:p>
    <w:p w:rsidR="00D832DD" w:rsidRPr="00E56AA3" w:rsidP="00D832DD" w14:paraId="6D62F68C" w14:textId="77777777">
      <w:pPr>
        <w:widowControl w:val="0"/>
        <w:autoSpaceDE w:val="0"/>
        <w:autoSpaceDN w:val="0"/>
        <w:adjustRightInd w:val="0"/>
        <w:spacing w:line="436" w:lineRule="exact"/>
      </w:pPr>
    </w:p>
    <w:p w:rsidR="00D832DD" w:rsidRPr="00E56AA3" w:rsidP="00D832DD" w14:paraId="089957A4" w14:textId="75B3C95B">
      <w:pPr>
        <w:widowControl w:val="0"/>
        <w:autoSpaceDE w:val="0"/>
        <w:autoSpaceDN w:val="0"/>
        <w:adjustRightInd w:val="0"/>
        <w:spacing w:before="293" w:line="436" w:lineRule="exact"/>
        <w:jc w:val="center"/>
        <w:rPr>
          <w:b/>
          <w:bCs/>
          <w:color w:val="000000"/>
        </w:rPr>
      </w:pPr>
      <w:r w:rsidRPr="00E56AA3">
        <w:rPr>
          <w:b/>
          <w:bCs/>
        </w:rPr>
        <w:t xml:space="preserve">Supporting Statement </w:t>
      </w:r>
      <w:r w:rsidRPr="00E56AA3">
        <w:rPr>
          <w:b/>
          <w:bCs/>
        </w:rPr>
        <w:br/>
      </w:r>
      <w:r w:rsidRPr="00E56AA3">
        <w:rPr>
          <w:b/>
          <w:bCs/>
          <w:color w:val="000000"/>
        </w:rPr>
        <w:t>Family Planning Annual Report</w:t>
      </w:r>
      <w:r w:rsidRPr="00E56AA3" w:rsidR="00D56AE4">
        <w:rPr>
          <w:b/>
          <w:bCs/>
          <w:color w:val="000000"/>
        </w:rPr>
        <w:t xml:space="preserve"> 2.0</w:t>
      </w:r>
    </w:p>
    <w:p w:rsidR="00D832DD" w:rsidRPr="00E56AA3" w:rsidP="00D832DD" w14:paraId="7DC3EEF0" w14:textId="77777777">
      <w:pPr>
        <w:widowControl w:val="0"/>
        <w:autoSpaceDE w:val="0"/>
        <w:autoSpaceDN w:val="0"/>
        <w:adjustRightInd w:val="0"/>
        <w:spacing w:line="253" w:lineRule="exact"/>
        <w:jc w:val="center"/>
        <w:rPr>
          <w:b/>
          <w:bCs/>
          <w:color w:val="000000"/>
        </w:rPr>
      </w:pPr>
    </w:p>
    <w:p w:rsidR="00D832DD" w:rsidRPr="00E56AA3" w:rsidP="00D832DD" w14:paraId="60B26E83" w14:textId="77777777">
      <w:pPr>
        <w:widowControl w:val="0"/>
        <w:autoSpaceDE w:val="0"/>
        <w:autoSpaceDN w:val="0"/>
        <w:adjustRightInd w:val="0"/>
        <w:spacing w:line="253" w:lineRule="exact"/>
        <w:jc w:val="center"/>
        <w:rPr>
          <w:b/>
          <w:bCs/>
          <w:color w:val="000000"/>
        </w:rPr>
      </w:pPr>
    </w:p>
    <w:p w:rsidR="00D832DD" w:rsidRPr="00E56AA3" w:rsidP="00D832DD" w14:paraId="38468536" w14:textId="77777777">
      <w:pPr>
        <w:widowControl w:val="0"/>
        <w:autoSpaceDE w:val="0"/>
        <w:autoSpaceDN w:val="0"/>
        <w:adjustRightInd w:val="0"/>
        <w:spacing w:line="253" w:lineRule="exact"/>
        <w:jc w:val="center"/>
        <w:rPr>
          <w:b/>
          <w:bCs/>
          <w:color w:val="000000"/>
        </w:rPr>
      </w:pPr>
    </w:p>
    <w:p w:rsidR="00D832DD" w:rsidRPr="00E56AA3" w:rsidP="00D832DD" w14:paraId="0471387F" w14:textId="77777777">
      <w:pPr>
        <w:widowControl w:val="0"/>
        <w:autoSpaceDE w:val="0"/>
        <w:autoSpaceDN w:val="0"/>
        <w:adjustRightInd w:val="0"/>
        <w:spacing w:line="253" w:lineRule="exact"/>
        <w:jc w:val="center"/>
        <w:rPr>
          <w:b/>
          <w:bCs/>
          <w:color w:val="000000"/>
        </w:rPr>
      </w:pPr>
    </w:p>
    <w:p w:rsidR="00D832DD" w:rsidRPr="00E56AA3" w:rsidP="00D832DD" w14:paraId="06910561" w14:textId="77777777">
      <w:pPr>
        <w:widowControl w:val="0"/>
        <w:autoSpaceDE w:val="0"/>
        <w:autoSpaceDN w:val="0"/>
        <w:adjustRightInd w:val="0"/>
        <w:spacing w:line="253" w:lineRule="exact"/>
        <w:jc w:val="center"/>
        <w:rPr>
          <w:b/>
          <w:bCs/>
          <w:color w:val="000000"/>
        </w:rPr>
      </w:pPr>
    </w:p>
    <w:p w:rsidR="00D832DD" w:rsidRPr="00E56AA3" w:rsidP="00D832DD" w14:paraId="04881848" w14:textId="77777777">
      <w:pPr>
        <w:widowControl w:val="0"/>
        <w:autoSpaceDE w:val="0"/>
        <w:autoSpaceDN w:val="0"/>
        <w:adjustRightInd w:val="0"/>
        <w:spacing w:line="253" w:lineRule="exact"/>
        <w:jc w:val="center"/>
        <w:rPr>
          <w:b/>
          <w:bCs/>
          <w:color w:val="000000"/>
        </w:rPr>
      </w:pPr>
    </w:p>
    <w:p w:rsidR="00D832DD" w:rsidRPr="00E56AA3" w:rsidP="00D832DD" w14:paraId="741844EA" w14:textId="77777777">
      <w:pPr>
        <w:widowControl w:val="0"/>
        <w:autoSpaceDE w:val="0"/>
        <w:autoSpaceDN w:val="0"/>
        <w:adjustRightInd w:val="0"/>
        <w:spacing w:line="253" w:lineRule="exact"/>
        <w:jc w:val="center"/>
        <w:rPr>
          <w:b/>
          <w:bCs/>
          <w:color w:val="000000"/>
        </w:rPr>
      </w:pPr>
    </w:p>
    <w:p w:rsidR="00D832DD" w:rsidRPr="00E56AA3" w:rsidP="00D832DD" w14:paraId="6218BF24" w14:textId="77777777">
      <w:pPr>
        <w:widowControl w:val="0"/>
        <w:autoSpaceDE w:val="0"/>
        <w:autoSpaceDN w:val="0"/>
        <w:adjustRightInd w:val="0"/>
        <w:spacing w:line="253" w:lineRule="exact"/>
        <w:jc w:val="center"/>
        <w:rPr>
          <w:b/>
          <w:bCs/>
          <w:color w:val="000000"/>
        </w:rPr>
      </w:pPr>
    </w:p>
    <w:p w:rsidR="00D832DD" w:rsidRPr="00E56AA3" w:rsidP="00D832DD" w14:paraId="6A69A4E9" w14:textId="77777777">
      <w:pPr>
        <w:widowControl w:val="0"/>
        <w:autoSpaceDE w:val="0"/>
        <w:autoSpaceDN w:val="0"/>
        <w:adjustRightInd w:val="0"/>
        <w:spacing w:line="253" w:lineRule="exact"/>
        <w:jc w:val="center"/>
        <w:rPr>
          <w:b/>
          <w:bCs/>
          <w:color w:val="000000"/>
        </w:rPr>
      </w:pPr>
    </w:p>
    <w:p w:rsidR="00D832DD" w:rsidRPr="00E56AA3" w:rsidP="00D832DD" w14:paraId="71E880DE" w14:textId="77777777">
      <w:pPr>
        <w:widowControl w:val="0"/>
        <w:autoSpaceDE w:val="0"/>
        <w:autoSpaceDN w:val="0"/>
        <w:adjustRightInd w:val="0"/>
        <w:spacing w:before="120" w:line="280" w:lineRule="atLeast"/>
        <w:jc w:val="center"/>
        <w:rPr>
          <w:b/>
          <w:bCs/>
          <w:color w:val="000000"/>
        </w:rPr>
      </w:pPr>
      <w:r w:rsidRPr="00E56AA3">
        <w:rPr>
          <w:b/>
          <w:bCs/>
          <w:color w:val="000000"/>
        </w:rPr>
        <w:t>Submitted to</w:t>
      </w:r>
    </w:p>
    <w:p w:rsidR="00D832DD" w:rsidRPr="00E56AA3" w:rsidP="00D832DD" w14:paraId="7FA4B902" w14:textId="77777777">
      <w:pPr>
        <w:widowControl w:val="0"/>
        <w:autoSpaceDE w:val="0"/>
        <w:autoSpaceDN w:val="0"/>
        <w:adjustRightInd w:val="0"/>
        <w:spacing w:before="120" w:line="280" w:lineRule="atLeast"/>
        <w:jc w:val="center"/>
        <w:rPr>
          <w:color w:val="000000"/>
        </w:rPr>
      </w:pPr>
      <w:r w:rsidRPr="00E56AA3">
        <w:rPr>
          <w:color w:val="000000"/>
        </w:rPr>
        <w:t>Office of Management and Budget</w:t>
      </w:r>
      <w:r w:rsidRPr="00E56AA3">
        <w:rPr>
          <w:color w:val="000000"/>
        </w:rPr>
        <w:br/>
        <w:t>Office of Information and Regulatory Affairs</w:t>
      </w:r>
    </w:p>
    <w:p w:rsidR="00D832DD" w:rsidRPr="00E56AA3" w:rsidP="00D832DD" w14:paraId="6D5A8560" w14:textId="77777777">
      <w:pPr>
        <w:widowControl w:val="0"/>
        <w:autoSpaceDE w:val="0"/>
        <w:autoSpaceDN w:val="0"/>
        <w:adjustRightInd w:val="0"/>
        <w:spacing w:before="120" w:line="280" w:lineRule="atLeast"/>
        <w:jc w:val="center"/>
        <w:rPr>
          <w:b/>
          <w:bCs/>
          <w:color w:val="000000"/>
        </w:rPr>
      </w:pPr>
    </w:p>
    <w:p w:rsidR="00D832DD" w:rsidRPr="00E56AA3" w:rsidP="00D832DD" w14:paraId="44BB9342" w14:textId="77777777">
      <w:pPr>
        <w:widowControl w:val="0"/>
        <w:autoSpaceDE w:val="0"/>
        <w:autoSpaceDN w:val="0"/>
        <w:adjustRightInd w:val="0"/>
        <w:spacing w:before="120" w:line="280" w:lineRule="atLeast"/>
        <w:rPr>
          <w:color w:val="000000"/>
        </w:rPr>
      </w:pPr>
    </w:p>
    <w:p w:rsidR="00D832DD" w:rsidRPr="00E56AA3" w:rsidP="00D832DD" w14:paraId="6B0D2DA8" w14:textId="77777777">
      <w:pPr>
        <w:widowControl w:val="0"/>
        <w:autoSpaceDE w:val="0"/>
        <w:autoSpaceDN w:val="0"/>
        <w:adjustRightInd w:val="0"/>
        <w:spacing w:before="120" w:line="280" w:lineRule="atLeast"/>
        <w:rPr>
          <w:color w:val="000000"/>
        </w:rPr>
      </w:pPr>
    </w:p>
    <w:p w:rsidR="00D832DD" w:rsidRPr="00E56AA3" w:rsidP="00D832DD" w14:paraId="739D6856" w14:textId="77777777">
      <w:pPr>
        <w:widowControl w:val="0"/>
        <w:autoSpaceDE w:val="0"/>
        <w:autoSpaceDN w:val="0"/>
        <w:adjustRightInd w:val="0"/>
        <w:spacing w:before="120" w:line="280" w:lineRule="atLeast"/>
        <w:jc w:val="center"/>
        <w:rPr>
          <w:b/>
          <w:bCs/>
          <w:color w:val="000000"/>
        </w:rPr>
      </w:pPr>
      <w:r w:rsidRPr="00E56AA3">
        <w:rPr>
          <w:b/>
          <w:bCs/>
          <w:color w:val="000000"/>
        </w:rPr>
        <w:t>Submitted by</w:t>
      </w:r>
    </w:p>
    <w:p w:rsidR="00D832DD" w:rsidP="00D832DD" w14:paraId="78B89111" w14:textId="32A33C38">
      <w:pPr>
        <w:widowControl w:val="0"/>
        <w:autoSpaceDE w:val="0"/>
        <w:autoSpaceDN w:val="0"/>
        <w:adjustRightInd w:val="0"/>
        <w:spacing w:before="120" w:line="280" w:lineRule="atLeast"/>
        <w:jc w:val="center"/>
        <w:rPr>
          <w:color w:val="000000"/>
        </w:rPr>
      </w:pPr>
      <w:r w:rsidRPr="00E56AA3">
        <w:rPr>
          <w:color w:val="000000"/>
        </w:rPr>
        <w:t xml:space="preserve">Department of Health and Human Services </w:t>
      </w:r>
      <w:r w:rsidRPr="00E56AA3">
        <w:rPr>
          <w:color w:val="000000"/>
        </w:rPr>
        <w:br/>
        <w:t xml:space="preserve">Office of the Assistant Secretary for Health </w:t>
      </w:r>
      <w:r w:rsidRPr="00E56AA3">
        <w:rPr>
          <w:color w:val="000000"/>
        </w:rPr>
        <w:br/>
        <w:t xml:space="preserve">Office of Population Affairs </w:t>
      </w:r>
      <w:r w:rsidRPr="00E56AA3">
        <w:rPr>
          <w:color w:val="000000"/>
        </w:rPr>
        <w:br/>
      </w:r>
      <w:r w:rsidR="00801BE7">
        <w:rPr>
          <w:color w:val="000000"/>
        </w:rPr>
        <w:t xml:space="preserve">POC: </w:t>
      </w:r>
      <w:r w:rsidR="00C076AA">
        <w:rPr>
          <w:color w:val="000000"/>
        </w:rPr>
        <w:t>Jamie Kim</w:t>
      </w:r>
    </w:p>
    <w:p w:rsidR="00801BE7" w:rsidRPr="00E56AA3" w:rsidP="00D832DD" w14:paraId="65318FCF" w14:textId="17C78BB1">
      <w:pPr>
        <w:widowControl w:val="0"/>
        <w:autoSpaceDE w:val="0"/>
        <w:autoSpaceDN w:val="0"/>
        <w:adjustRightInd w:val="0"/>
        <w:spacing w:before="120" w:line="280" w:lineRule="atLeast"/>
        <w:jc w:val="center"/>
        <w:rPr>
          <w:color w:val="000000"/>
        </w:rPr>
      </w:pPr>
      <w:r>
        <w:t>Jamie.Kim@hhs.gov</w:t>
      </w:r>
    </w:p>
    <w:p w:rsidR="00D832DD" w:rsidRPr="00E56AA3" w:rsidP="00D832DD" w14:paraId="5BA233AF" w14:textId="77777777">
      <w:pPr>
        <w:widowControl w:val="0"/>
        <w:autoSpaceDE w:val="0"/>
        <w:autoSpaceDN w:val="0"/>
        <w:adjustRightInd w:val="0"/>
        <w:spacing w:before="120" w:line="280" w:lineRule="atLeast"/>
        <w:rPr>
          <w:color w:val="000000"/>
        </w:rPr>
      </w:pPr>
    </w:p>
    <w:p w:rsidR="00D832DD" w:rsidRPr="00E56AA3" w:rsidP="00D832DD" w14:paraId="78A599D0" w14:textId="77777777">
      <w:pPr>
        <w:widowControl w:val="0"/>
        <w:autoSpaceDE w:val="0"/>
        <w:autoSpaceDN w:val="0"/>
        <w:adjustRightInd w:val="0"/>
        <w:spacing w:before="120" w:line="280" w:lineRule="atLeast"/>
        <w:rPr>
          <w:color w:val="000000"/>
        </w:rPr>
      </w:pPr>
    </w:p>
    <w:p w:rsidR="00D832DD" w:rsidRPr="00E56AA3" w:rsidP="00D832DD" w14:paraId="040AA738" w14:textId="77777777">
      <w:pPr>
        <w:widowControl w:val="0"/>
        <w:autoSpaceDE w:val="0"/>
        <w:autoSpaceDN w:val="0"/>
        <w:adjustRightInd w:val="0"/>
        <w:spacing w:before="120" w:line="280" w:lineRule="atLeast"/>
        <w:rPr>
          <w:color w:val="000000"/>
        </w:rPr>
      </w:pPr>
    </w:p>
    <w:p w:rsidR="00D832DD" w:rsidRPr="00E56AA3" w:rsidP="00D832DD" w14:paraId="27BDBD20" w14:textId="77777777">
      <w:pPr>
        <w:widowControl w:val="0"/>
        <w:autoSpaceDE w:val="0"/>
        <w:autoSpaceDN w:val="0"/>
        <w:adjustRightInd w:val="0"/>
        <w:spacing w:before="120" w:line="280" w:lineRule="atLeast"/>
        <w:rPr>
          <w:color w:val="000000"/>
        </w:rPr>
      </w:pPr>
    </w:p>
    <w:p w:rsidR="00D832DD" w:rsidP="00D832DD" w14:paraId="5A6E1E11" w14:textId="6621262E">
      <w:pPr>
        <w:widowControl w:val="0"/>
        <w:autoSpaceDE w:val="0"/>
        <w:autoSpaceDN w:val="0"/>
        <w:adjustRightInd w:val="0"/>
        <w:spacing w:before="120" w:line="280" w:lineRule="atLeast"/>
        <w:jc w:val="center"/>
        <w:rPr>
          <w:bCs/>
          <w:color w:val="000000"/>
        </w:rPr>
      </w:pPr>
      <w:r>
        <w:rPr>
          <w:color w:val="000000"/>
        </w:rPr>
        <w:t>01</w:t>
      </w:r>
      <w:r w:rsidR="00467D53">
        <w:rPr>
          <w:color w:val="000000"/>
        </w:rPr>
        <w:t>/</w:t>
      </w:r>
      <w:r>
        <w:rPr>
          <w:color w:val="000000"/>
        </w:rPr>
        <w:t>06</w:t>
      </w:r>
      <w:r w:rsidR="00AF5671">
        <w:rPr>
          <w:color w:val="000000"/>
        </w:rPr>
        <w:t>/202</w:t>
      </w:r>
      <w:r>
        <w:rPr>
          <w:color w:val="000000"/>
        </w:rPr>
        <w:t>5</w:t>
      </w:r>
      <w:r w:rsidRPr="00E56AA3">
        <w:rPr>
          <w:b/>
          <w:bCs/>
        </w:rPr>
        <w:br w:type="page"/>
      </w:r>
      <w:r w:rsidRPr="00E56AA3">
        <w:rPr>
          <w:bCs/>
        </w:rPr>
        <w:t xml:space="preserve">Supporting Statement </w:t>
      </w:r>
      <w:r w:rsidRPr="00E56AA3">
        <w:rPr>
          <w:bCs/>
        </w:rPr>
        <w:br/>
      </w:r>
      <w:r w:rsidRPr="00E56AA3">
        <w:rPr>
          <w:bCs/>
          <w:color w:val="000000"/>
        </w:rPr>
        <w:t>Family Planning Annual Report</w:t>
      </w:r>
      <w:r w:rsidRPr="00E56AA3" w:rsidR="00D56AE4">
        <w:rPr>
          <w:bCs/>
          <w:color w:val="000000"/>
        </w:rPr>
        <w:t xml:space="preserve"> 2.0</w:t>
      </w:r>
    </w:p>
    <w:p w:rsidR="0095162B" w:rsidRPr="00E56AA3" w:rsidP="00D832DD" w14:paraId="193021A4" w14:textId="77777777">
      <w:pPr>
        <w:widowControl w:val="0"/>
        <w:autoSpaceDE w:val="0"/>
        <w:autoSpaceDN w:val="0"/>
        <w:adjustRightInd w:val="0"/>
        <w:spacing w:before="120" w:line="280" w:lineRule="atLeast"/>
        <w:jc w:val="center"/>
        <w:rPr>
          <w:bCs/>
          <w:color w:val="000000"/>
        </w:rPr>
      </w:pPr>
    </w:p>
    <w:sdt>
      <w:sdtPr>
        <w:rPr>
          <w:rFonts w:ascii="Times New Roman" w:eastAsia="Times New Roman" w:hAnsi="Times New Roman" w:cs="Times New Roman"/>
          <w:color w:val="auto"/>
          <w:sz w:val="24"/>
          <w:szCs w:val="24"/>
        </w:rPr>
        <w:id w:val="500469130"/>
        <w:docPartObj>
          <w:docPartGallery w:val="Table of Contents"/>
          <w:docPartUnique/>
        </w:docPartObj>
      </w:sdtPr>
      <w:sdtEndPr>
        <w:rPr>
          <w:b/>
          <w:bCs/>
          <w:noProof/>
        </w:rPr>
      </w:sdtEndPr>
      <w:sdtContent>
        <w:p w:rsidR="00E81F7F" w:rsidRPr="00805703" w:rsidP="00847EEC" w14:paraId="31E3B1BD" w14:textId="0810FDED">
          <w:pPr>
            <w:pStyle w:val="TOCHeading"/>
            <w:jc w:val="center"/>
            <w:rPr>
              <w:color w:val="auto"/>
            </w:rPr>
          </w:pPr>
          <w:r w:rsidRPr="00805703">
            <w:rPr>
              <w:color w:val="auto"/>
            </w:rPr>
            <w:t>Contents</w:t>
          </w:r>
        </w:p>
        <w:p w:rsidR="00E81F7F" w:rsidRPr="00E81F7F" w:rsidP="00E81F7F" w14:paraId="52019404" w14:textId="77777777"/>
        <w:p w:rsidR="00E81F7F" w:rsidRPr="00847EEC" w:rsidP="00CC1689" w14:paraId="46C201FE" w14:textId="282CAEDF">
          <w:pPr>
            <w:pStyle w:val="TOC1"/>
            <w:rPr>
              <w:rFonts w:asciiTheme="minorHAnsi" w:eastAsiaTheme="minorEastAsia" w:hAnsiTheme="minorHAnsi" w:cstheme="minorBidi"/>
              <w:kern w:val="2"/>
              <w:sz w:val="22"/>
              <w:szCs w:val="22"/>
              <w14:ligatures w14:val="standardContextual"/>
            </w:rPr>
          </w:pPr>
          <w:r>
            <w:fldChar w:fldCharType="begin"/>
          </w:r>
          <w:r>
            <w:instrText xml:space="preserve"> TOC \o "1-3" \h \z \u </w:instrText>
          </w:r>
          <w:r>
            <w:fldChar w:fldCharType="separate"/>
          </w:r>
          <w:hyperlink w:anchor="_Toc179880100" w:history="1">
            <w:r w:rsidRPr="00847EEC">
              <w:rPr>
                <w:rStyle w:val="Hyperlink"/>
                <w:b w:val="0"/>
                <w:bCs w:val="0"/>
              </w:rPr>
              <w:t>A.</w:t>
            </w:r>
            <w:r w:rsidRPr="00847EEC">
              <w:rPr>
                <w:rFonts w:asciiTheme="minorHAnsi" w:eastAsiaTheme="minorEastAsia" w:hAnsiTheme="minorHAnsi" w:cstheme="minorBidi"/>
                <w:kern w:val="2"/>
                <w:sz w:val="22"/>
                <w:szCs w:val="22"/>
                <w14:ligatures w14:val="standardContextual"/>
              </w:rPr>
              <w:tab/>
            </w:r>
            <w:r w:rsidRPr="00847EEC">
              <w:rPr>
                <w:rStyle w:val="Hyperlink"/>
                <w:b w:val="0"/>
                <w:bCs w:val="0"/>
              </w:rPr>
              <w:t>JUSTIFICATION</w:t>
            </w:r>
            <w:r w:rsidRPr="00847EEC">
              <w:rPr>
                <w:webHidden/>
              </w:rPr>
              <w:tab/>
            </w:r>
            <w:r w:rsidRPr="00847EEC">
              <w:rPr>
                <w:webHidden/>
              </w:rPr>
              <w:fldChar w:fldCharType="begin"/>
            </w:r>
            <w:r w:rsidRPr="00847EEC">
              <w:rPr>
                <w:webHidden/>
              </w:rPr>
              <w:instrText xml:space="preserve"> PAGEREF _Toc179880100 \h </w:instrText>
            </w:r>
            <w:r w:rsidRPr="00847EEC">
              <w:rPr>
                <w:webHidden/>
              </w:rPr>
              <w:fldChar w:fldCharType="separate"/>
            </w:r>
            <w:r w:rsidR="00DA52D0">
              <w:rPr>
                <w:webHidden/>
              </w:rPr>
              <w:t>1</w:t>
            </w:r>
            <w:r w:rsidRPr="00847EEC">
              <w:rPr>
                <w:webHidden/>
              </w:rPr>
              <w:fldChar w:fldCharType="end"/>
            </w:r>
          </w:hyperlink>
        </w:p>
        <w:p w:rsidR="00E81F7F" w:rsidRPr="00847EEC" w:rsidP="001A559D" w14:paraId="1BD34E02" w14:textId="5CAB35C7">
          <w:pPr>
            <w:pStyle w:val="TOC3"/>
            <w:rPr>
              <w:rFonts w:asciiTheme="minorHAnsi" w:eastAsiaTheme="minorEastAsia" w:hAnsiTheme="minorHAnsi" w:cstheme="minorBidi"/>
              <w:noProof/>
              <w:kern w:val="2"/>
              <w:sz w:val="22"/>
              <w:szCs w:val="22"/>
              <w14:ligatures w14:val="standardContextual"/>
            </w:rPr>
          </w:pPr>
          <w:hyperlink w:anchor="_Toc179880101" w:history="1">
            <w:r w:rsidRPr="00847EEC">
              <w:rPr>
                <w:rStyle w:val="Hyperlink"/>
                <w:noProof/>
              </w:rPr>
              <w:t>1.</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Circumstances Making the Collection of Information Necessary</w:t>
            </w:r>
            <w:r w:rsidRPr="00847EEC">
              <w:rPr>
                <w:noProof/>
                <w:webHidden/>
              </w:rPr>
              <w:tab/>
            </w:r>
            <w:r w:rsidRPr="00847EEC">
              <w:rPr>
                <w:noProof/>
                <w:webHidden/>
              </w:rPr>
              <w:fldChar w:fldCharType="begin"/>
            </w:r>
            <w:r w:rsidRPr="00847EEC">
              <w:rPr>
                <w:noProof/>
                <w:webHidden/>
              </w:rPr>
              <w:instrText xml:space="preserve"> PAGEREF _Toc179880101 \h </w:instrText>
            </w:r>
            <w:r w:rsidRPr="00847EEC">
              <w:rPr>
                <w:noProof/>
                <w:webHidden/>
              </w:rPr>
              <w:fldChar w:fldCharType="separate"/>
            </w:r>
            <w:r w:rsidR="00DA52D0">
              <w:rPr>
                <w:noProof/>
                <w:webHidden/>
              </w:rPr>
              <w:t>1</w:t>
            </w:r>
            <w:r w:rsidRPr="00847EEC">
              <w:rPr>
                <w:noProof/>
                <w:webHidden/>
              </w:rPr>
              <w:fldChar w:fldCharType="end"/>
            </w:r>
          </w:hyperlink>
        </w:p>
        <w:p w:rsidR="00E81F7F" w:rsidRPr="00847EEC" w:rsidP="001A559D" w14:paraId="14646950" w14:textId="02D32116">
          <w:pPr>
            <w:pStyle w:val="TOC3"/>
            <w:rPr>
              <w:rFonts w:asciiTheme="minorHAnsi" w:eastAsiaTheme="minorEastAsia" w:hAnsiTheme="minorHAnsi" w:cstheme="minorBidi"/>
              <w:noProof/>
              <w:kern w:val="2"/>
              <w:sz w:val="22"/>
              <w:szCs w:val="22"/>
              <w14:ligatures w14:val="standardContextual"/>
            </w:rPr>
          </w:pPr>
          <w:hyperlink w:anchor="_Toc179880102" w:history="1">
            <w:r w:rsidRPr="00847EEC">
              <w:rPr>
                <w:rStyle w:val="Hyperlink"/>
                <w:noProof/>
              </w:rPr>
              <w:t>2.</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Purpose and Use of Information Collection</w:t>
            </w:r>
            <w:r w:rsidRPr="00847EEC">
              <w:rPr>
                <w:noProof/>
                <w:webHidden/>
              </w:rPr>
              <w:tab/>
            </w:r>
            <w:r w:rsidRPr="00847EEC">
              <w:rPr>
                <w:noProof/>
                <w:webHidden/>
              </w:rPr>
              <w:fldChar w:fldCharType="begin"/>
            </w:r>
            <w:r w:rsidRPr="00847EEC">
              <w:rPr>
                <w:noProof/>
                <w:webHidden/>
              </w:rPr>
              <w:instrText xml:space="preserve"> PAGEREF _Toc179880102 \h </w:instrText>
            </w:r>
            <w:r w:rsidRPr="00847EEC">
              <w:rPr>
                <w:noProof/>
                <w:webHidden/>
              </w:rPr>
              <w:fldChar w:fldCharType="separate"/>
            </w:r>
            <w:r w:rsidR="00DA52D0">
              <w:rPr>
                <w:noProof/>
                <w:webHidden/>
              </w:rPr>
              <w:t>2</w:t>
            </w:r>
            <w:r w:rsidRPr="00847EEC">
              <w:rPr>
                <w:noProof/>
                <w:webHidden/>
              </w:rPr>
              <w:fldChar w:fldCharType="end"/>
            </w:r>
          </w:hyperlink>
        </w:p>
        <w:p w:rsidR="00E81F7F" w:rsidRPr="00847EEC" w:rsidP="001A559D" w14:paraId="6B28D995" w14:textId="08152050">
          <w:pPr>
            <w:pStyle w:val="TOC3"/>
            <w:rPr>
              <w:rFonts w:asciiTheme="minorHAnsi" w:eastAsiaTheme="minorEastAsia" w:hAnsiTheme="minorHAnsi" w:cstheme="minorBidi"/>
              <w:noProof/>
              <w:kern w:val="2"/>
              <w:sz w:val="22"/>
              <w:szCs w:val="22"/>
              <w14:ligatures w14:val="standardContextual"/>
            </w:rPr>
          </w:pPr>
          <w:hyperlink w:anchor="_Toc179880103" w:history="1">
            <w:r w:rsidRPr="00847EEC">
              <w:rPr>
                <w:rStyle w:val="Hyperlink"/>
                <w:noProof/>
              </w:rPr>
              <w:t>3.</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Use of Improved Information Technology (IT) and Burden Reduction</w:t>
            </w:r>
            <w:r w:rsidRPr="00847EEC">
              <w:rPr>
                <w:noProof/>
                <w:webHidden/>
              </w:rPr>
              <w:tab/>
            </w:r>
            <w:r w:rsidRPr="00847EEC">
              <w:rPr>
                <w:noProof/>
                <w:webHidden/>
              </w:rPr>
              <w:fldChar w:fldCharType="begin"/>
            </w:r>
            <w:r w:rsidRPr="00847EEC">
              <w:rPr>
                <w:noProof/>
                <w:webHidden/>
              </w:rPr>
              <w:instrText xml:space="preserve"> PAGEREF _Toc179880103 \h </w:instrText>
            </w:r>
            <w:r w:rsidRPr="00847EEC">
              <w:rPr>
                <w:noProof/>
                <w:webHidden/>
              </w:rPr>
              <w:fldChar w:fldCharType="separate"/>
            </w:r>
            <w:r w:rsidR="00DA52D0">
              <w:rPr>
                <w:noProof/>
                <w:webHidden/>
              </w:rPr>
              <w:t>8</w:t>
            </w:r>
            <w:r w:rsidRPr="00847EEC">
              <w:rPr>
                <w:noProof/>
                <w:webHidden/>
              </w:rPr>
              <w:fldChar w:fldCharType="end"/>
            </w:r>
          </w:hyperlink>
        </w:p>
        <w:p w:rsidR="00E81F7F" w:rsidRPr="00847EEC" w:rsidP="001A559D" w14:paraId="193019D3" w14:textId="6D9AD95F">
          <w:pPr>
            <w:pStyle w:val="TOC3"/>
            <w:rPr>
              <w:rFonts w:asciiTheme="minorHAnsi" w:eastAsiaTheme="minorEastAsia" w:hAnsiTheme="minorHAnsi" w:cstheme="minorBidi"/>
              <w:noProof/>
              <w:kern w:val="2"/>
              <w:sz w:val="22"/>
              <w:szCs w:val="22"/>
              <w14:ligatures w14:val="standardContextual"/>
            </w:rPr>
          </w:pPr>
          <w:hyperlink w:anchor="_Toc179880104" w:history="1">
            <w:r w:rsidRPr="00847EEC">
              <w:rPr>
                <w:rStyle w:val="Hyperlink"/>
                <w:noProof/>
              </w:rPr>
              <w:t>4.</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Efforts to Identify Duplication and Use of Similar Information</w:t>
            </w:r>
            <w:r w:rsidRPr="00847EEC">
              <w:rPr>
                <w:noProof/>
                <w:webHidden/>
              </w:rPr>
              <w:tab/>
            </w:r>
            <w:r w:rsidRPr="00847EEC">
              <w:rPr>
                <w:noProof/>
                <w:webHidden/>
              </w:rPr>
              <w:fldChar w:fldCharType="begin"/>
            </w:r>
            <w:r w:rsidRPr="00847EEC">
              <w:rPr>
                <w:noProof/>
                <w:webHidden/>
              </w:rPr>
              <w:instrText xml:space="preserve"> PAGEREF _Toc179880104 \h </w:instrText>
            </w:r>
            <w:r w:rsidRPr="00847EEC">
              <w:rPr>
                <w:noProof/>
                <w:webHidden/>
              </w:rPr>
              <w:fldChar w:fldCharType="separate"/>
            </w:r>
            <w:r w:rsidR="00DA52D0">
              <w:rPr>
                <w:noProof/>
                <w:webHidden/>
              </w:rPr>
              <w:t>9</w:t>
            </w:r>
            <w:r w:rsidRPr="00847EEC">
              <w:rPr>
                <w:noProof/>
                <w:webHidden/>
              </w:rPr>
              <w:fldChar w:fldCharType="end"/>
            </w:r>
          </w:hyperlink>
        </w:p>
        <w:p w:rsidR="00E81F7F" w:rsidRPr="00847EEC" w:rsidP="001A559D" w14:paraId="655B6E52" w14:textId="46626F5E">
          <w:pPr>
            <w:pStyle w:val="TOC3"/>
            <w:rPr>
              <w:rFonts w:asciiTheme="minorHAnsi" w:eastAsiaTheme="minorEastAsia" w:hAnsiTheme="minorHAnsi" w:cstheme="minorBidi"/>
              <w:noProof/>
              <w:kern w:val="2"/>
              <w:sz w:val="22"/>
              <w:szCs w:val="22"/>
              <w14:ligatures w14:val="standardContextual"/>
            </w:rPr>
          </w:pPr>
          <w:hyperlink w:anchor="_Toc179880105" w:history="1">
            <w:r w:rsidRPr="00847EEC">
              <w:rPr>
                <w:rStyle w:val="Hyperlink"/>
                <w:noProof/>
              </w:rPr>
              <w:t>5.</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Impact on Small Businesses or Other Small Entities</w:t>
            </w:r>
            <w:r w:rsidRPr="00847EEC">
              <w:rPr>
                <w:noProof/>
                <w:webHidden/>
              </w:rPr>
              <w:tab/>
            </w:r>
            <w:r w:rsidRPr="00847EEC">
              <w:rPr>
                <w:noProof/>
                <w:webHidden/>
              </w:rPr>
              <w:fldChar w:fldCharType="begin"/>
            </w:r>
            <w:r w:rsidRPr="00847EEC">
              <w:rPr>
                <w:noProof/>
                <w:webHidden/>
              </w:rPr>
              <w:instrText xml:space="preserve"> PAGEREF _Toc179880105 \h </w:instrText>
            </w:r>
            <w:r w:rsidRPr="00847EEC">
              <w:rPr>
                <w:noProof/>
                <w:webHidden/>
              </w:rPr>
              <w:fldChar w:fldCharType="separate"/>
            </w:r>
            <w:r w:rsidR="00DA52D0">
              <w:rPr>
                <w:noProof/>
                <w:webHidden/>
              </w:rPr>
              <w:t>10</w:t>
            </w:r>
            <w:r w:rsidRPr="00847EEC">
              <w:rPr>
                <w:noProof/>
                <w:webHidden/>
              </w:rPr>
              <w:fldChar w:fldCharType="end"/>
            </w:r>
          </w:hyperlink>
        </w:p>
        <w:p w:rsidR="00E81F7F" w:rsidRPr="00847EEC" w:rsidP="001A559D" w14:paraId="7FA4223E" w14:textId="316FEF94">
          <w:pPr>
            <w:pStyle w:val="TOC3"/>
            <w:rPr>
              <w:rFonts w:asciiTheme="minorHAnsi" w:eastAsiaTheme="minorEastAsia" w:hAnsiTheme="minorHAnsi" w:cstheme="minorBidi"/>
              <w:noProof/>
              <w:kern w:val="2"/>
              <w:sz w:val="22"/>
              <w:szCs w:val="22"/>
              <w14:ligatures w14:val="standardContextual"/>
            </w:rPr>
          </w:pPr>
          <w:hyperlink w:anchor="_Toc179880106" w:history="1">
            <w:r w:rsidRPr="00847EEC">
              <w:rPr>
                <w:rStyle w:val="Hyperlink"/>
                <w:noProof/>
              </w:rPr>
              <w:t>6.</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Consequences of Not Collecting the Information or Less Frequent Collection</w:t>
            </w:r>
            <w:r w:rsidRPr="00847EEC">
              <w:rPr>
                <w:noProof/>
                <w:webHidden/>
              </w:rPr>
              <w:tab/>
            </w:r>
            <w:r w:rsidRPr="00847EEC">
              <w:rPr>
                <w:noProof/>
                <w:webHidden/>
              </w:rPr>
              <w:fldChar w:fldCharType="begin"/>
            </w:r>
            <w:r w:rsidRPr="00847EEC">
              <w:rPr>
                <w:noProof/>
                <w:webHidden/>
              </w:rPr>
              <w:instrText xml:space="preserve"> PAGEREF _Toc179880106 \h </w:instrText>
            </w:r>
            <w:r w:rsidRPr="00847EEC">
              <w:rPr>
                <w:noProof/>
                <w:webHidden/>
              </w:rPr>
              <w:fldChar w:fldCharType="separate"/>
            </w:r>
            <w:r w:rsidR="00DA52D0">
              <w:rPr>
                <w:noProof/>
                <w:webHidden/>
              </w:rPr>
              <w:t>10</w:t>
            </w:r>
            <w:r w:rsidRPr="00847EEC">
              <w:rPr>
                <w:noProof/>
                <w:webHidden/>
              </w:rPr>
              <w:fldChar w:fldCharType="end"/>
            </w:r>
          </w:hyperlink>
        </w:p>
        <w:p w:rsidR="00E81F7F" w:rsidRPr="00847EEC" w:rsidP="001A559D" w14:paraId="56C29849" w14:textId="6CD339C8">
          <w:pPr>
            <w:pStyle w:val="TOC3"/>
            <w:rPr>
              <w:rFonts w:asciiTheme="minorHAnsi" w:eastAsiaTheme="minorEastAsia" w:hAnsiTheme="minorHAnsi" w:cstheme="minorBidi"/>
              <w:noProof/>
              <w:kern w:val="2"/>
              <w:sz w:val="22"/>
              <w:szCs w:val="22"/>
              <w14:ligatures w14:val="standardContextual"/>
            </w:rPr>
          </w:pPr>
          <w:hyperlink w:anchor="_Toc179880107" w:history="1">
            <w:r w:rsidRPr="00847EEC">
              <w:rPr>
                <w:rStyle w:val="Hyperlink"/>
                <w:noProof/>
              </w:rPr>
              <w:t>7.</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Special Circumstances Relating to the Guidelines of 5 CFR 1320.5</w:t>
            </w:r>
            <w:r w:rsidRPr="00847EEC">
              <w:rPr>
                <w:noProof/>
                <w:webHidden/>
              </w:rPr>
              <w:tab/>
            </w:r>
            <w:r w:rsidRPr="00847EEC">
              <w:rPr>
                <w:noProof/>
                <w:webHidden/>
              </w:rPr>
              <w:fldChar w:fldCharType="begin"/>
            </w:r>
            <w:r w:rsidRPr="00847EEC">
              <w:rPr>
                <w:noProof/>
                <w:webHidden/>
              </w:rPr>
              <w:instrText xml:space="preserve"> PAGEREF _Toc179880107 \h </w:instrText>
            </w:r>
            <w:r w:rsidRPr="00847EEC">
              <w:rPr>
                <w:noProof/>
                <w:webHidden/>
              </w:rPr>
              <w:fldChar w:fldCharType="separate"/>
            </w:r>
            <w:r w:rsidR="00DA52D0">
              <w:rPr>
                <w:noProof/>
                <w:webHidden/>
              </w:rPr>
              <w:t>10</w:t>
            </w:r>
            <w:r w:rsidRPr="00847EEC">
              <w:rPr>
                <w:noProof/>
                <w:webHidden/>
              </w:rPr>
              <w:fldChar w:fldCharType="end"/>
            </w:r>
          </w:hyperlink>
        </w:p>
        <w:p w:rsidR="00E81F7F" w:rsidRPr="00847EEC" w:rsidP="001A559D" w14:paraId="02591ACA" w14:textId="6AE857EE">
          <w:pPr>
            <w:pStyle w:val="TOC3"/>
            <w:rPr>
              <w:rFonts w:asciiTheme="minorHAnsi" w:eastAsiaTheme="minorEastAsia" w:hAnsiTheme="minorHAnsi" w:cstheme="minorBidi"/>
              <w:noProof/>
              <w:kern w:val="2"/>
              <w:sz w:val="22"/>
              <w:szCs w:val="22"/>
              <w14:ligatures w14:val="standardContextual"/>
            </w:rPr>
          </w:pPr>
          <w:hyperlink w:anchor="_Toc179880108" w:history="1">
            <w:r w:rsidRPr="00847EEC">
              <w:rPr>
                <w:rStyle w:val="Hyperlink"/>
                <w:noProof/>
              </w:rPr>
              <w:t>8.</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Comments in Response to the Federal Register Notice/Outside Consultation</w:t>
            </w:r>
            <w:r w:rsidRPr="00847EEC">
              <w:rPr>
                <w:noProof/>
                <w:webHidden/>
              </w:rPr>
              <w:tab/>
            </w:r>
            <w:r w:rsidRPr="00847EEC">
              <w:rPr>
                <w:noProof/>
                <w:webHidden/>
              </w:rPr>
              <w:fldChar w:fldCharType="begin"/>
            </w:r>
            <w:r w:rsidRPr="00847EEC">
              <w:rPr>
                <w:noProof/>
                <w:webHidden/>
              </w:rPr>
              <w:instrText xml:space="preserve"> PAGEREF _Toc179880108 \h </w:instrText>
            </w:r>
            <w:r w:rsidRPr="00847EEC">
              <w:rPr>
                <w:noProof/>
                <w:webHidden/>
              </w:rPr>
              <w:fldChar w:fldCharType="separate"/>
            </w:r>
            <w:r w:rsidR="00DA52D0">
              <w:rPr>
                <w:noProof/>
                <w:webHidden/>
              </w:rPr>
              <w:t>10</w:t>
            </w:r>
            <w:r w:rsidRPr="00847EEC">
              <w:rPr>
                <w:noProof/>
                <w:webHidden/>
              </w:rPr>
              <w:fldChar w:fldCharType="end"/>
            </w:r>
          </w:hyperlink>
        </w:p>
        <w:p w:rsidR="00E81F7F" w:rsidRPr="00847EEC" w:rsidP="001A559D" w14:paraId="2F656AEF" w14:textId="3C85AD45">
          <w:pPr>
            <w:pStyle w:val="TOC3"/>
            <w:rPr>
              <w:rFonts w:asciiTheme="minorHAnsi" w:eastAsiaTheme="minorEastAsia" w:hAnsiTheme="minorHAnsi" w:cstheme="minorBidi"/>
              <w:noProof/>
              <w:kern w:val="2"/>
              <w:sz w:val="22"/>
              <w:szCs w:val="22"/>
              <w14:ligatures w14:val="standardContextual"/>
            </w:rPr>
          </w:pPr>
          <w:hyperlink w:anchor="_Toc179880109" w:history="1">
            <w:r w:rsidRPr="00847EEC">
              <w:rPr>
                <w:rStyle w:val="Hyperlink"/>
                <w:noProof/>
              </w:rPr>
              <w:t>9.</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Explanation of Any Payment/Gift to Respondents</w:t>
            </w:r>
            <w:r w:rsidRPr="00847EEC">
              <w:rPr>
                <w:noProof/>
                <w:webHidden/>
              </w:rPr>
              <w:tab/>
            </w:r>
            <w:r w:rsidRPr="00847EEC">
              <w:rPr>
                <w:noProof/>
                <w:webHidden/>
              </w:rPr>
              <w:fldChar w:fldCharType="begin"/>
            </w:r>
            <w:r w:rsidRPr="00847EEC">
              <w:rPr>
                <w:noProof/>
                <w:webHidden/>
              </w:rPr>
              <w:instrText xml:space="preserve"> PAGEREF _Toc179880109 \h </w:instrText>
            </w:r>
            <w:r w:rsidRPr="00847EEC">
              <w:rPr>
                <w:noProof/>
                <w:webHidden/>
              </w:rPr>
              <w:fldChar w:fldCharType="separate"/>
            </w:r>
            <w:r w:rsidR="00DA52D0">
              <w:rPr>
                <w:noProof/>
                <w:webHidden/>
              </w:rPr>
              <w:t>11</w:t>
            </w:r>
            <w:r w:rsidRPr="00847EEC">
              <w:rPr>
                <w:noProof/>
                <w:webHidden/>
              </w:rPr>
              <w:fldChar w:fldCharType="end"/>
            </w:r>
          </w:hyperlink>
        </w:p>
        <w:p w:rsidR="00E81F7F" w:rsidRPr="00847EEC" w:rsidP="001A559D" w14:paraId="60C42B77" w14:textId="2A19CC99">
          <w:pPr>
            <w:pStyle w:val="TOC3"/>
            <w:rPr>
              <w:rFonts w:asciiTheme="minorHAnsi" w:eastAsiaTheme="minorEastAsia" w:hAnsiTheme="minorHAnsi" w:cstheme="minorBidi"/>
              <w:noProof/>
              <w:kern w:val="2"/>
              <w:sz w:val="22"/>
              <w:szCs w:val="22"/>
              <w14:ligatures w14:val="standardContextual"/>
            </w:rPr>
          </w:pPr>
          <w:hyperlink w:anchor="_Toc179880110" w:history="1">
            <w:r w:rsidRPr="00847EEC">
              <w:rPr>
                <w:rStyle w:val="Hyperlink"/>
                <w:noProof/>
              </w:rPr>
              <w:t>10.</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Assurance of Confidentiality Provided to Respondents</w:t>
            </w:r>
            <w:r w:rsidRPr="00847EEC">
              <w:rPr>
                <w:noProof/>
                <w:webHidden/>
              </w:rPr>
              <w:tab/>
            </w:r>
            <w:r w:rsidRPr="00847EEC">
              <w:rPr>
                <w:noProof/>
                <w:webHidden/>
              </w:rPr>
              <w:fldChar w:fldCharType="begin"/>
            </w:r>
            <w:r w:rsidRPr="00847EEC">
              <w:rPr>
                <w:noProof/>
                <w:webHidden/>
              </w:rPr>
              <w:instrText xml:space="preserve"> PAGEREF _Toc179880110 \h </w:instrText>
            </w:r>
            <w:r w:rsidRPr="00847EEC">
              <w:rPr>
                <w:noProof/>
                <w:webHidden/>
              </w:rPr>
              <w:fldChar w:fldCharType="separate"/>
            </w:r>
            <w:r w:rsidR="00DA52D0">
              <w:rPr>
                <w:noProof/>
                <w:webHidden/>
              </w:rPr>
              <w:t>11</w:t>
            </w:r>
            <w:r w:rsidRPr="00847EEC">
              <w:rPr>
                <w:noProof/>
                <w:webHidden/>
              </w:rPr>
              <w:fldChar w:fldCharType="end"/>
            </w:r>
          </w:hyperlink>
        </w:p>
        <w:p w:rsidR="00E81F7F" w:rsidRPr="00847EEC" w:rsidP="001A559D" w14:paraId="60C46080" w14:textId="51E61B6F">
          <w:pPr>
            <w:pStyle w:val="TOC3"/>
            <w:rPr>
              <w:rFonts w:asciiTheme="minorHAnsi" w:eastAsiaTheme="minorEastAsia" w:hAnsiTheme="minorHAnsi" w:cstheme="minorBidi"/>
              <w:noProof/>
              <w:kern w:val="2"/>
              <w:sz w:val="22"/>
              <w:szCs w:val="22"/>
              <w14:ligatures w14:val="standardContextual"/>
            </w:rPr>
          </w:pPr>
          <w:hyperlink w:anchor="_Toc179880111" w:history="1">
            <w:r w:rsidRPr="00847EEC">
              <w:rPr>
                <w:rStyle w:val="Hyperlink"/>
                <w:noProof/>
              </w:rPr>
              <w:t>11.</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Justification for Sensitive Questions</w:t>
            </w:r>
            <w:r w:rsidRPr="00847EEC">
              <w:rPr>
                <w:noProof/>
                <w:webHidden/>
              </w:rPr>
              <w:tab/>
            </w:r>
            <w:r w:rsidRPr="00847EEC">
              <w:rPr>
                <w:noProof/>
                <w:webHidden/>
              </w:rPr>
              <w:fldChar w:fldCharType="begin"/>
            </w:r>
            <w:r w:rsidRPr="00847EEC">
              <w:rPr>
                <w:noProof/>
                <w:webHidden/>
              </w:rPr>
              <w:instrText xml:space="preserve"> PAGEREF _Toc179880111 \h </w:instrText>
            </w:r>
            <w:r w:rsidRPr="00847EEC">
              <w:rPr>
                <w:noProof/>
                <w:webHidden/>
              </w:rPr>
              <w:fldChar w:fldCharType="separate"/>
            </w:r>
            <w:r w:rsidR="00DA52D0">
              <w:rPr>
                <w:noProof/>
                <w:webHidden/>
              </w:rPr>
              <w:t>11</w:t>
            </w:r>
            <w:r w:rsidRPr="00847EEC">
              <w:rPr>
                <w:noProof/>
                <w:webHidden/>
              </w:rPr>
              <w:fldChar w:fldCharType="end"/>
            </w:r>
          </w:hyperlink>
        </w:p>
        <w:p w:rsidR="00E81F7F" w:rsidRPr="00847EEC" w:rsidP="001A559D" w14:paraId="68B6FA65" w14:textId="39F1408B">
          <w:pPr>
            <w:pStyle w:val="TOC3"/>
            <w:rPr>
              <w:rFonts w:asciiTheme="minorHAnsi" w:eastAsiaTheme="minorEastAsia" w:hAnsiTheme="minorHAnsi" w:cstheme="minorBidi"/>
              <w:noProof/>
              <w:kern w:val="2"/>
              <w:sz w:val="22"/>
              <w:szCs w:val="22"/>
              <w14:ligatures w14:val="standardContextual"/>
            </w:rPr>
          </w:pPr>
          <w:hyperlink w:anchor="_Toc179880112" w:history="1">
            <w:r w:rsidRPr="00847EEC">
              <w:rPr>
                <w:rStyle w:val="Hyperlink"/>
                <w:noProof/>
              </w:rPr>
              <w:t>12.</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Estimates of Annualized Burden Hours (Total Hours and Wages)</w:t>
            </w:r>
            <w:r w:rsidRPr="00847EEC">
              <w:rPr>
                <w:noProof/>
                <w:webHidden/>
              </w:rPr>
              <w:tab/>
            </w:r>
            <w:r w:rsidRPr="00847EEC">
              <w:rPr>
                <w:noProof/>
                <w:webHidden/>
              </w:rPr>
              <w:fldChar w:fldCharType="begin"/>
            </w:r>
            <w:r w:rsidRPr="00847EEC">
              <w:rPr>
                <w:noProof/>
                <w:webHidden/>
              </w:rPr>
              <w:instrText xml:space="preserve"> PAGEREF _Toc179880112 \h </w:instrText>
            </w:r>
            <w:r w:rsidRPr="00847EEC">
              <w:rPr>
                <w:noProof/>
                <w:webHidden/>
              </w:rPr>
              <w:fldChar w:fldCharType="separate"/>
            </w:r>
            <w:r w:rsidR="00DA52D0">
              <w:rPr>
                <w:noProof/>
                <w:webHidden/>
              </w:rPr>
              <w:t>12</w:t>
            </w:r>
            <w:r w:rsidRPr="00847EEC">
              <w:rPr>
                <w:noProof/>
                <w:webHidden/>
              </w:rPr>
              <w:fldChar w:fldCharType="end"/>
            </w:r>
          </w:hyperlink>
        </w:p>
        <w:p w:rsidR="00E81F7F" w:rsidRPr="00847EEC" w:rsidP="00B56694" w14:paraId="4EB0E41C" w14:textId="40B7DA4C">
          <w:pPr>
            <w:pStyle w:val="TOC3"/>
            <w:ind w:left="990" w:hanging="510"/>
            <w:rPr>
              <w:rFonts w:asciiTheme="minorHAnsi" w:eastAsiaTheme="minorEastAsia" w:hAnsiTheme="minorHAnsi" w:cstheme="minorBidi"/>
              <w:noProof/>
              <w:kern w:val="2"/>
              <w:sz w:val="22"/>
              <w:szCs w:val="22"/>
              <w14:ligatures w14:val="standardContextual"/>
            </w:rPr>
          </w:pPr>
          <w:hyperlink w:anchor="_Toc179880113" w:history="1">
            <w:r w:rsidRPr="00847EEC">
              <w:rPr>
                <w:rStyle w:val="Hyperlink"/>
                <w:noProof/>
              </w:rPr>
              <w:t>13.</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Estimates of other Total Annual Cost Burden to Respondents or Recordkeepers/Capital Costs</w:t>
            </w:r>
            <w:r w:rsidRPr="00847EEC">
              <w:rPr>
                <w:noProof/>
                <w:webHidden/>
              </w:rPr>
              <w:tab/>
            </w:r>
            <w:r w:rsidRPr="00847EEC">
              <w:rPr>
                <w:noProof/>
                <w:webHidden/>
              </w:rPr>
              <w:fldChar w:fldCharType="begin"/>
            </w:r>
            <w:r w:rsidRPr="00847EEC">
              <w:rPr>
                <w:noProof/>
                <w:webHidden/>
              </w:rPr>
              <w:instrText xml:space="preserve"> PAGEREF _Toc179880113 \h </w:instrText>
            </w:r>
            <w:r w:rsidRPr="00847EEC">
              <w:rPr>
                <w:noProof/>
                <w:webHidden/>
              </w:rPr>
              <w:fldChar w:fldCharType="separate"/>
            </w:r>
            <w:r w:rsidR="00DA52D0">
              <w:rPr>
                <w:noProof/>
                <w:webHidden/>
              </w:rPr>
              <w:t>14</w:t>
            </w:r>
            <w:r w:rsidRPr="00847EEC">
              <w:rPr>
                <w:noProof/>
                <w:webHidden/>
              </w:rPr>
              <w:fldChar w:fldCharType="end"/>
            </w:r>
          </w:hyperlink>
        </w:p>
        <w:p w:rsidR="00E81F7F" w:rsidRPr="00847EEC" w:rsidP="001A559D" w14:paraId="732BE3D4" w14:textId="6F386876">
          <w:pPr>
            <w:pStyle w:val="TOC3"/>
            <w:rPr>
              <w:rFonts w:asciiTheme="minorHAnsi" w:eastAsiaTheme="minorEastAsia" w:hAnsiTheme="minorHAnsi" w:cstheme="minorBidi"/>
              <w:noProof/>
              <w:kern w:val="2"/>
              <w:sz w:val="22"/>
              <w:szCs w:val="22"/>
              <w14:ligatures w14:val="standardContextual"/>
            </w:rPr>
          </w:pPr>
          <w:hyperlink w:anchor="_Toc179880114" w:history="1">
            <w:r w:rsidRPr="00847EEC">
              <w:rPr>
                <w:rStyle w:val="Hyperlink"/>
                <w:noProof/>
              </w:rPr>
              <w:t>14.</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Annualized Cost to Federal Government</w:t>
            </w:r>
            <w:r w:rsidRPr="00847EEC">
              <w:rPr>
                <w:noProof/>
                <w:webHidden/>
              </w:rPr>
              <w:tab/>
            </w:r>
            <w:r w:rsidRPr="00847EEC">
              <w:rPr>
                <w:noProof/>
                <w:webHidden/>
              </w:rPr>
              <w:fldChar w:fldCharType="begin"/>
            </w:r>
            <w:r w:rsidRPr="00847EEC">
              <w:rPr>
                <w:noProof/>
                <w:webHidden/>
              </w:rPr>
              <w:instrText xml:space="preserve"> PAGEREF _Toc179880114 \h </w:instrText>
            </w:r>
            <w:r w:rsidRPr="00847EEC">
              <w:rPr>
                <w:noProof/>
                <w:webHidden/>
              </w:rPr>
              <w:fldChar w:fldCharType="separate"/>
            </w:r>
            <w:r w:rsidR="00DA52D0">
              <w:rPr>
                <w:noProof/>
                <w:webHidden/>
              </w:rPr>
              <w:t>14</w:t>
            </w:r>
            <w:r w:rsidRPr="00847EEC">
              <w:rPr>
                <w:noProof/>
                <w:webHidden/>
              </w:rPr>
              <w:fldChar w:fldCharType="end"/>
            </w:r>
          </w:hyperlink>
        </w:p>
        <w:p w:rsidR="00E81F7F" w:rsidRPr="00847EEC" w:rsidP="001A559D" w14:paraId="75D03E2A" w14:textId="0B99CF25">
          <w:pPr>
            <w:pStyle w:val="TOC3"/>
            <w:rPr>
              <w:rFonts w:asciiTheme="minorHAnsi" w:eastAsiaTheme="minorEastAsia" w:hAnsiTheme="minorHAnsi" w:cstheme="minorBidi"/>
              <w:noProof/>
              <w:kern w:val="2"/>
              <w:sz w:val="22"/>
              <w:szCs w:val="22"/>
              <w14:ligatures w14:val="standardContextual"/>
            </w:rPr>
          </w:pPr>
          <w:hyperlink w:anchor="_Toc179880115" w:history="1">
            <w:r w:rsidRPr="00847EEC">
              <w:rPr>
                <w:rStyle w:val="Hyperlink"/>
                <w:noProof/>
              </w:rPr>
              <w:t>15.</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Explanation for Program Changes or Adjustments</w:t>
            </w:r>
            <w:r w:rsidRPr="00847EEC">
              <w:rPr>
                <w:noProof/>
                <w:webHidden/>
              </w:rPr>
              <w:tab/>
            </w:r>
            <w:r w:rsidRPr="00847EEC">
              <w:rPr>
                <w:noProof/>
                <w:webHidden/>
              </w:rPr>
              <w:fldChar w:fldCharType="begin"/>
            </w:r>
            <w:r w:rsidRPr="00847EEC">
              <w:rPr>
                <w:noProof/>
                <w:webHidden/>
              </w:rPr>
              <w:instrText xml:space="preserve"> PAGEREF _Toc179880115 \h </w:instrText>
            </w:r>
            <w:r w:rsidRPr="00847EEC">
              <w:rPr>
                <w:noProof/>
                <w:webHidden/>
              </w:rPr>
              <w:fldChar w:fldCharType="separate"/>
            </w:r>
            <w:r w:rsidR="00DA52D0">
              <w:rPr>
                <w:noProof/>
                <w:webHidden/>
              </w:rPr>
              <w:t>15</w:t>
            </w:r>
            <w:r w:rsidRPr="00847EEC">
              <w:rPr>
                <w:noProof/>
                <w:webHidden/>
              </w:rPr>
              <w:fldChar w:fldCharType="end"/>
            </w:r>
          </w:hyperlink>
        </w:p>
        <w:p w:rsidR="00E81F7F" w:rsidRPr="00847EEC" w:rsidP="001A559D" w14:paraId="50EDBEBA" w14:textId="2FF66927">
          <w:pPr>
            <w:pStyle w:val="TOC3"/>
            <w:rPr>
              <w:rFonts w:asciiTheme="minorHAnsi" w:eastAsiaTheme="minorEastAsia" w:hAnsiTheme="minorHAnsi" w:cstheme="minorBidi"/>
              <w:noProof/>
              <w:kern w:val="2"/>
              <w:sz w:val="22"/>
              <w:szCs w:val="22"/>
              <w14:ligatures w14:val="standardContextual"/>
            </w:rPr>
          </w:pPr>
          <w:hyperlink w:anchor="_Toc179880116" w:history="1">
            <w:r w:rsidRPr="00847EEC">
              <w:rPr>
                <w:rStyle w:val="Hyperlink"/>
                <w:noProof/>
              </w:rPr>
              <w:t>16.</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Plans for Tabulation and Publication and Project Time Schedule</w:t>
            </w:r>
            <w:r w:rsidRPr="00847EEC">
              <w:rPr>
                <w:noProof/>
                <w:webHidden/>
              </w:rPr>
              <w:tab/>
            </w:r>
            <w:r w:rsidRPr="00847EEC">
              <w:rPr>
                <w:noProof/>
                <w:webHidden/>
              </w:rPr>
              <w:fldChar w:fldCharType="begin"/>
            </w:r>
            <w:r w:rsidRPr="00847EEC">
              <w:rPr>
                <w:noProof/>
                <w:webHidden/>
              </w:rPr>
              <w:instrText xml:space="preserve"> PAGEREF _Toc179880116 \h </w:instrText>
            </w:r>
            <w:r w:rsidRPr="00847EEC">
              <w:rPr>
                <w:noProof/>
                <w:webHidden/>
              </w:rPr>
              <w:fldChar w:fldCharType="separate"/>
            </w:r>
            <w:r w:rsidR="00DA52D0">
              <w:rPr>
                <w:noProof/>
                <w:webHidden/>
              </w:rPr>
              <w:t>15</w:t>
            </w:r>
            <w:r w:rsidRPr="00847EEC">
              <w:rPr>
                <w:noProof/>
                <w:webHidden/>
              </w:rPr>
              <w:fldChar w:fldCharType="end"/>
            </w:r>
          </w:hyperlink>
        </w:p>
        <w:p w:rsidR="00E81F7F" w:rsidRPr="00847EEC" w:rsidP="001A559D" w14:paraId="4BBACDF2" w14:textId="40E9A0BE">
          <w:pPr>
            <w:pStyle w:val="TOC3"/>
            <w:rPr>
              <w:rFonts w:asciiTheme="minorHAnsi" w:eastAsiaTheme="minorEastAsia" w:hAnsiTheme="minorHAnsi" w:cstheme="minorBidi"/>
              <w:noProof/>
              <w:kern w:val="2"/>
              <w:sz w:val="22"/>
              <w:szCs w:val="22"/>
              <w14:ligatures w14:val="standardContextual"/>
            </w:rPr>
          </w:pPr>
          <w:hyperlink w:anchor="_Toc179880117" w:history="1">
            <w:r w:rsidRPr="00847EEC">
              <w:rPr>
                <w:rStyle w:val="Hyperlink"/>
                <w:noProof/>
              </w:rPr>
              <w:t>17.</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Reason(s) Display of OMB Expiration Date Is Inappropriate</w:t>
            </w:r>
            <w:r w:rsidRPr="00847EEC">
              <w:rPr>
                <w:noProof/>
                <w:webHidden/>
              </w:rPr>
              <w:tab/>
            </w:r>
            <w:r w:rsidRPr="00847EEC">
              <w:rPr>
                <w:noProof/>
                <w:webHidden/>
              </w:rPr>
              <w:fldChar w:fldCharType="begin"/>
            </w:r>
            <w:r w:rsidRPr="00847EEC">
              <w:rPr>
                <w:noProof/>
                <w:webHidden/>
              </w:rPr>
              <w:instrText xml:space="preserve"> PAGEREF _Toc179880117 \h </w:instrText>
            </w:r>
            <w:r w:rsidRPr="00847EEC">
              <w:rPr>
                <w:noProof/>
                <w:webHidden/>
              </w:rPr>
              <w:fldChar w:fldCharType="separate"/>
            </w:r>
            <w:r w:rsidR="00DA52D0">
              <w:rPr>
                <w:noProof/>
                <w:webHidden/>
              </w:rPr>
              <w:t>16</w:t>
            </w:r>
            <w:r w:rsidRPr="00847EEC">
              <w:rPr>
                <w:noProof/>
                <w:webHidden/>
              </w:rPr>
              <w:fldChar w:fldCharType="end"/>
            </w:r>
          </w:hyperlink>
        </w:p>
        <w:p w:rsidR="00E81F7F" w:rsidRPr="00847EEC" w:rsidP="001A559D" w14:paraId="587B97BA" w14:textId="1F84EC72">
          <w:pPr>
            <w:pStyle w:val="TOC3"/>
            <w:rPr>
              <w:rFonts w:asciiTheme="minorHAnsi" w:eastAsiaTheme="minorEastAsia" w:hAnsiTheme="minorHAnsi" w:cstheme="minorBidi"/>
              <w:noProof/>
              <w:kern w:val="2"/>
              <w:sz w:val="22"/>
              <w:szCs w:val="22"/>
              <w14:ligatures w14:val="standardContextual"/>
            </w:rPr>
          </w:pPr>
          <w:hyperlink w:anchor="_Toc179880118" w:history="1">
            <w:r w:rsidRPr="00847EEC">
              <w:rPr>
                <w:rStyle w:val="Hyperlink"/>
                <w:noProof/>
              </w:rPr>
              <w:t>18.</w:t>
            </w:r>
            <w:r w:rsidRPr="00847EEC">
              <w:rPr>
                <w:rFonts w:asciiTheme="minorHAnsi" w:eastAsiaTheme="minorEastAsia" w:hAnsiTheme="minorHAnsi" w:cstheme="minorBidi"/>
                <w:noProof/>
                <w:kern w:val="2"/>
                <w:sz w:val="22"/>
                <w:szCs w:val="22"/>
                <w14:ligatures w14:val="standardContextual"/>
              </w:rPr>
              <w:tab/>
            </w:r>
            <w:r w:rsidRPr="00847EEC">
              <w:rPr>
                <w:rStyle w:val="Hyperlink"/>
                <w:noProof/>
              </w:rPr>
              <w:t>Exceptions to Certification for Paperwork Reduction Act Submissions</w:t>
            </w:r>
            <w:r w:rsidRPr="00847EEC">
              <w:rPr>
                <w:noProof/>
                <w:webHidden/>
              </w:rPr>
              <w:tab/>
            </w:r>
            <w:r w:rsidRPr="00847EEC">
              <w:rPr>
                <w:noProof/>
                <w:webHidden/>
              </w:rPr>
              <w:fldChar w:fldCharType="begin"/>
            </w:r>
            <w:r w:rsidRPr="00847EEC">
              <w:rPr>
                <w:noProof/>
                <w:webHidden/>
              </w:rPr>
              <w:instrText xml:space="preserve"> PAGEREF _Toc179880118 \h </w:instrText>
            </w:r>
            <w:r w:rsidRPr="00847EEC">
              <w:rPr>
                <w:noProof/>
                <w:webHidden/>
              </w:rPr>
              <w:fldChar w:fldCharType="separate"/>
            </w:r>
            <w:r w:rsidR="00DA52D0">
              <w:rPr>
                <w:noProof/>
                <w:webHidden/>
              </w:rPr>
              <w:t>17</w:t>
            </w:r>
            <w:r w:rsidRPr="00847EEC">
              <w:rPr>
                <w:noProof/>
                <w:webHidden/>
              </w:rPr>
              <w:fldChar w:fldCharType="end"/>
            </w:r>
          </w:hyperlink>
        </w:p>
        <w:p w:rsidR="00E81F7F" w:rsidRPr="00847EEC" w:rsidP="00CC1689" w14:paraId="18789A1B" w14:textId="404690C2">
          <w:pPr>
            <w:pStyle w:val="TOC1"/>
            <w:rPr>
              <w:rFonts w:asciiTheme="minorHAnsi" w:eastAsiaTheme="minorEastAsia" w:hAnsiTheme="minorHAnsi" w:cstheme="minorBidi"/>
              <w:kern w:val="2"/>
              <w:sz w:val="22"/>
              <w:szCs w:val="22"/>
              <w14:ligatures w14:val="standardContextual"/>
            </w:rPr>
          </w:pPr>
          <w:hyperlink w:anchor="_Toc179880119" w:history="1">
            <w:r w:rsidRPr="00847EEC">
              <w:rPr>
                <w:rStyle w:val="Hyperlink"/>
                <w:b w:val="0"/>
                <w:bCs w:val="0"/>
              </w:rPr>
              <w:t>B.</w:t>
            </w:r>
            <w:r w:rsidRPr="00847EEC">
              <w:rPr>
                <w:rFonts w:asciiTheme="minorHAnsi" w:eastAsiaTheme="minorEastAsia" w:hAnsiTheme="minorHAnsi" w:cstheme="minorBidi"/>
                <w:kern w:val="2"/>
                <w:sz w:val="22"/>
                <w:szCs w:val="22"/>
                <w14:ligatures w14:val="standardContextual"/>
              </w:rPr>
              <w:tab/>
            </w:r>
            <w:r w:rsidRPr="00847EEC">
              <w:rPr>
                <w:rStyle w:val="Hyperlink"/>
                <w:b w:val="0"/>
                <w:bCs w:val="0"/>
              </w:rPr>
              <w:t>DATA COLLECTION PROCEDURES: FPAR Data System</w:t>
            </w:r>
            <w:r w:rsidRPr="00847EEC">
              <w:rPr>
                <w:webHidden/>
              </w:rPr>
              <w:tab/>
            </w:r>
            <w:r w:rsidRPr="00847EEC">
              <w:rPr>
                <w:webHidden/>
              </w:rPr>
              <w:fldChar w:fldCharType="begin"/>
            </w:r>
            <w:r w:rsidRPr="00847EEC">
              <w:rPr>
                <w:webHidden/>
              </w:rPr>
              <w:instrText xml:space="preserve"> PAGEREF _Toc179880119 \h </w:instrText>
            </w:r>
            <w:r w:rsidRPr="00847EEC">
              <w:rPr>
                <w:webHidden/>
              </w:rPr>
              <w:fldChar w:fldCharType="separate"/>
            </w:r>
            <w:r w:rsidR="00DA52D0">
              <w:rPr>
                <w:webHidden/>
              </w:rPr>
              <w:t>17</w:t>
            </w:r>
            <w:r w:rsidRPr="00847EEC">
              <w:rPr>
                <w:webHidden/>
              </w:rPr>
              <w:fldChar w:fldCharType="end"/>
            </w:r>
          </w:hyperlink>
        </w:p>
        <w:p w:rsidR="00E81F7F" w:rsidP="00CC1689" w14:paraId="65BCC7FC" w14:textId="6CA9C3D6">
          <w:pPr>
            <w:pStyle w:val="TOC1"/>
            <w:rPr>
              <w:rFonts w:asciiTheme="minorHAnsi" w:eastAsiaTheme="minorEastAsia" w:hAnsiTheme="minorHAnsi" w:cstheme="minorBidi"/>
              <w:kern w:val="2"/>
              <w:sz w:val="22"/>
              <w:szCs w:val="22"/>
              <w14:ligatures w14:val="standardContextual"/>
            </w:rPr>
          </w:pPr>
          <w:hyperlink w:anchor="_Toc179880120" w:history="1">
            <w:r w:rsidRPr="00847EEC">
              <w:rPr>
                <w:rStyle w:val="Hyperlink"/>
                <w:b w:val="0"/>
                <w:bCs w:val="0"/>
              </w:rPr>
              <w:t>C.</w:t>
            </w:r>
            <w:r w:rsidRPr="00847EEC">
              <w:rPr>
                <w:rFonts w:asciiTheme="minorHAnsi" w:eastAsiaTheme="minorEastAsia" w:hAnsiTheme="minorHAnsi" w:cstheme="minorBidi"/>
                <w:kern w:val="2"/>
                <w:sz w:val="22"/>
                <w:szCs w:val="22"/>
                <w14:ligatures w14:val="standardContextual"/>
              </w:rPr>
              <w:tab/>
            </w:r>
            <w:r w:rsidRPr="00847EEC">
              <w:rPr>
                <w:rStyle w:val="Hyperlink"/>
                <w:b w:val="0"/>
                <w:bCs w:val="0"/>
              </w:rPr>
              <w:t>REFERENCES</w:t>
            </w:r>
            <w:r w:rsidRPr="00847EEC">
              <w:rPr>
                <w:webHidden/>
              </w:rPr>
              <w:tab/>
            </w:r>
            <w:r w:rsidRPr="00847EEC">
              <w:rPr>
                <w:webHidden/>
              </w:rPr>
              <w:fldChar w:fldCharType="begin"/>
            </w:r>
            <w:r w:rsidRPr="00847EEC">
              <w:rPr>
                <w:webHidden/>
              </w:rPr>
              <w:instrText xml:space="preserve"> PAGEREF _Toc179880120 \h </w:instrText>
            </w:r>
            <w:r w:rsidRPr="00847EEC">
              <w:rPr>
                <w:webHidden/>
              </w:rPr>
              <w:fldChar w:fldCharType="separate"/>
            </w:r>
            <w:r w:rsidR="00DA52D0">
              <w:rPr>
                <w:webHidden/>
              </w:rPr>
              <w:t>18</w:t>
            </w:r>
            <w:r w:rsidRPr="00847EEC">
              <w:rPr>
                <w:webHidden/>
              </w:rPr>
              <w:fldChar w:fldCharType="end"/>
            </w:r>
          </w:hyperlink>
        </w:p>
        <w:p w:rsidR="0095162B" w14:paraId="0DCE5401" w14:textId="77777777">
          <w:pPr>
            <w:rPr>
              <w:b/>
              <w:bCs/>
              <w:noProof/>
            </w:rPr>
          </w:pPr>
          <w:r>
            <w:rPr>
              <w:b/>
              <w:bCs/>
              <w:noProof/>
            </w:rPr>
            <w:fldChar w:fldCharType="end"/>
          </w:r>
        </w:p>
      </w:sdtContent>
    </w:sdt>
    <w:p w:rsidR="001B7117" w:rsidRPr="00E56AA3" w14:paraId="2ED62700" w14:textId="45D169A2">
      <w:r w:rsidRPr="00E56AA3">
        <w:rPr>
          <w:b/>
          <w:bCs/>
        </w:rPr>
        <w:br w:type="page"/>
      </w:r>
    </w:p>
    <w:p w:rsidR="004D5AE8" w:rsidRPr="00E56AA3" w14:paraId="68A2E8F7" w14:textId="77777777">
      <w:pPr>
        <w:widowControl w:val="0"/>
        <w:tabs>
          <w:tab w:val="left" w:pos="4603"/>
        </w:tabs>
        <w:autoSpaceDE w:val="0"/>
        <w:autoSpaceDN w:val="0"/>
        <w:adjustRightInd w:val="0"/>
        <w:spacing w:before="293" w:after="120" w:line="436" w:lineRule="exact"/>
        <w:rPr>
          <w:b/>
          <w:bCs/>
        </w:rPr>
      </w:pPr>
      <w:r w:rsidRPr="00E56AA3">
        <w:rPr>
          <w:b/>
          <w:bCs/>
        </w:rPr>
        <w:t>EXHIBITS</w:t>
      </w:r>
    </w:p>
    <w:p w:rsidR="00F40012" w14:paraId="39B2614B" w14:textId="236CE471">
      <w:pPr>
        <w:pStyle w:val="TableofFigures"/>
        <w:tabs>
          <w:tab w:val="right" w:leader="dot" w:pos="9010"/>
        </w:tabs>
        <w:rPr>
          <w:rFonts w:asciiTheme="minorHAnsi" w:eastAsiaTheme="minorEastAsia" w:hAnsiTheme="minorHAnsi" w:cstheme="minorBidi"/>
          <w:noProof/>
          <w:kern w:val="2"/>
          <w:sz w:val="22"/>
          <w:szCs w:val="22"/>
          <w14:ligatures w14:val="standardContextual"/>
        </w:rPr>
      </w:pPr>
      <w:r>
        <w:fldChar w:fldCharType="begin"/>
      </w:r>
      <w:r>
        <w:instrText xml:space="preserve"> TOC \h \z \c "Exhibit " </w:instrText>
      </w:r>
      <w:r>
        <w:fldChar w:fldCharType="separate"/>
      </w:r>
      <w:hyperlink w:anchor="_Toc186726918" w:history="1">
        <w:r w:rsidRPr="005567FC">
          <w:rPr>
            <w:rStyle w:val="Hyperlink"/>
            <w:noProof/>
          </w:rPr>
          <w:t>Exhibit  1–Goals for the Title X Family Planning Program</w:t>
        </w:r>
        <w:r>
          <w:rPr>
            <w:noProof/>
            <w:webHidden/>
          </w:rPr>
          <w:tab/>
        </w:r>
        <w:r>
          <w:rPr>
            <w:noProof/>
            <w:webHidden/>
          </w:rPr>
          <w:fldChar w:fldCharType="begin"/>
        </w:r>
        <w:r>
          <w:rPr>
            <w:noProof/>
            <w:webHidden/>
          </w:rPr>
          <w:instrText xml:space="preserve"> PAGEREF _Toc186726918 \h </w:instrText>
        </w:r>
        <w:r>
          <w:rPr>
            <w:noProof/>
            <w:webHidden/>
          </w:rPr>
          <w:fldChar w:fldCharType="separate"/>
        </w:r>
        <w:r w:rsidR="00DA52D0">
          <w:rPr>
            <w:noProof/>
            <w:webHidden/>
          </w:rPr>
          <w:t>3</w:t>
        </w:r>
        <w:r>
          <w:rPr>
            <w:noProof/>
            <w:webHidden/>
          </w:rPr>
          <w:fldChar w:fldCharType="end"/>
        </w:r>
      </w:hyperlink>
    </w:p>
    <w:p w:rsidR="00F40012" w14:paraId="0B4B415B" w14:textId="0A5DEF50">
      <w:pPr>
        <w:pStyle w:val="TableofFigures"/>
        <w:tabs>
          <w:tab w:val="right" w:leader="dot" w:pos="9010"/>
        </w:tabs>
        <w:rPr>
          <w:rFonts w:asciiTheme="minorHAnsi" w:eastAsiaTheme="minorEastAsia" w:hAnsiTheme="minorHAnsi" w:cstheme="minorBidi"/>
          <w:noProof/>
          <w:kern w:val="2"/>
          <w:sz w:val="22"/>
          <w:szCs w:val="22"/>
          <w14:ligatures w14:val="standardContextual"/>
        </w:rPr>
      </w:pPr>
      <w:hyperlink w:anchor="_Toc186726919" w:history="1">
        <w:r w:rsidRPr="005567FC">
          <w:rPr>
            <w:rStyle w:val="Hyperlink"/>
            <w:noProof/>
          </w:rPr>
          <w:t>Exhibit  2–List of Individuals who Provided Extensive Review and Feedback on FPAR 2.0</w:t>
        </w:r>
        <w:r>
          <w:rPr>
            <w:noProof/>
            <w:webHidden/>
          </w:rPr>
          <w:tab/>
        </w:r>
        <w:r>
          <w:rPr>
            <w:noProof/>
            <w:webHidden/>
          </w:rPr>
          <w:fldChar w:fldCharType="begin"/>
        </w:r>
        <w:r>
          <w:rPr>
            <w:noProof/>
            <w:webHidden/>
          </w:rPr>
          <w:instrText xml:space="preserve"> PAGEREF _Toc186726919 \h </w:instrText>
        </w:r>
        <w:r>
          <w:rPr>
            <w:noProof/>
            <w:webHidden/>
          </w:rPr>
          <w:fldChar w:fldCharType="separate"/>
        </w:r>
        <w:r w:rsidR="00DA52D0">
          <w:rPr>
            <w:noProof/>
            <w:webHidden/>
          </w:rPr>
          <w:t>10</w:t>
        </w:r>
        <w:r>
          <w:rPr>
            <w:noProof/>
            <w:webHidden/>
          </w:rPr>
          <w:fldChar w:fldCharType="end"/>
        </w:r>
      </w:hyperlink>
    </w:p>
    <w:p w:rsidR="00F40012" w14:paraId="611701FE" w14:textId="307720AC">
      <w:pPr>
        <w:pStyle w:val="TableofFigures"/>
        <w:tabs>
          <w:tab w:val="right" w:leader="dot" w:pos="9010"/>
        </w:tabs>
        <w:rPr>
          <w:rFonts w:asciiTheme="minorHAnsi" w:eastAsiaTheme="minorEastAsia" w:hAnsiTheme="minorHAnsi" w:cstheme="minorBidi"/>
          <w:noProof/>
          <w:kern w:val="2"/>
          <w:sz w:val="22"/>
          <w:szCs w:val="22"/>
          <w14:ligatures w14:val="standardContextual"/>
        </w:rPr>
      </w:pPr>
      <w:hyperlink w:anchor="_Toc186726920" w:history="1">
        <w:r w:rsidRPr="005567FC">
          <w:rPr>
            <w:rStyle w:val="Hyperlink"/>
            <w:noProof/>
          </w:rPr>
          <w:t>Exhibit  3–Estimated Hour Burden</w:t>
        </w:r>
        <w:r>
          <w:rPr>
            <w:noProof/>
            <w:webHidden/>
          </w:rPr>
          <w:tab/>
        </w:r>
        <w:r>
          <w:rPr>
            <w:noProof/>
            <w:webHidden/>
          </w:rPr>
          <w:fldChar w:fldCharType="begin"/>
        </w:r>
        <w:r>
          <w:rPr>
            <w:noProof/>
            <w:webHidden/>
          </w:rPr>
          <w:instrText xml:space="preserve"> PAGEREF _Toc186726920 \h </w:instrText>
        </w:r>
        <w:r>
          <w:rPr>
            <w:noProof/>
            <w:webHidden/>
          </w:rPr>
          <w:fldChar w:fldCharType="separate"/>
        </w:r>
        <w:r w:rsidR="00DA52D0">
          <w:rPr>
            <w:noProof/>
            <w:webHidden/>
          </w:rPr>
          <w:t>13</w:t>
        </w:r>
        <w:r>
          <w:rPr>
            <w:noProof/>
            <w:webHidden/>
          </w:rPr>
          <w:fldChar w:fldCharType="end"/>
        </w:r>
      </w:hyperlink>
    </w:p>
    <w:p w:rsidR="00F40012" w14:paraId="4AB4677B" w14:textId="3FF1D3C1">
      <w:pPr>
        <w:pStyle w:val="TableofFigures"/>
        <w:tabs>
          <w:tab w:val="right" w:leader="dot" w:pos="9010"/>
        </w:tabs>
        <w:rPr>
          <w:rFonts w:asciiTheme="minorHAnsi" w:eastAsiaTheme="minorEastAsia" w:hAnsiTheme="minorHAnsi" w:cstheme="minorBidi"/>
          <w:noProof/>
          <w:kern w:val="2"/>
          <w:sz w:val="22"/>
          <w:szCs w:val="22"/>
          <w14:ligatures w14:val="standardContextual"/>
        </w:rPr>
      </w:pPr>
      <w:hyperlink w:anchor="_Toc186726921" w:history="1">
        <w:r w:rsidRPr="005567FC">
          <w:rPr>
            <w:rStyle w:val="Hyperlink"/>
            <w:noProof/>
          </w:rPr>
          <w:t>Exhibit  4–Estimated Annualized Cost to Respondents for Information Collection</w:t>
        </w:r>
        <w:r>
          <w:rPr>
            <w:noProof/>
            <w:webHidden/>
          </w:rPr>
          <w:tab/>
        </w:r>
        <w:r>
          <w:rPr>
            <w:noProof/>
            <w:webHidden/>
          </w:rPr>
          <w:fldChar w:fldCharType="begin"/>
        </w:r>
        <w:r>
          <w:rPr>
            <w:noProof/>
            <w:webHidden/>
          </w:rPr>
          <w:instrText xml:space="preserve"> PAGEREF _Toc186726921 \h </w:instrText>
        </w:r>
        <w:r>
          <w:rPr>
            <w:noProof/>
            <w:webHidden/>
          </w:rPr>
          <w:fldChar w:fldCharType="separate"/>
        </w:r>
        <w:r w:rsidR="00DA52D0">
          <w:rPr>
            <w:noProof/>
            <w:webHidden/>
          </w:rPr>
          <w:t>14</w:t>
        </w:r>
        <w:r>
          <w:rPr>
            <w:noProof/>
            <w:webHidden/>
          </w:rPr>
          <w:fldChar w:fldCharType="end"/>
        </w:r>
      </w:hyperlink>
    </w:p>
    <w:p w:rsidR="00F40012" w14:paraId="05F2BD58" w14:textId="338EEDE6">
      <w:pPr>
        <w:pStyle w:val="TableofFigures"/>
        <w:tabs>
          <w:tab w:val="right" w:leader="dot" w:pos="9010"/>
        </w:tabs>
        <w:rPr>
          <w:rFonts w:asciiTheme="minorHAnsi" w:eastAsiaTheme="minorEastAsia" w:hAnsiTheme="minorHAnsi" w:cstheme="minorBidi"/>
          <w:noProof/>
          <w:kern w:val="2"/>
          <w:sz w:val="22"/>
          <w:szCs w:val="22"/>
          <w14:ligatures w14:val="standardContextual"/>
        </w:rPr>
      </w:pPr>
      <w:hyperlink w:anchor="_Toc186726922" w:history="1">
        <w:r w:rsidRPr="005567FC">
          <w:rPr>
            <w:rStyle w:val="Hyperlink"/>
            <w:noProof/>
          </w:rPr>
          <w:t>Exhibit  5–Annualized Cost of FPAR Reporting to Federal Government</w:t>
        </w:r>
        <w:r>
          <w:rPr>
            <w:noProof/>
            <w:webHidden/>
          </w:rPr>
          <w:tab/>
        </w:r>
        <w:r>
          <w:rPr>
            <w:noProof/>
            <w:webHidden/>
          </w:rPr>
          <w:fldChar w:fldCharType="begin"/>
        </w:r>
        <w:r>
          <w:rPr>
            <w:noProof/>
            <w:webHidden/>
          </w:rPr>
          <w:instrText xml:space="preserve"> PAGEREF _Toc186726922 \h </w:instrText>
        </w:r>
        <w:r>
          <w:rPr>
            <w:noProof/>
            <w:webHidden/>
          </w:rPr>
          <w:fldChar w:fldCharType="separate"/>
        </w:r>
        <w:r w:rsidR="00DA52D0">
          <w:rPr>
            <w:noProof/>
            <w:webHidden/>
          </w:rPr>
          <w:t>14</w:t>
        </w:r>
        <w:r>
          <w:rPr>
            <w:noProof/>
            <w:webHidden/>
          </w:rPr>
          <w:fldChar w:fldCharType="end"/>
        </w:r>
      </w:hyperlink>
    </w:p>
    <w:p w:rsidR="00F40012" w14:paraId="4C567C69" w14:textId="291A979D">
      <w:pPr>
        <w:pStyle w:val="TableofFigures"/>
        <w:tabs>
          <w:tab w:val="right" w:leader="dot" w:pos="9010"/>
        </w:tabs>
        <w:rPr>
          <w:rFonts w:asciiTheme="minorHAnsi" w:eastAsiaTheme="minorEastAsia" w:hAnsiTheme="minorHAnsi" w:cstheme="minorBidi"/>
          <w:noProof/>
          <w:kern w:val="2"/>
          <w:sz w:val="22"/>
          <w:szCs w:val="22"/>
          <w14:ligatures w14:val="standardContextual"/>
        </w:rPr>
      </w:pPr>
      <w:hyperlink w:anchor="_Toc186726923" w:history="1">
        <w:r w:rsidRPr="005567FC">
          <w:rPr>
            <w:rStyle w:val="Hyperlink"/>
            <w:noProof/>
          </w:rPr>
          <w:t>Exhibit  6–Timetable for Data Collection, Analysis, and Publication</w:t>
        </w:r>
        <w:r>
          <w:rPr>
            <w:noProof/>
            <w:webHidden/>
          </w:rPr>
          <w:tab/>
        </w:r>
        <w:r>
          <w:rPr>
            <w:noProof/>
            <w:webHidden/>
          </w:rPr>
          <w:fldChar w:fldCharType="begin"/>
        </w:r>
        <w:r>
          <w:rPr>
            <w:noProof/>
            <w:webHidden/>
          </w:rPr>
          <w:instrText xml:space="preserve"> PAGEREF _Toc186726923 \h </w:instrText>
        </w:r>
        <w:r>
          <w:rPr>
            <w:noProof/>
            <w:webHidden/>
          </w:rPr>
          <w:fldChar w:fldCharType="separate"/>
        </w:r>
        <w:r w:rsidR="00DA52D0">
          <w:rPr>
            <w:noProof/>
            <w:webHidden/>
          </w:rPr>
          <w:t>16</w:t>
        </w:r>
        <w:r>
          <w:rPr>
            <w:noProof/>
            <w:webHidden/>
          </w:rPr>
          <w:fldChar w:fldCharType="end"/>
        </w:r>
      </w:hyperlink>
    </w:p>
    <w:p w:rsidR="00D832DD" w:rsidRPr="00E56AA3" w:rsidP="00967151" w14:paraId="0586A4A7" w14:textId="2CEF9EC3">
      <w:pPr>
        <w:pStyle w:val="TOC5"/>
      </w:pPr>
      <w:r>
        <w:fldChar w:fldCharType="end"/>
      </w:r>
    </w:p>
    <w:p w:rsidR="001B7117" w:rsidRPr="00E56AA3" w:rsidP="00805703" w14:paraId="19674AD9" w14:textId="77777777">
      <w:pPr>
        <w:pStyle w:val="StyleTOC1Linespacing15lines"/>
      </w:pPr>
      <w:r w:rsidRPr="00E56AA3">
        <w:t>ATTACHMENTS</w:t>
      </w:r>
    </w:p>
    <w:p w:rsidR="001B7117" w:rsidRPr="00E56AA3" w:rsidP="00967151" w14:paraId="2AAF38CE" w14:textId="77777777">
      <w:pPr>
        <w:pStyle w:val="TOC5"/>
      </w:pPr>
      <w:r w:rsidRPr="00E56AA3">
        <w:t>A.</w:t>
      </w:r>
      <w:r w:rsidRPr="00E56AA3">
        <w:tab/>
        <w:t xml:space="preserve">Authorizing Title X Program </w:t>
      </w:r>
      <w:r w:rsidRPr="00E56AA3">
        <w:t>Regulations</w:t>
      </w:r>
      <w:r w:rsidRPr="00E56AA3">
        <w:tab/>
        <w:t>A–1</w:t>
      </w:r>
    </w:p>
    <w:p w:rsidR="001B7117" w:rsidRPr="00E56AA3" w:rsidP="00967151" w14:paraId="1F2305BD" w14:textId="07A9CB1F">
      <w:pPr>
        <w:pStyle w:val="TOC5"/>
      </w:pPr>
      <w:r w:rsidRPr="00E56AA3">
        <w:t>B.</w:t>
      </w:r>
      <w:r w:rsidRPr="00E56AA3">
        <w:tab/>
      </w:r>
      <w:r w:rsidR="00047A3E">
        <w:t>2024 FPAR</w:t>
      </w:r>
      <w:r w:rsidR="005F3323">
        <w:t xml:space="preserve"> </w:t>
      </w:r>
      <w:r w:rsidR="00047A3E">
        <w:t>2.0 Data Elements with Valid Values</w:t>
      </w:r>
      <w:r w:rsidRPr="00E56AA3">
        <w:tab/>
        <w:t>B–1</w:t>
      </w:r>
    </w:p>
    <w:p w:rsidR="001B7117" w:rsidRPr="00E56AA3" w:rsidP="00967151" w14:paraId="1D9FE167" w14:textId="77777777">
      <w:pPr>
        <w:pStyle w:val="TOC5"/>
      </w:pPr>
      <w:r w:rsidRPr="00E56AA3">
        <w:t>C</w:t>
      </w:r>
      <w:r w:rsidRPr="00E56AA3">
        <w:t>.</w:t>
      </w:r>
      <w:r w:rsidRPr="00E56AA3">
        <w:tab/>
        <w:t>60</w:t>
      </w:r>
      <w:r w:rsidRPr="00E56AA3" w:rsidR="00704417">
        <w:t>–</w:t>
      </w:r>
      <w:r w:rsidRPr="00E56AA3">
        <w:t>Day Federal Register Notice</w:t>
      </w:r>
      <w:r w:rsidRPr="00E56AA3">
        <w:tab/>
      </w:r>
      <w:r w:rsidRPr="00E56AA3">
        <w:t>C</w:t>
      </w:r>
      <w:r w:rsidRPr="00E56AA3">
        <w:t>–1</w:t>
      </w:r>
    </w:p>
    <w:p w:rsidR="00553B28" w:rsidRPr="00E56AA3" w:rsidP="00CC1689" w14:paraId="07D7A298" w14:textId="22E4155E">
      <w:pPr>
        <w:pStyle w:val="StyleTOC1Linespacing15lines"/>
        <w:sectPr w:rsidSect="00760BBD">
          <w:headerReference w:type="default" r:id="rId8"/>
          <w:footerReference w:type="even" r:id="rId9"/>
          <w:footerReference w:type="default" r:id="rId10"/>
          <w:endnotePr>
            <w:numFmt w:val="decimal"/>
          </w:endnotePr>
          <w:pgSz w:w="11900" w:h="15760"/>
          <w:pgMar w:top="1440" w:right="1440" w:bottom="1440" w:left="1440" w:header="720" w:footer="720" w:gutter="0"/>
          <w:pgNumType w:fmt="lowerRoman" w:start="1"/>
          <w:cols w:space="720"/>
          <w:titlePg/>
        </w:sectPr>
      </w:pPr>
    </w:p>
    <w:p w:rsidR="004D5AE8" w:rsidRPr="00E56AA3" w:rsidP="00805703" w14:paraId="76854FD2" w14:textId="01424998">
      <w:pPr>
        <w:pStyle w:val="StyleTOC1Linespacing15lines"/>
      </w:pPr>
      <w:r w:rsidRPr="00E56AA3">
        <w:t xml:space="preserve">Supporting Statement </w:t>
      </w:r>
      <w:r w:rsidRPr="00E56AA3">
        <w:br/>
        <w:t xml:space="preserve">Family Planning Annual Report </w:t>
      </w:r>
      <w:r w:rsidRPr="00E56AA3" w:rsidR="00D56AE4">
        <w:t>2.0</w:t>
      </w:r>
      <w:r w:rsidRPr="00E56AA3">
        <w:br/>
      </w:r>
    </w:p>
    <w:p w:rsidR="00D832DD" w:rsidRPr="00E56AA3" w:rsidP="00D832DD" w14:paraId="73542ABD" w14:textId="5E3F4CE6">
      <w:pPr>
        <w:pStyle w:val="Heading2-OMB"/>
        <w:numPr>
          <w:ilvl w:val="0"/>
          <w:numId w:val="2"/>
        </w:numPr>
        <w:tabs>
          <w:tab w:val="left" w:pos="360"/>
        </w:tabs>
        <w:ind w:left="360"/>
        <w:rPr>
          <w:rFonts w:ascii="Times New Roman" w:hAnsi="Times New Roman"/>
        </w:rPr>
      </w:pPr>
      <w:bookmarkStart w:id="0" w:name="_Toc16533857"/>
      <w:bookmarkStart w:id="1" w:name="_Toc179880100"/>
      <w:r w:rsidRPr="00E56AA3">
        <w:rPr>
          <w:rFonts w:ascii="Times New Roman" w:hAnsi="Times New Roman"/>
        </w:rPr>
        <w:t>JUSTIFICATION</w:t>
      </w:r>
      <w:bookmarkEnd w:id="0"/>
      <w:bookmarkEnd w:id="1"/>
    </w:p>
    <w:p w:rsidR="004D5AE8" w:rsidRPr="007C1D3A" w:rsidP="007D0CD4" w14:paraId="7EF893CF" w14:textId="3B4CEF4B">
      <w:pPr>
        <w:pStyle w:val="bodytext-gph"/>
        <w:rPr>
          <w:sz w:val="24"/>
          <w:szCs w:val="24"/>
        </w:rPr>
      </w:pPr>
      <w:r w:rsidRPr="007C1D3A">
        <w:rPr>
          <w:sz w:val="24"/>
          <w:szCs w:val="24"/>
        </w:rPr>
        <w:t xml:space="preserve">This is a request for Office of Management and Budget (OMB) approval </w:t>
      </w:r>
      <w:r w:rsidRPr="007C1D3A" w:rsidR="00060281">
        <w:rPr>
          <w:sz w:val="24"/>
          <w:szCs w:val="24"/>
        </w:rPr>
        <w:t xml:space="preserve">to renew </w:t>
      </w:r>
      <w:r w:rsidRPr="007C1D3A" w:rsidR="008F5369">
        <w:rPr>
          <w:sz w:val="24"/>
          <w:szCs w:val="24"/>
        </w:rPr>
        <w:t>the encounter</w:t>
      </w:r>
      <w:r w:rsidRPr="007C1D3A" w:rsidR="00CA208B">
        <w:rPr>
          <w:sz w:val="24"/>
          <w:szCs w:val="24"/>
        </w:rPr>
        <w:t xml:space="preserve"> level data collection for the Family Planning Annual Report</w:t>
      </w:r>
      <w:r w:rsidRPr="007C1D3A" w:rsidR="00401A9E">
        <w:rPr>
          <w:sz w:val="24"/>
          <w:szCs w:val="24"/>
        </w:rPr>
        <w:t xml:space="preserve"> (FPAR)</w:t>
      </w:r>
      <w:r w:rsidRPr="007C1D3A" w:rsidR="00CA208B">
        <w:rPr>
          <w:sz w:val="24"/>
          <w:szCs w:val="24"/>
        </w:rPr>
        <w:t xml:space="preserve">. </w:t>
      </w:r>
      <w:bookmarkStart w:id="2" w:name="_Hlk179459034"/>
      <w:r w:rsidRPr="007C1D3A" w:rsidR="00CA208B">
        <w:rPr>
          <w:sz w:val="24"/>
          <w:szCs w:val="24"/>
        </w:rPr>
        <w:t xml:space="preserve">This </w:t>
      </w:r>
      <w:r w:rsidRPr="007C1D3A" w:rsidR="00060281">
        <w:rPr>
          <w:sz w:val="24"/>
          <w:szCs w:val="24"/>
        </w:rPr>
        <w:t xml:space="preserve">was previously approved by OMB under </w:t>
      </w:r>
      <w:r w:rsidRPr="007C1D3A" w:rsidR="00CA208B">
        <w:rPr>
          <w:sz w:val="24"/>
          <w:szCs w:val="24"/>
        </w:rPr>
        <w:t>OMB No. 0990-0</w:t>
      </w:r>
      <w:r w:rsidRPr="007C1D3A" w:rsidR="00060281">
        <w:rPr>
          <w:sz w:val="24"/>
          <w:szCs w:val="24"/>
        </w:rPr>
        <w:t>479</w:t>
      </w:r>
      <w:r w:rsidRPr="007C1D3A" w:rsidR="00CA208B">
        <w:rPr>
          <w:sz w:val="24"/>
          <w:szCs w:val="24"/>
        </w:rPr>
        <w:t xml:space="preserve">, expiration </w:t>
      </w:r>
      <w:r w:rsidRPr="007C1D3A" w:rsidR="00060281">
        <w:rPr>
          <w:sz w:val="24"/>
          <w:szCs w:val="24"/>
        </w:rPr>
        <w:t xml:space="preserve">February 28, 2025. </w:t>
      </w:r>
      <w:bookmarkEnd w:id="2"/>
      <w:r w:rsidRPr="007C1D3A">
        <w:rPr>
          <w:sz w:val="24"/>
          <w:szCs w:val="24"/>
        </w:rPr>
        <w:t>This annual reporting requirement is for family planning services delivery projects authorized and funded by the Title X Family Planning Program [</w:t>
      </w:r>
      <w:r w:rsidRPr="007C1D3A" w:rsidR="00D70601">
        <w:rPr>
          <w:sz w:val="24"/>
          <w:szCs w:val="24"/>
        </w:rPr>
        <w:t>“</w:t>
      </w:r>
      <w:r w:rsidRPr="007C1D3A">
        <w:rPr>
          <w:sz w:val="24"/>
          <w:szCs w:val="24"/>
        </w:rPr>
        <w:t>Population Research and Voluntary Family Planning Programs</w:t>
      </w:r>
      <w:r w:rsidRPr="007C1D3A" w:rsidR="00D70601">
        <w:rPr>
          <w:sz w:val="24"/>
          <w:szCs w:val="24"/>
        </w:rPr>
        <w:t>”</w:t>
      </w:r>
      <w:r w:rsidRPr="007C1D3A">
        <w:rPr>
          <w:sz w:val="24"/>
          <w:szCs w:val="24"/>
        </w:rPr>
        <w:t xml:space="preserve"> (Public Law 91-572)], which was enacted in 1970 as Title X of the Public Health Service Act of Title X of the Public Health Service Act, 42 United States Code [USC] 300</w:t>
      </w:r>
      <w:r w:rsidRPr="007C1D3A" w:rsidR="00001796">
        <w:rPr>
          <w:sz w:val="24"/>
          <w:szCs w:val="24"/>
        </w:rPr>
        <w:t>).</w:t>
      </w:r>
      <w:r w:rsidRPr="007260E5" w:rsidR="00140F63">
        <w:rPr>
          <w:sz w:val="24"/>
          <w:szCs w:val="24"/>
          <w:vertAlign w:val="superscript"/>
        </w:rPr>
        <w:t>1</w:t>
      </w:r>
      <w:r w:rsidRPr="007C1D3A" w:rsidR="00D70601">
        <w:rPr>
          <w:sz w:val="24"/>
          <w:szCs w:val="24"/>
        </w:rPr>
        <w:t xml:space="preserve"> </w:t>
      </w:r>
      <w:r w:rsidR="000E5411">
        <w:rPr>
          <w:sz w:val="24"/>
          <w:szCs w:val="24"/>
        </w:rPr>
        <w:t xml:space="preserve">A renewal for three years </w:t>
      </w:r>
      <w:r w:rsidR="00237912">
        <w:rPr>
          <w:sz w:val="24"/>
          <w:szCs w:val="24"/>
        </w:rPr>
        <w:t xml:space="preserve">is </w:t>
      </w:r>
      <w:r w:rsidR="000E5411">
        <w:rPr>
          <w:sz w:val="24"/>
          <w:szCs w:val="24"/>
        </w:rPr>
        <w:t>requested.</w:t>
      </w:r>
    </w:p>
    <w:p w:rsidR="00C51CAF" w:rsidRPr="007C1D3A" w:rsidP="0031490E" w14:paraId="214B75D8" w14:textId="035F9D9A">
      <w:pPr>
        <w:pStyle w:val="bodytext-gph"/>
        <w:rPr>
          <w:sz w:val="24"/>
          <w:szCs w:val="24"/>
        </w:rPr>
      </w:pPr>
      <w:r w:rsidRPr="007C1D3A">
        <w:rPr>
          <w:sz w:val="24"/>
          <w:szCs w:val="24"/>
        </w:rPr>
        <w:t xml:space="preserve">The HHS Office of Population Affairs’ </w:t>
      </w:r>
      <w:r w:rsidRPr="007C1D3A" w:rsidR="00D832DD">
        <w:rPr>
          <w:sz w:val="24"/>
          <w:szCs w:val="24"/>
        </w:rPr>
        <w:t xml:space="preserve">Title X Family Planning Program is the only </w:t>
      </w:r>
      <w:r w:rsidRPr="007C1D3A" w:rsidR="00FB37AC">
        <w:rPr>
          <w:sz w:val="24"/>
          <w:szCs w:val="24"/>
        </w:rPr>
        <w:t xml:space="preserve">federal </w:t>
      </w:r>
      <w:r w:rsidRPr="007C1D3A" w:rsidR="00D832DD">
        <w:rPr>
          <w:sz w:val="24"/>
          <w:szCs w:val="24"/>
        </w:rPr>
        <w:t>grant program dedicated solely to providing individuals with comprehensive family planning and related preventive health services.</w:t>
      </w:r>
      <w:r w:rsidR="004457EA">
        <w:rPr>
          <w:sz w:val="24"/>
          <w:szCs w:val="24"/>
        </w:rPr>
        <w:t xml:space="preserve"> </w:t>
      </w:r>
      <w:r w:rsidRPr="004457EA" w:rsidR="004457EA">
        <w:rPr>
          <w:sz w:val="24"/>
          <w:szCs w:val="24"/>
        </w:rPr>
        <w:t>Family planning services delivered by Title X recipients include a broad range of medically approved services, which includes all Food and Drug Administration (FDA)-approved contraceptive products and natural family planning methods for clients who want to prevent pregnancy and space births; pregnancy testing and counseling; assistance to achieve pregnancy; basic infertility services; sexually transmitted infection (STI) services; and other preconception health services.</w:t>
      </w:r>
      <w:r w:rsidR="004457EA">
        <w:rPr>
          <w:sz w:val="24"/>
          <w:szCs w:val="24"/>
        </w:rPr>
        <w:t xml:space="preserve"> </w:t>
      </w:r>
      <w:r w:rsidRPr="007C1D3A" w:rsidR="004457EA">
        <w:rPr>
          <w:sz w:val="24"/>
          <w:szCs w:val="24"/>
        </w:rPr>
        <w:t>The program is designed to provide access to contraceptive services, supplies, and information to all who want and need them.</w:t>
      </w:r>
      <w:r w:rsidRPr="004457EA" w:rsidR="004457EA">
        <w:rPr>
          <w:sz w:val="24"/>
          <w:szCs w:val="24"/>
        </w:rPr>
        <w:t xml:space="preserve"> Title X services are voluntary, confidential, and provided regardless of one’s ability to pay. </w:t>
      </w:r>
      <w:r w:rsidRPr="007C1D3A" w:rsidR="00D832DD">
        <w:rPr>
          <w:sz w:val="24"/>
          <w:szCs w:val="24"/>
        </w:rPr>
        <w:t>By law, priority is given to persons from low-income families (42 USC 300</w:t>
      </w:r>
      <w:r w:rsidR="00DA52D0">
        <w:rPr>
          <w:sz w:val="24"/>
          <w:szCs w:val="24"/>
        </w:rPr>
        <w:t>a-4</w:t>
      </w:r>
      <w:r w:rsidRPr="007C1D3A" w:rsidR="00D832DD">
        <w:rPr>
          <w:sz w:val="24"/>
          <w:szCs w:val="24"/>
        </w:rPr>
        <w:t>)</w:t>
      </w:r>
      <w:r w:rsidRPr="007C1D3A" w:rsidR="00D832DD">
        <w:rPr>
          <w:sz w:val="24"/>
          <w:szCs w:val="24"/>
        </w:rPr>
        <w:t>.</w:t>
      </w:r>
      <w:r w:rsidRPr="00001981" w:rsidR="00001981">
        <w:rPr>
          <w:noProof/>
          <w:sz w:val="24"/>
          <w:szCs w:val="24"/>
          <w:vertAlign w:val="superscript"/>
        </w:rPr>
        <w:t>2</w:t>
      </w:r>
    </w:p>
    <w:p w:rsidR="004D5AE8" w:rsidRPr="007C1D3A" w:rsidP="00DF5AC5" w14:paraId="66F4ACDE" w14:textId="1019BAA6">
      <w:pPr>
        <w:pStyle w:val="bodytext-gph"/>
        <w:rPr>
          <w:sz w:val="24"/>
          <w:szCs w:val="24"/>
        </w:rPr>
      </w:pPr>
      <w:r w:rsidRPr="007C1D3A">
        <w:rPr>
          <w:sz w:val="24"/>
          <w:szCs w:val="24"/>
        </w:rPr>
        <w:t xml:space="preserve">In fiscal year </w:t>
      </w:r>
      <w:r w:rsidRPr="007C1D3A" w:rsidR="00131983">
        <w:rPr>
          <w:sz w:val="24"/>
          <w:szCs w:val="24"/>
        </w:rPr>
        <w:t>202</w:t>
      </w:r>
      <w:r w:rsidRPr="007C1D3A" w:rsidR="00E0520E">
        <w:rPr>
          <w:sz w:val="24"/>
          <w:szCs w:val="24"/>
        </w:rPr>
        <w:t>3</w:t>
      </w:r>
      <w:r w:rsidRPr="007C1D3A">
        <w:rPr>
          <w:sz w:val="24"/>
          <w:szCs w:val="24"/>
        </w:rPr>
        <w:t xml:space="preserve">, the Title X program received approximately $286.5 million in federal Title X funding. </w:t>
      </w:r>
      <w:r w:rsidRPr="007C1D3A" w:rsidR="00D832DD">
        <w:rPr>
          <w:sz w:val="24"/>
          <w:szCs w:val="24"/>
        </w:rPr>
        <w:t>In accordance with the statute and regulations (42 Code of Federal Regulations [CFR] Part 59), at least 90</w:t>
      </w:r>
      <w:r w:rsidRPr="007C1D3A" w:rsidR="00D10F40">
        <w:rPr>
          <w:sz w:val="24"/>
          <w:szCs w:val="24"/>
        </w:rPr>
        <w:t>%</w:t>
      </w:r>
      <w:r w:rsidRPr="007C1D3A" w:rsidR="00D832DD">
        <w:rPr>
          <w:sz w:val="24"/>
          <w:szCs w:val="24"/>
        </w:rPr>
        <w:t xml:space="preserve"> of the appropriation is used for clinical family planning services.</w:t>
      </w:r>
      <w:r w:rsidRPr="00001981" w:rsidR="00001981">
        <w:rPr>
          <w:noProof/>
          <w:sz w:val="24"/>
          <w:szCs w:val="24"/>
          <w:vertAlign w:val="superscript"/>
        </w:rPr>
        <w:t>2</w:t>
      </w:r>
      <w:r w:rsidR="008E7712">
        <w:rPr>
          <w:noProof/>
          <w:sz w:val="24"/>
          <w:szCs w:val="24"/>
          <w:vertAlign w:val="superscript"/>
        </w:rPr>
        <w:t>,3</w:t>
      </w:r>
      <w:r w:rsidRPr="007C1D3A" w:rsidR="00C51CAF">
        <w:rPr>
          <w:sz w:val="24"/>
          <w:szCs w:val="24"/>
          <w:vertAlign w:val="superscript"/>
        </w:rPr>
        <w:t xml:space="preserve"> </w:t>
      </w:r>
      <w:r w:rsidRPr="007C1D3A">
        <w:rPr>
          <w:sz w:val="24"/>
          <w:szCs w:val="24"/>
        </w:rPr>
        <w:t xml:space="preserve">In </w:t>
      </w:r>
      <w:r w:rsidRPr="007C1D3A" w:rsidR="005E776A">
        <w:rPr>
          <w:sz w:val="24"/>
          <w:szCs w:val="24"/>
        </w:rPr>
        <w:t>2023</w:t>
      </w:r>
      <w:r w:rsidRPr="007C1D3A">
        <w:rPr>
          <w:sz w:val="24"/>
          <w:szCs w:val="24"/>
        </w:rPr>
        <w:t xml:space="preserve">, Title X-funded providers served approximately </w:t>
      </w:r>
      <w:r w:rsidRPr="007C1D3A" w:rsidR="005E776A">
        <w:rPr>
          <w:sz w:val="24"/>
          <w:szCs w:val="24"/>
        </w:rPr>
        <w:t>2.8</w:t>
      </w:r>
      <w:r w:rsidRPr="007C1D3A">
        <w:rPr>
          <w:sz w:val="24"/>
          <w:szCs w:val="24"/>
        </w:rPr>
        <w:t xml:space="preserve"> million family planning users (</w:t>
      </w:r>
      <w:r w:rsidRPr="007C1D3A">
        <w:rPr>
          <w:sz w:val="24"/>
          <w:szCs w:val="24"/>
        </w:rPr>
        <w:t>i.e.</w:t>
      </w:r>
      <w:r w:rsidRPr="007C1D3A">
        <w:rPr>
          <w:sz w:val="24"/>
          <w:szCs w:val="24"/>
        </w:rPr>
        <w:t xml:space="preserve"> clients) through </w:t>
      </w:r>
      <w:r w:rsidRPr="007C1D3A" w:rsidR="00070B4A">
        <w:rPr>
          <w:sz w:val="24"/>
          <w:szCs w:val="24"/>
        </w:rPr>
        <w:t>4.</w:t>
      </w:r>
      <w:r w:rsidRPr="007C1D3A" w:rsidR="005E776A">
        <w:rPr>
          <w:sz w:val="24"/>
          <w:szCs w:val="24"/>
        </w:rPr>
        <w:t xml:space="preserve">3 </w:t>
      </w:r>
      <w:r w:rsidRPr="007C1D3A">
        <w:rPr>
          <w:sz w:val="24"/>
          <w:szCs w:val="24"/>
        </w:rPr>
        <w:t>million family planning encounters</w:t>
      </w:r>
      <w:r w:rsidR="007260E5">
        <w:rPr>
          <w:sz w:val="24"/>
          <w:szCs w:val="24"/>
        </w:rPr>
        <w:t>.</w:t>
      </w:r>
      <w:r w:rsidR="003C0D1B">
        <w:rPr>
          <w:sz w:val="24"/>
          <w:szCs w:val="24"/>
        </w:rPr>
        <w:t xml:space="preserve"> </w:t>
      </w:r>
      <w:r w:rsidRPr="003C0D1B" w:rsidR="003C0D1B">
        <w:rPr>
          <w:sz w:val="24"/>
          <w:szCs w:val="24"/>
        </w:rPr>
        <w:t>Of the 2.8 million unique users served in 2023, most (60 percent; 1.7</w:t>
      </w:r>
      <w:r w:rsidRPr="003C0D1B" w:rsidR="003C0D1B">
        <w:t xml:space="preserve"> </w:t>
      </w:r>
      <w:r w:rsidRPr="003C0D1B" w:rsidR="003C0D1B">
        <w:rPr>
          <w:sz w:val="24"/>
          <w:szCs w:val="24"/>
        </w:rPr>
        <w:t>million)</w:t>
      </w:r>
      <w:r w:rsidRPr="007C1D3A" w:rsidR="00BB244B">
        <w:rPr>
          <w:sz w:val="24"/>
          <w:szCs w:val="24"/>
        </w:rPr>
        <w:t xml:space="preserve"> clients were under 100% of Federal Poverty Level (FPL) and received free services. </w:t>
      </w:r>
      <w:r w:rsidRPr="003C0D1B" w:rsidR="003C0D1B">
        <w:rPr>
          <w:sz w:val="24"/>
          <w:szCs w:val="24"/>
        </w:rPr>
        <w:t xml:space="preserve">An additional 23 percent of users (644,123) reported a family income between 101 to 250 percent of </w:t>
      </w:r>
      <w:r w:rsidRPr="007C1D3A" w:rsidR="00BB244B">
        <w:rPr>
          <w:sz w:val="24"/>
          <w:szCs w:val="24"/>
        </w:rPr>
        <w:t xml:space="preserve">FPL and received discounted services on a sliding fee scale. </w:t>
      </w:r>
      <w:r w:rsidRPr="007C1D3A" w:rsidR="005E776A">
        <w:rPr>
          <w:rStyle w:val="Hyperlink"/>
          <w:sz w:val="24"/>
          <w:szCs w:val="24"/>
          <w:u w:val="none"/>
          <w:vertAlign w:val="superscript"/>
        </w:rPr>
        <w:t xml:space="preserve"> </w:t>
      </w:r>
      <w:r w:rsidRPr="007C1D3A" w:rsidR="005E776A">
        <w:rPr>
          <w:sz w:val="24"/>
          <w:szCs w:val="24"/>
        </w:rPr>
        <w:t>In 2023, Title X grantees operated in all 50 states, the District of Columbia, and eight U.S territories and freely associated states.</w:t>
      </w:r>
      <w:r w:rsidRPr="00821833" w:rsidR="00CD6E2D">
        <w:rPr>
          <w:sz w:val="24"/>
          <w:szCs w:val="24"/>
          <w:vertAlign w:val="superscript"/>
        </w:rPr>
        <w:t>4</w:t>
      </w:r>
      <w:r w:rsidRPr="007C1D3A" w:rsidR="005E776A">
        <w:rPr>
          <w:sz w:val="24"/>
          <w:szCs w:val="24"/>
        </w:rPr>
        <w:t xml:space="preserve">  </w:t>
      </w:r>
      <w:r w:rsidRPr="007C1D3A" w:rsidR="00D832DD">
        <w:rPr>
          <w:rStyle w:val="Hyperlink"/>
          <w:sz w:val="24"/>
          <w:szCs w:val="24"/>
          <w:u w:val="none"/>
          <w:vertAlign w:val="superscript"/>
        </w:rPr>
        <w:t xml:space="preserve"> </w:t>
      </w:r>
    </w:p>
    <w:p w:rsidR="00D832DD" w:rsidRPr="007C1D3A" w:rsidP="00D832DD" w14:paraId="5398B2D7" w14:textId="0217E3F7">
      <w:pPr>
        <w:pStyle w:val="bodytext-gph"/>
        <w:rPr>
          <w:b/>
          <w:sz w:val="24"/>
          <w:szCs w:val="24"/>
          <w:u w:val="single"/>
        </w:rPr>
      </w:pPr>
      <w:r w:rsidRPr="007C1D3A">
        <w:rPr>
          <w:b/>
          <w:bCs/>
          <w:sz w:val="24"/>
          <w:szCs w:val="24"/>
        </w:rPr>
        <w:t>Attachment A</w:t>
      </w:r>
      <w:r w:rsidRPr="007C1D3A">
        <w:rPr>
          <w:sz w:val="24"/>
          <w:szCs w:val="24"/>
        </w:rPr>
        <w:t xml:space="preserve"> to this statement contains a copy of the authorizing Title X program regulations that necessitate the collection of the information</w:t>
      </w:r>
      <w:r w:rsidRPr="007C1D3A" w:rsidR="00641205">
        <w:rPr>
          <w:sz w:val="24"/>
          <w:szCs w:val="24"/>
        </w:rPr>
        <w:t>;</w:t>
      </w:r>
      <w:r w:rsidRPr="007C1D3A">
        <w:rPr>
          <w:sz w:val="24"/>
          <w:szCs w:val="24"/>
        </w:rPr>
        <w:t xml:space="preserve"> </w:t>
      </w:r>
      <w:r w:rsidRPr="007C1D3A">
        <w:rPr>
          <w:b/>
          <w:bCs/>
          <w:sz w:val="24"/>
          <w:szCs w:val="24"/>
        </w:rPr>
        <w:t>Attachment B</w:t>
      </w:r>
      <w:r w:rsidRPr="007C1D3A">
        <w:rPr>
          <w:sz w:val="24"/>
          <w:szCs w:val="24"/>
        </w:rPr>
        <w:t xml:space="preserve"> is a copy of the current version of the </w:t>
      </w:r>
      <w:r w:rsidR="007C1D3A">
        <w:rPr>
          <w:i/>
          <w:sz w:val="24"/>
          <w:szCs w:val="24"/>
        </w:rPr>
        <w:t>FPAR 2.0 Data Elements with Valid Values</w:t>
      </w:r>
      <w:r w:rsidR="00650AAC">
        <w:rPr>
          <w:i/>
          <w:sz w:val="24"/>
          <w:szCs w:val="24"/>
        </w:rPr>
        <w:t xml:space="preserve"> (2024 Valid Values) – Jan. 2025</w:t>
      </w:r>
      <w:r w:rsidR="009A2522">
        <w:rPr>
          <w:i/>
          <w:sz w:val="24"/>
          <w:szCs w:val="24"/>
        </w:rPr>
        <w:t>.</w:t>
      </w:r>
      <w:r w:rsidR="0048670F">
        <w:rPr>
          <w:i/>
          <w:sz w:val="24"/>
          <w:szCs w:val="24"/>
        </w:rPr>
        <w:t xml:space="preserve"> </w:t>
      </w:r>
      <w:r w:rsidRPr="00222871" w:rsidR="009A2522">
        <w:rPr>
          <w:b/>
          <w:bCs/>
          <w:iCs/>
          <w:sz w:val="24"/>
          <w:szCs w:val="24"/>
        </w:rPr>
        <w:t>A</w:t>
      </w:r>
      <w:r w:rsidRPr="007C1D3A">
        <w:rPr>
          <w:b/>
          <w:bCs/>
          <w:sz w:val="24"/>
          <w:szCs w:val="24"/>
        </w:rPr>
        <w:t>ttachment C</w:t>
      </w:r>
      <w:r w:rsidRPr="007C1D3A">
        <w:rPr>
          <w:sz w:val="24"/>
          <w:szCs w:val="24"/>
        </w:rPr>
        <w:t xml:space="preserve"> is a copy of the </w:t>
      </w:r>
      <w:r w:rsidRPr="007C1D3A" w:rsidR="007F095B">
        <w:rPr>
          <w:i/>
          <w:sz w:val="24"/>
          <w:szCs w:val="24"/>
        </w:rPr>
        <w:t>60-Day Federal Register Notic</w:t>
      </w:r>
      <w:r w:rsidRPr="007C1D3A" w:rsidR="00641205">
        <w:rPr>
          <w:i/>
          <w:sz w:val="24"/>
          <w:szCs w:val="24"/>
        </w:rPr>
        <w:t>e</w:t>
      </w:r>
      <w:r w:rsidR="00650AAC">
        <w:rPr>
          <w:i/>
          <w:sz w:val="24"/>
          <w:szCs w:val="24"/>
        </w:rPr>
        <w:t xml:space="preserve">. </w:t>
      </w:r>
    </w:p>
    <w:p w:rsidR="00D832DD" w:rsidRPr="00E56AA3" w:rsidP="00D832DD" w14:paraId="2411B50E" w14:textId="585E7D66">
      <w:pPr>
        <w:pStyle w:val="Heading3"/>
        <w:keepNext/>
        <w:tabs>
          <w:tab w:val="num" w:pos="360"/>
          <w:tab w:val="clear" w:pos="1252"/>
        </w:tabs>
        <w:ind w:left="360"/>
        <w:rPr>
          <w:rStyle w:val="Heading3OMB"/>
        </w:rPr>
      </w:pPr>
      <w:bookmarkStart w:id="3" w:name="_Toc16533858"/>
      <w:bookmarkStart w:id="4" w:name="_Toc179880101"/>
      <w:r w:rsidRPr="00E56AA3">
        <w:rPr>
          <w:rStyle w:val="Heading3OMB"/>
        </w:rPr>
        <w:t>Circumstances Making the Collection of Information Necessary</w:t>
      </w:r>
      <w:bookmarkEnd w:id="3"/>
      <w:bookmarkEnd w:id="4"/>
    </w:p>
    <w:p w:rsidR="00D832DD" w:rsidRPr="00E56AA3" w:rsidP="009021C8" w14:paraId="565B907C" w14:textId="4F79F50C">
      <w:pPr>
        <w:pStyle w:val="bodytext-gph"/>
        <w:rPr>
          <w:sz w:val="24"/>
          <w:szCs w:val="24"/>
        </w:rPr>
      </w:pPr>
      <w:bookmarkStart w:id="5" w:name="_Hlk179459078"/>
      <w:r w:rsidRPr="00E56AA3">
        <w:rPr>
          <w:sz w:val="24"/>
          <w:szCs w:val="24"/>
        </w:rPr>
        <w:t xml:space="preserve">Annual submission of the FPAR is required of all Title X </w:t>
      </w:r>
      <w:r w:rsidRPr="00E56AA3" w:rsidR="00FA1BCD">
        <w:rPr>
          <w:sz w:val="24"/>
          <w:szCs w:val="24"/>
        </w:rPr>
        <w:t xml:space="preserve">Family Planning Services </w:t>
      </w:r>
      <w:r w:rsidRPr="00E56AA3">
        <w:rPr>
          <w:sz w:val="24"/>
          <w:szCs w:val="24"/>
        </w:rPr>
        <w:t>grantees for purposes of monitoring</w:t>
      </w:r>
      <w:r w:rsidR="000B17C7">
        <w:rPr>
          <w:sz w:val="24"/>
          <w:szCs w:val="24"/>
        </w:rPr>
        <w:t xml:space="preserve">, </w:t>
      </w:r>
      <w:r w:rsidR="000B17C7">
        <w:rPr>
          <w:sz w:val="24"/>
          <w:szCs w:val="24"/>
        </w:rPr>
        <w:t>improving</w:t>
      </w:r>
      <w:r w:rsidRPr="00E56AA3">
        <w:rPr>
          <w:sz w:val="24"/>
          <w:szCs w:val="24"/>
        </w:rPr>
        <w:t xml:space="preserve"> and reporting program performance (45 CFR Part 74 and 45 CFR Part 92).</w:t>
      </w:r>
      <w:r w:rsidR="00770A34">
        <w:rPr>
          <w:noProof/>
          <w:sz w:val="24"/>
          <w:szCs w:val="24"/>
          <w:vertAlign w:val="superscript"/>
        </w:rPr>
        <w:t>5-</w:t>
      </w:r>
      <w:r w:rsidR="00A619E7">
        <w:rPr>
          <w:noProof/>
          <w:sz w:val="24"/>
          <w:szCs w:val="24"/>
          <w:vertAlign w:val="superscript"/>
        </w:rPr>
        <w:t>8</w:t>
      </w:r>
      <w:r w:rsidRPr="00E56AA3" w:rsidR="00D56AE4">
        <w:rPr>
          <w:sz w:val="24"/>
          <w:szCs w:val="24"/>
        </w:rPr>
        <w:t xml:space="preserve"> </w:t>
      </w:r>
      <w:bookmarkEnd w:id="5"/>
      <w:r w:rsidR="005E776A">
        <w:rPr>
          <w:sz w:val="24"/>
          <w:szCs w:val="24"/>
        </w:rPr>
        <w:t xml:space="preserve">In 2022, </w:t>
      </w:r>
      <w:r w:rsidRPr="00E56AA3" w:rsidR="00B47204">
        <w:rPr>
          <w:sz w:val="24"/>
          <w:szCs w:val="24"/>
        </w:rPr>
        <w:t xml:space="preserve">OPA </w:t>
      </w:r>
      <w:r w:rsidR="005E776A">
        <w:rPr>
          <w:sz w:val="24"/>
          <w:szCs w:val="24"/>
        </w:rPr>
        <w:t xml:space="preserve">began </w:t>
      </w:r>
      <w:r w:rsidR="00F2024F">
        <w:rPr>
          <w:sz w:val="24"/>
          <w:szCs w:val="24"/>
        </w:rPr>
        <w:t>transitioning</w:t>
      </w:r>
      <w:r w:rsidRPr="00E56AA3" w:rsidR="00F2024F">
        <w:rPr>
          <w:sz w:val="24"/>
          <w:szCs w:val="24"/>
        </w:rPr>
        <w:t xml:space="preserve"> to</w:t>
      </w:r>
      <w:r w:rsidRPr="00E56AA3" w:rsidR="00B47204">
        <w:rPr>
          <w:sz w:val="24"/>
          <w:szCs w:val="24"/>
        </w:rPr>
        <w:t xml:space="preserve"> a new data collection and reporting system for the Title X program, called FPAR 2.0. </w:t>
      </w:r>
      <w:r w:rsidRPr="00B47204" w:rsidR="00B47204">
        <w:rPr>
          <w:sz w:val="24"/>
          <w:szCs w:val="24"/>
        </w:rPr>
        <w:t>The FPAR 2.0 data collection buil</w:t>
      </w:r>
      <w:r w:rsidR="000B17C7">
        <w:rPr>
          <w:sz w:val="24"/>
          <w:szCs w:val="24"/>
        </w:rPr>
        <w:t>t</w:t>
      </w:r>
      <w:r w:rsidRPr="00B47204" w:rsidR="00B47204">
        <w:rPr>
          <w:sz w:val="24"/>
          <w:szCs w:val="24"/>
        </w:rPr>
        <w:t xml:space="preserve"> on data already reported in FPAR 1.0 and add</w:t>
      </w:r>
      <w:r w:rsidR="000B17C7">
        <w:rPr>
          <w:sz w:val="24"/>
          <w:szCs w:val="24"/>
        </w:rPr>
        <w:t>ed</w:t>
      </w:r>
      <w:r w:rsidRPr="00B47204" w:rsidR="00B47204">
        <w:rPr>
          <w:sz w:val="24"/>
          <w:szCs w:val="24"/>
        </w:rPr>
        <w:t xml:space="preserve"> additional detail that allow</w:t>
      </w:r>
      <w:r w:rsidR="000B17C7">
        <w:rPr>
          <w:sz w:val="24"/>
          <w:szCs w:val="24"/>
        </w:rPr>
        <w:t>s</w:t>
      </w:r>
      <w:r w:rsidRPr="00B47204" w:rsidR="00B47204">
        <w:rPr>
          <w:sz w:val="24"/>
          <w:szCs w:val="24"/>
        </w:rPr>
        <w:t xml:space="preserve"> OPA to </w:t>
      </w:r>
      <w:r w:rsidRPr="00B47204" w:rsidR="00B47204">
        <w:rPr>
          <w:sz w:val="24"/>
          <w:szCs w:val="24"/>
        </w:rPr>
        <w:t xml:space="preserve">report to HHS leadership and Congress more completely on the services provided by Title X grantees in their </w:t>
      </w:r>
      <w:r w:rsidR="00F2024F">
        <w:rPr>
          <w:sz w:val="24"/>
          <w:szCs w:val="24"/>
        </w:rPr>
        <w:t xml:space="preserve">communities. </w:t>
      </w:r>
      <w:r w:rsidRPr="00B47204" w:rsidR="00B47204">
        <w:rPr>
          <w:sz w:val="24"/>
          <w:szCs w:val="24"/>
        </w:rPr>
        <w:t xml:space="preserve">Several of the data elements are related to clinical quality measures </w:t>
      </w:r>
      <w:r w:rsidR="005E776A">
        <w:rPr>
          <w:sz w:val="24"/>
          <w:szCs w:val="24"/>
        </w:rPr>
        <w:t>developed by OPA and used in CMS mandatory reporting</w:t>
      </w:r>
      <w:r w:rsidRPr="00B47204" w:rsidR="00B47204">
        <w:rPr>
          <w:sz w:val="24"/>
          <w:szCs w:val="24"/>
        </w:rPr>
        <w:t xml:space="preserve"> </w:t>
      </w:r>
      <w:r w:rsidR="000B17C7">
        <w:rPr>
          <w:sz w:val="24"/>
          <w:szCs w:val="24"/>
        </w:rPr>
        <w:t>and</w:t>
      </w:r>
      <w:r w:rsidR="00B47204">
        <w:rPr>
          <w:sz w:val="24"/>
          <w:szCs w:val="24"/>
        </w:rPr>
        <w:t xml:space="preserve"> OPA developed </w:t>
      </w:r>
      <w:r w:rsidRPr="00B47204" w:rsidR="00B47204">
        <w:rPr>
          <w:sz w:val="24"/>
          <w:szCs w:val="24"/>
        </w:rPr>
        <w:t>Quality Family Planning guidelines (first released in 2014</w:t>
      </w:r>
      <w:r w:rsidR="005E776A">
        <w:rPr>
          <w:sz w:val="24"/>
          <w:szCs w:val="24"/>
        </w:rPr>
        <w:t xml:space="preserve"> and updated </w:t>
      </w:r>
      <w:r w:rsidR="005228FA">
        <w:rPr>
          <w:sz w:val="24"/>
          <w:szCs w:val="24"/>
        </w:rPr>
        <w:t xml:space="preserve">with a major revision </w:t>
      </w:r>
      <w:r w:rsidR="005E776A">
        <w:rPr>
          <w:sz w:val="24"/>
          <w:szCs w:val="24"/>
        </w:rPr>
        <w:t>in 2024</w:t>
      </w:r>
      <w:r w:rsidR="0062258D">
        <w:rPr>
          <w:sz w:val="24"/>
          <w:szCs w:val="24"/>
        </w:rPr>
        <w:t>).</w:t>
      </w:r>
      <w:r w:rsidR="00FB6C44">
        <w:rPr>
          <w:sz w:val="24"/>
          <w:szCs w:val="24"/>
          <w:vertAlign w:val="superscript"/>
        </w:rPr>
        <w:t>9,10</w:t>
      </w:r>
      <w:r w:rsidR="00B47204">
        <w:rPr>
          <w:sz w:val="24"/>
          <w:szCs w:val="24"/>
        </w:rPr>
        <w:t xml:space="preserve"> </w:t>
      </w:r>
      <w:r w:rsidRPr="00E56AA3" w:rsidR="009021C8">
        <w:rPr>
          <w:sz w:val="24"/>
          <w:szCs w:val="24"/>
        </w:rPr>
        <w:t>Under FPAR 2.0, grantees report fine-grained information on individual encounters between a client and a Title X provider. This detailed information enable</w:t>
      </w:r>
      <w:r w:rsidR="000B17C7">
        <w:rPr>
          <w:sz w:val="24"/>
          <w:szCs w:val="24"/>
        </w:rPr>
        <w:t>s</w:t>
      </w:r>
      <w:r w:rsidRPr="00E56AA3" w:rsidR="009021C8">
        <w:rPr>
          <w:sz w:val="24"/>
          <w:szCs w:val="24"/>
        </w:rPr>
        <w:t xml:space="preserve"> OPA to </w:t>
      </w:r>
      <w:r w:rsidR="000B17C7">
        <w:rPr>
          <w:sz w:val="24"/>
          <w:szCs w:val="24"/>
        </w:rPr>
        <w:t xml:space="preserve">accurately </w:t>
      </w:r>
      <w:r w:rsidRPr="00E56AA3" w:rsidR="009021C8">
        <w:rPr>
          <w:sz w:val="24"/>
          <w:szCs w:val="24"/>
        </w:rPr>
        <w:t xml:space="preserve">monitor grantees’ performance, service provision, and compliance with legislative mandates. </w:t>
      </w:r>
    </w:p>
    <w:p w:rsidR="00D832DD" w:rsidRPr="00E56AA3" w:rsidP="00D832DD" w14:paraId="11C2B9F2" w14:textId="44A836F9">
      <w:pPr>
        <w:pStyle w:val="Heading3"/>
        <w:keepNext/>
        <w:tabs>
          <w:tab w:val="num" w:pos="360"/>
          <w:tab w:val="clear" w:pos="1252"/>
        </w:tabs>
        <w:ind w:left="360"/>
        <w:rPr>
          <w:rStyle w:val="Heading3OMB"/>
        </w:rPr>
      </w:pPr>
      <w:bookmarkStart w:id="6" w:name="_Toc16533859"/>
      <w:bookmarkStart w:id="7" w:name="_Toc179880102"/>
      <w:r w:rsidRPr="00E56AA3">
        <w:rPr>
          <w:rStyle w:val="Heading3OMB"/>
        </w:rPr>
        <w:t>Purpose and Use of Information Collection</w:t>
      </w:r>
      <w:bookmarkEnd w:id="6"/>
      <w:bookmarkEnd w:id="7"/>
    </w:p>
    <w:p w:rsidR="00F2024F" w:rsidP="008A0D77" w14:paraId="610FD0AC" w14:textId="1E7AE430">
      <w:pPr>
        <w:pStyle w:val="bodytext-gph"/>
        <w:rPr>
          <w:sz w:val="24"/>
          <w:szCs w:val="24"/>
        </w:rPr>
      </w:pPr>
      <w:bookmarkStart w:id="8" w:name="_Hlk179460446"/>
      <w:r w:rsidRPr="00E56AA3">
        <w:rPr>
          <w:sz w:val="24"/>
          <w:szCs w:val="24"/>
        </w:rPr>
        <w:t xml:space="preserve">The </w:t>
      </w:r>
      <w:r w:rsidRPr="00E56AA3" w:rsidR="00F04057">
        <w:rPr>
          <w:sz w:val="24"/>
          <w:szCs w:val="24"/>
        </w:rPr>
        <w:t xml:space="preserve">FPAR </w:t>
      </w:r>
      <w:r w:rsidRPr="00E56AA3">
        <w:rPr>
          <w:sz w:val="24"/>
          <w:szCs w:val="24"/>
        </w:rPr>
        <w:t>is</w:t>
      </w:r>
      <w:r w:rsidRPr="00E56AA3" w:rsidR="00D832DD">
        <w:rPr>
          <w:sz w:val="24"/>
          <w:szCs w:val="24"/>
        </w:rPr>
        <w:t xml:space="preserve"> the only source of annual, uniform reporting by all grantees (“Title X services grantees”) funded under Section </w:t>
      </w:r>
      <w:r w:rsidR="005E776A">
        <w:rPr>
          <w:sz w:val="24"/>
          <w:szCs w:val="24"/>
        </w:rPr>
        <w:t>300</w:t>
      </w:r>
      <w:r w:rsidRPr="00E56AA3" w:rsidR="005E776A">
        <w:rPr>
          <w:sz w:val="24"/>
          <w:szCs w:val="24"/>
        </w:rPr>
        <w:t xml:space="preserve"> </w:t>
      </w:r>
      <w:r w:rsidRPr="00E56AA3" w:rsidR="00D832DD">
        <w:rPr>
          <w:sz w:val="24"/>
          <w:szCs w:val="24"/>
        </w:rPr>
        <w:t>of the Public Health Service Act.</w:t>
      </w:r>
      <w:r w:rsidRPr="003A41B8" w:rsidR="00140F63">
        <w:rPr>
          <w:sz w:val="24"/>
          <w:szCs w:val="24"/>
          <w:vertAlign w:val="superscript"/>
        </w:rPr>
        <w:t>1</w:t>
      </w:r>
      <w:r w:rsidRPr="00E56AA3" w:rsidR="00140F63">
        <w:rPr>
          <w:sz w:val="24"/>
          <w:szCs w:val="24"/>
        </w:rPr>
        <w:t xml:space="preserve"> </w:t>
      </w:r>
      <w:r w:rsidR="007A058A">
        <w:rPr>
          <w:sz w:val="24"/>
          <w:szCs w:val="24"/>
        </w:rPr>
        <w:t xml:space="preserve">The </w:t>
      </w:r>
      <w:r w:rsidRPr="00E56AA3" w:rsidR="00D832DD">
        <w:rPr>
          <w:sz w:val="24"/>
          <w:szCs w:val="24"/>
        </w:rPr>
        <w:t xml:space="preserve">FPAR </w:t>
      </w:r>
      <w:r w:rsidRPr="00E56AA3" w:rsidR="00E865C5">
        <w:rPr>
          <w:sz w:val="24"/>
          <w:szCs w:val="24"/>
        </w:rPr>
        <w:t>2.0</w:t>
      </w:r>
      <w:r w:rsidR="007A058A">
        <w:rPr>
          <w:sz w:val="24"/>
          <w:szCs w:val="24"/>
        </w:rPr>
        <w:t xml:space="preserve"> system</w:t>
      </w:r>
      <w:r w:rsidRPr="00E56AA3" w:rsidR="00E865C5">
        <w:rPr>
          <w:sz w:val="24"/>
          <w:szCs w:val="24"/>
        </w:rPr>
        <w:t xml:space="preserve"> </w:t>
      </w:r>
      <w:r>
        <w:rPr>
          <w:sz w:val="24"/>
          <w:szCs w:val="24"/>
        </w:rPr>
        <w:t>provides</w:t>
      </w:r>
      <w:r w:rsidRPr="00E56AA3" w:rsidR="00D832DD">
        <w:rPr>
          <w:sz w:val="24"/>
          <w:szCs w:val="24"/>
        </w:rPr>
        <w:t xml:space="preserve"> consistent, national-level data on the Title X Family Planning program and its users</w:t>
      </w:r>
      <w:r w:rsidRPr="00E56AA3" w:rsidR="003E283D">
        <w:rPr>
          <w:sz w:val="24"/>
          <w:szCs w:val="24"/>
        </w:rPr>
        <w:t>.</w:t>
      </w:r>
      <w:r w:rsidRPr="00E56AA3" w:rsidR="00D832DD">
        <w:rPr>
          <w:sz w:val="24"/>
          <w:szCs w:val="24"/>
        </w:rPr>
        <w:t xml:space="preserve"> OPA assemble</w:t>
      </w:r>
      <w:r w:rsidR="000B17C7">
        <w:rPr>
          <w:sz w:val="24"/>
          <w:szCs w:val="24"/>
        </w:rPr>
        <w:t>s</w:t>
      </w:r>
      <w:r w:rsidRPr="00E56AA3" w:rsidR="00D832DD">
        <w:rPr>
          <w:sz w:val="24"/>
          <w:szCs w:val="24"/>
        </w:rPr>
        <w:t xml:space="preserve"> </w:t>
      </w:r>
      <w:r w:rsidRPr="00E56AA3" w:rsidR="003E283D">
        <w:rPr>
          <w:sz w:val="24"/>
          <w:szCs w:val="24"/>
        </w:rPr>
        <w:t>and analyze</w:t>
      </w:r>
      <w:r w:rsidR="000B17C7">
        <w:rPr>
          <w:sz w:val="24"/>
          <w:szCs w:val="24"/>
        </w:rPr>
        <w:t>s</w:t>
      </w:r>
      <w:r w:rsidRPr="00E56AA3" w:rsidR="003E283D">
        <w:rPr>
          <w:sz w:val="24"/>
          <w:szCs w:val="24"/>
        </w:rPr>
        <w:t xml:space="preserve"> </w:t>
      </w:r>
      <w:r w:rsidRPr="00E56AA3" w:rsidR="00D832DD">
        <w:rPr>
          <w:sz w:val="24"/>
          <w:szCs w:val="24"/>
        </w:rPr>
        <w:t xml:space="preserve">comparable and relevant program data to answer questions about the characteristics of the population served, </w:t>
      </w:r>
      <w:r w:rsidRPr="00E56AA3" w:rsidR="003E283D">
        <w:rPr>
          <w:sz w:val="24"/>
          <w:szCs w:val="24"/>
        </w:rPr>
        <w:t>the provision and use of services, and the</w:t>
      </w:r>
      <w:r w:rsidRPr="00E56AA3" w:rsidR="00D832DD">
        <w:rPr>
          <w:sz w:val="24"/>
          <w:szCs w:val="24"/>
        </w:rPr>
        <w:t xml:space="preserve"> impact of the program on </w:t>
      </w:r>
      <w:r w:rsidRPr="00E56AA3" w:rsidR="003E283D">
        <w:rPr>
          <w:sz w:val="24"/>
          <w:szCs w:val="24"/>
        </w:rPr>
        <w:t>certain family planning</w:t>
      </w:r>
      <w:r w:rsidRPr="00E56AA3" w:rsidR="00D832DD">
        <w:rPr>
          <w:sz w:val="24"/>
          <w:szCs w:val="24"/>
        </w:rPr>
        <w:t xml:space="preserve"> outcomes. FPAR</w:t>
      </w:r>
      <w:r w:rsidRPr="00E56AA3" w:rsidR="00E865C5">
        <w:rPr>
          <w:sz w:val="24"/>
          <w:szCs w:val="24"/>
        </w:rPr>
        <w:t xml:space="preserve"> 2.0</w:t>
      </w:r>
      <w:r w:rsidRPr="00E56AA3" w:rsidR="00043B68">
        <w:rPr>
          <w:sz w:val="24"/>
          <w:szCs w:val="24"/>
        </w:rPr>
        <w:t xml:space="preserve"> collect</w:t>
      </w:r>
      <w:r w:rsidR="000B17C7">
        <w:rPr>
          <w:sz w:val="24"/>
          <w:szCs w:val="24"/>
        </w:rPr>
        <w:t>s</w:t>
      </w:r>
      <w:r w:rsidRPr="00E56AA3" w:rsidR="00043B68">
        <w:rPr>
          <w:sz w:val="24"/>
          <w:szCs w:val="24"/>
        </w:rPr>
        <w:t xml:space="preserve"> a standard set of</w:t>
      </w:r>
      <w:r w:rsidRPr="00E56AA3" w:rsidR="00D832DD">
        <w:rPr>
          <w:sz w:val="24"/>
          <w:szCs w:val="24"/>
        </w:rPr>
        <w:t xml:space="preserve"> data elements</w:t>
      </w:r>
      <w:r w:rsidRPr="00E56AA3" w:rsidR="00043B68">
        <w:rPr>
          <w:sz w:val="24"/>
          <w:szCs w:val="24"/>
        </w:rPr>
        <w:t xml:space="preserve"> pertaining to users and encounters,</w:t>
      </w:r>
      <w:r w:rsidRPr="00E56AA3" w:rsidR="00D832DD">
        <w:rPr>
          <w:sz w:val="24"/>
          <w:szCs w:val="24"/>
        </w:rPr>
        <w:t xml:space="preserve"> </w:t>
      </w:r>
      <w:r w:rsidRPr="00E56AA3" w:rsidR="00043B68">
        <w:rPr>
          <w:sz w:val="24"/>
          <w:szCs w:val="24"/>
        </w:rPr>
        <w:t>such as</w:t>
      </w:r>
      <w:r w:rsidRPr="00E56AA3" w:rsidR="008A0D77">
        <w:rPr>
          <w:sz w:val="24"/>
          <w:szCs w:val="24"/>
        </w:rPr>
        <w:t xml:space="preserve"> </w:t>
      </w:r>
      <w:r w:rsidRPr="00E56AA3" w:rsidR="00043B68">
        <w:rPr>
          <w:sz w:val="24"/>
          <w:szCs w:val="24"/>
        </w:rPr>
        <w:t>user</w:t>
      </w:r>
      <w:r w:rsidRPr="00E56AA3" w:rsidR="008A0D77">
        <w:rPr>
          <w:sz w:val="24"/>
          <w:szCs w:val="24"/>
        </w:rPr>
        <w:t xml:space="preserve"> </w:t>
      </w:r>
      <w:r w:rsidRPr="00E56AA3" w:rsidR="00457C99">
        <w:rPr>
          <w:sz w:val="24"/>
          <w:szCs w:val="24"/>
        </w:rPr>
        <w:t xml:space="preserve">demographics, service delivery, </w:t>
      </w:r>
      <w:r w:rsidRPr="00E56AA3" w:rsidR="008A0D77">
        <w:rPr>
          <w:sz w:val="24"/>
          <w:szCs w:val="24"/>
        </w:rPr>
        <w:t>family planning intentions and methods</w:t>
      </w:r>
      <w:r w:rsidR="0056019D">
        <w:rPr>
          <w:sz w:val="24"/>
          <w:szCs w:val="24"/>
        </w:rPr>
        <w:t>.</w:t>
      </w:r>
      <w:r>
        <w:rPr>
          <w:sz w:val="24"/>
          <w:szCs w:val="24"/>
        </w:rPr>
        <w:t xml:space="preserve"> </w:t>
      </w:r>
    </w:p>
    <w:bookmarkEnd w:id="8"/>
    <w:p w:rsidR="007A7AF4" w:rsidRPr="00E56AA3" w:rsidP="008A0D77" w14:paraId="2F914EA1" w14:textId="5CABF918">
      <w:pPr>
        <w:pStyle w:val="bodytext-gph"/>
        <w:rPr>
          <w:sz w:val="24"/>
          <w:szCs w:val="24"/>
        </w:rPr>
      </w:pPr>
      <w:r w:rsidRPr="00E56AA3">
        <w:rPr>
          <w:sz w:val="24"/>
          <w:szCs w:val="24"/>
        </w:rPr>
        <w:t>Encounter level data collected through</w:t>
      </w:r>
      <w:r w:rsidRPr="00E56AA3" w:rsidR="00A14B3F">
        <w:rPr>
          <w:sz w:val="24"/>
          <w:szCs w:val="24"/>
        </w:rPr>
        <w:t xml:space="preserve"> </w:t>
      </w:r>
      <w:r w:rsidRPr="00E56AA3" w:rsidR="00043B68">
        <w:rPr>
          <w:sz w:val="24"/>
          <w:szCs w:val="24"/>
        </w:rPr>
        <w:t xml:space="preserve">FPAR 2.0 </w:t>
      </w:r>
      <w:r w:rsidRPr="00E56AA3">
        <w:rPr>
          <w:sz w:val="24"/>
          <w:szCs w:val="24"/>
        </w:rPr>
        <w:t>improve</w:t>
      </w:r>
      <w:r w:rsidR="000B17C7">
        <w:rPr>
          <w:sz w:val="24"/>
          <w:szCs w:val="24"/>
        </w:rPr>
        <w:t>s</w:t>
      </w:r>
      <w:r w:rsidRPr="00E56AA3">
        <w:rPr>
          <w:sz w:val="24"/>
          <w:szCs w:val="24"/>
        </w:rPr>
        <w:t xml:space="preserve"> the quality of data reported to OPA and reduce</w:t>
      </w:r>
      <w:r w:rsidR="000B17C7">
        <w:rPr>
          <w:sz w:val="24"/>
          <w:szCs w:val="24"/>
        </w:rPr>
        <w:t>s</w:t>
      </w:r>
      <w:r w:rsidRPr="00E56AA3">
        <w:rPr>
          <w:sz w:val="24"/>
          <w:szCs w:val="24"/>
        </w:rPr>
        <w:t xml:space="preserve"> reporting burden</w:t>
      </w:r>
      <w:r w:rsidRPr="00E56AA3" w:rsidR="00440484">
        <w:rPr>
          <w:sz w:val="24"/>
          <w:szCs w:val="24"/>
        </w:rPr>
        <w:t xml:space="preserve"> </w:t>
      </w:r>
      <w:r w:rsidR="00401A9E">
        <w:rPr>
          <w:sz w:val="24"/>
          <w:szCs w:val="24"/>
        </w:rPr>
        <w:t>for</w:t>
      </w:r>
      <w:r w:rsidRPr="00E56AA3" w:rsidR="00440484">
        <w:rPr>
          <w:sz w:val="24"/>
          <w:szCs w:val="24"/>
        </w:rPr>
        <w:t xml:space="preserve"> grantees</w:t>
      </w:r>
      <w:r w:rsidRPr="00E56AA3">
        <w:rPr>
          <w:sz w:val="24"/>
          <w:szCs w:val="24"/>
        </w:rPr>
        <w:t xml:space="preserve">. </w:t>
      </w:r>
      <w:r w:rsidRPr="007A058A">
        <w:rPr>
          <w:sz w:val="24"/>
          <w:szCs w:val="24"/>
        </w:rPr>
        <w:t>The system</w:t>
      </w:r>
      <w:r w:rsidRPr="00E56AA3">
        <w:rPr>
          <w:sz w:val="24"/>
          <w:szCs w:val="24"/>
        </w:rPr>
        <w:t xml:space="preserve"> automate</w:t>
      </w:r>
      <w:r w:rsidR="00F2024F">
        <w:rPr>
          <w:sz w:val="24"/>
          <w:szCs w:val="24"/>
        </w:rPr>
        <w:t>s</w:t>
      </w:r>
      <w:r w:rsidRPr="00E56AA3">
        <w:rPr>
          <w:sz w:val="24"/>
          <w:szCs w:val="24"/>
        </w:rPr>
        <w:t xml:space="preserve"> procedures </w:t>
      </w:r>
      <w:r w:rsidR="000B17C7">
        <w:rPr>
          <w:sz w:val="24"/>
          <w:szCs w:val="24"/>
        </w:rPr>
        <w:t>previously</w:t>
      </w:r>
      <w:r w:rsidRPr="00E56AA3" w:rsidR="000B17C7">
        <w:rPr>
          <w:sz w:val="24"/>
          <w:szCs w:val="24"/>
        </w:rPr>
        <w:t xml:space="preserve"> </w:t>
      </w:r>
      <w:r w:rsidRPr="00E56AA3">
        <w:rPr>
          <w:sz w:val="24"/>
          <w:szCs w:val="24"/>
        </w:rPr>
        <w:t>done manually, such as tabulating and checking basic counts of clients served and types of services provided. Additionally, the more granular data collected with FPAR 2.0 contribute</w:t>
      </w:r>
      <w:r w:rsidR="000B17C7">
        <w:rPr>
          <w:sz w:val="24"/>
          <w:szCs w:val="24"/>
        </w:rPr>
        <w:t>s</w:t>
      </w:r>
      <w:r w:rsidRPr="00E56AA3">
        <w:rPr>
          <w:sz w:val="24"/>
          <w:szCs w:val="24"/>
        </w:rPr>
        <w:t xml:space="preserve"> to a learning healthcare environment by </w:t>
      </w:r>
      <w:r w:rsidRPr="00E56AA3" w:rsidR="00B069C6">
        <w:rPr>
          <w:sz w:val="24"/>
          <w:szCs w:val="24"/>
        </w:rPr>
        <w:t>greatly expand</w:t>
      </w:r>
      <w:r w:rsidRPr="00E56AA3">
        <w:rPr>
          <w:sz w:val="24"/>
          <w:szCs w:val="24"/>
        </w:rPr>
        <w:t>ing</w:t>
      </w:r>
      <w:r w:rsidRPr="00E56AA3" w:rsidR="00B069C6">
        <w:rPr>
          <w:sz w:val="24"/>
          <w:szCs w:val="24"/>
        </w:rPr>
        <w:t xml:space="preserve"> the options for data analysis and reporting—for example, through interactive data dashboards and visualizations, customized tabulations and reports, and application of analytics and statistical analyses on the encounter-level data files. </w:t>
      </w:r>
    </w:p>
    <w:p w:rsidR="00D832DD" w:rsidRPr="00E56AA3" w:rsidP="008A0D77" w14:paraId="766424AB" w14:textId="598747EE">
      <w:pPr>
        <w:pStyle w:val="bodytext-gph"/>
        <w:rPr>
          <w:sz w:val="24"/>
          <w:szCs w:val="24"/>
        </w:rPr>
      </w:pPr>
      <w:r w:rsidRPr="00E56AA3">
        <w:rPr>
          <w:sz w:val="24"/>
          <w:szCs w:val="24"/>
        </w:rPr>
        <w:t>Information from FPAR</w:t>
      </w:r>
      <w:r w:rsidRPr="00E56AA3" w:rsidR="00A14B3F">
        <w:rPr>
          <w:sz w:val="24"/>
          <w:szCs w:val="24"/>
        </w:rPr>
        <w:t xml:space="preserve"> 2.0</w:t>
      </w:r>
      <w:r w:rsidRPr="00E56AA3">
        <w:rPr>
          <w:sz w:val="24"/>
          <w:szCs w:val="24"/>
        </w:rPr>
        <w:t xml:space="preserve"> is important to OPA for several reasons. First, OPA </w:t>
      </w:r>
      <w:r w:rsidR="000323FD">
        <w:rPr>
          <w:sz w:val="24"/>
          <w:szCs w:val="24"/>
        </w:rPr>
        <w:t>uses</w:t>
      </w:r>
      <w:r w:rsidRPr="00E56AA3" w:rsidR="00A14B3F">
        <w:rPr>
          <w:sz w:val="24"/>
          <w:szCs w:val="24"/>
        </w:rPr>
        <w:t xml:space="preserve"> </w:t>
      </w:r>
      <w:r w:rsidRPr="00E56AA3">
        <w:rPr>
          <w:sz w:val="24"/>
          <w:szCs w:val="24"/>
        </w:rPr>
        <w:t xml:space="preserve">FPAR </w:t>
      </w:r>
      <w:r w:rsidRPr="00E56AA3" w:rsidR="00A14B3F">
        <w:rPr>
          <w:sz w:val="24"/>
          <w:szCs w:val="24"/>
        </w:rPr>
        <w:t xml:space="preserve">2.0 </w:t>
      </w:r>
      <w:r w:rsidRPr="00E56AA3">
        <w:rPr>
          <w:sz w:val="24"/>
          <w:szCs w:val="24"/>
        </w:rPr>
        <w:t xml:space="preserve">data to monitor </w:t>
      </w:r>
      <w:r w:rsidRPr="00E56AA3" w:rsidR="005A1F84">
        <w:rPr>
          <w:sz w:val="24"/>
          <w:szCs w:val="24"/>
        </w:rPr>
        <w:t xml:space="preserve">program </w:t>
      </w:r>
      <w:r w:rsidRPr="00E56AA3">
        <w:rPr>
          <w:sz w:val="24"/>
          <w:szCs w:val="24"/>
        </w:rPr>
        <w:t>compliance with statutory requirements, regulations, and operational guidance set forth in the</w:t>
      </w:r>
      <w:r w:rsidRPr="00E56AA3" w:rsidR="009D7E0C">
        <w:rPr>
          <w:sz w:val="24"/>
          <w:szCs w:val="24"/>
        </w:rPr>
        <w:t xml:space="preserve"> Title X Family Planning Guidelines, consisting of the</w:t>
      </w:r>
      <w:r w:rsidRPr="00E56AA3">
        <w:rPr>
          <w:sz w:val="24"/>
          <w:szCs w:val="24"/>
        </w:rPr>
        <w:t xml:space="preserve"> </w:t>
      </w:r>
      <w:r w:rsidRPr="00E56AA3" w:rsidR="006C56D5">
        <w:rPr>
          <w:i/>
          <w:sz w:val="24"/>
          <w:szCs w:val="24"/>
        </w:rPr>
        <w:t xml:space="preserve">Program Requirements for Title X Funded Family Planning Projects (Title X Requirements) </w:t>
      </w:r>
      <w:r w:rsidRPr="00E56AA3" w:rsidR="006C56D5">
        <w:rPr>
          <w:sz w:val="24"/>
          <w:szCs w:val="24"/>
        </w:rPr>
        <w:t xml:space="preserve">and clinical recommendations as outlined in </w:t>
      </w:r>
      <w:r w:rsidRPr="00E56AA3" w:rsidR="006C56D5">
        <w:rPr>
          <w:i/>
          <w:sz w:val="24"/>
          <w:szCs w:val="24"/>
        </w:rPr>
        <w:t xml:space="preserve">Providing Quality Family Planning </w:t>
      </w:r>
      <w:r w:rsidRPr="00E56AA3" w:rsidR="006C56D5">
        <w:rPr>
          <w:sz w:val="24"/>
          <w:szCs w:val="24"/>
        </w:rPr>
        <w:t xml:space="preserve">Services </w:t>
      </w:r>
      <w:r w:rsidRPr="00E56AA3" w:rsidR="006C56D5">
        <w:rPr>
          <w:i/>
          <w:sz w:val="24"/>
          <w:szCs w:val="24"/>
        </w:rPr>
        <w:t>(QFP)</w:t>
      </w:r>
      <w:r w:rsidRPr="00E56AA3" w:rsidR="008332AA">
        <w:rPr>
          <w:i/>
          <w:sz w:val="24"/>
          <w:szCs w:val="24"/>
        </w:rPr>
        <w:t>,</w:t>
      </w:r>
      <w:r w:rsidRPr="009E3AFC" w:rsidR="00236185">
        <w:rPr>
          <w:rStyle w:val="Hyperlink"/>
          <w:color w:val="auto"/>
          <w:sz w:val="24"/>
          <w:szCs w:val="24"/>
          <w:u w:val="none"/>
          <w:vertAlign w:val="superscript"/>
        </w:rPr>
        <w:t>7,</w:t>
      </w:r>
      <w:r w:rsidR="00FB6C44">
        <w:rPr>
          <w:rStyle w:val="Hyperlink"/>
          <w:color w:val="auto"/>
          <w:sz w:val="24"/>
          <w:szCs w:val="24"/>
          <w:u w:val="none"/>
          <w:vertAlign w:val="superscript"/>
        </w:rPr>
        <w:t>10</w:t>
      </w:r>
      <w:r w:rsidRPr="00E56AA3">
        <w:rPr>
          <w:sz w:val="24"/>
          <w:szCs w:val="24"/>
        </w:rPr>
        <w:t>which include the following:</w:t>
      </w:r>
    </w:p>
    <w:p w:rsidR="00D832DD" w:rsidRPr="00E56AA3" w:rsidP="007D0CD4" w14:paraId="7ADFB751" w14:textId="68F322B7">
      <w:pPr>
        <w:pStyle w:val="Style115ptBlackBefore6ptLinespacingAtleast14pt1"/>
        <w:tabs>
          <w:tab w:val="clear" w:pos="288"/>
          <w:tab w:val="left" w:pos="630"/>
        </w:tabs>
        <w:rPr>
          <w:sz w:val="24"/>
          <w:szCs w:val="24"/>
        </w:rPr>
      </w:pPr>
      <w:r w:rsidRPr="00E56AA3">
        <w:rPr>
          <w:sz w:val="24"/>
          <w:szCs w:val="24"/>
        </w:rPr>
        <w:t>Monitoring compliance with legislative mandates, such as giving priority in the provision of services to low-income persons (</w:t>
      </w:r>
      <w:r w:rsidR="00236185">
        <w:rPr>
          <w:sz w:val="24"/>
          <w:szCs w:val="24"/>
        </w:rPr>
        <w:t>42 USC 300a-4</w:t>
      </w:r>
      <w:r w:rsidRPr="00E56AA3">
        <w:rPr>
          <w:sz w:val="24"/>
          <w:szCs w:val="24"/>
        </w:rPr>
        <w:t>)</w:t>
      </w:r>
      <w:r w:rsidRPr="00001981" w:rsidR="00001981">
        <w:rPr>
          <w:noProof/>
          <w:sz w:val="24"/>
          <w:szCs w:val="24"/>
          <w:vertAlign w:val="superscript"/>
        </w:rPr>
        <w:t>2</w:t>
      </w:r>
      <w:r w:rsidRPr="00E56AA3">
        <w:rPr>
          <w:sz w:val="24"/>
          <w:szCs w:val="24"/>
        </w:rPr>
        <w:t xml:space="preserve"> </w:t>
      </w:r>
      <w:r w:rsidRPr="00E56AA3" w:rsidR="005254DF">
        <w:rPr>
          <w:sz w:val="24"/>
          <w:szCs w:val="24"/>
        </w:rPr>
        <w:t xml:space="preserve"> </w:t>
      </w:r>
    </w:p>
    <w:p w:rsidR="00D832DD" w:rsidRPr="00E56AA3" w:rsidP="007D0CD4" w14:paraId="7388A0B9" w14:textId="5B7D954E">
      <w:pPr>
        <w:pStyle w:val="Style115ptBlackBefore6ptLinespacingAtleast14pt1"/>
        <w:tabs>
          <w:tab w:val="clear" w:pos="288"/>
          <w:tab w:val="left" w:pos="630"/>
        </w:tabs>
        <w:rPr>
          <w:sz w:val="24"/>
          <w:szCs w:val="24"/>
        </w:rPr>
      </w:pPr>
      <w:r w:rsidRPr="00E56AA3">
        <w:rPr>
          <w:sz w:val="24"/>
          <w:szCs w:val="24"/>
        </w:rPr>
        <w:t>Ensuring that Title X services grantees and their subcontractors provide a broad range of family planning methods and services (</w:t>
      </w:r>
      <w:r w:rsidR="00236185">
        <w:rPr>
          <w:sz w:val="24"/>
          <w:szCs w:val="24"/>
        </w:rPr>
        <w:t>42 USC 300</w:t>
      </w:r>
      <w:r w:rsidRPr="00E56AA3">
        <w:rPr>
          <w:sz w:val="24"/>
          <w:szCs w:val="24"/>
        </w:rPr>
        <w:t>)</w:t>
      </w:r>
      <w:r w:rsidRPr="00397711" w:rsidR="00140F63">
        <w:rPr>
          <w:sz w:val="24"/>
          <w:szCs w:val="24"/>
          <w:vertAlign w:val="superscript"/>
        </w:rPr>
        <w:t>1</w:t>
      </w:r>
    </w:p>
    <w:p w:rsidR="00763BA6" w:rsidRPr="00E56AA3" w:rsidP="00D832DD" w14:paraId="5B8AD49D" w14:textId="4ADD1B51">
      <w:pPr>
        <w:pStyle w:val="bodytext-gph"/>
        <w:rPr>
          <w:sz w:val="24"/>
          <w:szCs w:val="24"/>
        </w:rPr>
      </w:pPr>
      <w:r w:rsidRPr="00E56AA3">
        <w:rPr>
          <w:sz w:val="24"/>
          <w:szCs w:val="24"/>
        </w:rPr>
        <w:t>Second, OPA</w:t>
      </w:r>
      <w:r w:rsidRPr="00E56AA3" w:rsidR="00A14B3F">
        <w:rPr>
          <w:sz w:val="24"/>
          <w:szCs w:val="24"/>
        </w:rPr>
        <w:t xml:space="preserve"> </w:t>
      </w:r>
      <w:r w:rsidRPr="00E56AA3">
        <w:rPr>
          <w:sz w:val="24"/>
          <w:szCs w:val="24"/>
        </w:rPr>
        <w:t>use</w:t>
      </w:r>
      <w:r w:rsidR="000B17C7">
        <w:rPr>
          <w:sz w:val="24"/>
          <w:szCs w:val="24"/>
        </w:rPr>
        <w:t>s</w:t>
      </w:r>
      <w:r w:rsidRPr="00E56AA3">
        <w:rPr>
          <w:sz w:val="24"/>
          <w:szCs w:val="24"/>
        </w:rPr>
        <w:t xml:space="preserve"> FPAR </w:t>
      </w:r>
      <w:r w:rsidRPr="00E56AA3" w:rsidR="00A14B3F">
        <w:rPr>
          <w:sz w:val="24"/>
          <w:szCs w:val="24"/>
        </w:rPr>
        <w:t xml:space="preserve">2.0 </w:t>
      </w:r>
      <w:r w:rsidRPr="00E56AA3">
        <w:rPr>
          <w:sz w:val="24"/>
          <w:szCs w:val="24"/>
        </w:rPr>
        <w:t xml:space="preserve">data to </w:t>
      </w:r>
      <w:r w:rsidRPr="00E56AA3" w:rsidR="005A1F84">
        <w:rPr>
          <w:sz w:val="24"/>
          <w:szCs w:val="24"/>
        </w:rPr>
        <w:t xml:space="preserve">meet </w:t>
      </w:r>
      <w:r w:rsidRPr="00E56AA3">
        <w:rPr>
          <w:sz w:val="24"/>
          <w:szCs w:val="24"/>
        </w:rPr>
        <w:t xml:space="preserve">accountability and federal performance requirements for Title X family planning funds as required by the 1993 Government Performance and Results Act. Performance goals for the Title X Family Planning program (see </w:t>
      </w:r>
      <w:r w:rsidRPr="00E56AA3">
        <w:rPr>
          <w:b/>
          <w:bCs/>
          <w:sz w:val="24"/>
          <w:szCs w:val="24"/>
        </w:rPr>
        <w:t>Exhibit 1</w:t>
      </w:r>
      <w:r w:rsidRPr="00E56AA3">
        <w:rPr>
          <w:sz w:val="24"/>
          <w:szCs w:val="24"/>
        </w:rPr>
        <w:t xml:space="preserve">) include giving priority in the provision of family planning services to low-income individuals, reducing invasive cervical cancer through Pap testing, reducing infertility through chlamydia screening, and increasing program efficiency by monitoring the cost of care.  </w:t>
      </w:r>
    </w:p>
    <w:p w:rsidR="00D832DD" w:rsidRPr="00E56AA3" w:rsidP="00AA3668" w14:paraId="780B6B2A" w14:textId="3A6715B9">
      <w:pPr>
        <w:pStyle w:val="Caption"/>
        <w:ind w:firstLine="360"/>
        <w:rPr>
          <w:sz w:val="24"/>
          <w:szCs w:val="24"/>
        </w:rPr>
      </w:pPr>
      <w:bookmarkStart w:id="9" w:name="_Toc16534320"/>
      <w:bookmarkStart w:id="10" w:name="_Toc186726918"/>
      <w:r w:rsidRPr="00AA3668">
        <w:rPr>
          <w:sz w:val="24"/>
          <w:szCs w:val="24"/>
        </w:rPr>
        <w:t xml:space="preserve">Exhibit  </w:t>
      </w:r>
      <w:r w:rsidRPr="00AA3668">
        <w:rPr>
          <w:sz w:val="24"/>
          <w:szCs w:val="24"/>
        </w:rPr>
        <w:fldChar w:fldCharType="begin"/>
      </w:r>
      <w:r w:rsidRPr="00AA3668">
        <w:rPr>
          <w:sz w:val="24"/>
          <w:szCs w:val="24"/>
        </w:rPr>
        <w:instrText xml:space="preserve"> SEQ Exhibit_ \* ARABIC </w:instrText>
      </w:r>
      <w:r w:rsidRPr="00AA3668">
        <w:rPr>
          <w:sz w:val="24"/>
          <w:szCs w:val="24"/>
        </w:rPr>
        <w:fldChar w:fldCharType="separate"/>
      </w:r>
      <w:r w:rsidR="00DA52D0">
        <w:rPr>
          <w:noProof/>
          <w:sz w:val="24"/>
          <w:szCs w:val="24"/>
        </w:rPr>
        <w:t>1</w:t>
      </w:r>
      <w:r w:rsidRPr="00AA3668">
        <w:rPr>
          <w:sz w:val="24"/>
          <w:szCs w:val="24"/>
        </w:rPr>
        <w:fldChar w:fldCharType="end"/>
      </w:r>
      <w:r w:rsidRPr="00E56AA3">
        <w:rPr>
          <w:sz w:val="24"/>
          <w:szCs w:val="24"/>
        </w:rPr>
        <w:t>–Goals for the Title X Family Planning Program</w:t>
      </w:r>
      <w:bookmarkEnd w:id="9"/>
      <w:bookmarkEnd w:id="10"/>
    </w:p>
    <w:p w:rsidR="007C1D3A" w:rsidRPr="00E56AA3" w:rsidP="00D832DD" w14:paraId="44DB9D8A" w14:textId="77777777">
      <w:pPr>
        <w:pStyle w:val="bodytext-gph"/>
        <w:rPr>
          <w:sz w:val="24"/>
          <w:szCs w:val="24"/>
        </w:rPr>
      </w:pPr>
      <w:r w:rsidRPr="00E56AA3">
        <w:rPr>
          <w:sz w:val="24"/>
          <w:szCs w:val="24"/>
        </w:rPr>
        <w:t xml:space="preserve"> </w:t>
      </w:r>
    </w:p>
    <w:tbl>
      <w:tblPr>
        <w:tblStyle w:val="TableGrid"/>
        <w:tblW w:w="0" w:type="auto"/>
        <w:tblInd w:w="360" w:type="dxa"/>
        <w:tblLook w:val="04A0"/>
      </w:tblPr>
      <w:tblGrid>
        <w:gridCol w:w="1415"/>
        <w:gridCol w:w="7655"/>
      </w:tblGrid>
      <w:tr w14:paraId="4639FE60" w14:textId="77777777" w:rsidTr="0048670F">
        <w:tblPrEx>
          <w:tblW w:w="0" w:type="auto"/>
          <w:tblInd w:w="360" w:type="dxa"/>
          <w:tblLook w:val="04A0"/>
        </w:tblPrEx>
        <w:tc>
          <w:tcPr>
            <w:tcW w:w="0" w:type="auto"/>
          </w:tcPr>
          <w:p w:rsidR="0048670F" w:rsidRPr="008C797E" w:rsidP="007C1D3A" w14:paraId="623F626A" w14:textId="7EA2B060">
            <w:pPr>
              <w:pStyle w:val="bodytext-gph"/>
              <w:ind w:left="0"/>
            </w:pPr>
            <w:r>
              <w:t>Measure Number</w:t>
            </w:r>
          </w:p>
        </w:tc>
        <w:tc>
          <w:tcPr>
            <w:tcW w:w="0" w:type="auto"/>
          </w:tcPr>
          <w:p w:rsidR="0048670F" w:rsidRPr="008C797E" w:rsidP="007C1D3A" w14:paraId="34AF5AC5" w14:textId="647BCFD5">
            <w:pPr>
              <w:pStyle w:val="bodytext-gph"/>
              <w:ind w:left="0"/>
            </w:pPr>
            <w:r>
              <w:t>Measure Title</w:t>
            </w:r>
          </w:p>
        </w:tc>
      </w:tr>
      <w:tr w14:paraId="7057A3A4" w14:textId="77777777" w:rsidTr="00C751C2">
        <w:tblPrEx>
          <w:tblW w:w="0" w:type="auto"/>
          <w:tblInd w:w="360" w:type="dxa"/>
          <w:tblLook w:val="04A0"/>
        </w:tblPrEx>
        <w:tc>
          <w:tcPr>
            <w:tcW w:w="0" w:type="auto"/>
          </w:tcPr>
          <w:p w:rsidR="007C1D3A" w:rsidP="007C1D3A" w14:paraId="183C05B4" w14:textId="4AF1D11E">
            <w:pPr>
              <w:pStyle w:val="bodytext-gph"/>
              <w:ind w:left="0"/>
              <w:rPr>
                <w:sz w:val="24"/>
                <w:szCs w:val="24"/>
              </w:rPr>
            </w:pPr>
            <w:r w:rsidRPr="008C797E">
              <w:t>8000.01</w:t>
            </w:r>
          </w:p>
        </w:tc>
        <w:tc>
          <w:tcPr>
            <w:tcW w:w="0" w:type="auto"/>
          </w:tcPr>
          <w:p w:rsidR="007C1D3A" w:rsidP="007C1D3A" w14:paraId="51B38DE6" w14:textId="39F03B40">
            <w:pPr>
              <w:pStyle w:val="bodytext-gph"/>
              <w:ind w:left="0"/>
              <w:rPr>
                <w:sz w:val="24"/>
                <w:szCs w:val="24"/>
              </w:rPr>
            </w:pPr>
            <w:r w:rsidRPr="008C797E">
              <w:t>Total number of unduplicated clients served in Title X service sites.</w:t>
            </w:r>
          </w:p>
        </w:tc>
      </w:tr>
      <w:tr w14:paraId="10B94BDB" w14:textId="77777777" w:rsidTr="00C751C2">
        <w:tblPrEx>
          <w:tblW w:w="0" w:type="auto"/>
          <w:tblInd w:w="360" w:type="dxa"/>
          <w:tblLook w:val="04A0"/>
        </w:tblPrEx>
        <w:tc>
          <w:tcPr>
            <w:tcW w:w="0" w:type="auto"/>
          </w:tcPr>
          <w:p w:rsidR="007C1D3A" w:rsidP="007C1D3A" w14:paraId="6D2DCAC7" w14:textId="501DC770">
            <w:pPr>
              <w:pStyle w:val="bodytext-gph"/>
              <w:ind w:left="0"/>
              <w:rPr>
                <w:sz w:val="24"/>
                <w:szCs w:val="24"/>
              </w:rPr>
            </w:pPr>
            <w:r w:rsidRPr="008C797E">
              <w:t>8000.02</w:t>
            </w:r>
          </w:p>
        </w:tc>
        <w:tc>
          <w:tcPr>
            <w:tcW w:w="0" w:type="auto"/>
          </w:tcPr>
          <w:p w:rsidR="007C1D3A" w:rsidP="007C1D3A" w14:paraId="10C92C68" w14:textId="2178EE94">
            <w:pPr>
              <w:pStyle w:val="bodytext-gph"/>
              <w:ind w:left="0"/>
              <w:rPr>
                <w:sz w:val="24"/>
                <w:szCs w:val="24"/>
              </w:rPr>
            </w:pPr>
            <w:r w:rsidRPr="008C797E">
              <w:t>Maintain the proportion of clients served who are at or below 250% of the Federal poverty level at 90% of total unduplicated family planning users.</w:t>
            </w:r>
          </w:p>
        </w:tc>
      </w:tr>
      <w:tr w14:paraId="3788B7BC" w14:textId="77777777" w:rsidTr="00C751C2">
        <w:tblPrEx>
          <w:tblW w:w="0" w:type="auto"/>
          <w:tblInd w:w="360" w:type="dxa"/>
          <w:tblLook w:val="04A0"/>
        </w:tblPrEx>
        <w:tc>
          <w:tcPr>
            <w:tcW w:w="0" w:type="auto"/>
          </w:tcPr>
          <w:p w:rsidR="007C1D3A" w:rsidP="007C1D3A" w14:paraId="2F9FBB45" w14:textId="376563E8">
            <w:pPr>
              <w:pStyle w:val="bodytext-gph"/>
              <w:ind w:left="0"/>
              <w:rPr>
                <w:sz w:val="24"/>
                <w:szCs w:val="24"/>
              </w:rPr>
            </w:pPr>
            <w:r w:rsidRPr="008C797E">
              <w:t>8000.05</w:t>
            </w:r>
          </w:p>
        </w:tc>
        <w:tc>
          <w:tcPr>
            <w:tcW w:w="0" w:type="auto"/>
          </w:tcPr>
          <w:p w:rsidR="007C1D3A" w:rsidP="007C1D3A" w14:paraId="1DE00E13" w14:textId="47B68157">
            <w:pPr>
              <w:pStyle w:val="bodytext-gph"/>
              <w:ind w:left="0"/>
              <w:rPr>
                <w:sz w:val="24"/>
                <w:szCs w:val="24"/>
              </w:rPr>
            </w:pPr>
            <w:r w:rsidRPr="008C797E">
              <w:t>Increase the proportion of females ages 15 - 24 attending Title X family planning clinics screened for Chlamydia infection.</w:t>
            </w:r>
          </w:p>
        </w:tc>
      </w:tr>
      <w:tr w14:paraId="389C7949" w14:textId="77777777" w:rsidTr="00C751C2">
        <w:tblPrEx>
          <w:tblW w:w="0" w:type="auto"/>
          <w:tblInd w:w="360" w:type="dxa"/>
          <w:tblLook w:val="04A0"/>
        </w:tblPrEx>
        <w:tc>
          <w:tcPr>
            <w:tcW w:w="0" w:type="auto"/>
          </w:tcPr>
          <w:p w:rsidR="007C1D3A" w:rsidP="007C1D3A" w14:paraId="12FD700E" w14:textId="3F8CBA13">
            <w:pPr>
              <w:pStyle w:val="bodytext-gph"/>
              <w:ind w:left="0"/>
              <w:rPr>
                <w:sz w:val="24"/>
                <w:szCs w:val="24"/>
              </w:rPr>
            </w:pPr>
            <w:r w:rsidRPr="008C797E">
              <w:t>8000.07</w:t>
            </w:r>
          </w:p>
        </w:tc>
        <w:tc>
          <w:tcPr>
            <w:tcW w:w="0" w:type="auto"/>
          </w:tcPr>
          <w:p w:rsidR="007C1D3A" w:rsidP="007C1D3A" w14:paraId="1FC08AE0" w14:textId="14CB5215">
            <w:pPr>
              <w:pStyle w:val="bodytext-gph"/>
              <w:ind w:left="0"/>
              <w:rPr>
                <w:sz w:val="24"/>
                <w:szCs w:val="24"/>
              </w:rPr>
            </w:pPr>
            <w:r w:rsidRPr="008C797E">
              <w:t>Percentage of Title X clinic female clients who adopted or who reported using a contraceptive method at their last visit</w:t>
            </w:r>
          </w:p>
        </w:tc>
      </w:tr>
      <w:tr w14:paraId="4A989FBD" w14:textId="77777777" w:rsidTr="00C751C2">
        <w:tblPrEx>
          <w:tblW w:w="0" w:type="auto"/>
          <w:tblInd w:w="360" w:type="dxa"/>
          <w:tblLook w:val="04A0"/>
        </w:tblPrEx>
        <w:tc>
          <w:tcPr>
            <w:tcW w:w="0" w:type="auto"/>
          </w:tcPr>
          <w:p w:rsidR="007C1D3A" w:rsidP="007C1D3A" w14:paraId="65E5AB0D" w14:textId="5718A7AD">
            <w:pPr>
              <w:pStyle w:val="bodytext-gph"/>
              <w:ind w:left="0"/>
              <w:rPr>
                <w:sz w:val="24"/>
                <w:szCs w:val="24"/>
              </w:rPr>
            </w:pPr>
            <w:r w:rsidRPr="008C797E">
              <w:t>8000.08</w:t>
            </w:r>
          </w:p>
        </w:tc>
        <w:tc>
          <w:tcPr>
            <w:tcW w:w="0" w:type="auto"/>
          </w:tcPr>
          <w:p w:rsidR="007C1D3A" w:rsidP="007C1D3A" w14:paraId="36E00124" w14:textId="67E56C97">
            <w:pPr>
              <w:pStyle w:val="bodytext-gph"/>
              <w:ind w:left="0"/>
              <w:rPr>
                <w:sz w:val="24"/>
                <w:szCs w:val="24"/>
              </w:rPr>
            </w:pPr>
            <w:r w:rsidRPr="008C797E">
              <w:t>Increase the percentage of Title X clinic clients who are screened for cervical cancer</w:t>
            </w:r>
          </w:p>
        </w:tc>
      </w:tr>
      <w:tr w14:paraId="33DCD988" w14:textId="77777777" w:rsidTr="00C751C2">
        <w:tblPrEx>
          <w:tblW w:w="0" w:type="auto"/>
          <w:tblInd w:w="360" w:type="dxa"/>
          <w:tblLook w:val="04A0"/>
        </w:tblPrEx>
        <w:tc>
          <w:tcPr>
            <w:tcW w:w="0" w:type="auto"/>
          </w:tcPr>
          <w:p w:rsidR="007C1D3A" w:rsidP="007C1D3A" w14:paraId="5C34F172" w14:textId="6783C767">
            <w:pPr>
              <w:pStyle w:val="bodytext-gph"/>
              <w:ind w:left="0"/>
              <w:rPr>
                <w:sz w:val="24"/>
                <w:szCs w:val="24"/>
              </w:rPr>
            </w:pPr>
            <w:r w:rsidRPr="008C797E">
              <w:t>8000.09</w:t>
            </w:r>
          </w:p>
        </w:tc>
        <w:tc>
          <w:tcPr>
            <w:tcW w:w="0" w:type="auto"/>
          </w:tcPr>
          <w:p w:rsidR="007C1D3A" w:rsidP="007C1D3A" w14:paraId="761F8FCE" w14:textId="45859F7F">
            <w:pPr>
              <w:pStyle w:val="bodytext-gph"/>
              <w:ind w:left="0"/>
              <w:rPr>
                <w:sz w:val="24"/>
                <w:szCs w:val="24"/>
              </w:rPr>
            </w:pPr>
            <w:r w:rsidRPr="008C797E">
              <w:t>Percentage of clients attending a Title X clinic who are uninsured</w:t>
            </w:r>
          </w:p>
        </w:tc>
      </w:tr>
      <w:tr w14:paraId="2BE8E3F7" w14:textId="77777777" w:rsidTr="00C751C2">
        <w:tblPrEx>
          <w:tblW w:w="0" w:type="auto"/>
          <w:tblInd w:w="360" w:type="dxa"/>
          <w:tblLook w:val="04A0"/>
        </w:tblPrEx>
        <w:tc>
          <w:tcPr>
            <w:tcW w:w="0" w:type="auto"/>
          </w:tcPr>
          <w:p w:rsidR="007C1D3A" w:rsidP="007C1D3A" w14:paraId="3A920E73" w14:textId="3244A640">
            <w:pPr>
              <w:pStyle w:val="bodytext-gph"/>
              <w:ind w:left="0"/>
              <w:rPr>
                <w:sz w:val="24"/>
                <w:szCs w:val="24"/>
              </w:rPr>
            </w:pPr>
            <w:r w:rsidRPr="008C797E">
              <w:t>8000.11</w:t>
            </w:r>
          </w:p>
        </w:tc>
        <w:tc>
          <w:tcPr>
            <w:tcW w:w="0" w:type="auto"/>
          </w:tcPr>
          <w:p w:rsidR="007C1D3A" w:rsidP="007C1D3A" w14:paraId="104115AA" w14:textId="0EAABA4C">
            <w:pPr>
              <w:pStyle w:val="bodytext-gph"/>
              <w:ind w:left="0"/>
              <w:rPr>
                <w:sz w:val="24"/>
                <w:szCs w:val="24"/>
              </w:rPr>
            </w:pPr>
            <w:r w:rsidRPr="008C797E">
              <w:t xml:space="preserve">Increase the proportion of Title X female clients </w:t>
            </w:r>
            <w:r w:rsidRPr="008C797E">
              <w:t>age</w:t>
            </w:r>
            <w:r w:rsidRPr="008C797E">
              <w:t xml:space="preserve"> 15-24 who are screened for gonorrhea</w:t>
            </w:r>
          </w:p>
        </w:tc>
      </w:tr>
      <w:tr w14:paraId="1ABEFD94" w14:textId="77777777" w:rsidTr="00C751C2">
        <w:tblPrEx>
          <w:tblW w:w="0" w:type="auto"/>
          <w:tblInd w:w="360" w:type="dxa"/>
          <w:tblLook w:val="04A0"/>
        </w:tblPrEx>
        <w:tc>
          <w:tcPr>
            <w:tcW w:w="0" w:type="auto"/>
          </w:tcPr>
          <w:p w:rsidR="007C1D3A" w:rsidP="007C1D3A" w14:paraId="207E3FF7" w14:textId="46B9AF4E">
            <w:pPr>
              <w:pStyle w:val="bodytext-gph"/>
              <w:ind w:left="0"/>
              <w:rPr>
                <w:sz w:val="24"/>
                <w:szCs w:val="24"/>
              </w:rPr>
            </w:pPr>
            <w:r w:rsidRPr="008C797E">
              <w:t>8000.12</w:t>
            </w:r>
          </w:p>
        </w:tc>
        <w:tc>
          <w:tcPr>
            <w:tcW w:w="0" w:type="auto"/>
          </w:tcPr>
          <w:p w:rsidR="007C1D3A" w:rsidP="007C1D3A" w14:paraId="2668BA47" w14:textId="5C8717EE">
            <w:pPr>
              <w:pStyle w:val="bodytext-gph"/>
              <w:ind w:left="0"/>
              <w:rPr>
                <w:sz w:val="24"/>
                <w:szCs w:val="24"/>
              </w:rPr>
            </w:pPr>
            <w:r w:rsidRPr="008C797E">
              <w:t>Increase the proportion of Title X clients who are screened for syphilis</w:t>
            </w:r>
          </w:p>
        </w:tc>
      </w:tr>
      <w:tr w14:paraId="018539A3" w14:textId="77777777" w:rsidTr="00C751C2">
        <w:tblPrEx>
          <w:tblW w:w="0" w:type="auto"/>
          <w:tblInd w:w="360" w:type="dxa"/>
          <w:tblLook w:val="04A0"/>
        </w:tblPrEx>
        <w:tc>
          <w:tcPr>
            <w:tcW w:w="0" w:type="auto"/>
          </w:tcPr>
          <w:p w:rsidR="007C1D3A" w:rsidRPr="008C797E" w:rsidP="007C1D3A" w14:paraId="73CD10DA" w14:textId="197D5418">
            <w:pPr>
              <w:pStyle w:val="bodytext-gph"/>
              <w:ind w:left="0"/>
            </w:pPr>
            <w:r w:rsidRPr="00771C09">
              <w:t>8000.13</w:t>
            </w:r>
          </w:p>
        </w:tc>
        <w:tc>
          <w:tcPr>
            <w:tcW w:w="0" w:type="auto"/>
          </w:tcPr>
          <w:p w:rsidR="007C1D3A" w:rsidRPr="008C797E" w:rsidP="007C1D3A" w14:paraId="1D0C722F" w14:textId="780FEC24">
            <w:pPr>
              <w:pStyle w:val="bodytext-gph"/>
              <w:ind w:left="0"/>
            </w:pPr>
            <w:r w:rsidRPr="00771C09">
              <w:t>Increase the proportion of Title X clients who are screened for HIV</w:t>
            </w:r>
          </w:p>
        </w:tc>
      </w:tr>
      <w:tr w14:paraId="7EAB498C" w14:textId="77777777" w:rsidTr="00C751C2">
        <w:tblPrEx>
          <w:tblW w:w="0" w:type="auto"/>
          <w:tblInd w:w="360" w:type="dxa"/>
          <w:tblLook w:val="04A0"/>
        </w:tblPrEx>
        <w:tc>
          <w:tcPr>
            <w:tcW w:w="0" w:type="auto"/>
          </w:tcPr>
          <w:p w:rsidR="007C1D3A" w:rsidRPr="008C797E" w:rsidP="007C1D3A" w14:paraId="6F64FC5E" w14:textId="15E3269A">
            <w:pPr>
              <w:pStyle w:val="bodytext-gph"/>
              <w:ind w:left="0"/>
            </w:pPr>
            <w:r w:rsidRPr="00771C09">
              <w:t>8000.10</w:t>
            </w:r>
          </w:p>
        </w:tc>
        <w:tc>
          <w:tcPr>
            <w:tcW w:w="0" w:type="auto"/>
          </w:tcPr>
          <w:p w:rsidR="007C1D3A" w:rsidRPr="008C797E" w:rsidP="007C1D3A" w14:paraId="10328F2C" w14:textId="464CAFCC">
            <w:pPr>
              <w:pStyle w:val="bodytext-gph"/>
              <w:ind w:left="0"/>
            </w:pPr>
            <w:r w:rsidRPr="00771C09">
              <w:t>Percentage of Title X sites with telehealth capabilities</w:t>
            </w:r>
          </w:p>
        </w:tc>
      </w:tr>
    </w:tbl>
    <w:p w:rsidR="00D832DD" w:rsidRPr="00E56AA3" w:rsidP="00D832DD" w14:paraId="26E2E16F" w14:textId="058B1CC6">
      <w:pPr>
        <w:pStyle w:val="bodytext-gph"/>
        <w:rPr>
          <w:sz w:val="24"/>
          <w:szCs w:val="24"/>
        </w:rPr>
      </w:pPr>
    </w:p>
    <w:p w:rsidR="00D832DD" w:rsidRPr="00E56AA3" w:rsidP="00D832DD" w14:paraId="68EF1E30" w14:textId="1F23F94B">
      <w:pPr>
        <w:pStyle w:val="bodytext-gph"/>
        <w:rPr>
          <w:sz w:val="24"/>
          <w:szCs w:val="24"/>
        </w:rPr>
      </w:pPr>
      <w:r w:rsidRPr="00E56AA3">
        <w:rPr>
          <w:sz w:val="24"/>
          <w:szCs w:val="24"/>
        </w:rPr>
        <w:t>Third, OPA rel</w:t>
      </w:r>
      <w:r w:rsidR="000B17C7">
        <w:rPr>
          <w:sz w:val="24"/>
          <w:szCs w:val="24"/>
        </w:rPr>
        <w:t>ies</w:t>
      </w:r>
      <w:r w:rsidRPr="00E56AA3">
        <w:rPr>
          <w:sz w:val="24"/>
          <w:szCs w:val="24"/>
        </w:rPr>
        <w:t xml:space="preserve"> on FPAR </w:t>
      </w:r>
      <w:r w:rsidRPr="00E56AA3" w:rsidR="00E42518">
        <w:rPr>
          <w:sz w:val="24"/>
          <w:szCs w:val="24"/>
        </w:rPr>
        <w:t xml:space="preserve">2.0 </w:t>
      </w:r>
      <w:r w:rsidRPr="00E56AA3">
        <w:rPr>
          <w:sz w:val="24"/>
          <w:szCs w:val="24"/>
        </w:rPr>
        <w:t xml:space="preserve">data to guide strategic and financial planning, respond to inquiries from policymakers and Congress about the program, and estimate program impact. FPAR </w:t>
      </w:r>
      <w:r w:rsidRPr="00E56AA3" w:rsidR="00E42518">
        <w:rPr>
          <w:sz w:val="24"/>
          <w:szCs w:val="24"/>
        </w:rPr>
        <w:t xml:space="preserve">2.0 </w:t>
      </w:r>
      <w:r w:rsidRPr="00E56AA3">
        <w:rPr>
          <w:sz w:val="24"/>
          <w:szCs w:val="24"/>
        </w:rPr>
        <w:t>data provide</w:t>
      </w:r>
      <w:r w:rsidR="00E43459">
        <w:rPr>
          <w:sz w:val="24"/>
          <w:szCs w:val="24"/>
        </w:rPr>
        <w:t>s</w:t>
      </w:r>
      <w:r w:rsidRPr="00E56AA3">
        <w:rPr>
          <w:sz w:val="24"/>
          <w:szCs w:val="24"/>
        </w:rPr>
        <w:t xml:space="preserve"> needed context for objective grant reviews, comprehensive program reviews and evaluation, and assessment of program technical needs. </w:t>
      </w:r>
      <w:r w:rsidR="00E43459">
        <w:rPr>
          <w:sz w:val="24"/>
          <w:szCs w:val="24"/>
        </w:rPr>
        <w:t>Finally</w:t>
      </w:r>
      <w:r w:rsidRPr="00E56AA3" w:rsidR="005A1F84">
        <w:rPr>
          <w:sz w:val="24"/>
          <w:szCs w:val="24"/>
        </w:rPr>
        <w:t xml:space="preserve">, the data </w:t>
      </w:r>
      <w:r w:rsidR="00E43459">
        <w:rPr>
          <w:sz w:val="24"/>
          <w:szCs w:val="24"/>
        </w:rPr>
        <w:t>is</w:t>
      </w:r>
      <w:r w:rsidRPr="00E56AA3" w:rsidR="005A1F84">
        <w:rPr>
          <w:sz w:val="24"/>
          <w:szCs w:val="24"/>
        </w:rPr>
        <w:t xml:space="preserve"> used for continuous quality improvement at both the program and grantee level to ensure the best quality care is delivered to clients. </w:t>
      </w:r>
    </w:p>
    <w:p w:rsidR="00D832DD" w:rsidRPr="00E56AA3" w:rsidP="00244246" w14:paraId="3C2D8836" w14:textId="77777777">
      <w:pPr>
        <w:pStyle w:val="Stylebodytext-gphBold"/>
        <w:rPr>
          <w:i/>
          <w:sz w:val="24"/>
          <w:szCs w:val="24"/>
        </w:rPr>
      </w:pPr>
      <w:r w:rsidRPr="00E56AA3">
        <w:rPr>
          <w:i/>
          <w:sz w:val="24"/>
          <w:szCs w:val="24"/>
        </w:rPr>
        <w:t>FPAR Structure and Content</w:t>
      </w:r>
    </w:p>
    <w:p w:rsidR="00760BBD" w:rsidRPr="00E56AA3" w:rsidP="002B6097" w14:paraId="39CF606D" w14:textId="7A0E1C18">
      <w:pPr>
        <w:pStyle w:val="bodytext-gph"/>
        <w:rPr>
          <w:sz w:val="24"/>
          <w:szCs w:val="24"/>
        </w:rPr>
      </w:pPr>
      <w:r w:rsidRPr="00E56AA3">
        <w:rPr>
          <w:sz w:val="24"/>
          <w:szCs w:val="24"/>
        </w:rPr>
        <w:t xml:space="preserve">FPAR </w:t>
      </w:r>
      <w:r w:rsidRPr="00E56AA3" w:rsidR="00E42518">
        <w:rPr>
          <w:sz w:val="24"/>
          <w:szCs w:val="24"/>
        </w:rPr>
        <w:t xml:space="preserve">2.0 </w:t>
      </w:r>
      <w:r w:rsidRPr="00E56AA3" w:rsidR="00880178">
        <w:rPr>
          <w:sz w:val="24"/>
          <w:szCs w:val="24"/>
        </w:rPr>
        <w:t>data</w:t>
      </w:r>
      <w:r w:rsidRPr="00E56AA3" w:rsidR="00E42518">
        <w:rPr>
          <w:sz w:val="24"/>
          <w:szCs w:val="24"/>
        </w:rPr>
        <w:t xml:space="preserve"> include: 1) encounter data, 2)</w:t>
      </w:r>
      <w:r w:rsidRPr="00E56AA3">
        <w:rPr>
          <w:sz w:val="24"/>
          <w:szCs w:val="24"/>
        </w:rPr>
        <w:t xml:space="preserve"> </w:t>
      </w:r>
      <w:r w:rsidRPr="00E56AA3" w:rsidR="00364375">
        <w:rPr>
          <w:sz w:val="24"/>
          <w:szCs w:val="24"/>
        </w:rPr>
        <w:t xml:space="preserve">a </w:t>
      </w:r>
      <w:r w:rsidRPr="00E56AA3">
        <w:rPr>
          <w:sz w:val="24"/>
          <w:szCs w:val="24"/>
        </w:rPr>
        <w:t>grantee profile cover sheet</w:t>
      </w:r>
      <w:r w:rsidRPr="00E56AA3" w:rsidR="00E42518">
        <w:rPr>
          <w:sz w:val="24"/>
          <w:szCs w:val="24"/>
        </w:rPr>
        <w:t xml:space="preserve">, 3) </w:t>
      </w:r>
      <w:r w:rsidRPr="00E56AA3" w:rsidR="00364375">
        <w:rPr>
          <w:sz w:val="24"/>
          <w:szCs w:val="24"/>
        </w:rPr>
        <w:t xml:space="preserve">a </w:t>
      </w:r>
      <w:r w:rsidRPr="00E56AA3" w:rsidR="006345F2">
        <w:rPr>
          <w:sz w:val="24"/>
          <w:szCs w:val="24"/>
        </w:rPr>
        <w:t xml:space="preserve">project </w:t>
      </w:r>
      <w:r w:rsidRPr="00E56AA3" w:rsidR="00E42518">
        <w:rPr>
          <w:sz w:val="24"/>
          <w:szCs w:val="24"/>
        </w:rPr>
        <w:t>revenue report</w:t>
      </w:r>
      <w:r w:rsidRPr="00E56AA3" w:rsidR="00FF65B3">
        <w:rPr>
          <w:sz w:val="24"/>
          <w:szCs w:val="24"/>
        </w:rPr>
        <w:t xml:space="preserve">, and 4) </w:t>
      </w:r>
      <w:r w:rsidRPr="00E56AA3" w:rsidR="006345F2">
        <w:rPr>
          <w:sz w:val="24"/>
          <w:szCs w:val="24"/>
        </w:rPr>
        <w:t>utilization of family planning clinical services providers report</w:t>
      </w:r>
      <w:r w:rsidR="00987EDF">
        <w:rPr>
          <w:sz w:val="24"/>
          <w:szCs w:val="24"/>
        </w:rPr>
        <w:t xml:space="preserve">. </w:t>
      </w:r>
      <w:r w:rsidRPr="00E56AA3">
        <w:rPr>
          <w:sz w:val="24"/>
          <w:szCs w:val="24"/>
        </w:rPr>
        <w:t xml:space="preserve">These </w:t>
      </w:r>
      <w:r w:rsidR="00E43459">
        <w:rPr>
          <w:sz w:val="24"/>
          <w:szCs w:val="24"/>
        </w:rPr>
        <w:t>data</w:t>
      </w:r>
      <w:r w:rsidRPr="00E56AA3" w:rsidR="00364375">
        <w:rPr>
          <w:sz w:val="24"/>
          <w:szCs w:val="24"/>
        </w:rPr>
        <w:t xml:space="preserve"> </w:t>
      </w:r>
      <w:r w:rsidRPr="00E56AA3">
        <w:rPr>
          <w:sz w:val="24"/>
          <w:szCs w:val="24"/>
        </w:rPr>
        <w:t xml:space="preserve">provide OPA with information on the characteristics of the </w:t>
      </w:r>
      <w:r w:rsidRPr="00E56AA3">
        <w:rPr>
          <w:sz w:val="24"/>
          <w:szCs w:val="24"/>
        </w:rPr>
        <w:t xml:space="preserve">Title X </w:t>
      </w:r>
      <w:r w:rsidRPr="00E56AA3">
        <w:rPr>
          <w:sz w:val="24"/>
          <w:szCs w:val="24"/>
        </w:rPr>
        <w:t>service network</w:t>
      </w:r>
      <w:r w:rsidRPr="00E56AA3" w:rsidR="002B6097">
        <w:rPr>
          <w:sz w:val="24"/>
          <w:szCs w:val="24"/>
        </w:rPr>
        <w:t xml:space="preserve"> and</w:t>
      </w:r>
      <w:r w:rsidRPr="00E56AA3">
        <w:rPr>
          <w:sz w:val="24"/>
          <w:szCs w:val="24"/>
        </w:rPr>
        <w:t xml:space="preserve"> the individuals (family planning “users” or “clients”) who </w:t>
      </w:r>
      <w:r w:rsidRPr="00E56AA3" w:rsidR="002B6097">
        <w:rPr>
          <w:sz w:val="24"/>
          <w:szCs w:val="24"/>
        </w:rPr>
        <w:t xml:space="preserve">receive </w:t>
      </w:r>
      <w:r w:rsidRPr="00E56AA3">
        <w:rPr>
          <w:sz w:val="24"/>
          <w:szCs w:val="24"/>
        </w:rPr>
        <w:t xml:space="preserve">Title X </w:t>
      </w:r>
      <w:r w:rsidRPr="00E56AA3">
        <w:rPr>
          <w:sz w:val="24"/>
          <w:szCs w:val="24"/>
        </w:rPr>
        <w:t>services</w:t>
      </w:r>
      <w:r w:rsidRPr="00E56AA3" w:rsidR="00C3716E">
        <w:rPr>
          <w:sz w:val="24"/>
          <w:szCs w:val="24"/>
        </w:rPr>
        <w:t xml:space="preserve">, including </w:t>
      </w:r>
      <w:r w:rsidRPr="00E56AA3" w:rsidR="002B6097">
        <w:rPr>
          <w:sz w:val="24"/>
          <w:szCs w:val="24"/>
        </w:rPr>
        <w:t>information on client</w:t>
      </w:r>
      <w:r w:rsidRPr="00E56AA3" w:rsidR="00C3716E">
        <w:rPr>
          <w:sz w:val="24"/>
          <w:szCs w:val="24"/>
        </w:rPr>
        <w:t>s’</w:t>
      </w:r>
      <w:r w:rsidRPr="00E56AA3" w:rsidR="002B6097">
        <w:rPr>
          <w:sz w:val="24"/>
          <w:szCs w:val="24"/>
        </w:rPr>
        <w:t xml:space="preserve"> contraceptive</w:t>
      </w:r>
      <w:r w:rsidRPr="00E56AA3">
        <w:rPr>
          <w:sz w:val="24"/>
          <w:szCs w:val="24"/>
        </w:rPr>
        <w:t xml:space="preserve"> use </w:t>
      </w:r>
      <w:r w:rsidRPr="00E56AA3" w:rsidR="002B6097">
        <w:rPr>
          <w:sz w:val="24"/>
          <w:szCs w:val="24"/>
        </w:rPr>
        <w:t>and receipt of</w:t>
      </w:r>
      <w:r w:rsidRPr="00E56AA3">
        <w:rPr>
          <w:sz w:val="24"/>
          <w:szCs w:val="24"/>
        </w:rPr>
        <w:t xml:space="preserve"> related preventive health services.</w:t>
      </w:r>
      <w:r w:rsidR="00BB31B7">
        <w:rPr>
          <w:sz w:val="24"/>
          <w:szCs w:val="24"/>
        </w:rPr>
        <w:t xml:space="preserve"> </w:t>
      </w:r>
      <w:r w:rsidR="007A058A">
        <w:rPr>
          <w:sz w:val="24"/>
          <w:szCs w:val="24"/>
        </w:rPr>
        <w:t>Below</w:t>
      </w:r>
      <w:r w:rsidRPr="00E56AA3">
        <w:rPr>
          <w:sz w:val="24"/>
          <w:szCs w:val="24"/>
        </w:rPr>
        <w:t xml:space="preserve">, we describe each FPAR </w:t>
      </w:r>
      <w:r w:rsidRPr="00E56AA3" w:rsidR="005F5385">
        <w:rPr>
          <w:sz w:val="24"/>
          <w:szCs w:val="24"/>
        </w:rPr>
        <w:t>2.0 component</w:t>
      </w:r>
      <w:r w:rsidRPr="00E56AA3">
        <w:rPr>
          <w:sz w:val="24"/>
          <w:szCs w:val="24"/>
        </w:rPr>
        <w:t xml:space="preserve"> and present OPA’s justification for collecting the data. In addition, we </w:t>
      </w:r>
      <w:r w:rsidRPr="00E56AA3" w:rsidR="002B6097">
        <w:rPr>
          <w:sz w:val="24"/>
          <w:szCs w:val="24"/>
        </w:rPr>
        <w:t>explain how</w:t>
      </w:r>
      <w:r w:rsidRPr="00E56AA3">
        <w:rPr>
          <w:sz w:val="24"/>
          <w:szCs w:val="24"/>
        </w:rPr>
        <w:t xml:space="preserve"> OPA </w:t>
      </w:r>
      <w:r w:rsidRPr="00E56AA3" w:rsidR="00364375">
        <w:rPr>
          <w:sz w:val="24"/>
          <w:szCs w:val="24"/>
        </w:rPr>
        <w:t xml:space="preserve">will use </w:t>
      </w:r>
      <w:r w:rsidRPr="00E56AA3">
        <w:rPr>
          <w:sz w:val="24"/>
          <w:szCs w:val="24"/>
        </w:rPr>
        <w:t>the data and present illustrative questions</w:t>
      </w:r>
      <w:r w:rsidRPr="00E56AA3" w:rsidR="002B6097">
        <w:rPr>
          <w:sz w:val="24"/>
          <w:szCs w:val="24"/>
        </w:rPr>
        <w:t xml:space="preserve">, which </w:t>
      </w:r>
      <w:r w:rsidRPr="00E56AA3">
        <w:rPr>
          <w:sz w:val="24"/>
          <w:szCs w:val="24"/>
        </w:rPr>
        <w:t xml:space="preserve">OPA can </w:t>
      </w:r>
      <w:r w:rsidR="00881F43">
        <w:rPr>
          <w:sz w:val="24"/>
          <w:szCs w:val="24"/>
        </w:rPr>
        <w:t xml:space="preserve">help </w:t>
      </w:r>
      <w:r w:rsidRPr="00E56AA3" w:rsidR="002B6097">
        <w:rPr>
          <w:sz w:val="24"/>
          <w:szCs w:val="24"/>
        </w:rPr>
        <w:t>answer</w:t>
      </w:r>
      <w:r w:rsidRPr="00E56AA3">
        <w:rPr>
          <w:sz w:val="24"/>
          <w:szCs w:val="24"/>
        </w:rPr>
        <w:t xml:space="preserve"> with the data.</w:t>
      </w:r>
    </w:p>
    <w:p w:rsidR="00F712A2" w:rsidRPr="00E56AA3" w:rsidP="00244246" w14:paraId="00CED464" w14:textId="0F63F69A">
      <w:pPr>
        <w:pStyle w:val="Stylebodytext-gphBold"/>
        <w:rPr>
          <w:sz w:val="24"/>
          <w:szCs w:val="24"/>
          <w:u w:val="single"/>
        </w:rPr>
      </w:pPr>
      <w:r w:rsidRPr="00E56AA3">
        <w:rPr>
          <w:sz w:val="24"/>
          <w:szCs w:val="24"/>
          <w:u w:val="single"/>
        </w:rPr>
        <w:t>Encounter</w:t>
      </w:r>
      <w:r w:rsidRPr="00E56AA3" w:rsidR="005A1F84">
        <w:rPr>
          <w:sz w:val="24"/>
          <w:szCs w:val="24"/>
          <w:u w:val="single"/>
        </w:rPr>
        <w:t xml:space="preserve">-level </w:t>
      </w:r>
      <w:r w:rsidRPr="00E56AA3">
        <w:rPr>
          <w:sz w:val="24"/>
          <w:szCs w:val="24"/>
          <w:u w:val="single"/>
        </w:rPr>
        <w:t>Data</w:t>
      </w:r>
    </w:p>
    <w:p w:rsidR="00F712A2" w:rsidRPr="00E56AA3" w:rsidP="00244246" w14:paraId="0ECC9227" w14:textId="2ACEBF0E">
      <w:pPr>
        <w:pStyle w:val="Stylebodytext-gphBold"/>
        <w:rPr>
          <w:b w:val="0"/>
          <w:bCs w:val="0"/>
          <w:sz w:val="24"/>
          <w:szCs w:val="24"/>
        </w:rPr>
      </w:pPr>
      <w:r w:rsidRPr="00E56AA3">
        <w:rPr>
          <w:b w:val="0"/>
          <w:bCs w:val="0"/>
          <w:sz w:val="24"/>
          <w:szCs w:val="24"/>
        </w:rPr>
        <w:t xml:space="preserve">In this section, we describe the data elements reflected in the user encounter data (Attachment B). </w:t>
      </w:r>
    </w:p>
    <w:p w:rsidR="003964D1" w:rsidP="009877EE" w14:paraId="283DD7B8" w14:textId="77777777">
      <w:pPr>
        <w:pStyle w:val="bodytext-gph"/>
        <w:numPr>
          <w:ilvl w:val="0"/>
          <w:numId w:val="38"/>
        </w:numPr>
        <w:rPr>
          <w:sz w:val="24"/>
          <w:szCs w:val="24"/>
        </w:rPr>
      </w:pPr>
      <w:r w:rsidRPr="00E56AA3">
        <w:rPr>
          <w:sz w:val="24"/>
          <w:szCs w:val="24"/>
        </w:rPr>
        <w:t>User demographic data, including age, sex, ethnicity, and race, allows OPA to monitor access to and use of Title X services among the diverse populations these projects serve</w:t>
      </w:r>
      <w:r w:rsidRPr="00E56AA3" w:rsidR="006A2383">
        <w:rPr>
          <w:sz w:val="24"/>
          <w:szCs w:val="24"/>
        </w:rPr>
        <w:t xml:space="preserve">. </w:t>
      </w:r>
    </w:p>
    <w:p w:rsidR="005F5385" w:rsidRPr="00E56AA3" w:rsidP="00AB3AC0" w14:paraId="36946452" w14:textId="6B6413EA">
      <w:pPr>
        <w:pStyle w:val="Stylebodytext-gphBold"/>
        <w:ind w:left="720"/>
        <w:rPr>
          <w:b w:val="0"/>
          <w:bCs w:val="0"/>
          <w:sz w:val="24"/>
          <w:szCs w:val="24"/>
        </w:rPr>
      </w:pPr>
      <w:r w:rsidRPr="00E56AA3">
        <w:rPr>
          <w:b w:val="0"/>
          <w:bCs w:val="0"/>
          <w:sz w:val="24"/>
          <w:szCs w:val="24"/>
        </w:rPr>
        <w:t>These data permit OPA to answer such questions as:</w:t>
      </w:r>
    </w:p>
    <w:p w:rsidR="006A2383" w:rsidRPr="00E56AA3" w:rsidP="00C96ABF" w14:paraId="2EE16670" w14:textId="77777777">
      <w:pPr>
        <w:pStyle w:val="bodytext-gph"/>
        <w:numPr>
          <w:ilvl w:val="0"/>
          <w:numId w:val="38"/>
        </w:numPr>
        <w:rPr>
          <w:sz w:val="24"/>
          <w:szCs w:val="24"/>
        </w:rPr>
      </w:pPr>
      <w:r w:rsidRPr="00E56AA3">
        <w:rPr>
          <w:sz w:val="24"/>
          <w:szCs w:val="24"/>
        </w:rPr>
        <w:t xml:space="preserve">How does the age composition of users compare across regions, states, and grantees? </w:t>
      </w:r>
    </w:p>
    <w:p w:rsidR="006A2383" w:rsidRPr="00E56AA3" w:rsidP="00C96ABF" w14:paraId="508992CF" w14:textId="6194477E">
      <w:pPr>
        <w:pStyle w:val="bodytext-gph"/>
        <w:numPr>
          <w:ilvl w:val="0"/>
          <w:numId w:val="38"/>
        </w:numPr>
        <w:rPr>
          <w:sz w:val="24"/>
          <w:szCs w:val="24"/>
        </w:rPr>
      </w:pPr>
      <w:r w:rsidRPr="00E56AA3">
        <w:rPr>
          <w:sz w:val="24"/>
          <w:szCs w:val="24"/>
        </w:rPr>
        <w:t>What is the ethnic or racial composition of female and male clients served by Title X-funded service sites?</w:t>
      </w:r>
    </w:p>
    <w:p w:rsidR="006A2383" w:rsidRPr="00E56AA3" w:rsidP="00C96ABF" w14:paraId="48D1E6CA" w14:textId="5F653499">
      <w:pPr>
        <w:pStyle w:val="bodytext-gph"/>
        <w:numPr>
          <w:ilvl w:val="0"/>
          <w:numId w:val="38"/>
        </w:numPr>
        <w:rPr>
          <w:sz w:val="24"/>
          <w:szCs w:val="24"/>
        </w:rPr>
      </w:pPr>
      <w:r w:rsidRPr="00E56AA3">
        <w:rPr>
          <w:sz w:val="24"/>
          <w:szCs w:val="24"/>
        </w:rPr>
        <w:t>What is the ethnic</w:t>
      </w:r>
      <w:r w:rsidRPr="00E56AA3" w:rsidR="00643AD9">
        <w:rPr>
          <w:sz w:val="24"/>
          <w:szCs w:val="24"/>
        </w:rPr>
        <w:t xml:space="preserve"> or racial</w:t>
      </w:r>
      <w:r w:rsidRPr="00E56AA3">
        <w:rPr>
          <w:sz w:val="24"/>
          <w:szCs w:val="24"/>
        </w:rPr>
        <w:t xml:space="preserve"> composition of Title X clients who do not self-identify with one or more of the five minimum OMB race categories?</w:t>
      </w:r>
      <w:r w:rsidRPr="00E56AA3" w:rsidR="002379B2">
        <w:rPr>
          <w:sz w:val="24"/>
          <w:szCs w:val="24"/>
        </w:rPr>
        <w:t xml:space="preserve"> </w:t>
      </w:r>
    </w:p>
    <w:p w:rsidR="006A2383" w:rsidP="00C96ABF" w14:paraId="378FBA2F" w14:textId="622BCEDF">
      <w:pPr>
        <w:pStyle w:val="bodytext-gph"/>
        <w:numPr>
          <w:ilvl w:val="0"/>
          <w:numId w:val="38"/>
        </w:numPr>
        <w:rPr>
          <w:sz w:val="24"/>
          <w:szCs w:val="24"/>
        </w:rPr>
      </w:pPr>
      <w:r w:rsidRPr="00E56AA3">
        <w:rPr>
          <w:sz w:val="24"/>
          <w:szCs w:val="24"/>
        </w:rPr>
        <w:t xml:space="preserve">How do user ethnic and racial composition compare across regions, states, and grantees? </w:t>
      </w:r>
    </w:p>
    <w:p w:rsidR="009877EE" w:rsidRPr="00E56AA3" w:rsidP="00C96ABF" w14:paraId="45AC2D95" w14:textId="5648B998">
      <w:pPr>
        <w:pStyle w:val="bodytext-gph"/>
        <w:numPr>
          <w:ilvl w:val="0"/>
          <w:numId w:val="38"/>
        </w:numPr>
        <w:rPr>
          <w:sz w:val="24"/>
          <w:szCs w:val="24"/>
        </w:rPr>
      </w:pPr>
      <w:r>
        <w:rPr>
          <w:sz w:val="24"/>
          <w:szCs w:val="24"/>
        </w:rPr>
        <w:t xml:space="preserve">Are we providing client-centered care? </w:t>
      </w:r>
    </w:p>
    <w:p w:rsidR="006A2383" w:rsidRPr="00E56AA3" w:rsidP="00AB3AC0" w14:paraId="24A67E4A" w14:textId="452B4918">
      <w:pPr>
        <w:pStyle w:val="Stylebodytext-gphBold"/>
        <w:ind w:left="720"/>
        <w:rPr>
          <w:b w:val="0"/>
          <w:bCs w:val="0"/>
          <w:sz w:val="24"/>
          <w:szCs w:val="24"/>
        </w:rPr>
      </w:pPr>
      <w:r w:rsidRPr="00E56AA3">
        <w:rPr>
          <w:sz w:val="24"/>
          <w:szCs w:val="24"/>
        </w:rPr>
        <w:t xml:space="preserve">User </w:t>
      </w:r>
      <w:r w:rsidRPr="00E56AA3" w:rsidR="00643AD9">
        <w:rPr>
          <w:sz w:val="24"/>
          <w:szCs w:val="24"/>
        </w:rPr>
        <w:t>e</w:t>
      </w:r>
      <w:r w:rsidRPr="00E56AA3">
        <w:rPr>
          <w:sz w:val="24"/>
          <w:szCs w:val="24"/>
        </w:rPr>
        <w:t>conomic and social data</w:t>
      </w:r>
      <w:r w:rsidRPr="00E56AA3">
        <w:rPr>
          <w:b w:val="0"/>
          <w:bCs w:val="0"/>
          <w:sz w:val="24"/>
          <w:szCs w:val="24"/>
        </w:rPr>
        <w:t xml:space="preserve"> allow OPA to monitor the Title X program’s role in supporting the health care safety net for vulnerable individuals who confront financial, social, or cultural barriers to care due to low income, lack of health insurance, or limited English proficiency (LEP).</w:t>
      </w:r>
      <w:r w:rsidRPr="00E56AA3" w:rsidR="004D264C">
        <w:rPr>
          <w:b w:val="0"/>
          <w:bCs w:val="0"/>
          <w:sz w:val="24"/>
          <w:szCs w:val="24"/>
        </w:rPr>
        <w:t xml:space="preserve"> The data collected to monitor th</w:t>
      </w:r>
      <w:r w:rsidRPr="00E56AA3" w:rsidR="006F4F53">
        <w:rPr>
          <w:b w:val="0"/>
          <w:bCs w:val="0"/>
          <w:sz w:val="24"/>
          <w:szCs w:val="24"/>
        </w:rPr>
        <w:t>ese barriers</w:t>
      </w:r>
      <w:r w:rsidRPr="00E56AA3" w:rsidR="004D264C">
        <w:rPr>
          <w:b w:val="0"/>
          <w:bCs w:val="0"/>
          <w:sz w:val="24"/>
          <w:szCs w:val="24"/>
        </w:rPr>
        <w:t xml:space="preserve"> are</w:t>
      </w:r>
      <w:r w:rsidR="00604F3E">
        <w:rPr>
          <w:b w:val="0"/>
          <w:bCs w:val="0"/>
          <w:sz w:val="24"/>
          <w:szCs w:val="24"/>
        </w:rPr>
        <w:t xml:space="preserve"> </w:t>
      </w:r>
      <w:r w:rsidR="0026259B">
        <w:rPr>
          <w:b w:val="0"/>
          <w:bCs w:val="0"/>
          <w:sz w:val="24"/>
          <w:szCs w:val="24"/>
        </w:rPr>
        <w:t>d</w:t>
      </w:r>
      <w:r w:rsidR="00604F3E">
        <w:rPr>
          <w:b w:val="0"/>
          <w:bCs w:val="0"/>
          <w:sz w:val="24"/>
          <w:szCs w:val="24"/>
        </w:rPr>
        <w:t>etailed below</w:t>
      </w:r>
      <w:r w:rsidR="0026259B">
        <w:rPr>
          <w:b w:val="0"/>
          <w:bCs w:val="0"/>
          <w:sz w:val="24"/>
          <w:szCs w:val="24"/>
        </w:rPr>
        <w:t>.</w:t>
      </w:r>
    </w:p>
    <w:p w:rsidR="00814E6C" w:rsidRPr="00E56AA3" w:rsidP="00447AA8" w14:paraId="23A55C80" w14:textId="6D66B175">
      <w:pPr>
        <w:pStyle w:val="Stylebodytext-gphBold"/>
        <w:ind w:left="720"/>
        <w:rPr>
          <w:b w:val="0"/>
          <w:bCs w:val="0"/>
          <w:sz w:val="24"/>
          <w:szCs w:val="24"/>
        </w:rPr>
      </w:pPr>
      <w:r w:rsidRPr="00E56AA3">
        <w:rPr>
          <w:sz w:val="24"/>
          <w:szCs w:val="24"/>
        </w:rPr>
        <w:t xml:space="preserve">User </w:t>
      </w:r>
      <w:r w:rsidRPr="00E56AA3">
        <w:rPr>
          <w:sz w:val="24"/>
          <w:szCs w:val="24"/>
        </w:rPr>
        <w:t xml:space="preserve">Income </w:t>
      </w:r>
      <w:r w:rsidRPr="00E56AA3" w:rsidR="00D96D95">
        <w:rPr>
          <w:b w:val="0"/>
          <w:bCs w:val="0"/>
          <w:sz w:val="24"/>
          <w:szCs w:val="24"/>
        </w:rPr>
        <w:t xml:space="preserve">reported by grantees allow OPA to </w:t>
      </w:r>
      <w:r w:rsidRPr="00E56AA3">
        <w:rPr>
          <w:b w:val="0"/>
          <w:bCs w:val="0"/>
          <w:sz w:val="24"/>
          <w:szCs w:val="24"/>
        </w:rPr>
        <w:t>monitor use of services by low-income individuals, assess compliance with the statutory requirements and regulations regarding priority in the provision of care to low-income persons, and guide funding allocation across regions and grantees. By federal statute 42 USC 300</w:t>
      </w:r>
      <w:r w:rsidR="004A7C69">
        <w:rPr>
          <w:b w:val="0"/>
          <w:bCs w:val="0"/>
          <w:sz w:val="24"/>
          <w:szCs w:val="24"/>
        </w:rPr>
        <w:t>a-4</w:t>
      </w:r>
      <w:r w:rsidRPr="00E56AA3">
        <w:rPr>
          <w:b w:val="0"/>
          <w:bCs w:val="0"/>
          <w:sz w:val="24"/>
          <w:szCs w:val="24"/>
        </w:rPr>
        <w:t>,</w:t>
      </w:r>
      <w:r w:rsidRPr="00001981" w:rsidR="00001981">
        <w:rPr>
          <w:b w:val="0"/>
          <w:bCs w:val="0"/>
          <w:noProof/>
          <w:sz w:val="24"/>
          <w:szCs w:val="24"/>
          <w:vertAlign w:val="superscript"/>
        </w:rPr>
        <w:t>2</w:t>
      </w:r>
      <w:r w:rsidRPr="00E56AA3">
        <w:rPr>
          <w:b w:val="0"/>
          <w:bCs w:val="0"/>
          <w:sz w:val="24"/>
          <w:szCs w:val="24"/>
        </w:rPr>
        <w:t xml:space="preserve"> programs that receive Title X funding are required to give priority to persons from low-income families, defined as individuals with family incomes of 100% or less of the HHS poverty guidelines (“poverty level”). Program regulations (42 CFR Part 59)</w:t>
      </w:r>
      <w:r w:rsidRPr="00001981" w:rsidR="00001981">
        <w:rPr>
          <w:b w:val="0"/>
          <w:bCs w:val="0"/>
          <w:noProof/>
          <w:sz w:val="24"/>
          <w:szCs w:val="24"/>
          <w:vertAlign w:val="superscript"/>
        </w:rPr>
        <w:t>3</w:t>
      </w:r>
      <w:r w:rsidRPr="00E56AA3">
        <w:rPr>
          <w:b w:val="0"/>
          <w:bCs w:val="0"/>
          <w:sz w:val="24"/>
          <w:szCs w:val="24"/>
        </w:rPr>
        <w:t xml:space="preserve"> further specify that persons from low-income families must receive services at no charge, unless a third-party source (e.g., Medicaid, other public or private health insurance) is authorized or obligated to pay the charge, and that Title X service providers must develop and apply a schedule of discounts based on ability to pay for persons with family incomes between 101% and 250% of the poverty level. In </w:t>
      </w:r>
      <w:r w:rsidR="009569F7">
        <w:rPr>
          <w:b w:val="0"/>
          <w:bCs w:val="0"/>
          <w:sz w:val="24"/>
          <w:szCs w:val="24"/>
        </w:rPr>
        <w:t>2023</w:t>
      </w:r>
      <w:r w:rsidRPr="00E56AA3">
        <w:rPr>
          <w:b w:val="0"/>
          <w:bCs w:val="0"/>
          <w:sz w:val="24"/>
          <w:szCs w:val="24"/>
        </w:rPr>
        <w:t xml:space="preserve">, </w:t>
      </w:r>
      <w:r w:rsidR="009569F7">
        <w:rPr>
          <w:b w:val="0"/>
          <w:bCs w:val="0"/>
          <w:sz w:val="24"/>
          <w:szCs w:val="24"/>
        </w:rPr>
        <w:t>83</w:t>
      </w:r>
      <w:r w:rsidRPr="00E56AA3">
        <w:rPr>
          <w:b w:val="0"/>
          <w:bCs w:val="0"/>
          <w:sz w:val="24"/>
          <w:szCs w:val="24"/>
        </w:rPr>
        <w:t>% (</w:t>
      </w:r>
      <w:r w:rsidR="009569F7">
        <w:rPr>
          <w:b w:val="0"/>
          <w:bCs w:val="0"/>
          <w:sz w:val="24"/>
          <w:szCs w:val="24"/>
        </w:rPr>
        <w:t>2.3</w:t>
      </w:r>
      <w:r w:rsidRPr="00E56AA3">
        <w:rPr>
          <w:b w:val="0"/>
          <w:bCs w:val="0"/>
          <w:sz w:val="24"/>
          <w:szCs w:val="24"/>
        </w:rPr>
        <w:t xml:space="preserve"> million) of users had family incomes that qualified them for either subsidized or no-charge services. The data collected permit OPA to answer such questions as: </w:t>
      </w:r>
    </w:p>
    <w:p w:rsidR="00814E6C" w:rsidRPr="00E56AA3" w:rsidP="00447AA8" w14:paraId="44AB1D0A" w14:textId="77777777">
      <w:pPr>
        <w:pStyle w:val="bodytext-gph"/>
        <w:numPr>
          <w:ilvl w:val="0"/>
          <w:numId w:val="39"/>
        </w:numPr>
        <w:ind w:left="1440"/>
        <w:rPr>
          <w:sz w:val="24"/>
          <w:szCs w:val="24"/>
        </w:rPr>
      </w:pPr>
      <w:r w:rsidRPr="00E56AA3">
        <w:rPr>
          <w:sz w:val="24"/>
          <w:szCs w:val="24"/>
        </w:rPr>
        <w:t>What percentage of Title X clients has family incomes at or below 100% the poverty level, thereby qualifying them for services at no charge?</w:t>
      </w:r>
    </w:p>
    <w:p w:rsidR="00814E6C" w:rsidRPr="00E56AA3" w:rsidP="00447AA8" w14:paraId="7385D4AF" w14:textId="77777777">
      <w:pPr>
        <w:pStyle w:val="bodytext-gph"/>
        <w:numPr>
          <w:ilvl w:val="0"/>
          <w:numId w:val="39"/>
        </w:numPr>
        <w:ind w:left="1440"/>
        <w:rPr>
          <w:sz w:val="24"/>
          <w:szCs w:val="24"/>
        </w:rPr>
      </w:pPr>
      <w:r w:rsidRPr="00E56AA3">
        <w:rPr>
          <w:sz w:val="24"/>
          <w:szCs w:val="24"/>
        </w:rPr>
        <w:t>What percentage of Title X clients has family incomes between 101% and 250% of the poverty level, thereby qualifying them for services on a sliding fee scale?</w:t>
      </w:r>
    </w:p>
    <w:p w:rsidR="004D264C" w:rsidRPr="00E56AA3" w:rsidP="00447AA8" w14:paraId="7D43863F" w14:textId="23692D14">
      <w:pPr>
        <w:pStyle w:val="Stylebodytext-gphBold"/>
        <w:ind w:left="720"/>
        <w:rPr>
          <w:sz w:val="24"/>
          <w:szCs w:val="24"/>
        </w:rPr>
      </w:pPr>
      <w:r w:rsidRPr="00E56AA3">
        <w:rPr>
          <w:sz w:val="24"/>
          <w:szCs w:val="24"/>
        </w:rPr>
        <w:t xml:space="preserve">User’s </w:t>
      </w:r>
      <w:r w:rsidRPr="00E56AA3">
        <w:rPr>
          <w:sz w:val="24"/>
          <w:szCs w:val="24"/>
        </w:rPr>
        <w:t xml:space="preserve">Principal Health Insurance Coverage Status </w:t>
      </w:r>
      <w:r w:rsidRPr="00E56AA3">
        <w:rPr>
          <w:b w:val="0"/>
          <w:bCs w:val="0"/>
          <w:sz w:val="24"/>
          <w:szCs w:val="24"/>
        </w:rPr>
        <w:t>is a key indicator of health care access. Insured individuals are more likely than those without insurance to have a usual source of medical care and to receive timely, recommended, and needed health care</w:t>
      </w:r>
      <w:r w:rsidRPr="00992964">
        <w:rPr>
          <w:b w:val="0"/>
          <w:bCs w:val="0"/>
          <w:sz w:val="24"/>
          <w:szCs w:val="24"/>
        </w:rPr>
        <w:t>.</w:t>
      </w:r>
      <w:r w:rsidRPr="00992964" w:rsidR="00FB6C44">
        <w:rPr>
          <w:b w:val="0"/>
          <w:bCs w:val="0"/>
          <w:sz w:val="24"/>
          <w:szCs w:val="24"/>
          <w:vertAlign w:val="superscript"/>
        </w:rPr>
        <w:t>12</w:t>
      </w:r>
      <w:r w:rsidR="00BE0D77">
        <w:rPr>
          <w:b w:val="0"/>
          <w:bCs w:val="0"/>
          <w:sz w:val="24"/>
          <w:szCs w:val="24"/>
          <w:vertAlign w:val="superscript"/>
        </w:rPr>
        <w:t>,13</w:t>
      </w:r>
      <w:r w:rsidRPr="00507B20" w:rsidR="00FB6C44">
        <w:rPr>
          <w:sz w:val="24"/>
        </w:rPr>
        <w:t xml:space="preserve"> </w:t>
      </w:r>
      <w:r w:rsidRPr="00E56AA3">
        <w:rPr>
          <w:b w:val="0"/>
          <w:bCs w:val="0"/>
          <w:sz w:val="24"/>
          <w:szCs w:val="24"/>
        </w:rPr>
        <w:t xml:space="preserve">In </w:t>
      </w:r>
      <w:r w:rsidRPr="00E56AA3" w:rsidR="009569F7">
        <w:rPr>
          <w:b w:val="0"/>
          <w:bCs w:val="0"/>
          <w:sz w:val="24"/>
          <w:szCs w:val="24"/>
        </w:rPr>
        <w:t>20</w:t>
      </w:r>
      <w:r w:rsidR="009569F7">
        <w:rPr>
          <w:b w:val="0"/>
          <w:bCs w:val="0"/>
          <w:sz w:val="24"/>
          <w:szCs w:val="24"/>
        </w:rPr>
        <w:t>23</w:t>
      </w:r>
      <w:r w:rsidRPr="00E56AA3">
        <w:rPr>
          <w:b w:val="0"/>
          <w:bCs w:val="0"/>
          <w:sz w:val="24"/>
          <w:szCs w:val="24"/>
        </w:rPr>
        <w:t>, 5</w:t>
      </w:r>
      <w:r w:rsidRPr="00E56AA3" w:rsidR="00794178">
        <w:rPr>
          <w:b w:val="0"/>
          <w:bCs w:val="0"/>
          <w:sz w:val="24"/>
          <w:szCs w:val="24"/>
        </w:rPr>
        <w:t>8</w:t>
      </w:r>
      <w:r w:rsidRPr="00E56AA3">
        <w:rPr>
          <w:b w:val="0"/>
          <w:bCs w:val="0"/>
          <w:sz w:val="24"/>
          <w:szCs w:val="24"/>
        </w:rPr>
        <w:t>% (</w:t>
      </w:r>
      <w:r w:rsidRPr="00E56AA3" w:rsidR="00794178">
        <w:rPr>
          <w:b w:val="0"/>
          <w:bCs w:val="0"/>
          <w:sz w:val="24"/>
          <w:szCs w:val="24"/>
        </w:rPr>
        <w:t>1</w:t>
      </w:r>
      <w:r w:rsidRPr="00E56AA3">
        <w:rPr>
          <w:b w:val="0"/>
          <w:bCs w:val="0"/>
          <w:sz w:val="24"/>
          <w:szCs w:val="24"/>
        </w:rPr>
        <w:t>.</w:t>
      </w:r>
      <w:r w:rsidRPr="00E56AA3" w:rsidR="00794178">
        <w:rPr>
          <w:b w:val="0"/>
          <w:bCs w:val="0"/>
          <w:sz w:val="24"/>
          <w:szCs w:val="24"/>
        </w:rPr>
        <w:t>8</w:t>
      </w:r>
      <w:r w:rsidRPr="00E56AA3">
        <w:rPr>
          <w:b w:val="0"/>
          <w:bCs w:val="0"/>
          <w:sz w:val="24"/>
          <w:szCs w:val="24"/>
        </w:rPr>
        <w:t xml:space="preserve"> million) of family planning users had either public (</w:t>
      </w:r>
      <w:r w:rsidR="009569F7">
        <w:rPr>
          <w:b w:val="0"/>
          <w:bCs w:val="0"/>
          <w:sz w:val="24"/>
          <w:szCs w:val="24"/>
        </w:rPr>
        <w:t>67</w:t>
      </w:r>
      <w:r w:rsidRPr="00E56AA3">
        <w:rPr>
          <w:b w:val="0"/>
          <w:bCs w:val="0"/>
          <w:sz w:val="24"/>
          <w:szCs w:val="24"/>
        </w:rPr>
        <w:t xml:space="preserve">%, </w:t>
      </w:r>
      <w:r w:rsidR="009569F7">
        <w:rPr>
          <w:b w:val="0"/>
          <w:bCs w:val="0"/>
          <w:sz w:val="24"/>
          <w:szCs w:val="24"/>
        </w:rPr>
        <w:t>2.0</w:t>
      </w:r>
      <w:r w:rsidRPr="00E56AA3">
        <w:rPr>
          <w:b w:val="0"/>
          <w:bCs w:val="0"/>
          <w:sz w:val="24"/>
          <w:szCs w:val="24"/>
        </w:rPr>
        <w:t xml:space="preserve"> million) or private (</w:t>
      </w:r>
      <w:r w:rsidRPr="00E56AA3" w:rsidR="009569F7">
        <w:rPr>
          <w:b w:val="0"/>
          <w:bCs w:val="0"/>
          <w:sz w:val="24"/>
          <w:szCs w:val="24"/>
        </w:rPr>
        <w:t>2</w:t>
      </w:r>
      <w:r w:rsidR="009569F7">
        <w:rPr>
          <w:b w:val="0"/>
          <w:bCs w:val="0"/>
          <w:sz w:val="24"/>
          <w:szCs w:val="24"/>
        </w:rPr>
        <w:t>3</w:t>
      </w:r>
      <w:r w:rsidRPr="00E56AA3">
        <w:rPr>
          <w:b w:val="0"/>
          <w:bCs w:val="0"/>
          <w:sz w:val="24"/>
          <w:szCs w:val="24"/>
        </w:rPr>
        <w:t xml:space="preserve">%, </w:t>
      </w:r>
      <w:r w:rsidR="00F637DE">
        <w:rPr>
          <w:b w:val="0"/>
          <w:bCs w:val="0"/>
          <w:sz w:val="24"/>
          <w:szCs w:val="24"/>
        </w:rPr>
        <w:t>629,969</w:t>
      </w:r>
      <w:r w:rsidRPr="00E56AA3">
        <w:rPr>
          <w:b w:val="0"/>
          <w:bCs w:val="0"/>
          <w:sz w:val="24"/>
          <w:szCs w:val="24"/>
        </w:rPr>
        <w:t xml:space="preserve">) insurance covering broad primary medical care benefits; </w:t>
      </w:r>
      <w:r w:rsidR="00F637DE">
        <w:rPr>
          <w:b w:val="0"/>
          <w:bCs w:val="0"/>
          <w:sz w:val="24"/>
          <w:szCs w:val="24"/>
        </w:rPr>
        <w:t>27</w:t>
      </w:r>
      <w:r w:rsidRPr="00E56AA3">
        <w:rPr>
          <w:b w:val="0"/>
          <w:bCs w:val="0"/>
          <w:sz w:val="24"/>
          <w:szCs w:val="24"/>
        </w:rPr>
        <w:t>% (</w:t>
      </w:r>
      <w:r w:rsidR="00F637DE">
        <w:rPr>
          <w:b w:val="0"/>
          <w:bCs w:val="0"/>
          <w:sz w:val="24"/>
          <w:szCs w:val="24"/>
        </w:rPr>
        <w:t>752,034</w:t>
      </w:r>
      <w:r w:rsidRPr="00E56AA3">
        <w:rPr>
          <w:b w:val="0"/>
          <w:bCs w:val="0"/>
          <w:sz w:val="24"/>
          <w:szCs w:val="24"/>
        </w:rPr>
        <w:t xml:space="preserve"> million) were uninsured. Health insurance coverage status was unknown or not reported for </w:t>
      </w:r>
      <w:r w:rsidR="00F637DE">
        <w:rPr>
          <w:b w:val="0"/>
          <w:bCs w:val="0"/>
          <w:sz w:val="24"/>
          <w:szCs w:val="24"/>
        </w:rPr>
        <w:t>4</w:t>
      </w:r>
      <w:r w:rsidRPr="00E56AA3">
        <w:rPr>
          <w:b w:val="0"/>
          <w:bCs w:val="0"/>
          <w:sz w:val="24"/>
          <w:szCs w:val="24"/>
        </w:rPr>
        <w:t>% (</w:t>
      </w:r>
      <w:r w:rsidR="00F637DE">
        <w:rPr>
          <w:b w:val="0"/>
          <w:bCs w:val="0"/>
          <w:sz w:val="24"/>
          <w:szCs w:val="24"/>
        </w:rPr>
        <w:t>101,467</w:t>
      </w:r>
      <w:r w:rsidRPr="00E56AA3">
        <w:rPr>
          <w:b w:val="0"/>
          <w:bCs w:val="0"/>
          <w:sz w:val="24"/>
          <w:szCs w:val="24"/>
        </w:rPr>
        <w:t xml:space="preserve">) of users. In addition to serving as an indicator of health care </w:t>
      </w:r>
      <w:r w:rsidRPr="00E56AA3">
        <w:rPr>
          <w:b w:val="0"/>
          <w:bCs w:val="0"/>
          <w:sz w:val="24"/>
          <w:szCs w:val="24"/>
        </w:rPr>
        <w:t xml:space="preserve">access, health insurance status has important implications for project financing and sustainability. Identifying clients with health insurance allows providers to seek third-party payment for the full cost of care in accordance with program regulations. </w:t>
      </w:r>
      <w:r w:rsidR="00E43459">
        <w:rPr>
          <w:b w:val="0"/>
          <w:bCs w:val="0"/>
          <w:sz w:val="24"/>
          <w:szCs w:val="24"/>
        </w:rPr>
        <w:t>Family Planning Title X</w:t>
      </w:r>
      <w:r w:rsidRPr="00E56AA3" w:rsidR="00D16C3F">
        <w:rPr>
          <w:b w:val="0"/>
          <w:bCs w:val="0"/>
          <w:sz w:val="24"/>
          <w:szCs w:val="24"/>
        </w:rPr>
        <w:t xml:space="preserve"> service providers collect data </w:t>
      </w:r>
      <w:r w:rsidR="00E43459">
        <w:rPr>
          <w:b w:val="0"/>
          <w:bCs w:val="0"/>
          <w:sz w:val="24"/>
          <w:szCs w:val="24"/>
        </w:rPr>
        <w:t xml:space="preserve">for OPA </w:t>
      </w:r>
      <w:r w:rsidRPr="00E56AA3" w:rsidR="00D16C3F">
        <w:rPr>
          <w:b w:val="0"/>
          <w:bCs w:val="0"/>
          <w:sz w:val="24"/>
          <w:szCs w:val="24"/>
        </w:rPr>
        <w:t xml:space="preserve">to assess patterns and trends in clients’ health insurance </w:t>
      </w:r>
      <w:r w:rsidRPr="00E56AA3" w:rsidR="00D16C3F">
        <w:rPr>
          <w:b w:val="0"/>
          <w:bCs w:val="0"/>
          <w:sz w:val="24"/>
          <w:szCs w:val="24"/>
        </w:rPr>
        <w:t>status, and</w:t>
      </w:r>
      <w:r w:rsidRPr="00E56AA3" w:rsidR="00D16C3F">
        <w:rPr>
          <w:b w:val="0"/>
          <w:bCs w:val="0"/>
          <w:sz w:val="24"/>
          <w:szCs w:val="24"/>
        </w:rPr>
        <w:t xml:space="preserve"> identify opportunities and technical assistance needs among grantees and subrecipients. The data collected permit OPA to answer such questions as:</w:t>
      </w:r>
      <w:r w:rsidRPr="00E56AA3" w:rsidR="00D16C3F">
        <w:rPr>
          <w:sz w:val="24"/>
          <w:szCs w:val="24"/>
        </w:rPr>
        <w:t xml:space="preserve">  </w:t>
      </w:r>
    </w:p>
    <w:p w:rsidR="00D16C3F" w:rsidRPr="00E56AA3" w:rsidP="00447AA8" w14:paraId="3B338E7F" w14:textId="77777777">
      <w:pPr>
        <w:pStyle w:val="bodytext-gph"/>
        <w:numPr>
          <w:ilvl w:val="0"/>
          <w:numId w:val="38"/>
        </w:numPr>
        <w:ind w:left="1440"/>
        <w:rPr>
          <w:sz w:val="24"/>
          <w:szCs w:val="24"/>
        </w:rPr>
      </w:pPr>
      <w:r w:rsidRPr="00E56AA3">
        <w:rPr>
          <w:sz w:val="24"/>
          <w:szCs w:val="24"/>
        </w:rPr>
        <w:t xml:space="preserve">What percentage of family planning users is insured (i.e., has public or private health insurance covering broad primary medical care)? </w:t>
      </w:r>
    </w:p>
    <w:p w:rsidR="00683F89" w:rsidRPr="00E56AA3" w:rsidP="00447AA8" w14:paraId="4AFA8F7C" w14:textId="3D9E9978">
      <w:pPr>
        <w:pStyle w:val="bodytext-gph"/>
        <w:numPr>
          <w:ilvl w:val="0"/>
          <w:numId w:val="38"/>
        </w:numPr>
        <w:ind w:left="1440"/>
        <w:rPr>
          <w:sz w:val="24"/>
          <w:szCs w:val="24"/>
        </w:rPr>
      </w:pPr>
      <w:r w:rsidRPr="00E56AA3">
        <w:rPr>
          <w:sz w:val="24"/>
          <w:szCs w:val="24"/>
        </w:rPr>
        <w:t>What percentage of family planning users is uninsured (i.e., has no public or private health insurance covering broad primary medical car</w:t>
      </w:r>
      <w:r w:rsidR="00CB09A2">
        <w:rPr>
          <w:sz w:val="24"/>
          <w:szCs w:val="24"/>
        </w:rPr>
        <w:t>e)?</w:t>
      </w:r>
    </w:p>
    <w:p w:rsidR="00683F89" w:rsidRPr="00E56AA3" w:rsidP="00447AA8" w14:paraId="2789B637" w14:textId="00E5901C">
      <w:pPr>
        <w:pStyle w:val="bodytext-gph"/>
        <w:ind w:left="720"/>
        <w:rPr>
          <w:sz w:val="24"/>
          <w:szCs w:val="24"/>
        </w:rPr>
      </w:pPr>
      <w:r w:rsidRPr="00E56AA3">
        <w:rPr>
          <w:b/>
          <w:bCs/>
          <w:sz w:val="24"/>
          <w:szCs w:val="24"/>
        </w:rPr>
        <w:t>Limited English Proficiency (LEP)</w:t>
      </w:r>
      <w:r w:rsidRPr="00E56AA3" w:rsidR="005A1F84">
        <w:rPr>
          <w:b/>
          <w:bCs/>
          <w:sz w:val="24"/>
          <w:szCs w:val="24"/>
        </w:rPr>
        <w:t xml:space="preserve"> of the client</w:t>
      </w:r>
      <w:r w:rsidRPr="00E56AA3">
        <w:rPr>
          <w:sz w:val="24"/>
          <w:szCs w:val="24"/>
        </w:rPr>
        <w:t xml:space="preserve"> is </w:t>
      </w:r>
      <w:r w:rsidRPr="00E56AA3" w:rsidR="00D96D95">
        <w:rPr>
          <w:sz w:val="24"/>
          <w:szCs w:val="24"/>
        </w:rPr>
        <w:t>reported by grantees</w:t>
      </w:r>
      <w:r w:rsidRPr="00E56AA3">
        <w:rPr>
          <w:b/>
          <w:bCs/>
          <w:sz w:val="24"/>
          <w:szCs w:val="24"/>
        </w:rPr>
        <w:t xml:space="preserve"> </w:t>
      </w:r>
      <w:r w:rsidRPr="00E56AA3">
        <w:rPr>
          <w:sz w:val="24"/>
          <w:szCs w:val="24"/>
        </w:rPr>
        <w:t xml:space="preserve">in compliance with Title VI of the 1964 Civil Rights Act and Title VI </w:t>
      </w:r>
      <w:r w:rsidRPr="00E56AA3" w:rsidR="00983C21">
        <w:rPr>
          <w:sz w:val="24"/>
          <w:szCs w:val="24"/>
        </w:rPr>
        <w:t>regulations</w:t>
      </w:r>
      <w:r w:rsidR="00992964">
        <w:rPr>
          <w:sz w:val="24"/>
          <w:szCs w:val="24"/>
          <w:vertAlign w:val="superscript"/>
        </w:rPr>
        <w:t>1</w:t>
      </w:r>
      <w:r w:rsidR="00D01147">
        <w:rPr>
          <w:sz w:val="24"/>
          <w:szCs w:val="24"/>
          <w:vertAlign w:val="superscript"/>
        </w:rPr>
        <w:t>4</w:t>
      </w:r>
      <w:r w:rsidRPr="00E56AA3" w:rsidR="00983C21">
        <w:rPr>
          <w:sz w:val="24"/>
          <w:szCs w:val="24"/>
        </w:rPr>
        <w:t xml:space="preserve"> </w:t>
      </w:r>
      <w:r w:rsidRPr="00E56AA3">
        <w:rPr>
          <w:sz w:val="24"/>
          <w:szCs w:val="24"/>
        </w:rPr>
        <w:t xml:space="preserve">that require Title X service providers to ensure meaningful access to LEP clients who seek Title X-funded services. In the Title X setting, LEP users are those clients </w:t>
      </w:r>
      <w:r w:rsidRPr="00E56AA3">
        <w:rPr>
          <w:rStyle w:val="Emphasis"/>
          <w:i w:val="0"/>
          <w:sz w:val="24"/>
          <w:szCs w:val="24"/>
        </w:rPr>
        <w:t>who do not speak English as their primary language and who have a limited ability to read, write, speak, or understand English. Because of their limited English proficiency, LEP users derive little benefit from Title X family planning services and information provided in English.</w:t>
      </w:r>
      <w:r w:rsidRPr="00E56AA3">
        <w:rPr>
          <w:sz w:val="24"/>
          <w:szCs w:val="24"/>
        </w:rPr>
        <w:t xml:space="preserve"> The federal </w:t>
      </w:r>
      <w:r w:rsidRPr="00E56AA3" w:rsidR="00983C21">
        <w:rPr>
          <w:sz w:val="24"/>
          <w:szCs w:val="24"/>
        </w:rPr>
        <w:t>guidance</w:t>
      </w:r>
      <w:r w:rsidRPr="00A505F3" w:rsidR="00983C21">
        <w:rPr>
          <w:vertAlign w:val="superscript"/>
        </w:rPr>
        <w:t>1</w:t>
      </w:r>
      <w:r w:rsidR="00D01147">
        <w:rPr>
          <w:vertAlign w:val="superscript"/>
        </w:rPr>
        <w:t>4</w:t>
      </w:r>
      <w:r w:rsidRPr="00E56AA3" w:rsidR="00983C21">
        <w:rPr>
          <w:rStyle w:val="Hyperlink"/>
          <w:sz w:val="24"/>
          <w:szCs w:val="24"/>
          <w:u w:val="none"/>
          <w:vertAlign w:val="superscript"/>
        </w:rPr>
        <w:t xml:space="preserve"> </w:t>
      </w:r>
      <w:r w:rsidRPr="00E56AA3">
        <w:rPr>
          <w:sz w:val="24"/>
          <w:szCs w:val="24"/>
        </w:rPr>
        <w:t>in addressing the needs of LEP individuals who seek HHS-funded services lists four factors that are the basis for evaluating compliance: (1) the number or proportion of LEP persons eligible to be served or likely to be encountered by the program or grantee, (2) the frequency with which LEP individuals come in contact with the program, (3) the nature and importance of the recipient program activity or service, and (4) the resources available to the recipient and the cost of implementing language assistance measures. The LEP reporting requirement requires that Title X–funded agencies establish mechanisms for identifying and counting LEP individuals, thereby generating the data needed to assess language assistance needs and the adequacy of language assistance plans. OPA uses LEP data to assess the program’s compliance with regulations related to ensuring meaningful access to clients who have limited English proficiency and</w:t>
      </w:r>
      <w:hyperlink w:anchor="_ENREF_11" w:tooltip="Contract No. HHSP 233200800516, September 30, 2008-September 29, 2011 #582" w:history="1"/>
      <w:r w:rsidRPr="00E56AA3">
        <w:rPr>
          <w:sz w:val="24"/>
          <w:szCs w:val="24"/>
        </w:rPr>
        <w:t xml:space="preserve"> identify grantee technical assistance needs in the area of language assistance. The data </w:t>
      </w:r>
      <w:r w:rsidRPr="00E56AA3" w:rsidR="00D96D95">
        <w:rPr>
          <w:sz w:val="24"/>
          <w:szCs w:val="24"/>
        </w:rPr>
        <w:t>collected permit</w:t>
      </w:r>
      <w:r w:rsidRPr="00E56AA3">
        <w:rPr>
          <w:sz w:val="24"/>
          <w:szCs w:val="24"/>
        </w:rPr>
        <w:t xml:space="preserve"> OPA to answer the question: </w:t>
      </w:r>
    </w:p>
    <w:p w:rsidR="00683F89" w:rsidRPr="00E56AA3" w:rsidP="00447AA8" w14:paraId="09D526AC" w14:textId="7ED1D035">
      <w:pPr>
        <w:pStyle w:val="bodytext-gph"/>
        <w:numPr>
          <w:ilvl w:val="0"/>
          <w:numId w:val="38"/>
        </w:numPr>
        <w:ind w:left="1440"/>
        <w:rPr>
          <w:sz w:val="24"/>
          <w:szCs w:val="24"/>
        </w:rPr>
      </w:pPr>
      <w:r w:rsidRPr="00E56AA3">
        <w:rPr>
          <w:sz w:val="24"/>
          <w:szCs w:val="24"/>
        </w:rPr>
        <w:t xml:space="preserve">What percentage of Title X users </w:t>
      </w:r>
      <w:r w:rsidRPr="00E56AA3" w:rsidR="00A95BD2">
        <w:rPr>
          <w:sz w:val="24"/>
          <w:szCs w:val="24"/>
        </w:rPr>
        <w:t xml:space="preserve">report </w:t>
      </w:r>
      <w:r w:rsidRPr="00E56AA3">
        <w:rPr>
          <w:sz w:val="24"/>
          <w:szCs w:val="24"/>
        </w:rPr>
        <w:t>LEP and</w:t>
      </w:r>
      <w:r w:rsidRPr="00E56AA3" w:rsidR="00A95BD2">
        <w:rPr>
          <w:sz w:val="24"/>
          <w:szCs w:val="24"/>
        </w:rPr>
        <w:t xml:space="preserve"> are</w:t>
      </w:r>
      <w:r w:rsidRPr="00E56AA3">
        <w:rPr>
          <w:sz w:val="24"/>
          <w:szCs w:val="24"/>
        </w:rPr>
        <w:t xml:space="preserve"> best served in a language other than English?</w:t>
      </w:r>
    </w:p>
    <w:p w:rsidR="006F4F53" w:rsidRPr="00E56AA3" w:rsidP="00067119" w14:paraId="20B352E6" w14:textId="7AE6B951">
      <w:pPr>
        <w:pStyle w:val="Stylebodytext-gphBold"/>
        <w:ind w:left="720"/>
        <w:rPr>
          <w:sz w:val="24"/>
          <w:szCs w:val="24"/>
        </w:rPr>
      </w:pPr>
      <w:r w:rsidRPr="00E56AA3">
        <w:rPr>
          <w:sz w:val="24"/>
          <w:szCs w:val="24"/>
        </w:rPr>
        <w:t>Family planning method use (by sex and age)</w:t>
      </w:r>
      <w:r w:rsidRPr="00E56AA3">
        <w:rPr>
          <w:b w:val="0"/>
          <w:bCs w:val="0"/>
          <w:sz w:val="24"/>
          <w:szCs w:val="24"/>
        </w:rPr>
        <w:t xml:space="preserve"> </w:t>
      </w:r>
      <w:r w:rsidRPr="00E56AA3" w:rsidR="00D96D95">
        <w:rPr>
          <w:b w:val="0"/>
          <w:bCs w:val="0"/>
          <w:sz w:val="24"/>
          <w:szCs w:val="24"/>
        </w:rPr>
        <w:t>reported by grantees allow OPA to assess</w:t>
      </w:r>
      <w:r w:rsidRPr="00E56AA3">
        <w:rPr>
          <w:b w:val="0"/>
          <w:bCs w:val="0"/>
          <w:sz w:val="24"/>
          <w:szCs w:val="24"/>
        </w:rPr>
        <w:t xml:space="preserve"> patterns and trends in female and male contraceptive method use over time, monitor the availability and </w:t>
      </w:r>
      <w:r w:rsidRPr="00E56AA3" w:rsidR="00A95BD2">
        <w:rPr>
          <w:b w:val="0"/>
          <w:bCs w:val="0"/>
          <w:sz w:val="24"/>
          <w:szCs w:val="24"/>
        </w:rPr>
        <w:t xml:space="preserve">use </w:t>
      </w:r>
      <w:r w:rsidRPr="00E56AA3">
        <w:rPr>
          <w:b w:val="0"/>
          <w:bCs w:val="0"/>
          <w:sz w:val="24"/>
          <w:szCs w:val="24"/>
        </w:rPr>
        <w:t xml:space="preserve">of newer FDA–approved contraceptive technologies, and compare the program’s contraceptive method-mix with nationally representative data sources (e.g., </w:t>
      </w:r>
      <w:r w:rsidRPr="00E56AA3" w:rsidR="00F70BDC">
        <w:rPr>
          <w:b w:val="0"/>
          <w:bCs w:val="0"/>
          <w:sz w:val="24"/>
          <w:szCs w:val="24"/>
        </w:rPr>
        <w:t>National Survey of Family Growth</w:t>
      </w:r>
      <w:r w:rsidRPr="00E56AA3">
        <w:rPr>
          <w:b w:val="0"/>
          <w:bCs w:val="0"/>
          <w:sz w:val="24"/>
          <w:szCs w:val="24"/>
        </w:rPr>
        <w:t>).</w:t>
      </w:r>
      <w:r w:rsidR="00992964">
        <w:rPr>
          <w:b w:val="0"/>
          <w:bCs w:val="0"/>
          <w:sz w:val="24"/>
          <w:szCs w:val="24"/>
          <w:vertAlign w:val="superscript"/>
        </w:rPr>
        <w:t>1</w:t>
      </w:r>
      <w:r w:rsidR="00D01147">
        <w:rPr>
          <w:b w:val="0"/>
          <w:bCs w:val="0"/>
          <w:sz w:val="24"/>
          <w:szCs w:val="24"/>
          <w:vertAlign w:val="superscript"/>
        </w:rPr>
        <w:t>5</w:t>
      </w:r>
      <w:r w:rsidRPr="00A505F3">
        <w:rPr>
          <w:b w:val="0"/>
          <w:bCs w:val="0"/>
          <w:sz w:val="24"/>
          <w:szCs w:val="24"/>
          <w:vertAlign w:val="superscript"/>
        </w:rPr>
        <w:t xml:space="preserve"> </w:t>
      </w:r>
      <w:r w:rsidRPr="00E56AA3">
        <w:rPr>
          <w:b w:val="0"/>
          <w:bCs w:val="0"/>
          <w:sz w:val="24"/>
          <w:szCs w:val="24"/>
        </w:rPr>
        <w:t>The types of contraceptive methods (i.e., most effective) that providers offer may vary in terms of supply costs and service delivery requirements, thereby affecting overall project costs. Title X projects are required to provide a broad range of acceptable and effective, medically approved family planning methods (42 USC 300 and 42 CFR 59).</w:t>
      </w:r>
      <w:r w:rsidRPr="00001981" w:rsidR="00001981">
        <w:rPr>
          <w:b w:val="0"/>
          <w:bCs w:val="0"/>
          <w:noProof/>
          <w:sz w:val="24"/>
          <w:szCs w:val="24"/>
          <w:vertAlign w:val="superscript"/>
        </w:rPr>
        <w:t>1</w:t>
      </w:r>
      <w:r w:rsidRPr="00BE0D77" w:rsidR="00001981">
        <w:rPr>
          <w:rStyle w:val="Hyperlink"/>
          <w:b w:val="0"/>
          <w:bCs w:val="0"/>
          <w:noProof/>
          <w:color w:val="auto"/>
          <w:sz w:val="24"/>
          <w:szCs w:val="24"/>
          <w:u w:val="none"/>
          <w:vertAlign w:val="superscript"/>
        </w:rPr>
        <w:t>,</w:t>
      </w:r>
      <w:r w:rsidRPr="00001981" w:rsidR="00001981">
        <w:rPr>
          <w:b w:val="0"/>
          <w:bCs w:val="0"/>
          <w:noProof/>
          <w:sz w:val="24"/>
          <w:szCs w:val="24"/>
          <w:vertAlign w:val="superscript"/>
        </w:rPr>
        <w:t>3</w:t>
      </w:r>
      <w:r w:rsidRPr="00E56AA3">
        <w:rPr>
          <w:b w:val="0"/>
          <w:bCs w:val="0"/>
          <w:sz w:val="24"/>
          <w:szCs w:val="24"/>
        </w:rPr>
        <w:t xml:space="preserve"> The data </w:t>
      </w:r>
      <w:r w:rsidRPr="00E56AA3" w:rsidR="00D96D95">
        <w:rPr>
          <w:b w:val="0"/>
          <w:bCs w:val="0"/>
          <w:sz w:val="24"/>
          <w:szCs w:val="24"/>
        </w:rPr>
        <w:t>collected permit</w:t>
      </w:r>
      <w:r w:rsidRPr="00E56AA3">
        <w:rPr>
          <w:b w:val="0"/>
          <w:bCs w:val="0"/>
          <w:sz w:val="24"/>
          <w:szCs w:val="24"/>
        </w:rPr>
        <w:t xml:space="preserve"> OPA to monitor project financial concerns that may result from contraceptive supply issues and permit OPA to answer questions</w:t>
      </w:r>
      <w:r w:rsidRPr="00E56AA3" w:rsidR="000302E0">
        <w:rPr>
          <w:b w:val="0"/>
          <w:bCs w:val="0"/>
          <w:sz w:val="24"/>
          <w:szCs w:val="24"/>
        </w:rPr>
        <w:t xml:space="preserve"> such</w:t>
      </w:r>
      <w:r w:rsidRPr="00E56AA3">
        <w:rPr>
          <w:b w:val="0"/>
          <w:bCs w:val="0"/>
          <w:sz w:val="24"/>
          <w:szCs w:val="24"/>
        </w:rPr>
        <w:t xml:space="preserve"> as: </w:t>
      </w:r>
    </w:p>
    <w:p w:rsidR="006F4F53" w:rsidRPr="00E56AA3" w:rsidP="00067119" w14:paraId="1A8009A3" w14:textId="77777777">
      <w:pPr>
        <w:pStyle w:val="bodytext-gph"/>
        <w:numPr>
          <w:ilvl w:val="0"/>
          <w:numId w:val="38"/>
        </w:numPr>
        <w:rPr>
          <w:sz w:val="24"/>
          <w:szCs w:val="24"/>
        </w:rPr>
      </w:pPr>
      <w:r w:rsidRPr="00E56AA3">
        <w:rPr>
          <w:sz w:val="24"/>
          <w:szCs w:val="24"/>
        </w:rPr>
        <w:t xml:space="preserve">What are the patterns of contraceptive use (i.e., “method mix”) by method type or age group for female and male users? </w:t>
      </w:r>
    </w:p>
    <w:p w:rsidR="006F4F53" w:rsidRPr="00E56AA3" w:rsidP="00067119" w14:paraId="3CFE8204" w14:textId="1856C8D5">
      <w:pPr>
        <w:pStyle w:val="bodytext-gph"/>
        <w:numPr>
          <w:ilvl w:val="0"/>
          <w:numId w:val="38"/>
        </w:numPr>
        <w:rPr>
          <w:sz w:val="24"/>
          <w:szCs w:val="24"/>
        </w:rPr>
      </w:pPr>
      <w:r w:rsidRPr="00E56AA3">
        <w:rPr>
          <w:sz w:val="24"/>
          <w:szCs w:val="24"/>
        </w:rPr>
        <w:t>What percentage of female clients use contraception? What percentage of female clients rel</w:t>
      </w:r>
      <w:r w:rsidRPr="00E56AA3" w:rsidR="005826BA">
        <w:rPr>
          <w:sz w:val="24"/>
          <w:szCs w:val="24"/>
        </w:rPr>
        <w:t>y</w:t>
      </w:r>
      <w:r w:rsidRPr="00E56AA3">
        <w:rPr>
          <w:sz w:val="24"/>
          <w:szCs w:val="24"/>
        </w:rPr>
        <w:t xml:space="preserve"> on</w:t>
      </w:r>
      <w:r w:rsidR="00163D5A">
        <w:rPr>
          <w:sz w:val="24"/>
          <w:szCs w:val="24"/>
        </w:rPr>
        <w:t xml:space="preserve"> most,</w:t>
      </w:r>
      <w:r w:rsidRPr="00E56AA3">
        <w:rPr>
          <w:sz w:val="24"/>
          <w:szCs w:val="24"/>
        </w:rPr>
        <w:t xml:space="preserve"> moderately and </w:t>
      </w:r>
      <w:r w:rsidR="00163D5A">
        <w:rPr>
          <w:sz w:val="24"/>
          <w:szCs w:val="24"/>
        </w:rPr>
        <w:t>less</w:t>
      </w:r>
      <w:r w:rsidRPr="00E56AA3">
        <w:rPr>
          <w:sz w:val="24"/>
          <w:szCs w:val="24"/>
        </w:rPr>
        <w:t xml:space="preserve"> effective</w:t>
      </w:r>
      <w:r w:rsidR="00163D5A">
        <w:rPr>
          <w:sz w:val="24"/>
          <w:szCs w:val="24"/>
        </w:rPr>
        <w:t xml:space="preserve"> forms of</w:t>
      </w:r>
      <w:r w:rsidRPr="00E56AA3">
        <w:rPr>
          <w:sz w:val="24"/>
          <w:szCs w:val="24"/>
        </w:rPr>
        <w:t xml:space="preserve"> family planning methods? </w:t>
      </w:r>
    </w:p>
    <w:p w:rsidR="006F4F53" w:rsidRPr="00E56AA3" w:rsidP="00067119" w14:paraId="0ACE9817" w14:textId="536E4F1E">
      <w:pPr>
        <w:pStyle w:val="bodytext-gph"/>
        <w:numPr>
          <w:ilvl w:val="0"/>
          <w:numId w:val="38"/>
        </w:numPr>
        <w:rPr>
          <w:sz w:val="24"/>
          <w:szCs w:val="24"/>
        </w:rPr>
      </w:pPr>
      <w:r w:rsidRPr="00E56AA3">
        <w:rPr>
          <w:sz w:val="24"/>
          <w:szCs w:val="24"/>
        </w:rPr>
        <w:t xml:space="preserve">What percentage of female clients </w:t>
      </w:r>
      <w:r w:rsidRPr="00E56AA3" w:rsidR="005826BA">
        <w:rPr>
          <w:sz w:val="24"/>
          <w:szCs w:val="24"/>
        </w:rPr>
        <w:t>are</w:t>
      </w:r>
      <w:r w:rsidRPr="00E56AA3">
        <w:rPr>
          <w:sz w:val="24"/>
          <w:szCs w:val="24"/>
        </w:rPr>
        <w:t xml:space="preserve"> pregnant or seeking pregnancy?</w:t>
      </w:r>
      <w:r w:rsidRPr="00E56AA3">
        <w:rPr>
          <w:sz w:val="24"/>
          <w:szCs w:val="24"/>
        </w:rPr>
        <w:t xml:space="preserve"> </w:t>
      </w:r>
    </w:p>
    <w:p w:rsidR="00F62A23" w:rsidRPr="00E56AA3" w:rsidP="00067119" w14:paraId="64C4D364" w14:textId="5CC65B02">
      <w:pPr>
        <w:pStyle w:val="bodytext-gph"/>
        <w:ind w:left="720"/>
        <w:rPr>
          <w:sz w:val="24"/>
          <w:szCs w:val="24"/>
        </w:rPr>
      </w:pPr>
      <w:r w:rsidRPr="00E56AA3">
        <w:rPr>
          <w:b/>
          <w:bCs/>
          <w:sz w:val="24"/>
          <w:szCs w:val="24"/>
        </w:rPr>
        <w:t xml:space="preserve">Use of related preventive health services data </w:t>
      </w:r>
      <w:r w:rsidRPr="00E56AA3">
        <w:rPr>
          <w:sz w:val="24"/>
          <w:szCs w:val="24"/>
        </w:rPr>
        <w:t>are</w:t>
      </w:r>
      <w:r w:rsidRPr="00E56AA3" w:rsidR="00CF40D9">
        <w:rPr>
          <w:sz w:val="24"/>
          <w:szCs w:val="24"/>
        </w:rPr>
        <w:t xml:space="preserve"> </w:t>
      </w:r>
      <w:r w:rsidRPr="00E56AA3" w:rsidR="00E701C5">
        <w:rPr>
          <w:sz w:val="24"/>
          <w:szCs w:val="24"/>
        </w:rPr>
        <w:t xml:space="preserve">reported by grantees </w:t>
      </w:r>
      <w:r w:rsidRPr="00E56AA3" w:rsidR="00CF40D9">
        <w:rPr>
          <w:sz w:val="24"/>
          <w:szCs w:val="24"/>
        </w:rPr>
        <w:t>as</w:t>
      </w:r>
      <w:r w:rsidRPr="00E56AA3">
        <w:rPr>
          <w:sz w:val="24"/>
          <w:szCs w:val="24"/>
        </w:rPr>
        <w:t xml:space="preserve"> required by Title X regulation </w:t>
      </w:r>
      <w:r w:rsidR="00792986">
        <w:rPr>
          <w:sz w:val="24"/>
          <w:szCs w:val="24"/>
        </w:rPr>
        <w:t>(</w:t>
      </w:r>
      <w:r w:rsidRPr="00E56AA3">
        <w:rPr>
          <w:sz w:val="24"/>
          <w:szCs w:val="24"/>
        </w:rPr>
        <w:t>42 CFR 59</w:t>
      </w:r>
      <w:r w:rsidR="00792986">
        <w:rPr>
          <w:sz w:val="24"/>
          <w:szCs w:val="24"/>
        </w:rPr>
        <w:t>)</w:t>
      </w:r>
      <w:r w:rsidRPr="00E56AA3" w:rsidR="00792986">
        <w:rPr>
          <w:sz w:val="24"/>
          <w:szCs w:val="24"/>
        </w:rPr>
        <w:t>.</w:t>
      </w:r>
      <w:r w:rsidRPr="00001981" w:rsidR="00001981">
        <w:rPr>
          <w:noProof/>
          <w:sz w:val="24"/>
          <w:szCs w:val="24"/>
          <w:vertAlign w:val="superscript"/>
        </w:rPr>
        <w:t>3</w:t>
      </w:r>
      <w:r w:rsidRPr="00E56AA3">
        <w:rPr>
          <w:sz w:val="24"/>
          <w:szCs w:val="24"/>
        </w:rPr>
        <w:t xml:space="preserve"> This includes the number of cervical cancer screening</w:t>
      </w:r>
      <w:r w:rsidRPr="00E56AA3" w:rsidR="006E2EEF">
        <w:rPr>
          <w:sz w:val="24"/>
          <w:szCs w:val="24"/>
        </w:rPr>
        <w:t>s</w:t>
      </w:r>
      <w:r w:rsidRPr="00E56AA3">
        <w:rPr>
          <w:sz w:val="24"/>
          <w:szCs w:val="24"/>
        </w:rPr>
        <w:t xml:space="preserve">, and referrals (female users only), tests for </w:t>
      </w:r>
      <w:r w:rsidRPr="00E56AA3" w:rsidR="005826BA">
        <w:rPr>
          <w:sz w:val="24"/>
          <w:szCs w:val="24"/>
        </w:rPr>
        <w:t>STDs</w:t>
      </w:r>
      <w:r w:rsidRPr="00E56AA3">
        <w:rPr>
          <w:sz w:val="24"/>
          <w:szCs w:val="24"/>
        </w:rPr>
        <w:t xml:space="preserve">—for example, chlamydia, gonorrhea, syphilis, and HIV. OPA </w:t>
      </w:r>
      <w:r w:rsidRPr="00E56AA3" w:rsidR="00CF40D9">
        <w:rPr>
          <w:sz w:val="24"/>
          <w:szCs w:val="24"/>
        </w:rPr>
        <w:t>monitors</w:t>
      </w:r>
      <w:r w:rsidRPr="00E56AA3">
        <w:rPr>
          <w:sz w:val="24"/>
          <w:szCs w:val="24"/>
        </w:rPr>
        <w:t xml:space="preserve"> these data for the program’s implementation of early detection and prevention of cancers, efforts to reduce infertility through chlamydia screening, </w:t>
      </w:r>
      <w:r w:rsidRPr="00E56AA3">
        <w:rPr>
          <w:sz w:val="24"/>
          <w:szCs w:val="24"/>
        </w:rPr>
        <w:t>adoption</w:t>
      </w:r>
      <w:r w:rsidRPr="00E56AA3">
        <w:rPr>
          <w:sz w:val="24"/>
          <w:szCs w:val="24"/>
        </w:rPr>
        <w:t xml:space="preserve"> and adherence to changing screening guidelines</w:t>
      </w:r>
      <w:r w:rsidRPr="00E56AA3" w:rsidR="00CF40D9">
        <w:rPr>
          <w:sz w:val="24"/>
          <w:szCs w:val="24"/>
        </w:rPr>
        <w:t>, as well as delivery of the number of positive ST</w:t>
      </w:r>
      <w:r w:rsidRPr="00E56AA3" w:rsidR="005826BA">
        <w:rPr>
          <w:sz w:val="24"/>
          <w:szCs w:val="24"/>
        </w:rPr>
        <w:t>D</w:t>
      </w:r>
      <w:r w:rsidRPr="00E56AA3" w:rsidR="00CF40D9">
        <w:rPr>
          <w:sz w:val="24"/>
          <w:szCs w:val="24"/>
        </w:rPr>
        <w:t xml:space="preserve"> tests</w:t>
      </w:r>
      <w:r w:rsidRPr="00E56AA3">
        <w:rPr>
          <w:sz w:val="24"/>
          <w:szCs w:val="24"/>
        </w:rPr>
        <w:t>.</w:t>
      </w:r>
      <w:r w:rsidRPr="00E56AA3">
        <w:rPr>
          <w:sz w:val="24"/>
          <w:szCs w:val="24"/>
        </w:rPr>
        <w:t xml:space="preserve"> </w:t>
      </w:r>
      <w:r w:rsidRPr="00E56AA3" w:rsidR="00D96D95">
        <w:rPr>
          <w:sz w:val="24"/>
          <w:szCs w:val="24"/>
        </w:rPr>
        <w:t>The data collected permit</w:t>
      </w:r>
      <w:r w:rsidRPr="00E56AA3">
        <w:rPr>
          <w:sz w:val="24"/>
          <w:szCs w:val="24"/>
        </w:rPr>
        <w:t xml:space="preserve"> OPA to answer </w:t>
      </w:r>
      <w:r w:rsidRPr="00E56AA3" w:rsidR="000302E0">
        <w:rPr>
          <w:sz w:val="24"/>
          <w:szCs w:val="24"/>
        </w:rPr>
        <w:t xml:space="preserve">such </w:t>
      </w:r>
      <w:r w:rsidRPr="00E56AA3">
        <w:rPr>
          <w:sz w:val="24"/>
          <w:szCs w:val="24"/>
        </w:rPr>
        <w:t>questions as:</w:t>
      </w:r>
    </w:p>
    <w:p w:rsidR="00F62A23" w:rsidRPr="00E56AA3" w:rsidP="00067119" w14:paraId="75A2D9FB" w14:textId="5CAF666F">
      <w:pPr>
        <w:pStyle w:val="bodytext-gph"/>
        <w:numPr>
          <w:ilvl w:val="0"/>
          <w:numId w:val="38"/>
        </w:numPr>
        <w:rPr>
          <w:sz w:val="24"/>
          <w:szCs w:val="24"/>
        </w:rPr>
      </w:pPr>
      <w:r w:rsidRPr="00E56AA3">
        <w:rPr>
          <w:sz w:val="24"/>
          <w:szCs w:val="24"/>
        </w:rPr>
        <w:t xml:space="preserve">Of the total number of Pap tests performed, what percentage </w:t>
      </w:r>
      <w:r w:rsidRPr="00E56AA3" w:rsidR="005826BA">
        <w:rPr>
          <w:sz w:val="24"/>
          <w:szCs w:val="24"/>
        </w:rPr>
        <w:t>were</w:t>
      </w:r>
      <w:r w:rsidRPr="00E56AA3">
        <w:rPr>
          <w:sz w:val="24"/>
          <w:szCs w:val="24"/>
        </w:rPr>
        <w:t xml:space="preserve"> abnormal and requires further follow-up? </w:t>
      </w:r>
    </w:p>
    <w:p w:rsidR="00F62A23" w:rsidRPr="00E56AA3" w:rsidP="00067119" w14:paraId="3A41CEAA" w14:textId="77777777">
      <w:pPr>
        <w:pStyle w:val="bodytext-gph"/>
        <w:numPr>
          <w:ilvl w:val="0"/>
          <w:numId w:val="38"/>
        </w:numPr>
        <w:rPr>
          <w:sz w:val="24"/>
          <w:szCs w:val="24"/>
        </w:rPr>
      </w:pPr>
      <w:r w:rsidRPr="00E56AA3">
        <w:rPr>
          <w:sz w:val="24"/>
          <w:szCs w:val="24"/>
        </w:rPr>
        <w:t>How many gonorrhea and syphilis tests were performed?</w:t>
      </w:r>
    </w:p>
    <w:p w:rsidR="00F62A23" w:rsidRPr="00E56AA3" w:rsidP="00067119" w14:paraId="09A214D8" w14:textId="77777777">
      <w:pPr>
        <w:pStyle w:val="bodytext-gph"/>
        <w:numPr>
          <w:ilvl w:val="0"/>
          <w:numId w:val="38"/>
        </w:numPr>
        <w:rPr>
          <w:sz w:val="24"/>
          <w:szCs w:val="24"/>
        </w:rPr>
      </w:pPr>
      <w:r w:rsidRPr="00E56AA3">
        <w:rPr>
          <w:sz w:val="24"/>
          <w:szCs w:val="24"/>
        </w:rPr>
        <w:t>How many anonymous HIV tests were performed?</w:t>
      </w:r>
    </w:p>
    <w:p w:rsidR="00F62A23" w:rsidRPr="00E56AA3" w:rsidP="00067119" w14:paraId="2A066814" w14:textId="559414DC">
      <w:pPr>
        <w:pStyle w:val="bodytext-gph"/>
        <w:numPr>
          <w:ilvl w:val="0"/>
          <w:numId w:val="38"/>
        </w:numPr>
        <w:rPr>
          <w:sz w:val="24"/>
          <w:szCs w:val="24"/>
        </w:rPr>
      </w:pPr>
      <w:r w:rsidRPr="00E56AA3">
        <w:rPr>
          <w:sz w:val="24"/>
          <w:szCs w:val="24"/>
        </w:rPr>
        <w:t>How many confidential HIV tests</w:t>
      </w:r>
      <w:r w:rsidRPr="00E56AA3" w:rsidR="005826BA">
        <w:rPr>
          <w:sz w:val="24"/>
          <w:szCs w:val="24"/>
        </w:rPr>
        <w:t xml:space="preserve"> we</w:t>
      </w:r>
      <w:r w:rsidRPr="00E56AA3">
        <w:rPr>
          <w:sz w:val="24"/>
          <w:szCs w:val="24"/>
        </w:rPr>
        <w:t>re positive?</w:t>
      </w:r>
    </w:p>
    <w:p w:rsidR="00047A3E" w:rsidP="007B7947" w14:paraId="02E3ABBB" w14:textId="77777777">
      <w:pPr>
        <w:pStyle w:val="bodytext-gph"/>
        <w:rPr>
          <w:b/>
          <w:bCs/>
          <w:sz w:val="24"/>
          <w:szCs w:val="24"/>
        </w:rPr>
      </w:pPr>
    </w:p>
    <w:p w:rsidR="00F62A23" w:rsidRPr="00E56AA3" w:rsidP="007B7947" w14:paraId="53043DD4" w14:textId="54635C95">
      <w:pPr>
        <w:pStyle w:val="bodytext-gph"/>
        <w:rPr>
          <w:sz w:val="24"/>
          <w:szCs w:val="24"/>
        </w:rPr>
      </w:pPr>
      <w:r w:rsidRPr="00E56AA3">
        <w:rPr>
          <w:b/>
          <w:bCs/>
          <w:sz w:val="24"/>
          <w:szCs w:val="24"/>
        </w:rPr>
        <w:t>Number of family planning encounters by provider type</w:t>
      </w:r>
      <w:r w:rsidRPr="00E56AA3">
        <w:rPr>
          <w:sz w:val="24"/>
          <w:szCs w:val="24"/>
        </w:rPr>
        <w:t xml:space="preserve"> (i.e., physicians, physician assistants, nurse practitioners, certified nurse midwives, and registered nurses with an expanded scope of practice) </w:t>
      </w:r>
      <w:r w:rsidRPr="00E56AA3" w:rsidR="001F3D41">
        <w:rPr>
          <w:sz w:val="24"/>
          <w:szCs w:val="24"/>
        </w:rPr>
        <w:t xml:space="preserve">are </w:t>
      </w:r>
      <w:r w:rsidRPr="00E56AA3" w:rsidR="00D96D95">
        <w:rPr>
          <w:sz w:val="24"/>
          <w:szCs w:val="24"/>
        </w:rPr>
        <w:t>reported by grantees to help OPA monitor patterns and trends in service utilization</w:t>
      </w:r>
      <w:r w:rsidRPr="00E56AA3" w:rsidR="009A3CA8">
        <w:rPr>
          <w:sz w:val="24"/>
          <w:szCs w:val="24"/>
        </w:rPr>
        <w:t xml:space="preserve"> </w:t>
      </w:r>
      <w:r w:rsidRPr="00E56AA3" w:rsidR="00D96D95">
        <w:rPr>
          <w:sz w:val="24"/>
          <w:szCs w:val="24"/>
        </w:rPr>
        <w:t xml:space="preserve">and to respond to frequently asked questions about the types of clinical services providers </w:t>
      </w:r>
      <w:r w:rsidRPr="00E56AA3" w:rsidR="00FF65B3">
        <w:rPr>
          <w:sz w:val="24"/>
          <w:szCs w:val="24"/>
        </w:rPr>
        <w:t xml:space="preserve">(CSPs) </w:t>
      </w:r>
      <w:r w:rsidRPr="00E56AA3" w:rsidR="00D96D95">
        <w:rPr>
          <w:sz w:val="24"/>
          <w:szCs w:val="24"/>
        </w:rPr>
        <w:t xml:space="preserve">that deliver Title X-funded care. The data collected permit OPA </w:t>
      </w:r>
      <w:r w:rsidRPr="00E56AA3" w:rsidR="00A94804">
        <w:rPr>
          <w:sz w:val="24"/>
          <w:szCs w:val="24"/>
        </w:rPr>
        <w:t xml:space="preserve">to </w:t>
      </w:r>
      <w:r w:rsidRPr="00E56AA3" w:rsidR="00D96D95">
        <w:rPr>
          <w:sz w:val="24"/>
          <w:szCs w:val="24"/>
        </w:rPr>
        <w:t xml:space="preserve">answer </w:t>
      </w:r>
      <w:r w:rsidRPr="00E56AA3" w:rsidR="000302E0">
        <w:rPr>
          <w:sz w:val="24"/>
          <w:szCs w:val="24"/>
        </w:rPr>
        <w:t xml:space="preserve">such </w:t>
      </w:r>
      <w:r w:rsidRPr="00E56AA3" w:rsidR="00D96D95">
        <w:rPr>
          <w:sz w:val="24"/>
          <w:szCs w:val="24"/>
        </w:rPr>
        <w:t>question</w:t>
      </w:r>
      <w:r w:rsidRPr="00E56AA3" w:rsidR="000302E0">
        <w:rPr>
          <w:sz w:val="24"/>
          <w:szCs w:val="24"/>
        </w:rPr>
        <w:t xml:space="preserve">s </w:t>
      </w:r>
      <w:r w:rsidRPr="00E56AA3" w:rsidR="00D96D95">
        <w:rPr>
          <w:sz w:val="24"/>
          <w:szCs w:val="24"/>
        </w:rPr>
        <w:t>as:</w:t>
      </w:r>
    </w:p>
    <w:p w:rsidR="000302E0" w:rsidRPr="00E56AA3" w:rsidP="00370534" w14:paraId="7F940AAC" w14:textId="37DCAB83">
      <w:pPr>
        <w:pStyle w:val="bodytext-gph"/>
        <w:numPr>
          <w:ilvl w:val="0"/>
          <w:numId w:val="38"/>
        </w:numPr>
        <w:rPr>
          <w:sz w:val="24"/>
          <w:szCs w:val="24"/>
        </w:rPr>
      </w:pPr>
      <w:r w:rsidRPr="00E56AA3">
        <w:rPr>
          <w:sz w:val="24"/>
          <w:szCs w:val="24"/>
        </w:rPr>
        <w:t xml:space="preserve">What percentage of family planning encounters do CSPs </w:t>
      </w:r>
      <w:r w:rsidRPr="00E56AA3" w:rsidR="00A94804">
        <w:rPr>
          <w:sz w:val="24"/>
          <w:szCs w:val="24"/>
        </w:rPr>
        <w:t>deliver</w:t>
      </w:r>
      <w:r w:rsidRPr="00E56AA3">
        <w:rPr>
          <w:sz w:val="24"/>
          <w:szCs w:val="24"/>
        </w:rPr>
        <w:t xml:space="preserve">? What percentage of encounters do other service providers </w:t>
      </w:r>
      <w:r w:rsidRPr="00E56AA3" w:rsidR="00213A41">
        <w:rPr>
          <w:sz w:val="24"/>
          <w:szCs w:val="24"/>
        </w:rPr>
        <w:t>deliver</w:t>
      </w:r>
      <w:r w:rsidRPr="00E56AA3">
        <w:rPr>
          <w:sz w:val="24"/>
          <w:szCs w:val="24"/>
        </w:rPr>
        <w:t>?</w:t>
      </w:r>
    </w:p>
    <w:p w:rsidR="004D5AE8" w:rsidRPr="00E56AA3" w:rsidP="00244246" w14:paraId="63B30326" w14:textId="19B6A45F">
      <w:pPr>
        <w:pStyle w:val="Stylebodytext-gphBold"/>
        <w:rPr>
          <w:sz w:val="24"/>
          <w:szCs w:val="24"/>
          <w:u w:val="single"/>
        </w:rPr>
      </w:pPr>
      <w:r w:rsidRPr="00E56AA3">
        <w:rPr>
          <w:sz w:val="24"/>
          <w:szCs w:val="24"/>
          <w:u w:val="single"/>
        </w:rPr>
        <w:t xml:space="preserve">Grantee Profile Cover Sheet </w:t>
      </w:r>
    </w:p>
    <w:p w:rsidR="00D832DD" w:rsidRPr="00E56AA3" w:rsidP="00D832DD" w14:paraId="658CA291" w14:textId="6C6FE2BE">
      <w:pPr>
        <w:pStyle w:val="bodytext-gph"/>
        <w:rPr>
          <w:sz w:val="24"/>
          <w:szCs w:val="24"/>
        </w:rPr>
      </w:pPr>
      <w:r w:rsidRPr="00E56AA3">
        <w:rPr>
          <w:sz w:val="24"/>
          <w:szCs w:val="24"/>
        </w:rPr>
        <w:t xml:space="preserve">The Grantee Profile Cover Sheet identifies the grantee organization, person(s) responsible for overseeing the Title X grant and preparation of the report, and the </w:t>
      </w:r>
      <w:r w:rsidRPr="00E56AA3">
        <w:rPr>
          <w:sz w:val="24"/>
          <w:szCs w:val="24"/>
        </w:rPr>
        <w:t>time period</w:t>
      </w:r>
      <w:r w:rsidRPr="00E56AA3">
        <w:rPr>
          <w:sz w:val="24"/>
          <w:szCs w:val="24"/>
        </w:rPr>
        <w:t xml:space="preserve"> covered by the report. The cover sheet also collects information on the number of Title X </w:t>
      </w:r>
      <w:r w:rsidRPr="00E56AA3">
        <w:rPr>
          <w:sz w:val="24"/>
          <w:szCs w:val="24"/>
        </w:rPr>
        <w:t>subrecipients</w:t>
      </w:r>
      <w:r w:rsidRPr="00E56AA3">
        <w:rPr>
          <w:sz w:val="24"/>
          <w:szCs w:val="24"/>
        </w:rPr>
        <w:t xml:space="preserve"> and service delivery sites supported by the grant. </w:t>
      </w:r>
      <w:r w:rsidRPr="00E56AA3" w:rsidR="006E117E">
        <w:rPr>
          <w:sz w:val="24"/>
          <w:szCs w:val="24"/>
        </w:rPr>
        <w:t xml:space="preserve">This information will be automatically populated in the Grantee Profile Cover Sheet based on </w:t>
      </w:r>
      <w:r w:rsidRPr="00E56AA3" w:rsidR="007904D9">
        <w:rPr>
          <w:sz w:val="24"/>
          <w:szCs w:val="24"/>
        </w:rPr>
        <w:t xml:space="preserve">previous information provided by the grantee </w:t>
      </w:r>
      <w:r w:rsidRPr="00E56AA3" w:rsidR="00130498">
        <w:rPr>
          <w:sz w:val="24"/>
          <w:szCs w:val="24"/>
        </w:rPr>
        <w:t xml:space="preserve">to </w:t>
      </w:r>
      <w:r w:rsidRPr="00E56AA3" w:rsidR="007904D9">
        <w:rPr>
          <w:sz w:val="24"/>
          <w:szCs w:val="24"/>
        </w:rPr>
        <w:t>OPA. If there is an error in the pre-populated fields,</w:t>
      </w:r>
      <w:r w:rsidRPr="00E56AA3" w:rsidR="00130498">
        <w:rPr>
          <w:sz w:val="24"/>
          <w:szCs w:val="24"/>
        </w:rPr>
        <w:t xml:space="preserve"> the grantee may</w:t>
      </w:r>
      <w:r w:rsidRPr="00E56AA3" w:rsidR="007904D9">
        <w:rPr>
          <w:sz w:val="24"/>
          <w:szCs w:val="24"/>
        </w:rPr>
        <w:t xml:space="preserve"> enter the corrected information in the Grantee Profile Cover Sheet “Note” field and notify the </w:t>
      </w:r>
      <w:r w:rsidRPr="00E56AA3" w:rsidR="00130498">
        <w:rPr>
          <w:sz w:val="24"/>
          <w:szCs w:val="24"/>
        </w:rPr>
        <w:t>program officer (</w:t>
      </w:r>
      <w:r w:rsidRPr="00E56AA3" w:rsidR="007904D9">
        <w:rPr>
          <w:sz w:val="24"/>
          <w:szCs w:val="24"/>
        </w:rPr>
        <w:t>PO</w:t>
      </w:r>
      <w:r w:rsidRPr="00E56AA3" w:rsidR="00130498">
        <w:rPr>
          <w:sz w:val="24"/>
          <w:szCs w:val="24"/>
        </w:rPr>
        <w:t>)</w:t>
      </w:r>
      <w:r w:rsidRPr="00E56AA3" w:rsidR="007904D9">
        <w:rPr>
          <w:sz w:val="24"/>
          <w:szCs w:val="24"/>
        </w:rPr>
        <w:t xml:space="preserve"> that key grant information has changed</w:t>
      </w:r>
      <w:r w:rsidRPr="00E56AA3">
        <w:rPr>
          <w:sz w:val="24"/>
          <w:szCs w:val="24"/>
        </w:rPr>
        <w:t xml:space="preserve">. </w:t>
      </w:r>
    </w:p>
    <w:p w:rsidR="004F5DED" w:rsidRPr="00E56AA3" w:rsidP="004F5DED" w14:paraId="1D6FB71C" w14:textId="3B1AD43C">
      <w:pPr>
        <w:pStyle w:val="bodytext-gph"/>
        <w:rPr>
          <w:b/>
          <w:bCs/>
          <w:sz w:val="24"/>
          <w:szCs w:val="24"/>
          <w:u w:val="single"/>
        </w:rPr>
      </w:pPr>
      <w:r w:rsidRPr="00E56AA3">
        <w:rPr>
          <w:b/>
          <w:bCs/>
          <w:sz w:val="24"/>
          <w:szCs w:val="24"/>
          <w:u w:val="single"/>
        </w:rPr>
        <w:t xml:space="preserve">Project </w:t>
      </w:r>
      <w:r w:rsidRPr="00E56AA3" w:rsidR="006345F2">
        <w:rPr>
          <w:b/>
          <w:bCs/>
          <w:sz w:val="24"/>
          <w:szCs w:val="24"/>
          <w:u w:val="single"/>
        </w:rPr>
        <w:t>R</w:t>
      </w:r>
      <w:r w:rsidRPr="00E56AA3">
        <w:rPr>
          <w:b/>
          <w:bCs/>
          <w:sz w:val="24"/>
          <w:szCs w:val="24"/>
          <w:u w:val="single"/>
        </w:rPr>
        <w:t xml:space="preserve">evenue </w:t>
      </w:r>
    </w:p>
    <w:p w:rsidR="004F5DED" w:rsidRPr="00E56AA3" w:rsidP="00370534" w14:paraId="503ADD94" w14:textId="70E2B928">
      <w:pPr>
        <w:pStyle w:val="bodytext-gph"/>
        <w:rPr>
          <w:sz w:val="24"/>
          <w:szCs w:val="24"/>
        </w:rPr>
      </w:pPr>
      <w:r w:rsidRPr="00E56AA3">
        <w:rPr>
          <w:sz w:val="24"/>
          <w:szCs w:val="24"/>
        </w:rPr>
        <w:t xml:space="preserve">Project revenue (i.e., actual cash receipts or drawdown amounts) is reported by grantees during the reporting period from each funding source to support activities within the scope of the grantee’s approved Title X services grant, even if the funds are not expended during the </w:t>
      </w:r>
      <w:r w:rsidRPr="00E56AA3">
        <w:rPr>
          <w:sz w:val="24"/>
          <w:szCs w:val="24"/>
        </w:rPr>
        <w:t xml:space="preserve">reporting period. Title X </w:t>
      </w:r>
      <w:r w:rsidRPr="00E56AA3" w:rsidR="00213A41">
        <w:rPr>
          <w:sz w:val="24"/>
          <w:szCs w:val="24"/>
        </w:rPr>
        <w:t>Family Planning S</w:t>
      </w:r>
      <w:r w:rsidRPr="00E56AA3">
        <w:rPr>
          <w:sz w:val="24"/>
          <w:szCs w:val="24"/>
        </w:rPr>
        <w:t>ervices grantees are required to maintain a financial management system that meets the standards for administering grants, as specified in 45 CFR Part 74</w:t>
      </w:r>
      <w:r w:rsidR="000E23D4">
        <w:rPr>
          <w:noProof/>
          <w:sz w:val="24"/>
          <w:szCs w:val="24"/>
          <w:vertAlign w:val="superscript"/>
        </w:rPr>
        <w:t>5</w:t>
      </w:r>
      <w:r w:rsidRPr="00E56AA3">
        <w:rPr>
          <w:sz w:val="24"/>
          <w:szCs w:val="24"/>
        </w:rPr>
        <w:t xml:space="preserve"> and 45 CFR Part 92,</w:t>
      </w:r>
      <w:r w:rsidR="000E23D4">
        <w:rPr>
          <w:noProof/>
          <w:sz w:val="24"/>
          <w:szCs w:val="24"/>
          <w:vertAlign w:val="superscript"/>
        </w:rPr>
        <w:t>6</w:t>
      </w:r>
      <w:r w:rsidRPr="00E56AA3">
        <w:rPr>
          <w:sz w:val="24"/>
          <w:szCs w:val="24"/>
        </w:rPr>
        <w:t xml:space="preserve"> </w:t>
      </w:r>
      <w:r w:rsidRPr="00E56AA3" w:rsidR="007E3B86">
        <w:rPr>
          <w:sz w:val="24"/>
          <w:szCs w:val="24"/>
        </w:rPr>
        <w:t>as well as</w:t>
      </w:r>
      <w:r w:rsidRPr="00E56AA3">
        <w:rPr>
          <w:sz w:val="24"/>
          <w:szCs w:val="24"/>
        </w:rPr>
        <w:t xml:space="preserve"> document and keep records of all income and expenditures. OPA use</w:t>
      </w:r>
      <w:r w:rsidR="00E43459">
        <w:rPr>
          <w:sz w:val="24"/>
          <w:szCs w:val="24"/>
        </w:rPr>
        <w:t>s</w:t>
      </w:r>
      <w:r w:rsidRPr="00E56AA3">
        <w:rPr>
          <w:sz w:val="24"/>
          <w:szCs w:val="24"/>
        </w:rPr>
        <w:t xml:space="preserve"> the revenue data to monitor patterns and trends in the amount of Title X project revenue from all sources and at all program levels. The data collected permit OPA to answer such questions as the following: </w:t>
      </w:r>
    </w:p>
    <w:p w:rsidR="004F5DED" w:rsidRPr="00E56AA3" w:rsidP="004F5DED" w14:paraId="7D5350D3" w14:textId="77777777">
      <w:pPr>
        <w:pStyle w:val="Style115ptBlackBefore6ptLinespacingAtleast14pt1"/>
        <w:numPr>
          <w:ilvl w:val="0"/>
          <w:numId w:val="38"/>
        </w:numPr>
        <w:rPr>
          <w:sz w:val="24"/>
          <w:szCs w:val="24"/>
        </w:rPr>
      </w:pPr>
      <w:r w:rsidRPr="00E56AA3">
        <w:rPr>
          <w:sz w:val="24"/>
          <w:szCs w:val="24"/>
        </w:rPr>
        <w:t xml:space="preserve">What is the composition of revenue, by source, reported by Title X family planning projects (e.g., Title X, Medicaid, private third-party, </w:t>
      </w:r>
      <w:r w:rsidRPr="00E56AA3">
        <w:rPr>
          <w:sz w:val="24"/>
          <w:szCs w:val="24"/>
        </w:rPr>
        <w:t>state</w:t>
      </w:r>
      <w:r w:rsidRPr="00E56AA3">
        <w:rPr>
          <w:sz w:val="24"/>
          <w:szCs w:val="24"/>
        </w:rPr>
        <w:t xml:space="preserve"> or local government, state block grants, or patient payments)? </w:t>
      </w:r>
    </w:p>
    <w:p w:rsidR="004F5DED" w:rsidRPr="00E56AA3" w:rsidP="004F5DED" w14:paraId="0050BB99" w14:textId="77777777">
      <w:pPr>
        <w:pStyle w:val="Style115ptBlackBefore6ptLinespacingAtleast14pt1"/>
        <w:numPr>
          <w:ilvl w:val="0"/>
          <w:numId w:val="38"/>
        </w:numPr>
        <w:rPr>
          <w:sz w:val="24"/>
          <w:szCs w:val="24"/>
        </w:rPr>
      </w:pPr>
      <w:r w:rsidRPr="00E56AA3">
        <w:rPr>
          <w:sz w:val="24"/>
          <w:szCs w:val="24"/>
        </w:rPr>
        <w:t>What percentage of total project revenue is from public or private third-party sources?</w:t>
      </w:r>
    </w:p>
    <w:p w:rsidR="00D832DD" w:rsidRPr="00E56AA3" w:rsidP="00244246" w14:paraId="0B83A0C3" w14:textId="3963C176">
      <w:pPr>
        <w:pStyle w:val="Stylebodytext-gphBold"/>
        <w:rPr>
          <w:sz w:val="24"/>
          <w:szCs w:val="24"/>
          <w:u w:val="single"/>
        </w:rPr>
      </w:pPr>
      <w:r w:rsidRPr="00E56AA3">
        <w:rPr>
          <w:sz w:val="24"/>
          <w:szCs w:val="24"/>
          <w:u w:val="single"/>
        </w:rPr>
        <w:t xml:space="preserve">Utilization of Family Planning Clinical Services Providers </w:t>
      </w:r>
    </w:p>
    <w:p w:rsidR="00D832DD" w:rsidRPr="00E56AA3" w:rsidP="00FA1DBF" w14:paraId="4A3EAC50" w14:textId="500E42F7">
      <w:pPr>
        <w:pStyle w:val="bodytext-gph"/>
        <w:rPr>
          <w:sz w:val="24"/>
          <w:szCs w:val="24"/>
        </w:rPr>
      </w:pPr>
      <w:r w:rsidRPr="00E56AA3">
        <w:rPr>
          <w:rStyle w:val="Stylebodytext-gphBoldChar"/>
          <w:b w:val="0"/>
          <w:bCs w:val="0"/>
          <w:sz w:val="24"/>
          <w:szCs w:val="24"/>
        </w:rPr>
        <w:t>G</w:t>
      </w:r>
      <w:r w:rsidRPr="00E56AA3">
        <w:rPr>
          <w:sz w:val="24"/>
          <w:szCs w:val="24"/>
        </w:rPr>
        <w:t xml:space="preserve">rantees report data on </w:t>
      </w:r>
      <w:bookmarkStart w:id="11" w:name="_Hlk57035278"/>
      <w:r w:rsidRPr="00E56AA3">
        <w:rPr>
          <w:sz w:val="24"/>
          <w:szCs w:val="24"/>
        </w:rPr>
        <w:t>the composition (full-time equivalents [FTEs]) of clinical provider staffing</w:t>
      </w:r>
      <w:bookmarkEnd w:id="11"/>
      <w:r w:rsidRPr="00E56AA3">
        <w:rPr>
          <w:sz w:val="24"/>
          <w:szCs w:val="24"/>
        </w:rPr>
        <w:t xml:space="preserve"> </w:t>
      </w:r>
      <w:bookmarkStart w:id="12" w:name="_Hlk57034940"/>
      <w:r w:rsidRPr="00E56AA3" w:rsidR="00FA1DBF">
        <w:rPr>
          <w:sz w:val="24"/>
          <w:szCs w:val="24"/>
        </w:rPr>
        <w:t>(i.e., physicians, physician assistants, nurse practitioners, certified nurse midwives, and registered nurses with an expanded scope of practice)</w:t>
      </w:r>
      <w:bookmarkEnd w:id="12"/>
      <w:r w:rsidRPr="00E56AA3">
        <w:rPr>
          <w:sz w:val="24"/>
          <w:szCs w:val="24"/>
        </w:rPr>
        <w:t xml:space="preserve">. </w:t>
      </w:r>
      <w:r w:rsidRPr="00E56AA3" w:rsidR="009A3CA8">
        <w:rPr>
          <w:sz w:val="24"/>
          <w:szCs w:val="24"/>
        </w:rPr>
        <w:t>In conjunction with</w:t>
      </w:r>
      <w:r w:rsidRPr="00E56AA3" w:rsidR="006345F2">
        <w:rPr>
          <w:sz w:val="24"/>
          <w:szCs w:val="24"/>
        </w:rPr>
        <w:t xml:space="preserve"> information about</w:t>
      </w:r>
      <w:r w:rsidRPr="00E56AA3" w:rsidR="009A3CA8">
        <w:rPr>
          <w:sz w:val="24"/>
          <w:szCs w:val="24"/>
        </w:rPr>
        <w:t xml:space="preserve"> family planning encounters by provider type collected in the encounter data, </w:t>
      </w:r>
      <w:r w:rsidRPr="00E56AA3">
        <w:rPr>
          <w:sz w:val="24"/>
          <w:szCs w:val="24"/>
        </w:rPr>
        <w:t>OPA monitor</w:t>
      </w:r>
      <w:r w:rsidR="00E43459">
        <w:rPr>
          <w:sz w:val="24"/>
          <w:szCs w:val="24"/>
        </w:rPr>
        <w:t>s</w:t>
      </w:r>
      <w:r w:rsidRPr="00E56AA3">
        <w:rPr>
          <w:sz w:val="24"/>
          <w:szCs w:val="24"/>
        </w:rPr>
        <w:t xml:space="preserve"> patterns and trends in the number and composition of clinical services provider staffing and provider efficiency. </w:t>
      </w:r>
      <w:r w:rsidRPr="00E56AA3">
        <w:rPr>
          <w:sz w:val="24"/>
          <w:szCs w:val="24"/>
        </w:rPr>
        <w:t>The data collected</w:t>
      </w:r>
      <w:r w:rsidR="00885041">
        <w:rPr>
          <w:sz w:val="24"/>
          <w:szCs w:val="24"/>
        </w:rPr>
        <w:t xml:space="preserve"> </w:t>
      </w:r>
      <w:r w:rsidRPr="00E56AA3">
        <w:rPr>
          <w:sz w:val="24"/>
          <w:szCs w:val="24"/>
        </w:rPr>
        <w:t>permit</w:t>
      </w:r>
      <w:r w:rsidR="00E43459">
        <w:rPr>
          <w:sz w:val="24"/>
          <w:szCs w:val="24"/>
        </w:rPr>
        <w:t>s</w:t>
      </w:r>
      <w:r w:rsidRPr="00E56AA3">
        <w:rPr>
          <w:sz w:val="24"/>
          <w:szCs w:val="24"/>
        </w:rPr>
        <w:t xml:space="preserve"> OPA to answer such questions as: </w:t>
      </w:r>
    </w:p>
    <w:p w:rsidR="00D832DD" w:rsidRPr="00E56AA3" w:rsidP="00D832DD" w14:paraId="6165536D" w14:textId="4A61A3D0">
      <w:pPr>
        <w:pStyle w:val="bodytext-gph"/>
        <w:numPr>
          <w:ilvl w:val="0"/>
          <w:numId w:val="7"/>
        </w:numPr>
        <w:ind w:left="900" w:hanging="180"/>
        <w:rPr>
          <w:sz w:val="24"/>
          <w:szCs w:val="24"/>
        </w:rPr>
      </w:pPr>
      <w:r w:rsidRPr="00E56AA3">
        <w:rPr>
          <w:sz w:val="24"/>
          <w:szCs w:val="24"/>
        </w:rPr>
        <w:t>What is the composition of CSP staff?</w:t>
      </w:r>
    </w:p>
    <w:p w:rsidR="00D832DD" w:rsidRPr="00E56AA3" w:rsidP="00D832DD" w14:paraId="073E58B0" w14:textId="486B4F70">
      <w:pPr>
        <w:pStyle w:val="bodytext-gph"/>
        <w:numPr>
          <w:ilvl w:val="0"/>
          <w:numId w:val="7"/>
        </w:numPr>
        <w:ind w:left="900" w:hanging="180"/>
        <w:rPr>
          <w:sz w:val="24"/>
          <w:szCs w:val="24"/>
        </w:rPr>
      </w:pPr>
      <w:r w:rsidRPr="00E56AA3">
        <w:rPr>
          <w:sz w:val="24"/>
          <w:szCs w:val="24"/>
        </w:rPr>
        <w:t xml:space="preserve">What is the ratio of mid-level CSP FTEs to physician FTEs? </w:t>
      </w:r>
    </w:p>
    <w:p w:rsidR="00747FDA" w:rsidP="00D832DD" w14:paraId="25678388" w14:textId="006FAFA4">
      <w:pPr>
        <w:pStyle w:val="bodytext-gph"/>
        <w:numPr>
          <w:ilvl w:val="0"/>
          <w:numId w:val="7"/>
        </w:numPr>
        <w:ind w:left="900" w:hanging="180"/>
        <w:rPr>
          <w:sz w:val="24"/>
          <w:szCs w:val="24"/>
        </w:rPr>
      </w:pPr>
      <w:r w:rsidRPr="00E56AA3">
        <w:rPr>
          <w:sz w:val="24"/>
          <w:szCs w:val="24"/>
        </w:rPr>
        <w:t xml:space="preserve">How many family planning encounters with a CSP are there per CSP FTE? </w:t>
      </w:r>
    </w:p>
    <w:p w:rsidR="00D832DD" w:rsidRPr="00E56AA3" w:rsidP="00D832DD" w14:paraId="43B01B77" w14:textId="100997ED">
      <w:pPr>
        <w:pStyle w:val="Heading3"/>
        <w:keepNext/>
        <w:tabs>
          <w:tab w:val="num" w:pos="360"/>
          <w:tab w:val="clear" w:pos="1252"/>
        </w:tabs>
        <w:spacing w:before="0" w:after="120"/>
        <w:ind w:left="360"/>
        <w:rPr>
          <w:rStyle w:val="Heading3OMB"/>
        </w:rPr>
      </w:pPr>
      <w:bookmarkStart w:id="13" w:name="_Toc16533860"/>
      <w:bookmarkStart w:id="14" w:name="_Toc179880103"/>
      <w:r w:rsidRPr="00E56AA3">
        <w:rPr>
          <w:rStyle w:val="Heading3OMB"/>
        </w:rPr>
        <w:t>Use of Improved Information Technology (IT) and Burden Reduction</w:t>
      </w:r>
      <w:bookmarkEnd w:id="13"/>
      <w:bookmarkEnd w:id="14"/>
    </w:p>
    <w:p w:rsidR="00BB7C36" w:rsidRPr="00E56AA3" w:rsidP="007640E8" w14:paraId="561A79DF" w14:textId="77777777">
      <w:pPr>
        <w:pStyle w:val="bodytext-gph"/>
        <w:rPr>
          <w:sz w:val="24"/>
          <w:szCs w:val="24"/>
        </w:rPr>
      </w:pPr>
      <w:r w:rsidRPr="00E56AA3">
        <w:rPr>
          <w:sz w:val="24"/>
          <w:szCs w:val="24"/>
        </w:rPr>
        <w:t xml:space="preserve">To minimize reporting burden, OPA collects only the minimum information </w:t>
      </w:r>
      <w:r w:rsidRPr="00E56AA3" w:rsidR="007640E8">
        <w:rPr>
          <w:sz w:val="24"/>
          <w:szCs w:val="24"/>
        </w:rPr>
        <w:t>needed</w:t>
      </w:r>
      <w:r w:rsidRPr="00E56AA3">
        <w:rPr>
          <w:sz w:val="24"/>
          <w:szCs w:val="24"/>
        </w:rPr>
        <w:t xml:space="preserve"> to monitor compliance with statutory and regulatory requirements and to manage the Title X program. In addition, </w:t>
      </w:r>
      <w:r w:rsidRPr="00E56AA3" w:rsidR="00D832DD">
        <w:rPr>
          <w:sz w:val="24"/>
          <w:szCs w:val="24"/>
        </w:rPr>
        <w:t xml:space="preserve">OPA </w:t>
      </w:r>
      <w:r w:rsidRPr="00E56AA3">
        <w:rPr>
          <w:sz w:val="24"/>
          <w:szCs w:val="24"/>
        </w:rPr>
        <w:t xml:space="preserve">encourages </w:t>
      </w:r>
      <w:r w:rsidRPr="00E56AA3" w:rsidR="007640E8">
        <w:rPr>
          <w:sz w:val="24"/>
          <w:szCs w:val="24"/>
        </w:rPr>
        <w:t xml:space="preserve">and supports several </w:t>
      </w:r>
      <w:r w:rsidRPr="00E56AA3" w:rsidR="00D832DD">
        <w:rPr>
          <w:sz w:val="24"/>
          <w:szCs w:val="24"/>
        </w:rPr>
        <w:t>efforts</w:t>
      </w:r>
      <w:r w:rsidRPr="00E56AA3">
        <w:rPr>
          <w:sz w:val="24"/>
          <w:szCs w:val="24"/>
        </w:rPr>
        <w:t xml:space="preserve"> </w:t>
      </w:r>
      <w:r w:rsidRPr="00E56AA3" w:rsidR="00D832DD">
        <w:rPr>
          <w:sz w:val="24"/>
          <w:szCs w:val="24"/>
        </w:rPr>
        <w:t xml:space="preserve">to improve </w:t>
      </w:r>
      <w:r w:rsidRPr="00E56AA3" w:rsidR="00AB5E10">
        <w:rPr>
          <w:sz w:val="24"/>
          <w:szCs w:val="24"/>
        </w:rPr>
        <w:t>the efficiency</w:t>
      </w:r>
      <w:r w:rsidRPr="00E56AA3">
        <w:rPr>
          <w:sz w:val="24"/>
          <w:szCs w:val="24"/>
        </w:rPr>
        <w:t xml:space="preserve"> and ease with which grantees compile, tabulate, and report </w:t>
      </w:r>
      <w:r w:rsidRPr="00E56AA3" w:rsidR="00AB5E10">
        <w:rPr>
          <w:sz w:val="24"/>
          <w:szCs w:val="24"/>
        </w:rPr>
        <w:t xml:space="preserve">FPAR </w:t>
      </w:r>
      <w:r w:rsidRPr="00E56AA3" w:rsidR="00D832DD">
        <w:rPr>
          <w:sz w:val="24"/>
          <w:szCs w:val="24"/>
        </w:rPr>
        <w:t>data</w:t>
      </w:r>
      <w:r w:rsidRPr="00E56AA3">
        <w:rPr>
          <w:sz w:val="24"/>
          <w:szCs w:val="24"/>
        </w:rPr>
        <w:t xml:space="preserve">. </w:t>
      </w:r>
    </w:p>
    <w:p w:rsidR="00BE56CC" w:rsidP="000C0285" w14:paraId="3840C944" w14:textId="0E0BAA64">
      <w:pPr>
        <w:pStyle w:val="bodytext-gph"/>
        <w:spacing w:line="240" w:lineRule="auto"/>
        <w:rPr>
          <w:sz w:val="24"/>
          <w:szCs w:val="24"/>
        </w:rPr>
      </w:pPr>
      <w:r>
        <w:rPr>
          <w:sz w:val="24"/>
          <w:szCs w:val="24"/>
        </w:rPr>
        <w:t>OPA developed a</w:t>
      </w:r>
      <w:r w:rsidRPr="00E56AA3" w:rsidR="00BB7C36">
        <w:rPr>
          <w:sz w:val="24"/>
          <w:szCs w:val="24"/>
        </w:rPr>
        <w:t xml:space="preserve"> standalone website to replace the</w:t>
      </w:r>
      <w:r w:rsidRPr="00E56AA3" w:rsidR="00732D75">
        <w:rPr>
          <w:sz w:val="24"/>
          <w:szCs w:val="24"/>
        </w:rPr>
        <w:t xml:space="preserve"> </w:t>
      </w:r>
      <w:r w:rsidRPr="00E56AA3" w:rsidR="00C62BAD">
        <w:rPr>
          <w:sz w:val="24"/>
          <w:szCs w:val="24"/>
        </w:rPr>
        <w:t>existing</w:t>
      </w:r>
      <w:r w:rsidRPr="00E56AA3" w:rsidR="00BB7C36">
        <w:rPr>
          <w:sz w:val="24"/>
          <w:szCs w:val="24"/>
        </w:rPr>
        <w:t xml:space="preserve"> FPAR reporting module website. The new</w:t>
      </w:r>
      <w:r w:rsidRPr="00E56AA3" w:rsidR="00F22FCB">
        <w:rPr>
          <w:sz w:val="24"/>
          <w:szCs w:val="24"/>
        </w:rPr>
        <w:t xml:space="preserve"> </w:t>
      </w:r>
      <w:r w:rsidRPr="00E56AA3" w:rsidR="00BB7C36">
        <w:rPr>
          <w:i/>
          <w:iCs/>
          <w:sz w:val="24"/>
          <w:szCs w:val="24"/>
        </w:rPr>
        <w:t xml:space="preserve">FPAR </w:t>
      </w:r>
      <w:r w:rsidRPr="00E56AA3" w:rsidR="00F22FCB">
        <w:rPr>
          <w:i/>
          <w:iCs/>
          <w:sz w:val="24"/>
          <w:szCs w:val="24"/>
        </w:rPr>
        <w:t xml:space="preserve">2.0 </w:t>
      </w:r>
      <w:r w:rsidRPr="00E56AA3" w:rsidR="00BB7C36">
        <w:rPr>
          <w:i/>
          <w:iCs/>
          <w:sz w:val="24"/>
          <w:szCs w:val="24"/>
        </w:rPr>
        <w:t>Data System</w:t>
      </w:r>
      <w:r w:rsidRPr="00E56AA3" w:rsidR="00F8615D">
        <w:rPr>
          <w:i/>
          <w:iCs/>
          <w:sz w:val="24"/>
          <w:szCs w:val="24"/>
        </w:rPr>
        <w:t xml:space="preserve"> </w:t>
      </w:r>
      <w:r w:rsidRPr="00E56AA3" w:rsidR="00F8615D">
        <w:rPr>
          <w:sz w:val="24"/>
          <w:szCs w:val="24"/>
        </w:rPr>
        <w:t>(</w:t>
      </w:r>
      <w:hyperlink r:id="rId11" w:history="1">
        <w:r w:rsidRPr="006A52B0" w:rsidR="000E23D4">
          <w:rPr>
            <w:rStyle w:val="Hyperlink"/>
            <w:sz w:val="24"/>
            <w:szCs w:val="24"/>
          </w:rPr>
          <w:t>https://fpar.opa.hhs.gov</w:t>
        </w:r>
      </w:hyperlink>
      <w:r w:rsidRPr="00E56AA3" w:rsidR="00732D75">
        <w:rPr>
          <w:sz w:val="24"/>
          <w:szCs w:val="24"/>
        </w:rPr>
        <w:t>)</w:t>
      </w:r>
      <w:r w:rsidRPr="00E56AA3" w:rsidR="00357DCD">
        <w:rPr>
          <w:sz w:val="24"/>
          <w:szCs w:val="24"/>
        </w:rPr>
        <w:t xml:space="preserve"> </w:t>
      </w:r>
      <w:r w:rsidR="00CE5277">
        <w:rPr>
          <w:sz w:val="24"/>
          <w:szCs w:val="24"/>
        </w:rPr>
        <w:t>opened in</w:t>
      </w:r>
      <w:r w:rsidRPr="00E56AA3" w:rsidR="004A405A">
        <w:rPr>
          <w:sz w:val="24"/>
          <w:szCs w:val="24"/>
        </w:rPr>
        <w:t xml:space="preserve"> January </w:t>
      </w:r>
      <w:r w:rsidRPr="00E56AA3" w:rsidR="00C848B4">
        <w:rPr>
          <w:sz w:val="24"/>
          <w:szCs w:val="24"/>
        </w:rPr>
        <w:t xml:space="preserve">2023 </w:t>
      </w:r>
      <w:r w:rsidRPr="00E56AA3" w:rsidR="00357DCD">
        <w:rPr>
          <w:sz w:val="24"/>
          <w:szCs w:val="24"/>
        </w:rPr>
        <w:t xml:space="preserve">to </w:t>
      </w:r>
      <w:r w:rsidRPr="00E56AA3" w:rsidR="00A443D8">
        <w:rPr>
          <w:sz w:val="24"/>
          <w:szCs w:val="24"/>
        </w:rPr>
        <w:t>HHS/OPA staff</w:t>
      </w:r>
      <w:r w:rsidRPr="00E56AA3" w:rsidR="00357DCD">
        <w:rPr>
          <w:sz w:val="24"/>
          <w:szCs w:val="24"/>
        </w:rPr>
        <w:t xml:space="preserve"> and grantees </w:t>
      </w:r>
      <w:r w:rsidRPr="00E56AA3" w:rsidR="003F2975">
        <w:rPr>
          <w:sz w:val="24"/>
          <w:szCs w:val="24"/>
        </w:rPr>
        <w:t xml:space="preserve">for submission of </w:t>
      </w:r>
      <w:r w:rsidRPr="00E56AA3" w:rsidR="00C848B4">
        <w:rPr>
          <w:sz w:val="24"/>
          <w:szCs w:val="24"/>
        </w:rPr>
        <w:t xml:space="preserve">2022 </w:t>
      </w:r>
      <w:r w:rsidRPr="00E56AA3" w:rsidR="003F2975">
        <w:rPr>
          <w:sz w:val="24"/>
          <w:szCs w:val="24"/>
        </w:rPr>
        <w:t>FPAR data</w:t>
      </w:r>
      <w:r>
        <w:rPr>
          <w:sz w:val="24"/>
          <w:szCs w:val="24"/>
        </w:rPr>
        <w:t xml:space="preserve">. </w:t>
      </w:r>
      <w:r w:rsidR="00163D5A">
        <w:rPr>
          <w:sz w:val="24"/>
          <w:szCs w:val="24"/>
        </w:rPr>
        <w:t xml:space="preserve">The FPAR system </w:t>
      </w:r>
      <w:r w:rsidR="00F75DB1">
        <w:rPr>
          <w:sz w:val="24"/>
          <w:szCs w:val="24"/>
        </w:rPr>
        <w:t>is</w:t>
      </w:r>
      <w:r w:rsidR="00163D5A">
        <w:rPr>
          <w:sz w:val="24"/>
          <w:szCs w:val="24"/>
        </w:rPr>
        <w:t xml:space="preserve"> </w:t>
      </w:r>
      <w:r w:rsidR="00163D5A">
        <w:rPr>
          <w:sz w:val="24"/>
          <w:szCs w:val="24"/>
        </w:rPr>
        <w:t>up-to-date</w:t>
      </w:r>
      <w:r w:rsidR="00163D5A">
        <w:rPr>
          <w:sz w:val="24"/>
          <w:szCs w:val="24"/>
        </w:rPr>
        <w:t xml:space="preserve"> with the Revision 5 </w:t>
      </w:r>
      <w:r w:rsidR="000B4CF2">
        <w:rPr>
          <w:sz w:val="24"/>
          <w:szCs w:val="24"/>
        </w:rPr>
        <w:t>Authority to Operate (</w:t>
      </w:r>
      <w:r w:rsidR="00163D5A">
        <w:rPr>
          <w:sz w:val="24"/>
          <w:szCs w:val="24"/>
        </w:rPr>
        <w:t>ATO</w:t>
      </w:r>
      <w:r w:rsidR="000B4CF2">
        <w:rPr>
          <w:sz w:val="24"/>
          <w:szCs w:val="24"/>
        </w:rPr>
        <w:t>)</w:t>
      </w:r>
      <w:r w:rsidR="00163D5A">
        <w:rPr>
          <w:sz w:val="24"/>
          <w:szCs w:val="24"/>
        </w:rPr>
        <w:t>, including cybersecurity and privacy review, before the HHS mandated 9/30/20</w:t>
      </w:r>
      <w:r w:rsidR="000E23D4">
        <w:rPr>
          <w:sz w:val="24"/>
          <w:szCs w:val="24"/>
        </w:rPr>
        <w:t>2</w:t>
      </w:r>
      <w:r w:rsidR="00163D5A">
        <w:rPr>
          <w:sz w:val="24"/>
          <w:szCs w:val="24"/>
        </w:rPr>
        <w:t xml:space="preserve">4 deadline. The Revision 5 ATO does not expire until 8/9/2027. </w:t>
      </w:r>
    </w:p>
    <w:p w:rsidR="00153841" w:rsidRPr="00E56AA3" w:rsidP="000C0285" w14:paraId="0288A72D" w14:textId="4B7669CD">
      <w:pPr>
        <w:pStyle w:val="bodytext-gph"/>
        <w:spacing w:line="240" w:lineRule="auto"/>
        <w:rPr>
          <w:sz w:val="24"/>
          <w:szCs w:val="24"/>
        </w:rPr>
      </w:pPr>
      <w:r>
        <w:rPr>
          <w:sz w:val="24"/>
          <w:szCs w:val="24"/>
        </w:rPr>
        <w:t>Built with input from</w:t>
      </w:r>
      <w:r w:rsidR="00C355F8">
        <w:rPr>
          <w:sz w:val="24"/>
          <w:szCs w:val="24"/>
        </w:rPr>
        <w:t xml:space="preserve"> users such</w:t>
      </w:r>
      <w:r>
        <w:rPr>
          <w:sz w:val="24"/>
          <w:szCs w:val="24"/>
        </w:rPr>
        <w:t xml:space="preserve"> grantees</w:t>
      </w:r>
      <w:r w:rsidR="00C355F8">
        <w:rPr>
          <w:sz w:val="24"/>
          <w:szCs w:val="24"/>
        </w:rPr>
        <w:t xml:space="preserve"> and OPA staff</w:t>
      </w:r>
      <w:r>
        <w:rPr>
          <w:sz w:val="24"/>
          <w:szCs w:val="24"/>
        </w:rPr>
        <w:t>, the website has a</w:t>
      </w:r>
      <w:r w:rsidRPr="00E56AA3" w:rsidR="004A405A">
        <w:rPr>
          <w:sz w:val="24"/>
          <w:szCs w:val="24"/>
        </w:rPr>
        <w:t xml:space="preserve"> </w:t>
      </w:r>
      <w:r w:rsidRPr="00E56AA3" w:rsidR="00AB5E10">
        <w:rPr>
          <w:sz w:val="24"/>
          <w:szCs w:val="24"/>
        </w:rPr>
        <w:t>user-friendly interface</w:t>
      </w:r>
      <w:r w:rsidR="00C355F8">
        <w:rPr>
          <w:sz w:val="24"/>
          <w:szCs w:val="24"/>
        </w:rPr>
        <w:t xml:space="preserve"> with </w:t>
      </w:r>
      <w:r w:rsidR="00D82F91">
        <w:rPr>
          <w:sz w:val="24"/>
          <w:szCs w:val="24"/>
        </w:rPr>
        <w:t xml:space="preserve">improved login and multi-factor authentication methods, </w:t>
      </w:r>
      <w:r w:rsidRPr="00E56AA3" w:rsidR="004A405A">
        <w:rPr>
          <w:sz w:val="24"/>
          <w:szCs w:val="24"/>
        </w:rPr>
        <w:t>streamlined navigation</w:t>
      </w:r>
      <w:r w:rsidR="00D82F91">
        <w:rPr>
          <w:sz w:val="24"/>
          <w:szCs w:val="24"/>
        </w:rPr>
        <w:t xml:space="preserve"> and approval processes</w:t>
      </w:r>
      <w:r w:rsidRPr="00E56AA3" w:rsidR="00BB7C36">
        <w:rPr>
          <w:sz w:val="24"/>
          <w:szCs w:val="24"/>
        </w:rPr>
        <w:t>; f</w:t>
      </w:r>
      <w:r w:rsidRPr="00E56AA3" w:rsidR="00D832DD">
        <w:rPr>
          <w:sz w:val="24"/>
          <w:szCs w:val="24"/>
        </w:rPr>
        <w:t xml:space="preserve">orms that pre-populate with </w:t>
      </w:r>
      <w:r w:rsidRPr="00E56AA3" w:rsidR="00AB5E10">
        <w:rPr>
          <w:sz w:val="24"/>
          <w:szCs w:val="24"/>
        </w:rPr>
        <w:t xml:space="preserve">grant identifying information to </w:t>
      </w:r>
      <w:r w:rsidRPr="00E56AA3" w:rsidR="00D832DD">
        <w:rPr>
          <w:sz w:val="24"/>
          <w:szCs w:val="24"/>
        </w:rPr>
        <w:t xml:space="preserve">reduce </w:t>
      </w:r>
      <w:r w:rsidRPr="00E56AA3" w:rsidR="004A405A">
        <w:rPr>
          <w:sz w:val="24"/>
          <w:szCs w:val="24"/>
        </w:rPr>
        <w:t xml:space="preserve">data </w:t>
      </w:r>
      <w:r w:rsidRPr="00E56AA3" w:rsidR="00D832DD">
        <w:rPr>
          <w:sz w:val="24"/>
          <w:szCs w:val="24"/>
        </w:rPr>
        <w:t>input</w:t>
      </w:r>
      <w:r w:rsidRPr="00E56AA3" w:rsidR="004A405A">
        <w:rPr>
          <w:sz w:val="24"/>
          <w:szCs w:val="24"/>
        </w:rPr>
        <w:t xml:space="preserve"> and increase accuracy</w:t>
      </w:r>
      <w:r w:rsidRPr="00E56AA3" w:rsidR="00CC1051">
        <w:rPr>
          <w:sz w:val="24"/>
          <w:szCs w:val="24"/>
        </w:rPr>
        <w:t>;</w:t>
      </w:r>
      <w:r w:rsidRPr="00E56AA3" w:rsidR="00BB7C36">
        <w:rPr>
          <w:sz w:val="24"/>
          <w:szCs w:val="24"/>
        </w:rPr>
        <w:t xml:space="preserve"> a </w:t>
      </w:r>
      <w:r w:rsidRPr="00E56AA3" w:rsidR="00D832DD">
        <w:rPr>
          <w:sz w:val="24"/>
          <w:szCs w:val="24"/>
        </w:rPr>
        <w:t xml:space="preserve">Helpdesk </w:t>
      </w:r>
      <w:r w:rsidRPr="00E56AA3" w:rsidR="007640E8">
        <w:rPr>
          <w:sz w:val="24"/>
          <w:szCs w:val="24"/>
        </w:rPr>
        <w:t>accessed by toll-free phone or e-mail</w:t>
      </w:r>
      <w:r w:rsidRPr="00E56AA3" w:rsidR="00CC1051">
        <w:rPr>
          <w:sz w:val="24"/>
          <w:szCs w:val="24"/>
        </w:rPr>
        <w:t>;</w:t>
      </w:r>
      <w:r w:rsidRPr="00E56AA3" w:rsidR="007640E8">
        <w:rPr>
          <w:sz w:val="24"/>
          <w:szCs w:val="24"/>
        </w:rPr>
        <w:t xml:space="preserve"> online </w:t>
      </w:r>
      <w:r w:rsidRPr="00E56AA3" w:rsidR="00BB009F">
        <w:rPr>
          <w:sz w:val="24"/>
          <w:szCs w:val="24"/>
        </w:rPr>
        <w:t>reference materials for grantees</w:t>
      </w:r>
      <w:r w:rsidRPr="00E56AA3" w:rsidR="00CC1051">
        <w:rPr>
          <w:sz w:val="24"/>
          <w:szCs w:val="24"/>
        </w:rPr>
        <w:t>;</w:t>
      </w:r>
      <w:r w:rsidRPr="00E56AA3" w:rsidR="00BB7C36">
        <w:rPr>
          <w:sz w:val="24"/>
          <w:szCs w:val="24"/>
        </w:rPr>
        <w:t xml:space="preserve"> </w:t>
      </w:r>
      <w:r w:rsidRPr="00E56AA3" w:rsidR="00D832DD">
        <w:rPr>
          <w:sz w:val="24"/>
          <w:szCs w:val="24"/>
        </w:rPr>
        <w:t xml:space="preserve">and </w:t>
      </w:r>
      <w:r w:rsidRPr="00E56AA3" w:rsidR="00EA46C6">
        <w:rPr>
          <w:sz w:val="24"/>
          <w:szCs w:val="24"/>
        </w:rPr>
        <w:t>extensive</w:t>
      </w:r>
      <w:r w:rsidRPr="00E56AA3" w:rsidR="00BB009F">
        <w:rPr>
          <w:sz w:val="24"/>
          <w:szCs w:val="24"/>
        </w:rPr>
        <w:t xml:space="preserve"> technical assistance</w:t>
      </w:r>
      <w:r w:rsidRPr="00E56AA3" w:rsidR="00EA46C6">
        <w:rPr>
          <w:sz w:val="24"/>
          <w:szCs w:val="24"/>
        </w:rPr>
        <w:t xml:space="preserve"> to help grantees transition to the new system (e.g., training webinars, frequently asked questions </w:t>
      </w:r>
      <w:r w:rsidRPr="00E56AA3" w:rsidR="00F70BDC">
        <w:rPr>
          <w:sz w:val="24"/>
          <w:szCs w:val="24"/>
        </w:rPr>
        <w:t>[</w:t>
      </w:r>
      <w:r w:rsidRPr="00E56AA3" w:rsidR="00EA46C6">
        <w:rPr>
          <w:sz w:val="24"/>
          <w:szCs w:val="24"/>
        </w:rPr>
        <w:t>FAQ</w:t>
      </w:r>
      <w:r w:rsidRPr="00E56AA3" w:rsidR="00F70BDC">
        <w:rPr>
          <w:sz w:val="24"/>
          <w:szCs w:val="24"/>
        </w:rPr>
        <w:t>]</w:t>
      </w:r>
      <w:r w:rsidR="00BE56CC">
        <w:rPr>
          <w:sz w:val="24"/>
          <w:szCs w:val="24"/>
        </w:rPr>
        <w:t>,</w:t>
      </w:r>
      <w:r w:rsidRPr="00E56AA3" w:rsidR="00EA46C6">
        <w:rPr>
          <w:sz w:val="24"/>
          <w:szCs w:val="24"/>
        </w:rPr>
        <w:t xml:space="preserve"> briefs, and video-based training</w:t>
      </w:r>
      <w:r w:rsidRPr="00E56AA3" w:rsidR="00F70BDC">
        <w:rPr>
          <w:sz w:val="24"/>
          <w:szCs w:val="24"/>
        </w:rPr>
        <w:t>s</w:t>
      </w:r>
      <w:r w:rsidRPr="00E56AA3" w:rsidR="00EA46C6">
        <w:rPr>
          <w:sz w:val="24"/>
          <w:szCs w:val="24"/>
        </w:rPr>
        <w:t>)</w:t>
      </w:r>
      <w:r w:rsidRPr="00E56AA3" w:rsidR="00D832DD">
        <w:rPr>
          <w:sz w:val="24"/>
          <w:szCs w:val="24"/>
        </w:rPr>
        <w:t>.</w:t>
      </w:r>
      <w:r w:rsidRPr="00E56AA3" w:rsidR="00406C7E">
        <w:rPr>
          <w:sz w:val="24"/>
          <w:szCs w:val="24"/>
        </w:rPr>
        <w:t xml:space="preserve"> </w:t>
      </w:r>
    </w:p>
    <w:p w:rsidR="00BF1903" w:rsidRPr="00E56AA3" w:rsidP="000C0285" w14:paraId="04B46286" w14:textId="39C8F11F">
      <w:pPr>
        <w:pStyle w:val="bodytext-gph"/>
        <w:spacing w:line="240" w:lineRule="auto"/>
        <w:rPr>
          <w:sz w:val="24"/>
          <w:szCs w:val="24"/>
        </w:rPr>
      </w:pPr>
      <w:r>
        <w:rPr>
          <w:sz w:val="24"/>
          <w:szCs w:val="24"/>
        </w:rPr>
        <w:t xml:space="preserve">Using a standards-based, </w:t>
      </w:r>
      <w:r w:rsidRPr="00E56AA3" w:rsidR="00153841">
        <w:rPr>
          <w:sz w:val="24"/>
          <w:szCs w:val="24"/>
        </w:rPr>
        <w:t xml:space="preserve">encounter-level data </w:t>
      </w:r>
      <w:r>
        <w:rPr>
          <w:sz w:val="24"/>
          <w:szCs w:val="24"/>
        </w:rPr>
        <w:t xml:space="preserve">reporting </w:t>
      </w:r>
      <w:r w:rsidRPr="00E56AA3" w:rsidR="00944E24">
        <w:rPr>
          <w:sz w:val="24"/>
          <w:szCs w:val="24"/>
        </w:rPr>
        <w:t>reduce</w:t>
      </w:r>
      <w:r>
        <w:rPr>
          <w:sz w:val="24"/>
          <w:szCs w:val="24"/>
        </w:rPr>
        <w:t>s</w:t>
      </w:r>
      <w:r w:rsidRPr="00E56AA3" w:rsidR="00153841">
        <w:rPr>
          <w:sz w:val="24"/>
          <w:szCs w:val="24"/>
        </w:rPr>
        <w:t xml:space="preserve"> administrative burden on OPA and Title X grantees and enable</w:t>
      </w:r>
      <w:r>
        <w:rPr>
          <w:sz w:val="24"/>
          <w:szCs w:val="24"/>
        </w:rPr>
        <w:t>s</w:t>
      </w:r>
      <w:r w:rsidRPr="00E56AA3" w:rsidR="00153841">
        <w:rPr>
          <w:sz w:val="24"/>
          <w:szCs w:val="24"/>
        </w:rPr>
        <w:t xml:space="preserve"> </w:t>
      </w:r>
      <w:r>
        <w:rPr>
          <w:sz w:val="24"/>
          <w:szCs w:val="24"/>
        </w:rPr>
        <w:t>previously manual procedures to be automated</w:t>
      </w:r>
      <w:r w:rsidRPr="00E56AA3" w:rsidR="00153841">
        <w:rPr>
          <w:sz w:val="24"/>
          <w:szCs w:val="24"/>
        </w:rPr>
        <w:t xml:space="preserve">, such as tabulating and checking basic counts of clients served and types of services provided. </w:t>
      </w:r>
      <w:r w:rsidRPr="00E56AA3">
        <w:rPr>
          <w:sz w:val="24"/>
          <w:szCs w:val="24"/>
        </w:rPr>
        <w:t xml:space="preserve">It </w:t>
      </w:r>
      <w:r w:rsidRPr="00E56AA3" w:rsidR="00153841">
        <w:rPr>
          <w:sz w:val="24"/>
          <w:szCs w:val="24"/>
        </w:rPr>
        <w:t xml:space="preserve">also </w:t>
      </w:r>
      <w:r w:rsidRPr="00E56AA3" w:rsidR="00153841">
        <w:rPr>
          <w:sz w:val="24"/>
          <w:szCs w:val="24"/>
        </w:rPr>
        <w:t>expands</w:t>
      </w:r>
      <w:r w:rsidRPr="00E56AA3">
        <w:rPr>
          <w:sz w:val="24"/>
          <w:szCs w:val="24"/>
        </w:rPr>
        <w:t xml:space="preserve"> the options for</w:t>
      </w:r>
      <w:r w:rsidRPr="00E56AA3" w:rsidR="00153841">
        <w:rPr>
          <w:sz w:val="24"/>
          <w:szCs w:val="24"/>
        </w:rPr>
        <w:t xml:space="preserve"> </w:t>
      </w:r>
      <w:r w:rsidRPr="00E56AA3">
        <w:rPr>
          <w:sz w:val="24"/>
          <w:szCs w:val="24"/>
        </w:rPr>
        <w:t>data analysis and reporting—for example, through interactive data dashboards and visualizations,</w:t>
      </w:r>
      <w:r w:rsidRPr="00E56AA3" w:rsidR="00153841">
        <w:rPr>
          <w:sz w:val="24"/>
          <w:szCs w:val="24"/>
        </w:rPr>
        <w:t xml:space="preserve"> </w:t>
      </w:r>
      <w:r w:rsidRPr="00E56AA3">
        <w:rPr>
          <w:sz w:val="24"/>
          <w:szCs w:val="24"/>
        </w:rPr>
        <w:t>customized tabulations and reports, and application of analytics and statistical analyses on the</w:t>
      </w:r>
      <w:r w:rsidRPr="00E56AA3" w:rsidR="00153841">
        <w:rPr>
          <w:sz w:val="24"/>
          <w:szCs w:val="24"/>
        </w:rPr>
        <w:t xml:space="preserve"> </w:t>
      </w:r>
      <w:r w:rsidRPr="00E56AA3">
        <w:rPr>
          <w:sz w:val="24"/>
          <w:szCs w:val="24"/>
        </w:rPr>
        <w:t xml:space="preserve">encounter-level data files. </w:t>
      </w:r>
    </w:p>
    <w:p w:rsidR="004D5AE8" w:rsidRPr="00E56AA3" w:rsidP="000C0285" w14:paraId="50C25174" w14:textId="1830E9F4">
      <w:pPr>
        <w:pStyle w:val="bodytext-gph"/>
        <w:rPr>
          <w:sz w:val="24"/>
          <w:szCs w:val="24"/>
        </w:rPr>
      </w:pPr>
      <w:r w:rsidRPr="00E56AA3">
        <w:rPr>
          <w:sz w:val="24"/>
          <w:szCs w:val="24"/>
        </w:rPr>
        <w:t xml:space="preserve">Furthermore, </w:t>
      </w:r>
      <w:r w:rsidRPr="00E56AA3" w:rsidR="00357DCD">
        <w:rPr>
          <w:sz w:val="24"/>
          <w:szCs w:val="24"/>
        </w:rPr>
        <w:t>t</w:t>
      </w:r>
      <w:r w:rsidRPr="00E56AA3" w:rsidR="00D832DD">
        <w:rPr>
          <w:sz w:val="24"/>
          <w:szCs w:val="24"/>
        </w:rPr>
        <w:t xml:space="preserve">he </w:t>
      </w:r>
      <w:r w:rsidRPr="00E56AA3" w:rsidR="00F51332">
        <w:rPr>
          <w:i/>
          <w:iCs/>
          <w:sz w:val="24"/>
          <w:szCs w:val="24"/>
        </w:rPr>
        <w:t>FPAR 2.0</w:t>
      </w:r>
      <w:r w:rsidRPr="00E56AA3" w:rsidR="00F51332">
        <w:rPr>
          <w:sz w:val="24"/>
          <w:szCs w:val="24"/>
        </w:rPr>
        <w:t xml:space="preserve"> </w:t>
      </w:r>
      <w:r w:rsidRPr="00E56AA3">
        <w:rPr>
          <w:i/>
          <w:iCs/>
          <w:sz w:val="24"/>
          <w:szCs w:val="24"/>
        </w:rPr>
        <w:t xml:space="preserve">Data System </w:t>
      </w:r>
      <w:r w:rsidR="001622F4">
        <w:rPr>
          <w:sz w:val="24"/>
          <w:szCs w:val="24"/>
        </w:rPr>
        <w:t>allows</w:t>
      </w:r>
      <w:r w:rsidRPr="00E56AA3" w:rsidR="00F51332">
        <w:rPr>
          <w:sz w:val="24"/>
          <w:szCs w:val="24"/>
        </w:rPr>
        <w:t xml:space="preserve"> </w:t>
      </w:r>
      <w:r w:rsidRPr="00E56AA3">
        <w:rPr>
          <w:sz w:val="24"/>
          <w:szCs w:val="24"/>
        </w:rPr>
        <w:t>grantees to validate</w:t>
      </w:r>
      <w:r w:rsidRPr="00E56AA3" w:rsidR="00D832DD">
        <w:rPr>
          <w:sz w:val="24"/>
          <w:szCs w:val="24"/>
        </w:rPr>
        <w:t xml:space="preserve"> </w:t>
      </w:r>
      <w:r w:rsidRPr="00E56AA3" w:rsidR="00171246">
        <w:rPr>
          <w:sz w:val="24"/>
          <w:szCs w:val="24"/>
        </w:rPr>
        <w:t xml:space="preserve">their encounter-level data using </w:t>
      </w:r>
      <w:r w:rsidRPr="00E56AA3" w:rsidR="00F51332">
        <w:rPr>
          <w:sz w:val="24"/>
          <w:szCs w:val="24"/>
        </w:rPr>
        <w:t xml:space="preserve">a range of </w:t>
      </w:r>
      <w:r w:rsidRPr="00E56AA3" w:rsidR="00171246">
        <w:rPr>
          <w:sz w:val="24"/>
          <w:szCs w:val="24"/>
        </w:rPr>
        <w:t xml:space="preserve">automated </w:t>
      </w:r>
      <w:r w:rsidRPr="00E56AA3" w:rsidR="00F51332">
        <w:rPr>
          <w:sz w:val="24"/>
          <w:szCs w:val="24"/>
        </w:rPr>
        <w:t>validation checks.</w:t>
      </w:r>
      <w:r w:rsidRPr="00E56AA3" w:rsidR="00171246">
        <w:rPr>
          <w:sz w:val="24"/>
          <w:szCs w:val="24"/>
        </w:rPr>
        <w:t xml:space="preserve"> </w:t>
      </w:r>
      <w:r w:rsidRPr="00E56AA3" w:rsidR="00035F93">
        <w:rPr>
          <w:sz w:val="24"/>
          <w:szCs w:val="24"/>
        </w:rPr>
        <w:t xml:space="preserve">The </w:t>
      </w:r>
      <w:r w:rsidRPr="00E56AA3" w:rsidR="00171246">
        <w:rPr>
          <w:i/>
          <w:iCs/>
          <w:sz w:val="24"/>
          <w:szCs w:val="24"/>
        </w:rPr>
        <w:t>FPAR</w:t>
      </w:r>
      <w:r w:rsidRPr="00E56AA3" w:rsidR="00171246">
        <w:rPr>
          <w:sz w:val="24"/>
          <w:szCs w:val="24"/>
        </w:rPr>
        <w:t xml:space="preserve"> 2.0 </w:t>
      </w:r>
      <w:r w:rsidRPr="00E56AA3" w:rsidR="00035F93">
        <w:rPr>
          <w:i/>
          <w:iCs/>
          <w:sz w:val="24"/>
          <w:szCs w:val="24"/>
        </w:rPr>
        <w:t xml:space="preserve">Data System </w:t>
      </w:r>
      <w:r w:rsidRPr="00E56AA3" w:rsidR="00171246">
        <w:rPr>
          <w:sz w:val="24"/>
          <w:szCs w:val="24"/>
        </w:rPr>
        <w:t xml:space="preserve">also </w:t>
      </w:r>
      <w:r w:rsidRPr="00E56AA3" w:rsidR="00035F93">
        <w:rPr>
          <w:sz w:val="24"/>
          <w:szCs w:val="24"/>
        </w:rPr>
        <w:t>prevent</w:t>
      </w:r>
      <w:r w:rsidR="006D2A09">
        <w:rPr>
          <w:sz w:val="24"/>
          <w:szCs w:val="24"/>
        </w:rPr>
        <w:t>s</w:t>
      </w:r>
      <w:r w:rsidRPr="00E56AA3" w:rsidR="00035F93">
        <w:rPr>
          <w:sz w:val="24"/>
          <w:szCs w:val="24"/>
        </w:rPr>
        <w:t xml:space="preserve"> grantees from submitting a final report that includes tables with unresolved validation issues. The </w:t>
      </w:r>
      <w:r w:rsidRPr="00E56AA3" w:rsidR="00244246">
        <w:rPr>
          <w:sz w:val="24"/>
          <w:szCs w:val="24"/>
        </w:rPr>
        <w:t xml:space="preserve">electronic </w:t>
      </w:r>
      <w:r w:rsidRPr="00E56AA3" w:rsidR="00035F93">
        <w:rPr>
          <w:sz w:val="24"/>
          <w:szCs w:val="24"/>
        </w:rPr>
        <w:t xml:space="preserve">validation feature and the system’s rules regarding submission of a final FPAR reduce the time burden for grantees, </w:t>
      </w:r>
      <w:r w:rsidRPr="00E56AA3" w:rsidR="00A443D8">
        <w:rPr>
          <w:sz w:val="24"/>
          <w:szCs w:val="24"/>
        </w:rPr>
        <w:t>HHS/OPA staff</w:t>
      </w:r>
      <w:r w:rsidRPr="00E56AA3" w:rsidR="00035F93">
        <w:rPr>
          <w:sz w:val="24"/>
          <w:szCs w:val="24"/>
        </w:rPr>
        <w:t xml:space="preserve">, and the FPAR contractor </w:t>
      </w:r>
      <w:r w:rsidRPr="00E56AA3" w:rsidR="00244246">
        <w:rPr>
          <w:sz w:val="24"/>
          <w:szCs w:val="24"/>
        </w:rPr>
        <w:t>associated with identifying and resolving inconsistencies in the reported data.</w:t>
      </w:r>
    </w:p>
    <w:p w:rsidR="00936892" w:rsidRPr="00E56AA3" w:rsidP="00397B7E" w14:paraId="49BBA921" w14:textId="10EAC5CE">
      <w:pPr>
        <w:pStyle w:val="bodytext-gph"/>
        <w:rPr>
          <w:sz w:val="24"/>
          <w:szCs w:val="24"/>
        </w:rPr>
      </w:pPr>
      <w:r w:rsidRPr="00E56AA3">
        <w:rPr>
          <w:sz w:val="24"/>
          <w:szCs w:val="24"/>
        </w:rPr>
        <w:t xml:space="preserve">For </w:t>
      </w:r>
      <w:r w:rsidRPr="00E56AA3" w:rsidR="00A443D8">
        <w:rPr>
          <w:sz w:val="24"/>
          <w:szCs w:val="24"/>
        </w:rPr>
        <w:t>HHS/</w:t>
      </w:r>
      <w:r w:rsidRPr="00E56AA3">
        <w:rPr>
          <w:sz w:val="24"/>
          <w:szCs w:val="24"/>
        </w:rPr>
        <w:t xml:space="preserve">OPA staff that review and approve each FPAR, the </w:t>
      </w:r>
      <w:r w:rsidRPr="00E56AA3" w:rsidR="00171246">
        <w:rPr>
          <w:i/>
          <w:iCs/>
          <w:sz w:val="24"/>
          <w:szCs w:val="24"/>
        </w:rPr>
        <w:t>FPAR 2</w:t>
      </w:r>
      <w:r w:rsidRPr="00E56AA3" w:rsidR="00171246">
        <w:rPr>
          <w:sz w:val="24"/>
          <w:szCs w:val="24"/>
        </w:rPr>
        <w:t xml:space="preserve">.0 </w:t>
      </w:r>
      <w:r w:rsidRPr="00E56AA3">
        <w:rPr>
          <w:i/>
          <w:iCs/>
          <w:sz w:val="24"/>
          <w:szCs w:val="24"/>
        </w:rPr>
        <w:t>Data System</w:t>
      </w:r>
      <w:r w:rsidRPr="00E56AA3" w:rsidR="00171246">
        <w:rPr>
          <w:sz w:val="24"/>
          <w:szCs w:val="24"/>
        </w:rPr>
        <w:t xml:space="preserve"> offer</w:t>
      </w:r>
      <w:r w:rsidR="006D2A09">
        <w:rPr>
          <w:sz w:val="24"/>
          <w:szCs w:val="24"/>
        </w:rPr>
        <w:t>s</w:t>
      </w:r>
      <w:r w:rsidRPr="00E56AA3" w:rsidR="00171246">
        <w:rPr>
          <w:sz w:val="24"/>
          <w:szCs w:val="24"/>
        </w:rPr>
        <w:t xml:space="preserve"> </w:t>
      </w:r>
      <w:r w:rsidRPr="00E56AA3">
        <w:rPr>
          <w:sz w:val="24"/>
          <w:szCs w:val="24"/>
        </w:rPr>
        <w:t>automated features to streamline FPAR review and approval, including automated e-mails to inform the grantee or OPA about specific actions taken on an FPAR (e.g., submission, acceptance/approval, request for revision)</w:t>
      </w:r>
      <w:r w:rsidRPr="00E56AA3" w:rsidR="00F23A13">
        <w:rPr>
          <w:sz w:val="24"/>
          <w:szCs w:val="24"/>
        </w:rPr>
        <w:t xml:space="preserve"> and</w:t>
      </w:r>
      <w:r w:rsidRPr="00E56AA3">
        <w:rPr>
          <w:sz w:val="24"/>
          <w:szCs w:val="24"/>
        </w:rPr>
        <w:t xml:space="preserve"> a</w:t>
      </w:r>
      <w:r w:rsidRPr="00E56AA3" w:rsidR="00F23A13">
        <w:rPr>
          <w:sz w:val="24"/>
          <w:szCs w:val="24"/>
        </w:rPr>
        <w:t xml:space="preserve">n </w:t>
      </w:r>
      <w:r w:rsidRPr="00E56AA3" w:rsidR="00F23A13">
        <w:rPr>
          <w:i/>
          <w:iCs/>
          <w:sz w:val="24"/>
          <w:szCs w:val="24"/>
        </w:rPr>
        <w:t>FPAR Submission Status Report</w:t>
      </w:r>
      <w:r w:rsidRPr="00E56AA3">
        <w:rPr>
          <w:sz w:val="24"/>
          <w:szCs w:val="24"/>
        </w:rPr>
        <w:t xml:space="preserve"> that </w:t>
      </w:r>
      <w:r w:rsidRPr="00E56AA3" w:rsidR="00F23A13">
        <w:rPr>
          <w:sz w:val="24"/>
          <w:szCs w:val="24"/>
        </w:rPr>
        <w:t xml:space="preserve">shows total and region-specific information on </w:t>
      </w:r>
      <w:r w:rsidRPr="00E56AA3">
        <w:rPr>
          <w:sz w:val="24"/>
          <w:szCs w:val="24"/>
        </w:rPr>
        <w:t xml:space="preserve">the submission status </w:t>
      </w:r>
      <w:r w:rsidRPr="00E56AA3" w:rsidR="00F23A13">
        <w:rPr>
          <w:sz w:val="24"/>
          <w:szCs w:val="24"/>
        </w:rPr>
        <w:t xml:space="preserve">of all FPARs on any selected day. In addition, the </w:t>
      </w:r>
      <w:r w:rsidRPr="00E56AA3" w:rsidR="00171246">
        <w:rPr>
          <w:i/>
          <w:iCs/>
          <w:sz w:val="24"/>
          <w:szCs w:val="24"/>
        </w:rPr>
        <w:t>FPAR 2.0</w:t>
      </w:r>
      <w:r w:rsidRPr="00E56AA3" w:rsidR="00171246">
        <w:rPr>
          <w:sz w:val="24"/>
          <w:szCs w:val="24"/>
        </w:rPr>
        <w:t xml:space="preserve"> </w:t>
      </w:r>
      <w:r w:rsidRPr="00E56AA3" w:rsidR="00F23A13">
        <w:rPr>
          <w:i/>
          <w:iCs/>
          <w:sz w:val="24"/>
          <w:szCs w:val="24"/>
        </w:rPr>
        <w:t xml:space="preserve">Data System </w:t>
      </w:r>
      <w:r w:rsidRPr="00E56AA3" w:rsidR="00F23A13">
        <w:rPr>
          <w:sz w:val="24"/>
          <w:szCs w:val="24"/>
        </w:rPr>
        <w:t>provide</w:t>
      </w:r>
      <w:r w:rsidR="006D2A09">
        <w:rPr>
          <w:sz w:val="24"/>
          <w:szCs w:val="24"/>
        </w:rPr>
        <w:t>s</w:t>
      </w:r>
      <w:r w:rsidRPr="00E56AA3" w:rsidR="00F23A13">
        <w:rPr>
          <w:sz w:val="24"/>
          <w:szCs w:val="24"/>
        </w:rPr>
        <w:t xml:space="preserve"> </w:t>
      </w:r>
      <w:r w:rsidRPr="00E56AA3" w:rsidR="004F4BB2">
        <w:rPr>
          <w:sz w:val="24"/>
          <w:szCs w:val="24"/>
        </w:rPr>
        <w:t xml:space="preserve">a </w:t>
      </w:r>
      <w:r w:rsidRPr="00E56AA3" w:rsidR="00F23A13">
        <w:rPr>
          <w:sz w:val="24"/>
          <w:szCs w:val="24"/>
        </w:rPr>
        <w:t xml:space="preserve">user administration page where </w:t>
      </w:r>
      <w:r w:rsidRPr="00E56AA3" w:rsidR="00A443D8">
        <w:rPr>
          <w:sz w:val="24"/>
          <w:szCs w:val="24"/>
        </w:rPr>
        <w:t>HHS/OPA staff</w:t>
      </w:r>
      <w:r w:rsidRPr="00E56AA3" w:rsidR="00F23A13">
        <w:rPr>
          <w:sz w:val="24"/>
          <w:szCs w:val="24"/>
        </w:rPr>
        <w:t xml:space="preserve"> manage (i.e., register, approve, and disable) all system user accounts</w:t>
      </w:r>
      <w:r w:rsidRPr="00E56AA3" w:rsidR="00397B7E">
        <w:rPr>
          <w:sz w:val="24"/>
          <w:szCs w:val="24"/>
        </w:rPr>
        <w:t>.</w:t>
      </w:r>
      <w:r w:rsidR="001622F4">
        <w:rPr>
          <w:sz w:val="24"/>
          <w:szCs w:val="24"/>
        </w:rPr>
        <w:t xml:space="preserve"> At the end of every reporting period, OPA and the vendor discuss issues that arose during the previous year and work on system improvements based on user feedback from OPA staff to grantees. </w:t>
      </w:r>
    </w:p>
    <w:p w:rsidR="00D832DD" w:rsidRPr="00E56AA3" w:rsidP="00397B7E" w14:paraId="1CBF5CBB" w14:textId="6348B229">
      <w:pPr>
        <w:pStyle w:val="Heading3"/>
        <w:keepNext/>
        <w:tabs>
          <w:tab w:val="num" w:pos="360"/>
          <w:tab w:val="clear" w:pos="1252"/>
        </w:tabs>
        <w:spacing w:before="0" w:after="120"/>
        <w:ind w:left="360"/>
        <w:rPr>
          <w:rStyle w:val="Heading3OMB"/>
        </w:rPr>
      </w:pPr>
      <w:bookmarkStart w:id="15" w:name="_Toc16533861"/>
      <w:bookmarkStart w:id="16" w:name="_Toc179880104"/>
      <w:r w:rsidRPr="00E56AA3">
        <w:rPr>
          <w:rStyle w:val="Heading3OMB"/>
        </w:rPr>
        <w:t>Efforts to Identify Duplication and Use of Similar Information</w:t>
      </w:r>
      <w:bookmarkEnd w:id="15"/>
      <w:bookmarkEnd w:id="16"/>
    </w:p>
    <w:p w:rsidR="00D832DD" w:rsidRPr="00E56AA3" w:rsidP="00D832DD" w14:paraId="745540E8" w14:textId="747D53BD">
      <w:pPr>
        <w:pStyle w:val="bodytext-gph"/>
        <w:rPr>
          <w:sz w:val="24"/>
          <w:szCs w:val="24"/>
        </w:rPr>
      </w:pPr>
      <w:r w:rsidRPr="00E56AA3">
        <w:rPr>
          <w:sz w:val="24"/>
          <w:szCs w:val="24"/>
        </w:rPr>
        <w:t>As noted in Section A.2, FPAR</w:t>
      </w:r>
      <w:r w:rsidRPr="00E56AA3" w:rsidR="004F4BB2">
        <w:rPr>
          <w:sz w:val="24"/>
          <w:szCs w:val="24"/>
        </w:rPr>
        <w:t xml:space="preserve"> 2.0 </w:t>
      </w:r>
      <w:r w:rsidR="00D82F91">
        <w:rPr>
          <w:sz w:val="24"/>
          <w:szCs w:val="24"/>
        </w:rPr>
        <w:t>is</w:t>
      </w:r>
      <w:r w:rsidRPr="00E56AA3" w:rsidR="00D82F91">
        <w:rPr>
          <w:sz w:val="24"/>
          <w:szCs w:val="24"/>
        </w:rPr>
        <w:t xml:space="preserve"> </w:t>
      </w:r>
      <w:r w:rsidRPr="00E56AA3">
        <w:rPr>
          <w:sz w:val="24"/>
          <w:szCs w:val="24"/>
        </w:rPr>
        <w:t xml:space="preserve">the only source of annual, uniform reporting by all Title X </w:t>
      </w:r>
      <w:r w:rsidRPr="00E56AA3" w:rsidR="00FA1BCD">
        <w:rPr>
          <w:sz w:val="24"/>
          <w:szCs w:val="24"/>
        </w:rPr>
        <w:t>Family Planning Services</w:t>
      </w:r>
      <w:r w:rsidRPr="00E56AA3">
        <w:rPr>
          <w:sz w:val="24"/>
          <w:szCs w:val="24"/>
        </w:rPr>
        <w:t xml:space="preserve"> grantees. The information requested in FPAR</w:t>
      </w:r>
      <w:r w:rsidRPr="00E56AA3" w:rsidR="004F4BB2">
        <w:rPr>
          <w:sz w:val="24"/>
          <w:szCs w:val="24"/>
        </w:rPr>
        <w:t xml:space="preserve"> 2.0</w:t>
      </w:r>
      <w:r w:rsidRPr="00E56AA3">
        <w:rPr>
          <w:sz w:val="24"/>
          <w:szCs w:val="24"/>
        </w:rPr>
        <w:t xml:space="preserve"> is unique to the Title X Family Planning program and is unavailable from other sources. Furthermore, FPAR </w:t>
      </w:r>
      <w:r w:rsidRPr="00E56AA3" w:rsidR="004F4BB2">
        <w:rPr>
          <w:sz w:val="24"/>
          <w:szCs w:val="24"/>
        </w:rPr>
        <w:t xml:space="preserve">2.0 </w:t>
      </w:r>
      <w:r w:rsidRPr="00E56AA3">
        <w:rPr>
          <w:sz w:val="24"/>
          <w:szCs w:val="24"/>
        </w:rPr>
        <w:t xml:space="preserve">does not duplicate items from other OPA data collection efforts for this program. In the absence of FPAR </w:t>
      </w:r>
      <w:r w:rsidRPr="00E56AA3" w:rsidR="004F4BB2">
        <w:rPr>
          <w:sz w:val="24"/>
          <w:szCs w:val="24"/>
        </w:rPr>
        <w:t xml:space="preserve">2.0 </w:t>
      </w:r>
      <w:r w:rsidRPr="00E56AA3">
        <w:rPr>
          <w:sz w:val="24"/>
          <w:szCs w:val="24"/>
        </w:rPr>
        <w:t xml:space="preserve">data, there is no other source or mechanism for collecting timely and uniform data that OPA relies on to guide program policies, priorities, decisions, and strategies. </w:t>
      </w:r>
    </w:p>
    <w:p w:rsidR="00D832DD" w:rsidRPr="00E56AA3" w:rsidP="00D832DD" w14:paraId="05A7EF5C" w14:textId="4F05AD49">
      <w:pPr>
        <w:pStyle w:val="bodytext-gph"/>
        <w:rPr>
          <w:sz w:val="24"/>
          <w:szCs w:val="24"/>
        </w:rPr>
      </w:pPr>
      <w:r w:rsidRPr="00E56AA3">
        <w:rPr>
          <w:sz w:val="24"/>
          <w:szCs w:val="24"/>
        </w:rPr>
        <w:t xml:space="preserve">While the </w:t>
      </w:r>
      <w:r w:rsidRPr="00E56AA3" w:rsidR="00456FF8">
        <w:rPr>
          <w:sz w:val="24"/>
          <w:szCs w:val="24"/>
        </w:rPr>
        <w:t>federally funded</w:t>
      </w:r>
      <w:r w:rsidRPr="00E56AA3" w:rsidR="00D11826">
        <w:rPr>
          <w:sz w:val="24"/>
          <w:szCs w:val="24"/>
        </w:rPr>
        <w:t xml:space="preserve"> </w:t>
      </w:r>
      <w:r w:rsidRPr="00E56AA3">
        <w:rPr>
          <w:sz w:val="24"/>
          <w:szCs w:val="24"/>
        </w:rPr>
        <w:t>N</w:t>
      </w:r>
      <w:r w:rsidRPr="00E56AA3" w:rsidR="00D11826">
        <w:rPr>
          <w:sz w:val="24"/>
          <w:szCs w:val="24"/>
        </w:rPr>
        <w:t xml:space="preserve">ational </w:t>
      </w:r>
      <w:r w:rsidRPr="00E56AA3">
        <w:rPr>
          <w:sz w:val="24"/>
          <w:szCs w:val="24"/>
        </w:rPr>
        <w:t>S</w:t>
      </w:r>
      <w:r w:rsidRPr="00E56AA3" w:rsidR="00D11826">
        <w:rPr>
          <w:sz w:val="24"/>
          <w:szCs w:val="24"/>
        </w:rPr>
        <w:t xml:space="preserve">urvey of </w:t>
      </w:r>
      <w:r w:rsidRPr="00E56AA3">
        <w:rPr>
          <w:sz w:val="24"/>
          <w:szCs w:val="24"/>
        </w:rPr>
        <w:t>F</w:t>
      </w:r>
      <w:r w:rsidRPr="00E56AA3" w:rsidR="00D11826">
        <w:rPr>
          <w:sz w:val="24"/>
          <w:szCs w:val="24"/>
        </w:rPr>
        <w:t xml:space="preserve">amily </w:t>
      </w:r>
      <w:r w:rsidRPr="00E56AA3">
        <w:rPr>
          <w:sz w:val="24"/>
          <w:szCs w:val="24"/>
        </w:rPr>
        <w:t>G</w:t>
      </w:r>
      <w:r w:rsidRPr="00E56AA3" w:rsidR="00D11826">
        <w:rPr>
          <w:sz w:val="24"/>
          <w:szCs w:val="24"/>
        </w:rPr>
        <w:t>rowth (NSFG)</w:t>
      </w:r>
      <w:r w:rsidRPr="00E56AA3">
        <w:rPr>
          <w:sz w:val="24"/>
          <w:szCs w:val="24"/>
        </w:rPr>
        <w:t xml:space="preserve"> is an important source of detailed information about family planning and reproductive health knowledge, attitudes, and behaviors among reproductive-aged individuals in the United States, the survey is designed to be representative of the reproductive-aged population (15 to 44 years) nationally and is not representative of </w:t>
      </w:r>
      <w:r w:rsidR="00D82F91">
        <w:rPr>
          <w:sz w:val="24"/>
          <w:szCs w:val="24"/>
        </w:rPr>
        <w:t xml:space="preserve">services provided specifically to </w:t>
      </w:r>
      <w:r w:rsidRPr="00E56AA3">
        <w:rPr>
          <w:sz w:val="24"/>
          <w:szCs w:val="24"/>
        </w:rPr>
        <w:t xml:space="preserve">Title X clients. Due to the survey’s design, the NSFG is an inappropriate data source for monitoring and managing the Title X Family Planning program because NSFG data cannot be used to generate reliable estimates of Title X service utilization patterns, client demographic characteristics, or client contraceptive behaviors. </w:t>
      </w:r>
    </w:p>
    <w:p w:rsidR="00D832DD" w:rsidRPr="00E56AA3" w:rsidP="00D832DD" w14:paraId="16963F44" w14:textId="1C318014">
      <w:pPr>
        <w:pStyle w:val="Heading3"/>
        <w:keepNext/>
        <w:tabs>
          <w:tab w:val="num" w:pos="360"/>
          <w:tab w:val="clear" w:pos="1252"/>
        </w:tabs>
        <w:spacing w:before="0" w:after="120"/>
        <w:ind w:left="360"/>
        <w:rPr>
          <w:rStyle w:val="Heading3OMB"/>
        </w:rPr>
      </w:pPr>
      <w:bookmarkStart w:id="17" w:name="_Toc16533862"/>
      <w:bookmarkStart w:id="18" w:name="_Toc179880105"/>
      <w:r w:rsidRPr="00E56AA3">
        <w:rPr>
          <w:rStyle w:val="Heading3OMB"/>
        </w:rPr>
        <w:t>Impact on Small Businesses or Other Small Entities</w:t>
      </w:r>
      <w:bookmarkEnd w:id="17"/>
      <w:bookmarkEnd w:id="18"/>
    </w:p>
    <w:p w:rsidR="00D832DD" w:rsidRPr="00E56AA3" w:rsidP="00D832DD" w14:paraId="1D05D8F0" w14:textId="4B7B0C14">
      <w:pPr>
        <w:pStyle w:val="bodytext-gph"/>
        <w:rPr>
          <w:sz w:val="24"/>
          <w:szCs w:val="24"/>
        </w:rPr>
      </w:pPr>
      <w:r w:rsidRPr="00E56AA3">
        <w:rPr>
          <w:sz w:val="24"/>
          <w:szCs w:val="24"/>
        </w:rPr>
        <w:t xml:space="preserve">No small business will be </w:t>
      </w:r>
      <w:r w:rsidRPr="00E56AA3" w:rsidR="004A6B86">
        <w:rPr>
          <w:sz w:val="24"/>
          <w:szCs w:val="24"/>
        </w:rPr>
        <w:t xml:space="preserve">impacted </w:t>
      </w:r>
      <w:r w:rsidRPr="00E56AA3">
        <w:rPr>
          <w:sz w:val="24"/>
          <w:szCs w:val="24"/>
        </w:rPr>
        <w:t xml:space="preserve">in this study. </w:t>
      </w:r>
    </w:p>
    <w:p w:rsidR="00D832DD" w:rsidRPr="00E56AA3" w:rsidP="00D832DD" w14:paraId="046042BD" w14:textId="2188F190">
      <w:pPr>
        <w:pStyle w:val="Heading3"/>
        <w:keepNext/>
        <w:tabs>
          <w:tab w:val="num" w:pos="360"/>
          <w:tab w:val="clear" w:pos="1252"/>
        </w:tabs>
        <w:spacing w:before="0" w:after="120"/>
        <w:ind w:left="360"/>
        <w:rPr>
          <w:rStyle w:val="Heading3OMB"/>
        </w:rPr>
      </w:pPr>
      <w:bookmarkStart w:id="19" w:name="_Toc16533863"/>
      <w:bookmarkStart w:id="20" w:name="_Toc179880106"/>
      <w:r w:rsidRPr="00E56AA3">
        <w:rPr>
          <w:rStyle w:val="Heading3OMB"/>
        </w:rPr>
        <w:t>Consequences of Not Collecting the Information or Less Frequent Collection</w:t>
      </w:r>
      <w:bookmarkEnd w:id="19"/>
      <w:bookmarkEnd w:id="20"/>
    </w:p>
    <w:p w:rsidR="00D832DD" w:rsidRPr="00E56AA3" w:rsidP="009603AE" w14:paraId="7BECEE13" w14:textId="7DEE4700">
      <w:pPr>
        <w:pStyle w:val="bodytext-gph"/>
        <w:rPr>
          <w:sz w:val="24"/>
          <w:szCs w:val="24"/>
        </w:rPr>
      </w:pPr>
      <w:r w:rsidRPr="00E56AA3">
        <w:rPr>
          <w:sz w:val="24"/>
          <w:szCs w:val="24"/>
        </w:rPr>
        <w:t xml:space="preserve">Title X services grantees are required to complete and submit the FPAR on an annual basis. </w:t>
      </w:r>
      <w:r w:rsidRPr="00E56AA3" w:rsidR="00397B7E">
        <w:rPr>
          <w:sz w:val="24"/>
          <w:szCs w:val="24"/>
        </w:rPr>
        <w:t xml:space="preserve">OPA </w:t>
      </w:r>
      <w:r w:rsidRPr="00E56AA3" w:rsidR="00AC7260">
        <w:rPr>
          <w:sz w:val="24"/>
          <w:szCs w:val="24"/>
        </w:rPr>
        <w:t>uses</w:t>
      </w:r>
      <w:r w:rsidRPr="00E56AA3" w:rsidR="00397B7E">
        <w:rPr>
          <w:sz w:val="24"/>
          <w:szCs w:val="24"/>
        </w:rPr>
        <w:t xml:space="preserve"> </w:t>
      </w:r>
      <w:r w:rsidRPr="00E56AA3">
        <w:rPr>
          <w:sz w:val="24"/>
          <w:szCs w:val="24"/>
        </w:rPr>
        <w:t>FPAR</w:t>
      </w:r>
      <w:r w:rsidRPr="00E56AA3" w:rsidR="004F4BB2">
        <w:rPr>
          <w:sz w:val="24"/>
          <w:szCs w:val="24"/>
        </w:rPr>
        <w:t xml:space="preserve"> </w:t>
      </w:r>
      <w:r w:rsidRPr="00E56AA3">
        <w:rPr>
          <w:sz w:val="24"/>
          <w:szCs w:val="24"/>
        </w:rPr>
        <w:t>data for key management tasks</w:t>
      </w:r>
      <w:r w:rsidRPr="00E56AA3" w:rsidR="00F70BDC">
        <w:rPr>
          <w:sz w:val="24"/>
          <w:szCs w:val="24"/>
        </w:rPr>
        <w:t xml:space="preserve"> such</w:t>
      </w:r>
      <w:r w:rsidRPr="00E56AA3">
        <w:rPr>
          <w:sz w:val="24"/>
          <w:szCs w:val="24"/>
        </w:rPr>
        <w:t xml:space="preserve"> as monitoring compliance with statutory requirements, allocating funds among grantees, determining grantee eligibility for </w:t>
      </w:r>
      <w:r w:rsidRPr="00E56AA3">
        <w:rPr>
          <w:sz w:val="24"/>
          <w:szCs w:val="24"/>
        </w:rPr>
        <w:t xml:space="preserve">continued funding, and strategic program and financial planning. Less frequent collection of FPAR data would severely hamper OPA’s ability to manage the Title X Family Planning </w:t>
      </w:r>
      <w:r w:rsidRPr="00E56AA3" w:rsidR="00AC7260">
        <w:rPr>
          <w:sz w:val="24"/>
          <w:szCs w:val="24"/>
        </w:rPr>
        <w:t xml:space="preserve">grant </w:t>
      </w:r>
      <w:r w:rsidRPr="00E56AA3">
        <w:rPr>
          <w:sz w:val="24"/>
          <w:szCs w:val="24"/>
        </w:rPr>
        <w:t>program</w:t>
      </w:r>
      <w:r w:rsidRPr="00E56AA3" w:rsidR="00397B7E">
        <w:rPr>
          <w:sz w:val="24"/>
          <w:szCs w:val="24"/>
        </w:rPr>
        <w:t xml:space="preserve"> and adjust changes in </w:t>
      </w:r>
      <w:r w:rsidRPr="00E56AA3" w:rsidR="009603AE">
        <w:rPr>
          <w:sz w:val="24"/>
          <w:szCs w:val="24"/>
        </w:rPr>
        <w:t>funding or other factors</w:t>
      </w:r>
      <w:r w:rsidRPr="00E56AA3" w:rsidR="00F70BDC">
        <w:rPr>
          <w:sz w:val="24"/>
          <w:szCs w:val="24"/>
        </w:rPr>
        <w:t xml:space="preserve"> in a timely manner</w:t>
      </w:r>
      <w:r w:rsidRPr="00E56AA3">
        <w:rPr>
          <w:sz w:val="24"/>
          <w:szCs w:val="24"/>
        </w:rPr>
        <w:t xml:space="preserve">. </w:t>
      </w:r>
    </w:p>
    <w:p w:rsidR="00C06E4A" w:rsidP="0054589B" w14:paraId="02F00139" w14:textId="6406CF49">
      <w:pPr>
        <w:pStyle w:val="Heading3"/>
        <w:keepNext/>
        <w:tabs>
          <w:tab w:val="num" w:pos="360"/>
          <w:tab w:val="clear" w:pos="1252"/>
        </w:tabs>
        <w:spacing w:before="0" w:after="120"/>
        <w:ind w:left="360"/>
        <w:rPr>
          <w:rStyle w:val="Heading3OMB"/>
        </w:rPr>
      </w:pPr>
      <w:bookmarkStart w:id="21" w:name="_Toc16533864"/>
      <w:bookmarkStart w:id="22" w:name="_Toc179880107"/>
      <w:r w:rsidRPr="00E56AA3">
        <w:rPr>
          <w:rStyle w:val="Heading3OMB"/>
        </w:rPr>
        <w:t>Special Circumstances Relating to the Guidelines of 5 CFR 1320.5</w:t>
      </w:r>
      <w:bookmarkEnd w:id="21"/>
      <w:bookmarkEnd w:id="22"/>
    </w:p>
    <w:p w:rsidR="00EA46ED" w:rsidP="001622F4" w14:paraId="190A99DF" w14:textId="4EC7FF5D">
      <w:pPr>
        <w:pStyle w:val="bodytext-gph"/>
        <w:rPr>
          <w:sz w:val="24"/>
          <w:szCs w:val="24"/>
        </w:rPr>
      </w:pPr>
      <w:r w:rsidRPr="00EA46ED">
        <w:rPr>
          <w:sz w:val="24"/>
          <w:szCs w:val="24"/>
        </w:rPr>
        <w:t>The Information Collection Request fully complies with regulation 5 CFR 1320.5.</w:t>
      </w:r>
    </w:p>
    <w:p w:rsidR="00D832DD" w:rsidP="00D832DD" w14:paraId="0FEDF34A" w14:textId="232FE586">
      <w:pPr>
        <w:pStyle w:val="Heading3"/>
        <w:keepNext/>
        <w:tabs>
          <w:tab w:val="num" w:pos="360"/>
          <w:tab w:val="clear" w:pos="1252"/>
        </w:tabs>
        <w:spacing w:before="0" w:after="120"/>
        <w:ind w:left="360"/>
        <w:rPr>
          <w:rStyle w:val="Heading3OMB"/>
        </w:rPr>
      </w:pPr>
      <w:bookmarkStart w:id="23" w:name="_Toc16533865"/>
      <w:bookmarkStart w:id="24" w:name="_Toc179880108"/>
      <w:r w:rsidRPr="00E56AA3">
        <w:rPr>
          <w:rStyle w:val="Heading3OMB"/>
        </w:rPr>
        <w:t>Comments in Response to the Federal Register Notice/Outside Consultation</w:t>
      </w:r>
      <w:bookmarkEnd w:id="23"/>
      <w:bookmarkEnd w:id="24"/>
    </w:p>
    <w:p w:rsidR="00A35D7E" w:rsidP="00AB7408" w14:paraId="6A36F75F" w14:textId="6BA40AE6">
      <w:pPr>
        <w:widowControl w:val="0"/>
        <w:autoSpaceDE w:val="0"/>
        <w:autoSpaceDN w:val="0"/>
        <w:adjustRightInd w:val="0"/>
        <w:ind w:left="360"/>
      </w:pPr>
      <w:r>
        <w:t xml:space="preserve">A 60-day Federal Register Notice was published in the </w:t>
      </w:r>
      <w:r>
        <w:rPr>
          <w:i/>
          <w:iCs/>
        </w:rPr>
        <w:t xml:space="preserve">Federal Register </w:t>
      </w:r>
      <w:r>
        <w:t xml:space="preserve">on </w:t>
      </w:r>
      <w:r w:rsidR="00485DF8">
        <w:t xml:space="preserve">October </w:t>
      </w:r>
      <w:r w:rsidR="0084570A">
        <w:t>31</w:t>
      </w:r>
      <w:r>
        <w:t xml:space="preserve">, 2024, </w:t>
      </w:r>
      <w:r w:rsidRPr="0084570A" w:rsidR="0084570A">
        <w:t>Vol. 89, No. 211</w:t>
      </w:r>
      <w:r>
        <w:t xml:space="preserve">; pp. </w:t>
      </w:r>
      <w:r w:rsidRPr="0079647F" w:rsidR="0079647F">
        <w:t>86826</w:t>
      </w:r>
      <w:r w:rsidR="0079647F">
        <w:t xml:space="preserve"> - </w:t>
      </w:r>
      <w:r w:rsidR="00985261">
        <w:t>7</w:t>
      </w:r>
      <w:r>
        <w:t xml:space="preserve"> (see attachment </w:t>
      </w:r>
      <w:r w:rsidR="0084570A">
        <w:t>C</w:t>
      </w:r>
      <w:r>
        <w:t xml:space="preserve">). There </w:t>
      </w:r>
      <w:r w:rsidR="00456FF8">
        <w:t>were no</w:t>
      </w:r>
      <w:r>
        <w:t xml:space="preserve"> public comments.</w:t>
      </w:r>
    </w:p>
    <w:p w:rsidR="0051022F" w:rsidRPr="00746EEC" w:rsidP="00746EEC" w14:paraId="3501E205" w14:textId="77777777"/>
    <w:p w:rsidR="00D832DD" w:rsidRPr="00E56AA3" w:rsidP="00D4237A" w14:paraId="745B6DCE" w14:textId="49FB8D95">
      <w:pPr>
        <w:pStyle w:val="bodytext-gph"/>
        <w:rPr>
          <w:sz w:val="24"/>
          <w:szCs w:val="24"/>
        </w:rPr>
      </w:pPr>
      <w:r w:rsidRPr="00E56AA3">
        <w:rPr>
          <w:b/>
          <w:bCs/>
          <w:sz w:val="24"/>
          <w:szCs w:val="24"/>
        </w:rPr>
        <w:t xml:space="preserve">Outside Consultation. </w:t>
      </w:r>
      <w:r w:rsidRPr="00E56AA3" w:rsidR="0095072C">
        <w:rPr>
          <w:bCs/>
          <w:sz w:val="24"/>
          <w:szCs w:val="24"/>
        </w:rPr>
        <w:t xml:space="preserve">Outside consultation was </w:t>
      </w:r>
      <w:r w:rsidRPr="00E56AA3" w:rsidR="005A7D8C">
        <w:rPr>
          <w:bCs/>
          <w:sz w:val="24"/>
          <w:szCs w:val="24"/>
        </w:rPr>
        <w:t>conducted</w:t>
      </w:r>
      <w:r w:rsidR="005A7D8C">
        <w:rPr>
          <w:bCs/>
          <w:sz w:val="24"/>
          <w:szCs w:val="24"/>
        </w:rPr>
        <w:t xml:space="preserve"> over the last three years </w:t>
      </w:r>
      <w:r w:rsidR="00A8327A">
        <w:rPr>
          <w:bCs/>
          <w:sz w:val="24"/>
          <w:szCs w:val="24"/>
        </w:rPr>
        <w:t xml:space="preserve">with </w:t>
      </w:r>
      <w:r w:rsidR="002018B0">
        <w:rPr>
          <w:bCs/>
          <w:sz w:val="24"/>
          <w:szCs w:val="24"/>
        </w:rPr>
        <w:t xml:space="preserve">inputs from </w:t>
      </w:r>
      <w:r w:rsidR="00A8327A">
        <w:rPr>
          <w:bCs/>
          <w:sz w:val="24"/>
          <w:szCs w:val="24"/>
        </w:rPr>
        <w:t xml:space="preserve">experts at the FPAR contractor, Mathematica, and </w:t>
      </w:r>
      <w:r w:rsidRPr="00E56AA3" w:rsidR="0095072C">
        <w:rPr>
          <w:bCs/>
          <w:sz w:val="24"/>
          <w:szCs w:val="24"/>
        </w:rPr>
        <w:t xml:space="preserve">from </w:t>
      </w:r>
      <w:r w:rsidR="002018B0">
        <w:rPr>
          <w:bCs/>
          <w:sz w:val="24"/>
          <w:szCs w:val="24"/>
        </w:rPr>
        <w:t xml:space="preserve">OPA’s technical assistance grantees at the Reproductive Health National Training Center and Clinical Training Center for Sexual and Reproductive Health. Additionally, </w:t>
      </w:r>
      <w:r w:rsidR="002F629D">
        <w:rPr>
          <w:bCs/>
          <w:sz w:val="24"/>
          <w:szCs w:val="24"/>
        </w:rPr>
        <w:t xml:space="preserve">HHS OPA Title X program staff have provided expertise. </w:t>
      </w:r>
      <w:r w:rsidR="008F5CEB">
        <w:rPr>
          <w:bCs/>
          <w:sz w:val="24"/>
          <w:szCs w:val="24"/>
        </w:rPr>
        <w:t xml:space="preserve">User feedback has been analyzed and incorporated annually into </w:t>
      </w:r>
      <w:r w:rsidR="0073427C">
        <w:rPr>
          <w:bCs/>
          <w:sz w:val="24"/>
          <w:szCs w:val="24"/>
        </w:rPr>
        <w:t xml:space="preserve">iterative changes to the data system and </w:t>
      </w:r>
      <w:r w:rsidR="00740D11">
        <w:rPr>
          <w:bCs/>
          <w:sz w:val="24"/>
          <w:szCs w:val="24"/>
        </w:rPr>
        <w:t xml:space="preserve">elements to improve ease of data collection and reporting. </w:t>
      </w:r>
      <w:r w:rsidR="00552E15">
        <w:rPr>
          <w:bCs/>
          <w:sz w:val="24"/>
          <w:szCs w:val="24"/>
        </w:rPr>
        <w:t>Regarding the elements</w:t>
      </w:r>
      <w:r w:rsidR="00740D11">
        <w:rPr>
          <w:bCs/>
          <w:sz w:val="24"/>
          <w:szCs w:val="24"/>
        </w:rPr>
        <w:t xml:space="preserve">, this </w:t>
      </w:r>
      <w:r w:rsidR="00552E15">
        <w:rPr>
          <w:bCs/>
          <w:sz w:val="24"/>
          <w:szCs w:val="24"/>
        </w:rPr>
        <w:t xml:space="preserve">primarily </w:t>
      </w:r>
      <w:r w:rsidR="000F2F71">
        <w:rPr>
          <w:bCs/>
          <w:sz w:val="24"/>
          <w:szCs w:val="24"/>
        </w:rPr>
        <w:t xml:space="preserve">relates to the </w:t>
      </w:r>
      <w:r w:rsidR="00740D11">
        <w:rPr>
          <w:bCs/>
          <w:sz w:val="24"/>
          <w:szCs w:val="24"/>
        </w:rPr>
        <w:t xml:space="preserve">inclusion or exclusion of </w:t>
      </w:r>
      <w:r w:rsidR="00552E15">
        <w:rPr>
          <w:bCs/>
          <w:sz w:val="24"/>
          <w:szCs w:val="24"/>
        </w:rPr>
        <w:t xml:space="preserve">more standardized response/reporting codes without changing the actual elements. </w:t>
      </w:r>
      <w:r w:rsidR="00740D11">
        <w:rPr>
          <w:bCs/>
          <w:sz w:val="24"/>
          <w:szCs w:val="24"/>
        </w:rPr>
        <w:t xml:space="preserve"> </w:t>
      </w:r>
    </w:p>
    <w:p w:rsidR="00D832DD" w:rsidRPr="00E56AA3" w:rsidP="00B85E32" w14:paraId="729075CA" w14:textId="5AB946DB">
      <w:pPr>
        <w:pStyle w:val="Caption"/>
        <w:ind w:left="360"/>
        <w:rPr>
          <w:sz w:val="24"/>
          <w:szCs w:val="24"/>
        </w:rPr>
      </w:pPr>
      <w:bookmarkStart w:id="25" w:name="_Toc186726919"/>
      <w:bookmarkStart w:id="26" w:name="_Toc16534321"/>
      <w:r w:rsidRPr="00AA3668">
        <w:rPr>
          <w:sz w:val="24"/>
          <w:szCs w:val="24"/>
        </w:rPr>
        <w:t xml:space="preserve">Exhibit  </w:t>
      </w:r>
      <w:r w:rsidRPr="00AA3668">
        <w:rPr>
          <w:sz w:val="24"/>
          <w:szCs w:val="24"/>
        </w:rPr>
        <w:fldChar w:fldCharType="begin"/>
      </w:r>
      <w:r w:rsidRPr="00AA3668">
        <w:rPr>
          <w:sz w:val="24"/>
          <w:szCs w:val="24"/>
        </w:rPr>
        <w:instrText xml:space="preserve"> SEQ Exhibit_ \* ARABIC </w:instrText>
      </w:r>
      <w:r w:rsidRPr="00AA3668">
        <w:rPr>
          <w:sz w:val="24"/>
          <w:szCs w:val="24"/>
        </w:rPr>
        <w:fldChar w:fldCharType="separate"/>
      </w:r>
      <w:r w:rsidR="00DA52D0">
        <w:rPr>
          <w:noProof/>
          <w:sz w:val="24"/>
          <w:szCs w:val="24"/>
        </w:rPr>
        <w:t>2</w:t>
      </w:r>
      <w:r w:rsidRPr="00AA3668">
        <w:rPr>
          <w:sz w:val="24"/>
          <w:szCs w:val="24"/>
        </w:rPr>
        <w:fldChar w:fldCharType="end"/>
      </w:r>
      <w:r w:rsidRPr="00E56AA3">
        <w:rPr>
          <w:sz w:val="24"/>
          <w:szCs w:val="24"/>
        </w:rPr>
        <w:t>–</w:t>
      </w:r>
      <w:r w:rsidRPr="00E56AA3" w:rsidR="00D4237A">
        <w:rPr>
          <w:sz w:val="24"/>
          <w:szCs w:val="24"/>
        </w:rPr>
        <w:t xml:space="preserve">List of Individuals </w:t>
      </w:r>
      <w:r w:rsidR="00AA14C7">
        <w:rPr>
          <w:sz w:val="24"/>
          <w:szCs w:val="24"/>
        </w:rPr>
        <w:t>who</w:t>
      </w:r>
      <w:r w:rsidRPr="00E56AA3" w:rsidR="00D4237A">
        <w:rPr>
          <w:sz w:val="24"/>
          <w:szCs w:val="24"/>
        </w:rPr>
        <w:t xml:space="preserve"> Provided Extensive Review and Feedback on </w:t>
      </w:r>
      <w:r w:rsidRPr="00E56AA3">
        <w:rPr>
          <w:sz w:val="24"/>
          <w:szCs w:val="24"/>
        </w:rPr>
        <w:t xml:space="preserve">FPAR </w:t>
      </w:r>
      <w:r w:rsidRPr="00E56AA3" w:rsidR="00401FFB">
        <w:rPr>
          <w:sz w:val="24"/>
          <w:szCs w:val="24"/>
        </w:rPr>
        <w:t>2.0</w:t>
      </w:r>
      <w:bookmarkEnd w:id="25"/>
      <w:r w:rsidRPr="00E56AA3" w:rsidR="00401FFB">
        <w:rPr>
          <w:sz w:val="24"/>
          <w:szCs w:val="24"/>
        </w:rPr>
        <w:t xml:space="preserve"> </w:t>
      </w:r>
      <w:bookmarkEnd w:id="26"/>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42"/>
        <w:gridCol w:w="6864"/>
      </w:tblGrid>
      <w:tr w14:paraId="645D4779" w14:textId="77777777" w:rsidTr="00053B3B">
        <w:tblPrEx>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19"/>
          <w:tblHeader/>
        </w:trPr>
        <w:tc>
          <w:tcPr>
            <w:tcW w:w="1442" w:type="dxa"/>
            <w:shd w:val="clear" w:color="auto" w:fill="F2F2F2" w:themeFill="background1" w:themeFillShade="F2"/>
            <w:tcMar>
              <w:top w:w="0" w:type="dxa"/>
              <w:left w:w="108" w:type="dxa"/>
              <w:bottom w:w="0" w:type="dxa"/>
              <w:right w:w="108" w:type="dxa"/>
            </w:tcMar>
          </w:tcPr>
          <w:p w:rsidR="00F8148E" w:rsidRPr="00E56AA3" w:rsidP="00760BBD" w14:paraId="2B03AD43" w14:textId="77777777">
            <w:pPr>
              <w:spacing w:before="40"/>
              <w:rPr>
                <w:b/>
                <w:bCs/>
              </w:rPr>
            </w:pPr>
            <w:r w:rsidRPr="00E56AA3">
              <w:rPr>
                <w:b/>
                <w:bCs/>
              </w:rPr>
              <w:t>Year</w:t>
            </w:r>
          </w:p>
        </w:tc>
        <w:tc>
          <w:tcPr>
            <w:tcW w:w="6864" w:type="dxa"/>
            <w:shd w:val="clear" w:color="auto" w:fill="F2F2F2" w:themeFill="background1" w:themeFillShade="F2"/>
            <w:tcMar>
              <w:top w:w="0" w:type="dxa"/>
              <w:left w:w="108" w:type="dxa"/>
              <w:bottom w:w="0" w:type="dxa"/>
              <w:right w:w="108" w:type="dxa"/>
            </w:tcMar>
          </w:tcPr>
          <w:p w:rsidR="00F8148E" w:rsidRPr="00E56AA3" w:rsidP="00760BBD" w14:paraId="471AA5F3" w14:textId="77777777">
            <w:pPr>
              <w:spacing w:before="40"/>
              <w:rPr>
                <w:b/>
                <w:bCs/>
              </w:rPr>
            </w:pPr>
            <w:r w:rsidRPr="00E56AA3">
              <w:rPr>
                <w:b/>
                <w:bCs/>
              </w:rPr>
              <w:t>Name/Title/Affiliation</w:t>
            </w:r>
          </w:p>
        </w:tc>
      </w:tr>
      <w:tr w14:paraId="7C0CAF3A" w14:textId="77777777" w:rsidTr="00053B3B">
        <w:tblPrEx>
          <w:tblW w:w="0" w:type="auto"/>
          <w:tblInd w:w="533" w:type="dxa"/>
          <w:tblCellMar>
            <w:left w:w="0" w:type="dxa"/>
            <w:right w:w="0" w:type="dxa"/>
          </w:tblCellMar>
          <w:tblLook w:val="0000"/>
        </w:tblPrEx>
        <w:trPr>
          <w:trHeight w:val="413"/>
        </w:trPr>
        <w:tc>
          <w:tcPr>
            <w:tcW w:w="1442" w:type="dxa"/>
            <w:tcMar>
              <w:top w:w="0" w:type="dxa"/>
              <w:left w:w="108" w:type="dxa"/>
              <w:bottom w:w="0" w:type="dxa"/>
              <w:right w:w="108" w:type="dxa"/>
            </w:tcMar>
          </w:tcPr>
          <w:p w:rsidR="00741843" w:rsidRPr="00E56AA3" w:rsidP="00741843" w14:paraId="1EF14CDF" w14:textId="01A2FB18">
            <w:pPr>
              <w:spacing w:before="60" w:after="60"/>
            </w:pPr>
            <w:r w:rsidRPr="00E56AA3">
              <w:t>20</w:t>
            </w:r>
            <w:r>
              <w:t xml:space="preserve">12 </w:t>
            </w:r>
            <w:r w:rsidRPr="00E56AA3">
              <w:t>-</w:t>
            </w:r>
            <w:r>
              <w:t xml:space="preserve"> </w:t>
            </w:r>
            <w:r w:rsidRPr="00E56AA3">
              <w:t>20</w:t>
            </w:r>
            <w:r>
              <w:t>25</w:t>
            </w:r>
          </w:p>
        </w:tc>
        <w:tc>
          <w:tcPr>
            <w:tcW w:w="6864" w:type="dxa"/>
            <w:tcMar>
              <w:top w:w="0" w:type="dxa"/>
              <w:left w:w="108" w:type="dxa"/>
              <w:bottom w:w="0" w:type="dxa"/>
              <w:right w:w="108" w:type="dxa"/>
            </w:tcMar>
          </w:tcPr>
          <w:p w:rsidR="00741843" w:rsidRPr="00E56AA3" w:rsidP="00741843" w14:paraId="2A1ED636" w14:textId="6487774C">
            <w:pPr>
              <w:spacing w:before="60" w:after="60"/>
            </w:pPr>
            <w:r w:rsidRPr="00E56AA3">
              <w:t>HHS Office of Population Affairs</w:t>
            </w:r>
          </w:p>
        </w:tc>
      </w:tr>
      <w:tr w14:paraId="7467EE6A" w14:textId="77777777" w:rsidTr="00053B3B">
        <w:tblPrEx>
          <w:tblW w:w="0" w:type="auto"/>
          <w:tblInd w:w="533" w:type="dxa"/>
          <w:tblCellMar>
            <w:left w:w="0" w:type="dxa"/>
            <w:right w:w="0" w:type="dxa"/>
          </w:tblCellMar>
          <w:tblLook w:val="0000"/>
        </w:tblPrEx>
        <w:trPr>
          <w:trHeight w:val="413"/>
        </w:trPr>
        <w:tc>
          <w:tcPr>
            <w:tcW w:w="1442" w:type="dxa"/>
            <w:tcMar>
              <w:top w:w="0" w:type="dxa"/>
              <w:left w:w="108" w:type="dxa"/>
              <w:bottom w:w="0" w:type="dxa"/>
              <w:right w:w="108" w:type="dxa"/>
            </w:tcMar>
          </w:tcPr>
          <w:p w:rsidR="00741843" w:rsidRPr="00E56AA3" w:rsidP="00741843" w14:paraId="4EEB567A" w14:textId="39A6A99E">
            <w:pPr>
              <w:spacing w:before="60" w:after="60"/>
            </w:pPr>
            <w:r w:rsidRPr="00E56AA3">
              <w:t>2020</w:t>
            </w:r>
            <w:r>
              <w:t xml:space="preserve"> - 2025</w:t>
            </w:r>
          </w:p>
        </w:tc>
        <w:tc>
          <w:tcPr>
            <w:tcW w:w="6864" w:type="dxa"/>
            <w:tcMar>
              <w:top w:w="0" w:type="dxa"/>
              <w:left w:w="108" w:type="dxa"/>
              <w:bottom w:w="0" w:type="dxa"/>
              <w:right w:w="108" w:type="dxa"/>
            </w:tcMar>
          </w:tcPr>
          <w:p w:rsidR="00741843" w:rsidRPr="00E56AA3" w:rsidP="00741843" w14:paraId="356164E1" w14:textId="136A14D3">
            <w:pPr>
              <w:spacing w:before="60" w:after="60"/>
            </w:pPr>
            <w:r w:rsidRPr="00E56AA3">
              <w:t>Mathematica – contracted to OPA</w:t>
            </w:r>
          </w:p>
        </w:tc>
      </w:tr>
      <w:tr w14:paraId="0A43544A" w14:textId="77777777" w:rsidTr="00053B3B">
        <w:tblPrEx>
          <w:tblW w:w="0" w:type="auto"/>
          <w:tblInd w:w="533" w:type="dxa"/>
          <w:tblCellMar>
            <w:left w:w="0" w:type="dxa"/>
            <w:right w:w="0" w:type="dxa"/>
          </w:tblCellMar>
          <w:tblLook w:val="0000"/>
        </w:tblPrEx>
        <w:trPr>
          <w:trHeight w:val="413"/>
        </w:trPr>
        <w:tc>
          <w:tcPr>
            <w:tcW w:w="1442" w:type="dxa"/>
            <w:tcMar>
              <w:top w:w="0" w:type="dxa"/>
              <w:left w:w="108" w:type="dxa"/>
              <w:bottom w:w="0" w:type="dxa"/>
              <w:right w:w="108" w:type="dxa"/>
            </w:tcMar>
          </w:tcPr>
          <w:p w:rsidR="00741843" w:rsidRPr="00E56AA3" w:rsidP="00741843" w14:paraId="7E4D33F3" w14:textId="3EFBD169">
            <w:pPr>
              <w:spacing w:before="60" w:after="60"/>
            </w:pPr>
            <w:r w:rsidRPr="00E56AA3">
              <w:t>20</w:t>
            </w:r>
            <w:r>
              <w:t xml:space="preserve">20 </w:t>
            </w:r>
            <w:r w:rsidRPr="00E56AA3">
              <w:t>-</w:t>
            </w:r>
            <w:r>
              <w:t xml:space="preserve"> </w:t>
            </w:r>
            <w:r w:rsidRPr="00E56AA3">
              <w:t>20</w:t>
            </w:r>
            <w:r>
              <w:t>25</w:t>
            </w:r>
          </w:p>
        </w:tc>
        <w:tc>
          <w:tcPr>
            <w:tcW w:w="6864" w:type="dxa"/>
            <w:tcMar>
              <w:top w:w="0" w:type="dxa"/>
              <w:left w:w="108" w:type="dxa"/>
              <w:bottom w:w="0" w:type="dxa"/>
              <w:right w:w="108" w:type="dxa"/>
            </w:tcMar>
          </w:tcPr>
          <w:p w:rsidR="00741843" w:rsidRPr="00E56AA3" w:rsidP="00741843" w14:paraId="72CF0017" w14:textId="4D60E125">
            <w:pPr>
              <w:spacing w:before="60" w:after="60"/>
            </w:pPr>
            <w:r>
              <w:t xml:space="preserve">Reproductive Health National Training Center (formerly, </w:t>
            </w:r>
            <w:r w:rsidRPr="00E56AA3">
              <w:t>Family Planning National Training Center</w:t>
            </w:r>
            <w:r>
              <w:t>)</w:t>
            </w:r>
            <w:r w:rsidRPr="00E56AA3">
              <w:t xml:space="preserve"> </w:t>
            </w:r>
            <w:r>
              <w:t>administered by JSI, INC, an OPA technical assistance grantee</w:t>
            </w:r>
            <w:r w:rsidRPr="00E56AA3">
              <w:t xml:space="preserve"> </w:t>
            </w:r>
          </w:p>
        </w:tc>
      </w:tr>
      <w:tr w14:paraId="64486D53" w14:textId="77777777" w:rsidTr="00053B3B">
        <w:tblPrEx>
          <w:tblW w:w="0" w:type="auto"/>
          <w:tblInd w:w="533" w:type="dxa"/>
          <w:tblCellMar>
            <w:left w:w="0" w:type="dxa"/>
            <w:right w:w="0" w:type="dxa"/>
          </w:tblCellMar>
          <w:tblLook w:val="0000"/>
        </w:tblPrEx>
        <w:trPr>
          <w:trHeight w:val="413"/>
        </w:trPr>
        <w:tc>
          <w:tcPr>
            <w:tcW w:w="1442" w:type="dxa"/>
            <w:tcMar>
              <w:top w:w="0" w:type="dxa"/>
              <w:left w:w="108" w:type="dxa"/>
              <w:bottom w:w="0" w:type="dxa"/>
              <w:right w:w="108" w:type="dxa"/>
            </w:tcMar>
          </w:tcPr>
          <w:p w:rsidR="00741843" w:rsidRPr="00E56AA3" w:rsidP="00741843" w14:paraId="38DB347C" w14:textId="711E2802">
            <w:pPr>
              <w:spacing w:before="60" w:after="60"/>
            </w:pPr>
            <w:r>
              <w:t>2020-2025</w:t>
            </w:r>
          </w:p>
        </w:tc>
        <w:tc>
          <w:tcPr>
            <w:tcW w:w="6864" w:type="dxa"/>
            <w:tcMar>
              <w:top w:w="0" w:type="dxa"/>
              <w:left w:w="108" w:type="dxa"/>
              <w:bottom w:w="0" w:type="dxa"/>
              <w:right w:w="108" w:type="dxa"/>
            </w:tcMar>
          </w:tcPr>
          <w:p w:rsidR="00741843" w:rsidP="00741843" w14:paraId="7DCB8B4E" w14:textId="7D08EFE1">
            <w:pPr>
              <w:spacing w:before="60" w:after="60"/>
            </w:pPr>
            <w:r w:rsidRPr="00AC3D9B">
              <w:t xml:space="preserve">Clinical Training Center for Sexual and Reproductive Health (CTC-SRH) </w:t>
            </w:r>
            <w:r>
              <w:t>– administered by the University of Missouri – Kansas City</w:t>
            </w:r>
          </w:p>
          <w:p w:rsidR="00741843" w:rsidRPr="00E56AA3" w:rsidP="00741843" w14:paraId="4C794B3E" w14:textId="60EF9E22">
            <w:pPr>
              <w:spacing w:before="60" w:after="60"/>
            </w:pPr>
            <w:r>
              <w:t xml:space="preserve">School of Nursing &amp; Health Sciences, an OPA technical assistance grantee </w:t>
            </w:r>
          </w:p>
        </w:tc>
      </w:tr>
    </w:tbl>
    <w:p w:rsidR="000F1EE4" w:rsidRPr="00E56AA3" w:rsidP="00405233" w14:paraId="2C0348ED" w14:textId="77777777">
      <w:pPr>
        <w:pStyle w:val="bodytext-gph"/>
        <w:rPr>
          <w:sz w:val="24"/>
          <w:szCs w:val="24"/>
        </w:rPr>
      </w:pPr>
    </w:p>
    <w:p w:rsidR="00247927" w:rsidRPr="00E56AA3" w:rsidP="00244246" w14:paraId="15116738" w14:textId="39E450BF">
      <w:pPr>
        <w:pStyle w:val="bodytext-gph"/>
        <w:rPr>
          <w:sz w:val="24"/>
          <w:szCs w:val="24"/>
        </w:rPr>
      </w:pPr>
      <w:r w:rsidRPr="00E56AA3">
        <w:rPr>
          <w:sz w:val="24"/>
          <w:szCs w:val="24"/>
        </w:rPr>
        <w:t xml:space="preserve">In </w:t>
      </w:r>
      <w:r w:rsidRPr="00E56AA3" w:rsidR="00D4237A">
        <w:rPr>
          <w:sz w:val="24"/>
          <w:szCs w:val="24"/>
        </w:rPr>
        <w:t xml:space="preserve">addition, </w:t>
      </w:r>
      <w:r w:rsidRPr="00E56AA3" w:rsidR="00440083">
        <w:rPr>
          <w:sz w:val="24"/>
          <w:szCs w:val="24"/>
        </w:rPr>
        <w:t xml:space="preserve">OPA </w:t>
      </w:r>
      <w:r w:rsidRPr="00E56AA3">
        <w:rPr>
          <w:sz w:val="24"/>
          <w:szCs w:val="24"/>
        </w:rPr>
        <w:t xml:space="preserve">asked HHS </w:t>
      </w:r>
      <w:r w:rsidRPr="00E56AA3" w:rsidR="003367C3">
        <w:rPr>
          <w:sz w:val="24"/>
          <w:szCs w:val="24"/>
        </w:rPr>
        <w:t xml:space="preserve">staff </w:t>
      </w:r>
      <w:r w:rsidRPr="00E56AA3" w:rsidR="00244246">
        <w:rPr>
          <w:sz w:val="24"/>
          <w:szCs w:val="24"/>
        </w:rPr>
        <w:t xml:space="preserve">that </w:t>
      </w:r>
      <w:r w:rsidRPr="00E56AA3" w:rsidR="003367C3">
        <w:rPr>
          <w:sz w:val="24"/>
          <w:szCs w:val="24"/>
        </w:rPr>
        <w:t>oversees</w:t>
      </w:r>
      <w:r w:rsidRPr="00E56AA3" w:rsidR="000C1E59">
        <w:rPr>
          <w:sz w:val="24"/>
          <w:szCs w:val="24"/>
        </w:rPr>
        <w:t xml:space="preserve"> grantee </w:t>
      </w:r>
      <w:r w:rsidRPr="00E56AA3" w:rsidR="00874270">
        <w:rPr>
          <w:sz w:val="24"/>
          <w:szCs w:val="24"/>
        </w:rPr>
        <w:t xml:space="preserve">Title X </w:t>
      </w:r>
      <w:r w:rsidRPr="00E56AA3" w:rsidR="000C1E59">
        <w:rPr>
          <w:sz w:val="24"/>
          <w:szCs w:val="24"/>
        </w:rPr>
        <w:t>projects and interact</w:t>
      </w:r>
      <w:r w:rsidRPr="00E56AA3" w:rsidR="003367C3">
        <w:rPr>
          <w:sz w:val="24"/>
          <w:szCs w:val="24"/>
        </w:rPr>
        <w:t>s</w:t>
      </w:r>
      <w:r w:rsidRPr="00E56AA3" w:rsidR="000C1E59">
        <w:rPr>
          <w:sz w:val="24"/>
          <w:szCs w:val="24"/>
        </w:rPr>
        <w:t xml:space="preserve"> with </w:t>
      </w:r>
      <w:r w:rsidRPr="00E56AA3" w:rsidR="00874270">
        <w:rPr>
          <w:sz w:val="24"/>
          <w:szCs w:val="24"/>
        </w:rPr>
        <w:t>grantees</w:t>
      </w:r>
      <w:r w:rsidRPr="00E56AA3" w:rsidR="000C1E59">
        <w:rPr>
          <w:sz w:val="24"/>
          <w:szCs w:val="24"/>
        </w:rPr>
        <w:t xml:space="preserve"> on FPAR</w:t>
      </w:r>
      <w:r w:rsidRPr="00E56AA3">
        <w:rPr>
          <w:sz w:val="24"/>
          <w:szCs w:val="24"/>
        </w:rPr>
        <w:t xml:space="preserve"> reporting</w:t>
      </w:r>
      <w:r w:rsidRPr="00E56AA3" w:rsidR="000C1E59">
        <w:rPr>
          <w:sz w:val="24"/>
          <w:szCs w:val="24"/>
        </w:rPr>
        <w:t xml:space="preserve"> issues</w:t>
      </w:r>
      <w:r w:rsidRPr="00E56AA3" w:rsidR="00874270">
        <w:rPr>
          <w:sz w:val="24"/>
          <w:szCs w:val="24"/>
        </w:rPr>
        <w:t>,</w:t>
      </w:r>
      <w:r w:rsidRPr="00E56AA3" w:rsidR="009B60EA">
        <w:rPr>
          <w:sz w:val="24"/>
          <w:szCs w:val="24"/>
        </w:rPr>
        <w:t xml:space="preserve"> </w:t>
      </w:r>
      <w:r w:rsidRPr="00E56AA3">
        <w:rPr>
          <w:sz w:val="24"/>
          <w:szCs w:val="24"/>
        </w:rPr>
        <w:t xml:space="preserve">to share </w:t>
      </w:r>
      <w:r w:rsidRPr="00E56AA3" w:rsidR="009B60EA">
        <w:rPr>
          <w:sz w:val="24"/>
          <w:szCs w:val="24"/>
        </w:rPr>
        <w:t xml:space="preserve">any known </w:t>
      </w:r>
      <w:r w:rsidRPr="00E56AA3">
        <w:rPr>
          <w:sz w:val="24"/>
          <w:szCs w:val="24"/>
        </w:rPr>
        <w:t>problems and issues with the current forms and instructions</w:t>
      </w:r>
      <w:r w:rsidRPr="00E56AA3" w:rsidR="00933959">
        <w:rPr>
          <w:sz w:val="24"/>
          <w:szCs w:val="24"/>
        </w:rPr>
        <w:t xml:space="preserve">, as well as </w:t>
      </w:r>
      <w:r w:rsidRPr="00E56AA3">
        <w:rPr>
          <w:sz w:val="24"/>
          <w:szCs w:val="24"/>
        </w:rPr>
        <w:t xml:space="preserve">suggest ways to </w:t>
      </w:r>
      <w:r w:rsidRPr="00E56AA3" w:rsidR="009B60EA">
        <w:rPr>
          <w:sz w:val="24"/>
          <w:szCs w:val="24"/>
        </w:rPr>
        <w:t xml:space="preserve">resolve </w:t>
      </w:r>
      <w:r w:rsidRPr="00E56AA3" w:rsidR="00440083">
        <w:rPr>
          <w:sz w:val="24"/>
          <w:szCs w:val="24"/>
        </w:rPr>
        <w:t xml:space="preserve">any </w:t>
      </w:r>
      <w:r w:rsidRPr="00E56AA3" w:rsidR="009B60EA">
        <w:rPr>
          <w:sz w:val="24"/>
          <w:szCs w:val="24"/>
        </w:rPr>
        <w:t xml:space="preserve">unclear wording that might reduce data quality </w:t>
      </w:r>
      <w:r w:rsidRPr="00E56AA3" w:rsidR="00933959">
        <w:rPr>
          <w:sz w:val="24"/>
          <w:szCs w:val="24"/>
        </w:rPr>
        <w:t xml:space="preserve">or </w:t>
      </w:r>
      <w:r w:rsidRPr="00E56AA3" w:rsidR="009B60EA">
        <w:rPr>
          <w:sz w:val="24"/>
          <w:szCs w:val="24"/>
        </w:rPr>
        <w:t xml:space="preserve">add burden. </w:t>
      </w:r>
      <w:r w:rsidR="00372980">
        <w:rPr>
          <w:sz w:val="24"/>
          <w:szCs w:val="24"/>
        </w:rPr>
        <w:t xml:space="preserve">Mathematica conducts annual and ad hoc reviews and solutions to reporting issues. </w:t>
      </w:r>
    </w:p>
    <w:p w:rsidR="00D832DD" w:rsidRPr="00E56AA3" w:rsidP="00D832DD" w14:paraId="51C34F24" w14:textId="08191C55">
      <w:pPr>
        <w:pStyle w:val="Heading3"/>
        <w:keepNext/>
        <w:tabs>
          <w:tab w:val="num" w:pos="360"/>
          <w:tab w:val="clear" w:pos="1252"/>
        </w:tabs>
        <w:spacing w:before="0" w:after="120"/>
        <w:ind w:left="360"/>
        <w:rPr>
          <w:rStyle w:val="Heading3OMB"/>
        </w:rPr>
      </w:pPr>
      <w:bookmarkStart w:id="27" w:name="_Toc349905448"/>
      <w:bookmarkStart w:id="28" w:name="_Toc16533866"/>
      <w:bookmarkStart w:id="29" w:name="_Toc179880109"/>
      <w:bookmarkEnd w:id="27"/>
      <w:r w:rsidRPr="00E56AA3">
        <w:rPr>
          <w:rStyle w:val="Heading3OMB"/>
        </w:rPr>
        <w:t>Explanation of Any Payment/Gift to Respondents</w:t>
      </w:r>
      <w:bookmarkEnd w:id="28"/>
      <w:bookmarkEnd w:id="29"/>
    </w:p>
    <w:p w:rsidR="00D832DD" w:rsidRPr="00E56AA3" w:rsidP="00D832DD" w14:paraId="4CBFE627" w14:textId="77777777">
      <w:pPr>
        <w:pStyle w:val="bodytext-gph"/>
        <w:rPr>
          <w:sz w:val="24"/>
          <w:szCs w:val="24"/>
        </w:rPr>
      </w:pPr>
      <w:r w:rsidRPr="00E56AA3">
        <w:rPr>
          <w:sz w:val="24"/>
          <w:szCs w:val="24"/>
        </w:rPr>
        <w:t xml:space="preserve">No payments or gifts will be provided to respondents. </w:t>
      </w:r>
    </w:p>
    <w:p w:rsidR="00D832DD" w:rsidRPr="00E56AA3" w:rsidP="00D832DD" w14:paraId="78ED4A58" w14:textId="64A20721">
      <w:pPr>
        <w:pStyle w:val="Heading3"/>
        <w:keepNext/>
        <w:tabs>
          <w:tab w:val="num" w:pos="360"/>
          <w:tab w:val="clear" w:pos="1252"/>
        </w:tabs>
        <w:spacing w:before="0" w:after="120"/>
        <w:ind w:left="360"/>
        <w:rPr>
          <w:rStyle w:val="Heading3OMB"/>
        </w:rPr>
      </w:pPr>
      <w:bookmarkStart w:id="30" w:name="_Toc16533867"/>
      <w:bookmarkStart w:id="31" w:name="_Toc179880110"/>
      <w:bookmarkStart w:id="32" w:name="_Hlk63696904"/>
      <w:r w:rsidRPr="00E56AA3">
        <w:rPr>
          <w:rStyle w:val="Heading3OMB"/>
        </w:rPr>
        <w:t>Assurance of Confidentiality Provided to Respondents</w:t>
      </w:r>
      <w:bookmarkEnd w:id="30"/>
      <w:bookmarkEnd w:id="31"/>
    </w:p>
    <w:p w:rsidR="00722641" w:rsidP="007D0CD4" w14:paraId="4948F75E" w14:textId="29FA577D">
      <w:pPr>
        <w:pStyle w:val="bodytext-gph"/>
        <w:rPr>
          <w:sz w:val="24"/>
          <w:szCs w:val="24"/>
        </w:rPr>
      </w:pPr>
      <w:r w:rsidRPr="00131DA6">
        <w:rPr>
          <w:bCs/>
          <w:sz w:val="24"/>
        </w:rPr>
        <w:t>Data will be kept private to the extent allowed by law</w:t>
      </w:r>
      <w:r w:rsidRPr="00131DA6">
        <w:rPr>
          <w:bCs/>
          <w:i/>
          <w:iCs/>
          <w:sz w:val="24"/>
        </w:rPr>
        <w:t>.</w:t>
      </w:r>
      <w:r>
        <w:rPr>
          <w:bCs/>
          <w:i/>
          <w:iCs/>
          <w:sz w:val="24"/>
          <w:u w:val="single"/>
        </w:rPr>
        <w:t xml:space="preserve"> </w:t>
      </w:r>
      <w:r w:rsidRPr="00722641">
        <w:rPr>
          <w:sz w:val="24"/>
          <w:szCs w:val="24"/>
        </w:rPr>
        <w:t xml:space="preserve"> </w:t>
      </w:r>
      <w:r w:rsidRPr="00722641">
        <w:rPr>
          <w:sz w:val="24"/>
          <w:szCs w:val="24"/>
        </w:rPr>
        <w:t xml:space="preserve">Per 42 CFR Part 593, while personally identifiable information (PII) will be collected about clients, the PII will not include client </w:t>
      </w:r>
      <w:r w:rsidRPr="00722641">
        <w:rPr>
          <w:sz w:val="24"/>
          <w:szCs w:val="24"/>
        </w:rPr>
        <w:t xml:space="preserve">names or other direct personal identifiers; consequently, the data will not constitute Privacy Act records. FPAR 2.0 will not be used to attempt to identify </w:t>
      </w:r>
      <w:r w:rsidRPr="00722641">
        <w:rPr>
          <w:sz w:val="24"/>
          <w:szCs w:val="24"/>
        </w:rPr>
        <w:t>particular clients</w:t>
      </w:r>
      <w:r w:rsidRPr="00722641">
        <w:rPr>
          <w:sz w:val="24"/>
          <w:szCs w:val="24"/>
        </w:rPr>
        <w:t xml:space="preserve">, but only to study clients’ characteristics at an aggregate level. The PII about a particular client will include a unique identifying number for data integrity purposes to ensure the system does not double-count individuals when compiling aggregate data covering more than one encounter. The unique identifying number will not be a direct personal identifier and cannot be used to retrieve data for study. Currently data is reported annually in 15 aggregate tables, and that will continue. Additional analyses will not include small cell sizes. </w:t>
      </w:r>
    </w:p>
    <w:p w:rsidR="00372980" w:rsidRPr="00372980" w:rsidP="005B5717" w14:paraId="7FCE3601" w14:textId="5D0D3602">
      <w:pPr>
        <w:ind w:left="360"/>
      </w:pPr>
      <w:r w:rsidRPr="00E56AA3">
        <w:t xml:space="preserve">The FPAR 2.0 data system </w:t>
      </w:r>
      <w:r w:rsidR="00760F26">
        <w:t>is</w:t>
      </w:r>
      <w:r w:rsidRPr="00E56AA3">
        <w:t xml:space="preserve"> hosted in the contractor’s </w:t>
      </w:r>
      <w:r w:rsidR="00760F26">
        <w:t>Mathematica Cloud Support System (MCSS), a</w:t>
      </w:r>
      <w:r w:rsidRPr="00E56AA3">
        <w:t xml:space="preserve"> FedRAMP</w:t>
      </w:r>
      <w:r w:rsidR="00760F26">
        <w:t xml:space="preserve"> </w:t>
      </w:r>
      <w:r>
        <w:t>authorized</w:t>
      </w:r>
      <w:r w:rsidRPr="00E56AA3">
        <w:t xml:space="preserve"> cloud environment</w:t>
      </w:r>
      <w:r w:rsidR="00760F26">
        <w:t xml:space="preserve">. The FPAR 2.0 data system is </w:t>
      </w:r>
      <w:r w:rsidR="00760F26">
        <w:t>up-to-date</w:t>
      </w:r>
      <w:r w:rsidR="00760F26">
        <w:t xml:space="preserve"> with HHS ATO requirements and was awarded a new Revision 5 ATO that expires 8/9/2027. It passed all cybersecurity, privacy, and accessibility checks. </w:t>
      </w:r>
    </w:p>
    <w:p w:rsidR="00D832DD" w:rsidRPr="00E56AA3" w:rsidP="005B5717" w14:paraId="2DD05D5B" w14:textId="051233C8">
      <w:pPr>
        <w:pStyle w:val="Heading3"/>
        <w:tabs>
          <w:tab w:val="clear" w:pos="1252"/>
        </w:tabs>
        <w:ind w:left="360"/>
        <w:rPr>
          <w:rStyle w:val="Heading3OMB"/>
        </w:rPr>
      </w:pPr>
      <w:bookmarkStart w:id="33" w:name="_Toc16533868"/>
      <w:bookmarkStart w:id="34" w:name="_Toc179880111"/>
      <w:bookmarkEnd w:id="32"/>
      <w:r w:rsidRPr="00E56AA3">
        <w:rPr>
          <w:rStyle w:val="Heading3OMB"/>
        </w:rPr>
        <w:t>Justification for Sensitive Questions</w:t>
      </w:r>
      <w:bookmarkEnd w:id="33"/>
      <w:bookmarkEnd w:id="34"/>
    </w:p>
    <w:p w:rsidR="00B61D81" w:rsidP="007D0CD4" w14:paraId="0A62CBB9" w14:textId="77777777">
      <w:pPr>
        <w:pStyle w:val="bodytext-gph"/>
        <w:rPr>
          <w:sz w:val="24"/>
          <w:szCs w:val="24"/>
        </w:rPr>
      </w:pPr>
      <w:r>
        <w:rPr>
          <w:sz w:val="24"/>
          <w:szCs w:val="24"/>
        </w:rPr>
        <w:t>While</w:t>
      </w:r>
      <w:r w:rsidRPr="00E56AA3">
        <w:rPr>
          <w:sz w:val="24"/>
          <w:szCs w:val="24"/>
        </w:rPr>
        <w:t xml:space="preserve"> FPAR 2.0 collects several items of a sensitive nature in the encounter data (e.g., user income and insurance status, user race and ethnicity, type of contraceptive method used or adopted, STD tests performed, and Pap and HIV test results)</w:t>
      </w:r>
      <w:r>
        <w:rPr>
          <w:sz w:val="24"/>
          <w:szCs w:val="24"/>
        </w:rPr>
        <w:t xml:space="preserve"> none of these records are connected to a direct personal identifier and cannot be connected to an individual with the existing data set.</w:t>
      </w:r>
      <w:r w:rsidRPr="00E56AA3">
        <w:rPr>
          <w:sz w:val="24"/>
          <w:szCs w:val="24"/>
        </w:rPr>
        <w:t xml:space="preserve"> These sensitive data are required to monitor compliance with statutory requirements, program regulations and guidelines, performance reporting, and ongoing program management. </w:t>
      </w:r>
    </w:p>
    <w:p w:rsidR="00AA4410" w:rsidP="007D0CD4" w14:paraId="5B969766" w14:textId="4F6CD356">
      <w:pPr>
        <w:pStyle w:val="bodytext-gph"/>
        <w:rPr>
          <w:sz w:val="24"/>
          <w:szCs w:val="24"/>
        </w:rPr>
      </w:pPr>
      <w:r>
        <w:rPr>
          <w:sz w:val="24"/>
          <w:szCs w:val="24"/>
        </w:rPr>
        <w:t>Regarding the updated 2024 SPD-15 standards,</w:t>
      </w:r>
      <w:r w:rsidR="001D242E">
        <w:rPr>
          <w:sz w:val="24"/>
          <w:szCs w:val="24"/>
          <w:vertAlign w:val="superscript"/>
        </w:rPr>
        <w:t>15</w:t>
      </w:r>
      <w:r>
        <w:rPr>
          <w:sz w:val="24"/>
          <w:szCs w:val="24"/>
        </w:rPr>
        <w:t xml:space="preserve"> </w:t>
      </w:r>
      <w:r>
        <w:rPr>
          <w:sz w:val="24"/>
          <w:szCs w:val="24"/>
        </w:rPr>
        <w:t xml:space="preserve">OPA requests approval to continue to collect previously approved race/ethnicity items and not update </w:t>
      </w:r>
      <w:r w:rsidR="00C576C4">
        <w:rPr>
          <w:sz w:val="24"/>
          <w:szCs w:val="24"/>
        </w:rPr>
        <w:t>to the 2024 revised SPD-15 standards</w:t>
      </w:r>
      <w:r>
        <w:rPr>
          <w:sz w:val="24"/>
          <w:szCs w:val="24"/>
        </w:rPr>
        <w:t xml:space="preserve"> at this renewal</w:t>
      </w:r>
      <w:r>
        <w:rPr>
          <w:sz w:val="24"/>
          <w:szCs w:val="24"/>
        </w:rPr>
        <w:t xml:space="preserve"> OPA </w:t>
      </w:r>
      <w:r>
        <w:rPr>
          <w:sz w:val="24"/>
          <w:szCs w:val="24"/>
        </w:rPr>
        <w:t>is aware of the timeline</w:t>
      </w:r>
      <w:r>
        <w:rPr>
          <w:sz w:val="24"/>
          <w:szCs w:val="24"/>
        </w:rPr>
        <w:t xml:space="preserve"> to implement </w:t>
      </w:r>
      <w:r w:rsidR="00C576C4">
        <w:rPr>
          <w:sz w:val="24"/>
          <w:szCs w:val="24"/>
        </w:rPr>
        <w:t>the revision</w:t>
      </w:r>
      <w:r>
        <w:rPr>
          <w:sz w:val="24"/>
          <w:szCs w:val="24"/>
        </w:rPr>
        <w:t xml:space="preserve"> in a future clearance request. OPA anticipates being able to implement the revised race and ethnicity items by the next renewal for FPAR 2.0 (estimated to be Feb 2028). </w:t>
      </w:r>
    </w:p>
    <w:p w:rsidR="00D34E7C" w:rsidP="00D34E7C" w14:paraId="79E137E1" w14:textId="199932BD">
      <w:pPr>
        <w:pStyle w:val="bodytext-gph"/>
        <w:rPr>
          <w:sz w:val="24"/>
          <w:szCs w:val="24"/>
        </w:rPr>
      </w:pPr>
      <w:r>
        <w:rPr>
          <w:sz w:val="24"/>
          <w:szCs w:val="24"/>
        </w:rPr>
        <w:t>T</w:t>
      </w:r>
      <w:r>
        <w:rPr>
          <w:sz w:val="24"/>
          <w:szCs w:val="24"/>
        </w:rPr>
        <w:t xml:space="preserve">here are several </w:t>
      </w:r>
      <w:r w:rsidR="000E081B">
        <w:rPr>
          <w:sz w:val="24"/>
          <w:szCs w:val="24"/>
        </w:rPr>
        <w:t xml:space="preserve">logistical </w:t>
      </w:r>
      <w:r>
        <w:rPr>
          <w:sz w:val="24"/>
          <w:szCs w:val="24"/>
        </w:rPr>
        <w:t xml:space="preserve">reasons why </w:t>
      </w:r>
      <w:r w:rsidR="00F25153">
        <w:rPr>
          <w:sz w:val="24"/>
          <w:szCs w:val="24"/>
        </w:rPr>
        <w:t>adopting the</w:t>
      </w:r>
      <w:r w:rsidR="000615CC">
        <w:rPr>
          <w:sz w:val="24"/>
          <w:szCs w:val="24"/>
        </w:rPr>
        <w:t xml:space="preserve"> 2024</w:t>
      </w:r>
      <w:r w:rsidR="00F25153">
        <w:rPr>
          <w:sz w:val="24"/>
          <w:szCs w:val="24"/>
        </w:rPr>
        <w:t xml:space="preserve"> revised race/ethnicity </w:t>
      </w:r>
      <w:r w:rsidR="00D050CD">
        <w:rPr>
          <w:sz w:val="24"/>
          <w:szCs w:val="24"/>
        </w:rPr>
        <w:t xml:space="preserve">standards </w:t>
      </w:r>
      <w:r>
        <w:rPr>
          <w:sz w:val="24"/>
          <w:szCs w:val="24"/>
        </w:rPr>
        <w:t>is not possible during this renewal</w:t>
      </w:r>
      <w:r w:rsidR="000E081B">
        <w:rPr>
          <w:sz w:val="24"/>
          <w:szCs w:val="24"/>
        </w:rPr>
        <w:t>:</w:t>
      </w:r>
    </w:p>
    <w:p w:rsidR="00D34E7C" w:rsidP="00D34E7C" w14:paraId="5029A621" w14:textId="470F0C33">
      <w:pPr>
        <w:pStyle w:val="bodytext-gph"/>
        <w:numPr>
          <w:ilvl w:val="0"/>
          <w:numId w:val="44"/>
        </w:numPr>
        <w:rPr>
          <w:sz w:val="24"/>
          <w:szCs w:val="24"/>
        </w:rPr>
      </w:pPr>
      <w:r>
        <w:rPr>
          <w:sz w:val="24"/>
          <w:szCs w:val="24"/>
        </w:rPr>
        <w:t xml:space="preserve">FPAR 2.0 </w:t>
      </w:r>
      <w:r w:rsidR="00452A3D">
        <w:rPr>
          <w:sz w:val="24"/>
          <w:szCs w:val="24"/>
        </w:rPr>
        <w:t xml:space="preserve">data elements are </w:t>
      </w:r>
      <w:r>
        <w:rPr>
          <w:sz w:val="24"/>
          <w:szCs w:val="24"/>
        </w:rPr>
        <w:t>based on standards promulgated in the United States Core Data for Interoperability (USCDI) and maintained by the HHS Assistant Secretary for Technology Policy/Office of the National Coordinator for Health Information Technology (ASTP).</w:t>
      </w:r>
      <w:r w:rsidR="001D242E">
        <w:rPr>
          <w:sz w:val="24"/>
          <w:szCs w:val="24"/>
          <w:vertAlign w:val="superscript"/>
        </w:rPr>
        <w:t>16</w:t>
      </w:r>
      <w:r>
        <w:rPr>
          <w:sz w:val="24"/>
          <w:szCs w:val="24"/>
        </w:rPr>
        <w:t xml:space="preserve"> This is part of the baseline standardization of electronic health records</w:t>
      </w:r>
      <w:r w:rsidR="00452A3D">
        <w:rPr>
          <w:sz w:val="24"/>
          <w:szCs w:val="24"/>
        </w:rPr>
        <w:t xml:space="preserve"> and includes standard terminology and </w:t>
      </w:r>
      <w:r w:rsidR="00F90F47">
        <w:rPr>
          <w:sz w:val="24"/>
          <w:szCs w:val="24"/>
        </w:rPr>
        <w:t>codes for collecting and reporting data</w:t>
      </w:r>
      <w:r>
        <w:rPr>
          <w:sz w:val="24"/>
          <w:szCs w:val="24"/>
        </w:rPr>
        <w:t xml:space="preserve">. </w:t>
      </w:r>
      <w:r w:rsidR="00C63A60">
        <w:rPr>
          <w:sz w:val="24"/>
          <w:szCs w:val="24"/>
        </w:rPr>
        <w:t>USCDI is analogous to a dictionary</w:t>
      </w:r>
      <w:r w:rsidR="00D16D58">
        <w:rPr>
          <w:sz w:val="24"/>
          <w:szCs w:val="24"/>
        </w:rPr>
        <w:t xml:space="preserve"> that updated annually with </w:t>
      </w:r>
      <w:r w:rsidR="001D5883">
        <w:rPr>
          <w:sz w:val="24"/>
          <w:szCs w:val="24"/>
        </w:rPr>
        <w:t>new or revised</w:t>
      </w:r>
      <w:r w:rsidR="00D16D58">
        <w:rPr>
          <w:sz w:val="24"/>
          <w:szCs w:val="24"/>
        </w:rPr>
        <w:t xml:space="preserve"> elements. </w:t>
      </w:r>
      <w:r>
        <w:rPr>
          <w:sz w:val="24"/>
          <w:szCs w:val="24"/>
        </w:rPr>
        <w:t xml:space="preserve">Currently, no published version of USCDI supports SPD-15. USCDI v5 was published July 2024 which started the cycle to collect recommendations for USCDI v6. It is anticipated that USCDI v6 will not be published until July 2025. </w:t>
      </w:r>
    </w:p>
    <w:p w:rsidR="00D34E7C" w:rsidP="00D34E7C" w14:paraId="68D70F56" w14:textId="4782E1EB">
      <w:pPr>
        <w:pStyle w:val="bodytext-gph"/>
        <w:numPr>
          <w:ilvl w:val="0"/>
          <w:numId w:val="44"/>
        </w:numPr>
        <w:rPr>
          <w:sz w:val="24"/>
          <w:szCs w:val="24"/>
        </w:rPr>
      </w:pPr>
      <w:r w:rsidRPr="00C751C2">
        <w:rPr>
          <w:sz w:val="24"/>
          <w:szCs w:val="24"/>
        </w:rPr>
        <w:t>ASTP recently published a proposed rule:</w:t>
      </w:r>
      <w:r>
        <w:rPr>
          <w:i/>
          <w:iCs/>
          <w:sz w:val="24"/>
          <w:szCs w:val="24"/>
        </w:rPr>
        <w:t xml:space="preserve"> </w:t>
      </w:r>
      <w:r w:rsidRPr="00C751C2">
        <w:rPr>
          <w:i/>
          <w:iCs/>
          <w:sz w:val="24"/>
          <w:szCs w:val="24"/>
        </w:rPr>
        <w:t>Health Data, Technology, and Interoperability: Patient Engagement, Information Sharing, and Public Health Interoperability (HTI-2) Proposed Rule</w:t>
      </w:r>
      <w:r>
        <w:rPr>
          <w:i/>
          <w:iCs/>
          <w:sz w:val="24"/>
          <w:szCs w:val="24"/>
        </w:rPr>
        <w:t>.</w:t>
      </w:r>
      <w:r w:rsidR="00027254">
        <w:rPr>
          <w:sz w:val="24"/>
          <w:szCs w:val="24"/>
          <w:vertAlign w:val="superscript"/>
        </w:rPr>
        <w:t>17</w:t>
      </w:r>
      <w:r>
        <w:rPr>
          <w:i/>
          <w:iCs/>
          <w:sz w:val="24"/>
          <w:szCs w:val="24"/>
        </w:rPr>
        <w:t xml:space="preserve"> </w:t>
      </w:r>
      <w:r>
        <w:rPr>
          <w:sz w:val="24"/>
          <w:szCs w:val="24"/>
        </w:rPr>
        <w:t xml:space="preserve">HTI-2 was published 8/5/24 and was open for its </w:t>
      </w:r>
      <w:r>
        <w:rPr>
          <w:sz w:val="24"/>
          <w:szCs w:val="24"/>
        </w:rPr>
        <w:t>60 day</w:t>
      </w:r>
      <w:r>
        <w:rPr>
          <w:sz w:val="24"/>
          <w:szCs w:val="24"/>
        </w:rPr>
        <w:t xml:space="preserve"> comment-period until 10/4/24. Among the many provisions in HTI-2, it proposed including SPD-15 in a future version of USCDI, </w:t>
      </w:r>
      <w:r w:rsidR="002934F8">
        <w:rPr>
          <w:sz w:val="24"/>
          <w:szCs w:val="24"/>
        </w:rPr>
        <w:t>i.e.,</w:t>
      </w:r>
      <w:r>
        <w:rPr>
          <w:sz w:val="24"/>
          <w:szCs w:val="24"/>
        </w:rPr>
        <w:t xml:space="preserve"> in a future USCDI v6 or v7, or later.</w:t>
      </w:r>
      <w:r w:rsidR="00027254">
        <w:rPr>
          <w:sz w:val="24"/>
          <w:szCs w:val="24"/>
          <w:vertAlign w:val="superscript"/>
        </w:rPr>
        <w:t>18</w:t>
      </w:r>
      <w:r>
        <w:rPr>
          <w:sz w:val="24"/>
          <w:szCs w:val="24"/>
        </w:rPr>
        <w:t xml:space="preserve"> Additionally, HTI-2 proposes requiring the adoption of USCDI v4 by 1/1/28.</w:t>
      </w:r>
      <w:r w:rsidR="00027254">
        <w:rPr>
          <w:sz w:val="24"/>
          <w:szCs w:val="24"/>
          <w:vertAlign w:val="superscript"/>
        </w:rPr>
        <w:t>17</w:t>
      </w:r>
      <w:r>
        <w:rPr>
          <w:sz w:val="24"/>
          <w:szCs w:val="24"/>
        </w:rPr>
        <w:t xml:space="preserve"> </w:t>
      </w:r>
    </w:p>
    <w:p w:rsidR="00D34E7C" w:rsidP="00D34E7C" w14:paraId="1D743DCC" w14:textId="5CEF43D6">
      <w:pPr>
        <w:pStyle w:val="bodytext-gph"/>
        <w:numPr>
          <w:ilvl w:val="0"/>
          <w:numId w:val="44"/>
        </w:numPr>
        <w:rPr>
          <w:sz w:val="24"/>
          <w:szCs w:val="24"/>
        </w:rPr>
      </w:pPr>
      <w:r>
        <w:rPr>
          <w:sz w:val="24"/>
          <w:szCs w:val="24"/>
        </w:rPr>
        <w:t>Without published standards</w:t>
      </w:r>
      <w:r w:rsidR="00D050CD">
        <w:rPr>
          <w:sz w:val="24"/>
          <w:szCs w:val="24"/>
        </w:rPr>
        <w:t xml:space="preserve"> from USCDI</w:t>
      </w:r>
      <w:r>
        <w:rPr>
          <w:sz w:val="24"/>
          <w:szCs w:val="24"/>
        </w:rPr>
        <w:t>, it would be</w:t>
      </w:r>
      <w:r w:rsidR="00D050CD">
        <w:rPr>
          <w:sz w:val="24"/>
          <w:szCs w:val="24"/>
        </w:rPr>
        <w:t xml:space="preserve"> burdensome</w:t>
      </w:r>
      <w:r w:rsidR="00F24A54">
        <w:rPr>
          <w:sz w:val="24"/>
          <w:szCs w:val="24"/>
        </w:rPr>
        <w:t xml:space="preserve"> and </w:t>
      </w:r>
      <w:r w:rsidR="008C614E">
        <w:rPr>
          <w:sz w:val="24"/>
          <w:szCs w:val="24"/>
        </w:rPr>
        <w:t>potentially at odds with future published standards</w:t>
      </w:r>
      <w:r w:rsidR="00D050CD">
        <w:rPr>
          <w:sz w:val="24"/>
          <w:szCs w:val="24"/>
        </w:rPr>
        <w:t xml:space="preserve"> </w:t>
      </w:r>
      <w:r>
        <w:rPr>
          <w:sz w:val="24"/>
          <w:szCs w:val="24"/>
        </w:rPr>
        <w:t xml:space="preserve">for OPA to require grantees to </w:t>
      </w:r>
      <w:r w:rsidR="00F24A54">
        <w:rPr>
          <w:sz w:val="24"/>
          <w:szCs w:val="24"/>
        </w:rPr>
        <w:t xml:space="preserve">modify </w:t>
      </w:r>
      <w:r>
        <w:rPr>
          <w:sz w:val="24"/>
          <w:szCs w:val="24"/>
        </w:rPr>
        <w:t>their data systems to report this new data to OPA. In summary:</w:t>
      </w:r>
    </w:p>
    <w:p w:rsidR="00D34E7C" w:rsidP="00D34E7C" w14:paraId="0F736FA3" w14:textId="77777777">
      <w:pPr>
        <w:pStyle w:val="bodytext-gph"/>
        <w:numPr>
          <w:ilvl w:val="1"/>
          <w:numId w:val="44"/>
        </w:numPr>
        <w:rPr>
          <w:sz w:val="24"/>
          <w:szCs w:val="24"/>
        </w:rPr>
      </w:pPr>
      <w:r>
        <w:rPr>
          <w:sz w:val="24"/>
          <w:szCs w:val="24"/>
        </w:rPr>
        <w:t>SPD-15 is not included in any currently published version of USCDI.</w:t>
      </w:r>
    </w:p>
    <w:p w:rsidR="00D34E7C" w:rsidP="00D34E7C" w14:paraId="5A8E805A" w14:textId="4899A4A3">
      <w:pPr>
        <w:pStyle w:val="bodytext-gph"/>
        <w:numPr>
          <w:ilvl w:val="1"/>
          <w:numId w:val="44"/>
        </w:numPr>
        <w:rPr>
          <w:sz w:val="24"/>
          <w:szCs w:val="24"/>
        </w:rPr>
      </w:pPr>
      <w:r>
        <w:rPr>
          <w:sz w:val="24"/>
          <w:szCs w:val="24"/>
        </w:rPr>
        <w:t xml:space="preserve">USCDI v4 (which does not include </w:t>
      </w:r>
      <w:r w:rsidR="00A95053">
        <w:rPr>
          <w:sz w:val="24"/>
          <w:szCs w:val="24"/>
        </w:rPr>
        <w:t xml:space="preserve">the 2024 revision to </w:t>
      </w:r>
      <w:r>
        <w:rPr>
          <w:sz w:val="24"/>
          <w:szCs w:val="24"/>
        </w:rPr>
        <w:t xml:space="preserve">SPD-15), was published in July 2023 </w:t>
      </w:r>
      <w:r w:rsidR="008C614E">
        <w:rPr>
          <w:sz w:val="24"/>
          <w:szCs w:val="24"/>
        </w:rPr>
        <w:t xml:space="preserve">and </w:t>
      </w:r>
      <w:r>
        <w:rPr>
          <w:sz w:val="24"/>
          <w:szCs w:val="24"/>
        </w:rPr>
        <w:t xml:space="preserve">is not expected to be fully adopted until 1/1/28. This date is dependent on any comments to proposed rule HTI-2 which still </w:t>
      </w:r>
      <w:r>
        <w:rPr>
          <w:sz w:val="24"/>
          <w:szCs w:val="24"/>
        </w:rPr>
        <w:t>has to</w:t>
      </w:r>
      <w:r>
        <w:rPr>
          <w:sz w:val="24"/>
          <w:szCs w:val="24"/>
        </w:rPr>
        <w:t xml:space="preserve"> go through a 30D comment period after review and response to the 60D comments, </w:t>
      </w:r>
      <w:r w:rsidR="0031496F">
        <w:rPr>
          <w:sz w:val="24"/>
          <w:szCs w:val="24"/>
        </w:rPr>
        <w:t>i.e.,</w:t>
      </w:r>
      <w:r>
        <w:rPr>
          <w:sz w:val="24"/>
          <w:szCs w:val="24"/>
        </w:rPr>
        <w:t xml:space="preserve"> this date is still currently in question and may change. </w:t>
      </w:r>
    </w:p>
    <w:p w:rsidR="00D34E7C" w:rsidP="00D34E7C" w14:paraId="27DEE91E" w14:textId="77777777">
      <w:pPr>
        <w:pStyle w:val="bodytext-gph"/>
        <w:numPr>
          <w:ilvl w:val="1"/>
          <w:numId w:val="44"/>
        </w:numPr>
        <w:rPr>
          <w:sz w:val="24"/>
          <w:szCs w:val="24"/>
        </w:rPr>
      </w:pPr>
      <w:r>
        <w:rPr>
          <w:sz w:val="24"/>
          <w:szCs w:val="24"/>
        </w:rPr>
        <w:t xml:space="preserve">If HTI-2 is published with SPD-15 to be incorporated into a future version of USCDI (which seems likely), USCDI v6 would still not be published until July 2025 at the earliest. </w:t>
      </w:r>
    </w:p>
    <w:p w:rsidR="00D34E7C" w:rsidP="00D34E7C" w14:paraId="2DA1F75F" w14:textId="77777777">
      <w:pPr>
        <w:pStyle w:val="bodytext-gph"/>
        <w:numPr>
          <w:ilvl w:val="1"/>
          <w:numId w:val="44"/>
        </w:numPr>
        <w:rPr>
          <w:sz w:val="24"/>
          <w:szCs w:val="24"/>
        </w:rPr>
      </w:pPr>
      <w:r>
        <w:rPr>
          <w:sz w:val="24"/>
          <w:szCs w:val="24"/>
        </w:rPr>
        <w:t xml:space="preserve">At which point, ASTP would have to release another proposed rule to require the adoption of USCDI v6.  </w:t>
      </w:r>
    </w:p>
    <w:p w:rsidR="00D34E7C" w:rsidP="00D34E7C" w14:paraId="399BB853" w14:textId="1CCF330E">
      <w:pPr>
        <w:pStyle w:val="bodytext-gph"/>
        <w:numPr>
          <w:ilvl w:val="0"/>
          <w:numId w:val="44"/>
        </w:numPr>
        <w:rPr>
          <w:sz w:val="24"/>
          <w:szCs w:val="24"/>
        </w:rPr>
      </w:pPr>
      <w:r w:rsidRPr="00372980">
        <w:rPr>
          <w:sz w:val="24"/>
          <w:szCs w:val="24"/>
        </w:rPr>
        <w:t xml:space="preserve">OPA assumes that </w:t>
      </w:r>
      <w:r>
        <w:rPr>
          <w:sz w:val="24"/>
          <w:szCs w:val="24"/>
        </w:rPr>
        <w:t xml:space="preserve">the revised </w:t>
      </w:r>
      <w:r w:rsidRPr="00372980">
        <w:rPr>
          <w:sz w:val="24"/>
          <w:szCs w:val="24"/>
        </w:rPr>
        <w:t>SPD-15 will be included in either USCDI v6 or v7</w:t>
      </w:r>
      <w:r>
        <w:rPr>
          <w:sz w:val="24"/>
          <w:szCs w:val="24"/>
        </w:rPr>
        <w:t xml:space="preserve">, but without published standards, OPA cannot begin to assess or plan for implementation.  </w:t>
      </w:r>
    </w:p>
    <w:p w:rsidR="00D34E7C" w:rsidRPr="00372980" w:rsidP="00D34E7C" w14:paraId="25FB2690" w14:textId="28B8388E">
      <w:pPr>
        <w:pStyle w:val="bodytext-gph"/>
        <w:numPr>
          <w:ilvl w:val="0"/>
          <w:numId w:val="44"/>
        </w:numPr>
        <w:rPr>
          <w:sz w:val="24"/>
          <w:szCs w:val="24"/>
        </w:rPr>
      </w:pPr>
      <w:r>
        <w:rPr>
          <w:sz w:val="24"/>
          <w:szCs w:val="24"/>
        </w:rPr>
        <w:t xml:space="preserve">OPA assumes that by the next renewal for FPAR 2.0 (estimated to be Feb 2028), standards will </w:t>
      </w:r>
      <w:r w:rsidR="00D17A02">
        <w:rPr>
          <w:sz w:val="24"/>
          <w:szCs w:val="24"/>
        </w:rPr>
        <w:t>be finalized</w:t>
      </w:r>
      <w:r>
        <w:rPr>
          <w:sz w:val="24"/>
          <w:szCs w:val="24"/>
        </w:rPr>
        <w:t xml:space="preserve"> and there will be enough time for EHR vendors, grantees, and OPA to adequately plan for and perform the necessary workflow updates. </w:t>
      </w:r>
    </w:p>
    <w:p w:rsidR="00D34E7C" w:rsidRPr="00E56AA3" w:rsidP="007D0CD4" w14:paraId="6D9BC13E" w14:textId="77777777">
      <w:pPr>
        <w:pStyle w:val="bodytext-gph"/>
        <w:rPr>
          <w:sz w:val="24"/>
          <w:szCs w:val="24"/>
        </w:rPr>
      </w:pPr>
    </w:p>
    <w:p w:rsidR="00D832DD" w:rsidRPr="00D551AD" w:rsidP="00D832DD" w14:paraId="12BA7741" w14:textId="5AD5D3ED">
      <w:pPr>
        <w:pStyle w:val="Heading3"/>
        <w:keepNext/>
        <w:tabs>
          <w:tab w:val="num" w:pos="360"/>
          <w:tab w:val="clear" w:pos="1252"/>
        </w:tabs>
        <w:spacing w:before="0" w:after="120"/>
        <w:ind w:left="360"/>
        <w:rPr>
          <w:rStyle w:val="Heading3OMB"/>
        </w:rPr>
      </w:pPr>
      <w:bookmarkStart w:id="35" w:name="_Toc16533869"/>
      <w:bookmarkStart w:id="36" w:name="_Toc179880112"/>
      <w:r w:rsidRPr="00D551AD">
        <w:rPr>
          <w:rStyle w:val="Heading3OMB"/>
        </w:rPr>
        <w:t>Estimates of Annualized Burden Hours (Total Hours and Wages)</w:t>
      </w:r>
      <w:bookmarkEnd w:id="35"/>
      <w:bookmarkEnd w:id="36"/>
    </w:p>
    <w:p w:rsidR="00D832DD" w:rsidRPr="00E56AA3" w:rsidP="00D832DD" w14:paraId="167DBFF3" w14:textId="77777777">
      <w:pPr>
        <w:pStyle w:val="StyleHeading4Before0251"/>
      </w:pPr>
      <w:r w:rsidRPr="00E56AA3">
        <w:t>12A.</w:t>
      </w:r>
      <w:r w:rsidRPr="00E56AA3" w:rsidR="004349F2">
        <w:t xml:space="preserve"> </w:t>
      </w:r>
      <w:r w:rsidRPr="00E56AA3">
        <w:t>Estimated Annualized Burden Hours</w:t>
      </w:r>
    </w:p>
    <w:p w:rsidR="000F1AA7" w:rsidP="00316525" w14:paraId="1F3DA453" w14:textId="547A1862">
      <w:pPr>
        <w:pStyle w:val="bodytext-gph"/>
        <w:rPr>
          <w:sz w:val="24"/>
          <w:szCs w:val="24"/>
        </w:rPr>
      </w:pPr>
      <w:r>
        <w:rPr>
          <w:sz w:val="24"/>
          <w:szCs w:val="24"/>
        </w:rPr>
        <w:t xml:space="preserve">OPA revised burden estimates based on comments received by the National Family Planning and Reproductive Health Association (NFPRHA) during the </w:t>
      </w:r>
      <w:r w:rsidR="00E30CA8">
        <w:rPr>
          <w:sz w:val="24"/>
          <w:szCs w:val="24"/>
        </w:rPr>
        <w:t xml:space="preserve">original </w:t>
      </w:r>
      <w:r w:rsidR="00246A66">
        <w:rPr>
          <w:sz w:val="24"/>
          <w:szCs w:val="24"/>
        </w:rPr>
        <w:t>60-day</w:t>
      </w:r>
      <w:r>
        <w:rPr>
          <w:sz w:val="24"/>
          <w:szCs w:val="24"/>
        </w:rPr>
        <w:t xml:space="preserve"> comment period</w:t>
      </w:r>
      <w:r w:rsidR="00372980">
        <w:rPr>
          <w:sz w:val="24"/>
          <w:szCs w:val="24"/>
        </w:rPr>
        <w:t xml:space="preserve"> in 2021</w:t>
      </w:r>
      <w:r>
        <w:rPr>
          <w:sz w:val="24"/>
          <w:szCs w:val="24"/>
        </w:rPr>
        <w:t>. According to a member survey of 40 members, NFPRHA report</w:t>
      </w:r>
      <w:r w:rsidR="002120F7">
        <w:rPr>
          <w:sz w:val="24"/>
          <w:szCs w:val="24"/>
        </w:rPr>
        <w:t>ed</w:t>
      </w:r>
      <w:r w:rsidR="00246A66">
        <w:rPr>
          <w:sz w:val="24"/>
          <w:szCs w:val="24"/>
        </w:rPr>
        <w:t xml:space="preserve"> an average</w:t>
      </w:r>
      <w:r>
        <w:rPr>
          <w:sz w:val="24"/>
          <w:szCs w:val="24"/>
        </w:rPr>
        <w:t xml:space="preserve"> one-time implementation burden of 183 hours per grantee.</w:t>
      </w:r>
      <w:r w:rsidR="00246A66">
        <w:rPr>
          <w:sz w:val="24"/>
          <w:szCs w:val="24"/>
        </w:rPr>
        <w:t xml:space="preserve"> </w:t>
      </w:r>
      <w:r w:rsidR="002120F7">
        <w:rPr>
          <w:sz w:val="24"/>
          <w:szCs w:val="24"/>
        </w:rPr>
        <w:t xml:space="preserve">That </w:t>
      </w:r>
      <w:r>
        <w:rPr>
          <w:sz w:val="24"/>
          <w:szCs w:val="24"/>
        </w:rPr>
        <w:t xml:space="preserve">member survey was based on outdated information, specifically the number of data elements, several of which </w:t>
      </w:r>
      <w:r w:rsidR="002120F7">
        <w:rPr>
          <w:sz w:val="24"/>
          <w:szCs w:val="24"/>
        </w:rPr>
        <w:t xml:space="preserve">had </w:t>
      </w:r>
      <w:r>
        <w:rPr>
          <w:sz w:val="24"/>
          <w:szCs w:val="24"/>
        </w:rPr>
        <w:t>been deleted or made optional</w:t>
      </w:r>
      <w:r w:rsidR="002120F7">
        <w:rPr>
          <w:sz w:val="24"/>
          <w:szCs w:val="24"/>
        </w:rPr>
        <w:t xml:space="preserve">. OPA utilized this number in its burden estimate in 2021. </w:t>
      </w:r>
    </w:p>
    <w:p w:rsidR="00246A66" w:rsidP="00316525" w14:paraId="0C6B1119" w14:textId="74B8E8DF">
      <w:pPr>
        <w:pStyle w:val="bodytext-gph"/>
        <w:rPr>
          <w:sz w:val="24"/>
          <w:szCs w:val="24"/>
        </w:rPr>
      </w:pPr>
      <w:r>
        <w:rPr>
          <w:sz w:val="24"/>
          <w:szCs w:val="24"/>
        </w:rPr>
        <w:t>R</w:t>
      </w:r>
      <w:r w:rsidR="000F1AA7">
        <w:rPr>
          <w:sz w:val="24"/>
          <w:szCs w:val="24"/>
        </w:rPr>
        <w:t>ecognizing the challenges in implementing FPAR 2.0, O</w:t>
      </w:r>
      <w:r>
        <w:rPr>
          <w:sz w:val="24"/>
          <w:szCs w:val="24"/>
        </w:rPr>
        <w:t xml:space="preserve">PA </w:t>
      </w:r>
      <w:r w:rsidR="00E30CA8">
        <w:rPr>
          <w:sz w:val="24"/>
          <w:szCs w:val="24"/>
        </w:rPr>
        <w:t>offered</w:t>
      </w:r>
      <w:r>
        <w:rPr>
          <w:sz w:val="24"/>
          <w:szCs w:val="24"/>
        </w:rPr>
        <w:t xml:space="preserve"> a </w:t>
      </w:r>
      <w:r w:rsidR="00EE160B">
        <w:rPr>
          <w:sz w:val="24"/>
          <w:szCs w:val="24"/>
        </w:rPr>
        <w:t>three</w:t>
      </w:r>
      <w:r w:rsidR="003E335E">
        <w:rPr>
          <w:sz w:val="24"/>
          <w:szCs w:val="24"/>
        </w:rPr>
        <w:t>-year</w:t>
      </w:r>
      <w:r>
        <w:rPr>
          <w:sz w:val="24"/>
          <w:szCs w:val="24"/>
        </w:rPr>
        <w:t xml:space="preserve"> optional reporting pathway for those grantees who </w:t>
      </w:r>
      <w:r>
        <w:rPr>
          <w:sz w:val="24"/>
          <w:szCs w:val="24"/>
        </w:rPr>
        <w:t xml:space="preserve">could not </w:t>
      </w:r>
      <w:r>
        <w:rPr>
          <w:sz w:val="24"/>
          <w:szCs w:val="24"/>
        </w:rPr>
        <w:t>meet the FPAR 2.0 implementation timeline</w:t>
      </w:r>
      <w:r w:rsidR="00E30CA8">
        <w:rPr>
          <w:sz w:val="24"/>
          <w:szCs w:val="24"/>
        </w:rPr>
        <w:t xml:space="preserve">. As of September 2024, the last year of the transition, </w:t>
      </w:r>
      <w:r w:rsidR="007B675D">
        <w:rPr>
          <w:sz w:val="24"/>
          <w:szCs w:val="24"/>
        </w:rPr>
        <w:t xml:space="preserve">over </w:t>
      </w:r>
      <w:r w:rsidR="00E30CA8">
        <w:rPr>
          <w:sz w:val="24"/>
          <w:szCs w:val="24"/>
        </w:rPr>
        <w:t>2/3 of grantees have transitioned to FPAR 2.0</w:t>
      </w:r>
      <w:r w:rsidR="00EE160B">
        <w:rPr>
          <w:sz w:val="24"/>
          <w:szCs w:val="24"/>
        </w:rPr>
        <w:t xml:space="preserve"> and b</w:t>
      </w:r>
      <w:r w:rsidR="00E30CA8">
        <w:rPr>
          <w:sz w:val="24"/>
          <w:szCs w:val="24"/>
        </w:rPr>
        <w:t xml:space="preserve">y January 2025, all grantees are expected to </w:t>
      </w:r>
      <w:r>
        <w:rPr>
          <w:sz w:val="24"/>
          <w:szCs w:val="24"/>
        </w:rPr>
        <w:t>have completed their</w:t>
      </w:r>
      <w:r w:rsidR="00EE160B">
        <w:rPr>
          <w:sz w:val="24"/>
          <w:szCs w:val="24"/>
        </w:rPr>
        <w:t xml:space="preserve"> transition. Therefore, the one-time</w:t>
      </w:r>
      <w:r>
        <w:rPr>
          <w:sz w:val="24"/>
          <w:szCs w:val="24"/>
        </w:rPr>
        <w:t xml:space="preserve"> implementation burden</w:t>
      </w:r>
      <w:r w:rsidR="00EE160B">
        <w:rPr>
          <w:sz w:val="24"/>
          <w:szCs w:val="24"/>
        </w:rPr>
        <w:t xml:space="preserve"> </w:t>
      </w:r>
      <w:r>
        <w:rPr>
          <w:sz w:val="24"/>
          <w:szCs w:val="24"/>
        </w:rPr>
        <w:t>is no longer included in burden estimates</w:t>
      </w:r>
      <w:r w:rsidR="00C11C6A">
        <w:rPr>
          <w:sz w:val="24"/>
          <w:szCs w:val="24"/>
        </w:rPr>
        <w:t xml:space="preserve">. OPA assumes twice as much hourly burden as FPAR 1.0, for 72 hours per </w:t>
      </w:r>
      <w:r w:rsidR="00EE160B">
        <w:rPr>
          <w:sz w:val="24"/>
          <w:szCs w:val="24"/>
        </w:rPr>
        <w:t xml:space="preserve">grantee per </w:t>
      </w:r>
      <w:r w:rsidR="00C11C6A">
        <w:rPr>
          <w:sz w:val="24"/>
          <w:szCs w:val="24"/>
        </w:rPr>
        <w:t>year</w:t>
      </w:r>
      <w:r>
        <w:rPr>
          <w:sz w:val="24"/>
          <w:szCs w:val="24"/>
        </w:rPr>
        <w:t xml:space="preserve">. </w:t>
      </w:r>
    </w:p>
    <w:p w:rsidR="00D832DD" w:rsidRPr="00E56AA3" w:rsidP="00316525" w14:paraId="71397DC1" w14:textId="12DAE23C">
      <w:pPr>
        <w:pStyle w:val="bodytext-gph"/>
        <w:rPr>
          <w:sz w:val="24"/>
          <w:szCs w:val="24"/>
        </w:rPr>
      </w:pPr>
      <w:r w:rsidRPr="00E56AA3">
        <w:rPr>
          <w:sz w:val="24"/>
          <w:szCs w:val="24"/>
        </w:rPr>
        <w:t xml:space="preserve">The estimated annualized hour burden of responding to this information collection is </w:t>
      </w:r>
      <w:r w:rsidR="002120F7">
        <w:rPr>
          <w:rStyle w:val="Stylebodytext-gphBoldChar"/>
          <w:sz w:val="24"/>
          <w:szCs w:val="24"/>
        </w:rPr>
        <w:t>6,</w:t>
      </w:r>
      <w:r w:rsidR="008F0E51">
        <w:rPr>
          <w:rStyle w:val="Stylebodytext-gphBoldChar"/>
          <w:sz w:val="24"/>
          <w:szCs w:val="24"/>
        </w:rPr>
        <w:t>336</w:t>
      </w:r>
      <w:r w:rsidRPr="00E56AA3">
        <w:rPr>
          <w:rStyle w:val="Stylebodytext-gphBoldChar"/>
          <w:sz w:val="24"/>
          <w:szCs w:val="24"/>
        </w:rPr>
        <w:t xml:space="preserve"> hours</w:t>
      </w:r>
      <w:r w:rsidR="000F1AA7">
        <w:rPr>
          <w:sz w:val="24"/>
          <w:szCs w:val="24"/>
        </w:rPr>
        <w:t xml:space="preserve"> </w:t>
      </w:r>
      <w:r w:rsidRPr="00E56AA3">
        <w:rPr>
          <w:sz w:val="24"/>
          <w:szCs w:val="24"/>
        </w:rPr>
        <w:t xml:space="preserve">(see </w:t>
      </w:r>
      <w:r w:rsidRPr="00E56AA3">
        <w:rPr>
          <w:b/>
          <w:bCs/>
          <w:sz w:val="24"/>
          <w:szCs w:val="24"/>
        </w:rPr>
        <w:t>Exhibit 3</w:t>
      </w:r>
      <w:r w:rsidRPr="00E56AA3">
        <w:rPr>
          <w:sz w:val="24"/>
          <w:szCs w:val="24"/>
        </w:rPr>
        <w:t xml:space="preserve">). The hour-burden estimates include the time spent by grantee staff to retrieve, compile, verify, and report the FPAR data using the </w:t>
      </w:r>
      <w:r w:rsidRPr="00E56AA3">
        <w:rPr>
          <w:i/>
          <w:iCs/>
          <w:sz w:val="24"/>
          <w:szCs w:val="24"/>
        </w:rPr>
        <w:t xml:space="preserve">FPAR </w:t>
      </w:r>
      <w:r w:rsidRPr="00E56AA3" w:rsidR="00C96ABF">
        <w:rPr>
          <w:i/>
          <w:iCs/>
          <w:sz w:val="24"/>
          <w:szCs w:val="24"/>
        </w:rPr>
        <w:t xml:space="preserve">2.0 </w:t>
      </w:r>
      <w:r w:rsidRPr="00E56AA3">
        <w:rPr>
          <w:i/>
          <w:iCs/>
          <w:sz w:val="24"/>
          <w:szCs w:val="24"/>
        </w:rPr>
        <w:t>Data System</w:t>
      </w:r>
      <w:r w:rsidRPr="00E56AA3">
        <w:rPr>
          <w:sz w:val="24"/>
          <w:szCs w:val="24"/>
        </w:rPr>
        <w:t xml:space="preserve">, and exclude any hour burden associated with customary and usual practices that the grantee would carry out in the absence of the FPAR reporting requirement. </w:t>
      </w:r>
    </w:p>
    <w:p w:rsidR="00D832DD" w:rsidRPr="00E56AA3" w:rsidP="00B85E32" w14:paraId="459A42F5" w14:textId="3D6ED057">
      <w:pPr>
        <w:pStyle w:val="Caption"/>
        <w:ind w:firstLine="360"/>
        <w:rPr>
          <w:sz w:val="24"/>
          <w:szCs w:val="24"/>
        </w:rPr>
      </w:pPr>
      <w:bookmarkStart w:id="37" w:name="_Toc16534322"/>
      <w:bookmarkStart w:id="38" w:name="_Toc186726920"/>
      <w:r w:rsidRPr="00B85E32">
        <w:rPr>
          <w:sz w:val="24"/>
          <w:szCs w:val="24"/>
        </w:rPr>
        <w:t xml:space="preserve">Exhibit  </w:t>
      </w:r>
      <w:r w:rsidRPr="00B85E32">
        <w:rPr>
          <w:sz w:val="24"/>
          <w:szCs w:val="24"/>
        </w:rPr>
        <w:fldChar w:fldCharType="begin"/>
      </w:r>
      <w:r w:rsidRPr="00B85E32">
        <w:rPr>
          <w:sz w:val="24"/>
          <w:szCs w:val="24"/>
        </w:rPr>
        <w:instrText xml:space="preserve"> SEQ Exhibit_ \* ARABIC </w:instrText>
      </w:r>
      <w:r w:rsidRPr="00B85E32">
        <w:rPr>
          <w:sz w:val="24"/>
          <w:szCs w:val="24"/>
        </w:rPr>
        <w:fldChar w:fldCharType="separate"/>
      </w:r>
      <w:r w:rsidR="00DA52D0">
        <w:rPr>
          <w:noProof/>
          <w:sz w:val="24"/>
          <w:szCs w:val="24"/>
        </w:rPr>
        <w:t>3</w:t>
      </w:r>
      <w:r w:rsidRPr="00B85E32">
        <w:rPr>
          <w:sz w:val="24"/>
          <w:szCs w:val="24"/>
        </w:rPr>
        <w:fldChar w:fldCharType="end"/>
      </w:r>
      <w:r w:rsidRPr="00E56AA3">
        <w:rPr>
          <w:sz w:val="24"/>
          <w:szCs w:val="24"/>
        </w:rPr>
        <w:t>–Estimated Hour Burden</w:t>
      </w:r>
      <w:bookmarkEnd w:id="37"/>
      <w:bookmarkEnd w:id="38"/>
    </w:p>
    <w:tbl>
      <w:tblPr>
        <w:tblW w:w="9020"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tblPr>
      <w:tblGrid>
        <w:gridCol w:w="1170"/>
        <w:gridCol w:w="1080"/>
        <w:gridCol w:w="1350"/>
        <w:gridCol w:w="1806"/>
        <w:gridCol w:w="1807"/>
        <w:gridCol w:w="1807"/>
      </w:tblGrid>
      <w:tr w14:paraId="71962E59" w14:textId="77777777" w:rsidTr="003D2D3C">
        <w:tblPrEx>
          <w:tblW w:w="9020"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tblPrEx>
        <w:tc>
          <w:tcPr>
            <w:tcW w:w="1170" w:type="dxa"/>
            <w:shd w:val="clear" w:color="auto" w:fill="F2F2F2" w:themeFill="background1" w:themeFillShade="F2"/>
            <w:tcMar>
              <w:top w:w="0" w:type="dxa"/>
              <w:left w:w="108" w:type="dxa"/>
              <w:bottom w:w="0" w:type="dxa"/>
              <w:right w:w="108" w:type="dxa"/>
            </w:tcMar>
            <w:vAlign w:val="bottom"/>
          </w:tcPr>
          <w:p w:rsidR="00D832DD" w:rsidRPr="00E56AA3" w:rsidP="00B50F09" w14:paraId="4A0795EF" w14:textId="77777777">
            <w:pPr>
              <w:spacing w:before="40"/>
              <w:jc w:val="center"/>
              <w:rPr>
                <w:b/>
                <w:bCs/>
              </w:rPr>
            </w:pPr>
            <w:r w:rsidRPr="00E56AA3">
              <w:rPr>
                <w:b/>
                <w:bCs/>
              </w:rPr>
              <w:t>Type of Respondent</w:t>
            </w:r>
          </w:p>
        </w:tc>
        <w:tc>
          <w:tcPr>
            <w:tcW w:w="1080" w:type="dxa"/>
            <w:shd w:val="clear" w:color="auto" w:fill="F2F2F2" w:themeFill="background1" w:themeFillShade="F2"/>
            <w:tcMar>
              <w:top w:w="0" w:type="dxa"/>
              <w:left w:w="108" w:type="dxa"/>
              <w:bottom w:w="0" w:type="dxa"/>
              <w:right w:w="108" w:type="dxa"/>
            </w:tcMar>
            <w:vAlign w:val="bottom"/>
          </w:tcPr>
          <w:p w:rsidR="00D832DD" w:rsidRPr="00E56AA3" w:rsidP="00B50F09" w14:paraId="200FBF01" w14:textId="77777777">
            <w:pPr>
              <w:spacing w:before="40"/>
              <w:jc w:val="center"/>
              <w:rPr>
                <w:b/>
                <w:bCs/>
              </w:rPr>
            </w:pPr>
            <w:r w:rsidRPr="00E56AA3">
              <w:rPr>
                <w:b/>
                <w:bCs/>
              </w:rPr>
              <w:t>Form Name</w:t>
            </w:r>
          </w:p>
        </w:tc>
        <w:tc>
          <w:tcPr>
            <w:tcW w:w="1350" w:type="dxa"/>
            <w:shd w:val="clear" w:color="auto" w:fill="F2F2F2" w:themeFill="background1" w:themeFillShade="F2"/>
            <w:vAlign w:val="bottom"/>
          </w:tcPr>
          <w:p w:rsidR="00D832DD" w:rsidRPr="00E56AA3" w:rsidP="00B50F09" w14:paraId="171F404A" w14:textId="77777777">
            <w:pPr>
              <w:spacing w:before="40"/>
              <w:jc w:val="center"/>
              <w:rPr>
                <w:b/>
                <w:bCs/>
              </w:rPr>
            </w:pPr>
            <w:r w:rsidRPr="00E56AA3">
              <w:rPr>
                <w:b/>
                <w:bCs/>
              </w:rPr>
              <w:t>Number of Respondents</w:t>
            </w:r>
          </w:p>
        </w:tc>
        <w:tc>
          <w:tcPr>
            <w:tcW w:w="1806" w:type="dxa"/>
            <w:shd w:val="clear" w:color="auto" w:fill="F2F2F2" w:themeFill="background1" w:themeFillShade="F2"/>
            <w:vAlign w:val="bottom"/>
          </w:tcPr>
          <w:p w:rsidR="00D832DD" w:rsidRPr="00E56AA3" w:rsidP="00B50F09" w14:paraId="24F20FD5" w14:textId="77777777">
            <w:pPr>
              <w:spacing w:before="40"/>
              <w:jc w:val="center"/>
              <w:rPr>
                <w:b/>
                <w:bCs/>
              </w:rPr>
            </w:pPr>
            <w:r w:rsidRPr="00E56AA3">
              <w:rPr>
                <w:b/>
                <w:bCs/>
              </w:rPr>
              <w:t>Number of Responses per Respondent</w:t>
            </w:r>
          </w:p>
        </w:tc>
        <w:tc>
          <w:tcPr>
            <w:tcW w:w="1807" w:type="dxa"/>
            <w:shd w:val="clear" w:color="auto" w:fill="F2F2F2" w:themeFill="background1" w:themeFillShade="F2"/>
            <w:tcMar>
              <w:top w:w="0" w:type="dxa"/>
              <w:left w:w="108" w:type="dxa"/>
              <w:bottom w:w="0" w:type="dxa"/>
              <w:right w:w="108" w:type="dxa"/>
            </w:tcMar>
            <w:vAlign w:val="bottom"/>
          </w:tcPr>
          <w:p w:rsidR="00D832DD" w:rsidRPr="00E56AA3" w:rsidP="00B50F09" w14:paraId="755613A6" w14:textId="77777777">
            <w:pPr>
              <w:spacing w:before="40"/>
              <w:jc w:val="center"/>
              <w:rPr>
                <w:b/>
                <w:bCs/>
              </w:rPr>
            </w:pPr>
            <w:r w:rsidRPr="00E56AA3">
              <w:rPr>
                <w:b/>
                <w:bCs/>
              </w:rPr>
              <w:t>Average Annualized Burden per Response (Hours)</w:t>
            </w:r>
          </w:p>
        </w:tc>
        <w:tc>
          <w:tcPr>
            <w:tcW w:w="1807" w:type="dxa"/>
            <w:shd w:val="clear" w:color="auto" w:fill="F2F2F2" w:themeFill="background1" w:themeFillShade="F2"/>
            <w:vAlign w:val="bottom"/>
          </w:tcPr>
          <w:p w:rsidR="00D832DD" w:rsidRPr="00E56AA3" w:rsidP="00B50F09" w14:paraId="023CCD21" w14:textId="77777777">
            <w:pPr>
              <w:spacing w:before="40"/>
              <w:jc w:val="center"/>
              <w:rPr>
                <w:b/>
                <w:bCs/>
              </w:rPr>
            </w:pPr>
            <w:r w:rsidRPr="00E56AA3">
              <w:rPr>
                <w:b/>
                <w:bCs/>
              </w:rPr>
              <w:t>Annualized Total Burden (Hours)</w:t>
            </w:r>
          </w:p>
        </w:tc>
      </w:tr>
      <w:tr w14:paraId="0D2B190D" w14:textId="77777777" w:rsidTr="00760BBD">
        <w:tblPrEx>
          <w:tblW w:w="9020" w:type="dxa"/>
          <w:tblInd w:w="468" w:type="dxa"/>
          <w:tblLayout w:type="fixed"/>
          <w:tblCellMar>
            <w:left w:w="0" w:type="dxa"/>
            <w:right w:w="0" w:type="dxa"/>
          </w:tblCellMar>
          <w:tblLook w:val="0000"/>
        </w:tblPrEx>
        <w:tc>
          <w:tcPr>
            <w:tcW w:w="1170" w:type="dxa"/>
            <w:tcMar>
              <w:top w:w="0" w:type="dxa"/>
              <w:left w:w="108" w:type="dxa"/>
              <w:bottom w:w="0" w:type="dxa"/>
              <w:right w:w="108" w:type="dxa"/>
            </w:tcMar>
          </w:tcPr>
          <w:p w:rsidR="00D832DD" w:rsidRPr="00E56AA3" w:rsidP="00760BBD" w14:paraId="297CF17D" w14:textId="77777777">
            <w:pPr>
              <w:spacing w:before="60" w:after="60"/>
            </w:pPr>
            <w:r w:rsidRPr="00E56AA3">
              <w:t>Grantees</w:t>
            </w:r>
          </w:p>
        </w:tc>
        <w:tc>
          <w:tcPr>
            <w:tcW w:w="1080" w:type="dxa"/>
            <w:tcMar>
              <w:top w:w="0" w:type="dxa"/>
              <w:left w:w="108" w:type="dxa"/>
              <w:bottom w:w="0" w:type="dxa"/>
              <w:right w:w="108" w:type="dxa"/>
            </w:tcMar>
          </w:tcPr>
          <w:p w:rsidR="00D832DD" w:rsidRPr="00E56AA3" w:rsidP="00D551AD" w14:paraId="39491B35" w14:textId="77777777">
            <w:pPr>
              <w:spacing w:before="60" w:after="60"/>
              <w:jc w:val="center"/>
            </w:pPr>
            <w:r w:rsidRPr="00E56AA3">
              <w:t>FPAR</w:t>
            </w:r>
          </w:p>
        </w:tc>
        <w:tc>
          <w:tcPr>
            <w:tcW w:w="1350" w:type="dxa"/>
          </w:tcPr>
          <w:p w:rsidR="00D832DD" w:rsidRPr="00E56AA3" w:rsidP="00760BBD" w14:paraId="44A58F14" w14:textId="154231A8">
            <w:pPr>
              <w:spacing w:before="60" w:after="60"/>
              <w:jc w:val="center"/>
            </w:pPr>
            <w:r>
              <w:t>88</w:t>
            </w:r>
          </w:p>
        </w:tc>
        <w:tc>
          <w:tcPr>
            <w:tcW w:w="1806" w:type="dxa"/>
          </w:tcPr>
          <w:p w:rsidR="00D832DD" w:rsidRPr="00E56AA3" w:rsidP="00760BBD" w14:paraId="1E6ECF67" w14:textId="77777777">
            <w:pPr>
              <w:spacing w:before="60" w:after="60"/>
              <w:jc w:val="center"/>
            </w:pPr>
            <w:r w:rsidRPr="00E56AA3">
              <w:t>1</w:t>
            </w:r>
          </w:p>
        </w:tc>
        <w:tc>
          <w:tcPr>
            <w:tcW w:w="1807" w:type="dxa"/>
            <w:tcMar>
              <w:top w:w="0" w:type="dxa"/>
              <w:left w:w="108" w:type="dxa"/>
              <w:bottom w:w="0" w:type="dxa"/>
              <w:right w:w="108" w:type="dxa"/>
            </w:tcMar>
          </w:tcPr>
          <w:p w:rsidR="00D832DD" w:rsidRPr="00E56AA3" w:rsidP="00760BBD" w14:paraId="1C1773CB" w14:textId="2FFB3666">
            <w:pPr>
              <w:spacing w:before="60" w:after="60"/>
              <w:jc w:val="center"/>
            </w:pPr>
            <w:r>
              <w:t>72</w:t>
            </w:r>
            <w:r w:rsidR="00287831">
              <w:t xml:space="preserve"> </w:t>
            </w:r>
          </w:p>
        </w:tc>
        <w:tc>
          <w:tcPr>
            <w:tcW w:w="1807" w:type="dxa"/>
          </w:tcPr>
          <w:p w:rsidR="00D832DD" w:rsidRPr="00E56AA3" w:rsidP="00760BBD" w14:paraId="4AC1F043" w14:textId="0978A3D3">
            <w:pPr>
              <w:spacing w:before="60" w:after="60"/>
              <w:jc w:val="center"/>
            </w:pPr>
            <w:r>
              <w:t>6,336</w:t>
            </w:r>
          </w:p>
        </w:tc>
      </w:tr>
    </w:tbl>
    <w:p w:rsidR="00D832DD" w:rsidRPr="00E56AA3" w:rsidP="00D832DD" w14:paraId="496CD1FA" w14:textId="77777777">
      <w:bookmarkStart w:id="39" w:name="_Toc192061310"/>
      <w:bookmarkStart w:id="40" w:name="_Toc193106949"/>
    </w:p>
    <w:p w:rsidR="00D832DD" w:rsidRPr="00E56AA3" w:rsidP="007D0CD4" w14:paraId="6EC03DE2" w14:textId="6AFCD116">
      <w:pPr>
        <w:pStyle w:val="bodytext-gph"/>
        <w:rPr>
          <w:sz w:val="24"/>
          <w:szCs w:val="24"/>
        </w:rPr>
      </w:pPr>
      <w:r>
        <w:rPr>
          <w:sz w:val="24"/>
          <w:szCs w:val="24"/>
        </w:rPr>
        <w:t>The</w:t>
      </w:r>
      <w:r w:rsidRPr="00E56AA3">
        <w:rPr>
          <w:sz w:val="24"/>
          <w:szCs w:val="24"/>
        </w:rPr>
        <w:t xml:space="preserve"> majority of</w:t>
      </w:r>
      <w:r w:rsidRPr="00E56AA3">
        <w:rPr>
          <w:sz w:val="24"/>
          <w:szCs w:val="24"/>
        </w:rPr>
        <w:t xml:space="preserve"> Title X service grantees</w:t>
      </w:r>
      <w:r>
        <w:rPr>
          <w:sz w:val="24"/>
          <w:szCs w:val="24"/>
        </w:rPr>
        <w:t xml:space="preserve"> have some type of electronic reporting system, although </w:t>
      </w:r>
      <w:r w:rsidR="00151A2B">
        <w:rPr>
          <w:sz w:val="24"/>
          <w:szCs w:val="24"/>
        </w:rPr>
        <w:t>not all</w:t>
      </w:r>
      <w:r>
        <w:rPr>
          <w:sz w:val="24"/>
          <w:szCs w:val="24"/>
        </w:rPr>
        <w:t>. The annual reporting burden will vary greatly depending on available technology and available resources</w:t>
      </w:r>
      <w:r w:rsidR="003E335E">
        <w:rPr>
          <w:sz w:val="24"/>
          <w:szCs w:val="24"/>
        </w:rPr>
        <w:t>.</w:t>
      </w:r>
      <w:r w:rsidR="009D5D18">
        <w:rPr>
          <w:sz w:val="24"/>
          <w:szCs w:val="24"/>
        </w:rPr>
        <w:t xml:space="preserve"> </w:t>
      </w:r>
    </w:p>
    <w:p w:rsidR="00BB7C36" w:rsidRPr="00E56AA3" w:rsidP="0038091D" w14:paraId="6012EDAD" w14:textId="176DAA84">
      <w:pPr>
        <w:pStyle w:val="bodytext-gph"/>
        <w:rPr>
          <w:sz w:val="24"/>
          <w:szCs w:val="24"/>
        </w:rPr>
      </w:pPr>
    </w:p>
    <w:p w:rsidR="00D832DD" w:rsidRPr="00E56AA3" w:rsidP="00316525" w14:paraId="5134F950" w14:textId="77777777">
      <w:pPr>
        <w:pStyle w:val="StyleHeading4Before0251"/>
        <w:keepNext/>
      </w:pPr>
      <w:r w:rsidRPr="00E56AA3">
        <w:t>12.</w:t>
      </w:r>
      <w:r w:rsidRPr="00E56AA3" w:rsidR="00FF4061">
        <w:t xml:space="preserve"> </w:t>
      </w:r>
      <w:r w:rsidRPr="00E56AA3">
        <w:t>B.</w:t>
      </w:r>
      <w:r w:rsidRPr="00E56AA3" w:rsidR="00316525">
        <w:t xml:space="preserve"> </w:t>
      </w:r>
      <w:r w:rsidRPr="00E56AA3">
        <w:t>Estimated Annualized Respondent Cost Burden</w:t>
      </w:r>
      <w:bookmarkEnd w:id="39"/>
      <w:bookmarkEnd w:id="40"/>
    </w:p>
    <w:p w:rsidR="00D832DD" w:rsidRPr="00E56AA3" w:rsidP="007D0CD4" w14:paraId="784D4860" w14:textId="7A5E7CAD">
      <w:pPr>
        <w:pStyle w:val="bodytext-gph"/>
        <w:rPr>
          <w:b/>
          <w:bCs/>
          <w:sz w:val="24"/>
          <w:szCs w:val="24"/>
        </w:rPr>
      </w:pPr>
      <w:r w:rsidRPr="00E56AA3">
        <w:rPr>
          <w:sz w:val="24"/>
          <w:szCs w:val="24"/>
        </w:rPr>
        <w:t xml:space="preserve">The estimated total annualized labor cost to respond to the FPAR is </w:t>
      </w:r>
      <w:r w:rsidRPr="00E56AA3">
        <w:rPr>
          <w:b/>
          <w:bCs/>
          <w:sz w:val="24"/>
          <w:szCs w:val="24"/>
        </w:rPr>
        <w:t>$</w:t>
      </w:r>
      <w:r w:rsidR="00BA6741">
        <w:rPr>
          <w:b/>
          <w:bCs/>
          <w:sz w:val="24"/>
          <w:szCs w:val="24"/>
        </w:rPr>
        <w:t>325</w:t>
      </w:r>
      <w:r w:rsidR="00AB7AE2">
        <w:rPr>
          <w:b/>
          <w:bCs/>
          <w:sz w:val="24"/>
          <w:szCs w:val="24"/>
        </w:rPr>
        <w:t>,290</w:t>
      </w:r>
      <w:r w:rsidRPr="00E56AA3" w:rsidR="003B14B3">
        <w:rPr>
          <w:b/>
          <w:bCs/>
          <w:sz w:val="24"/>
          <w:szCs w:val="24"/>
        </w:rPr>
        <w:t xml:space="preserve"> </w:t>
      </w:r>
      <w:r w:rsidRPr="00E56AA3">
        <w:rPr>
          <w:sz w:val="24"/>
          <w:szCs w:val="24"/>
        </w:rPr>
        <w:t xml:space="preserve">or an average of </w:t>
      </w:r>
      <w:r w:rsidRPr="00E56AA3">
        <w:rPr>
          <w:b/>
          <w:bCs/>
          <w:sz w:val="24"/>
          <w:szCs w:val="24"/>
        </w:rPr>
        <w:t>$</w:t>
      </w:r>
      <w:r w:rsidR="00EB6809">
        <w:rPr>
          <w:b/>
          <w:bCs/>
          <w:sz w:val="24"/>
          <w:szCs w:val="24"/>
        </w:rPr>
        <w:t>3,</w:t>
      </w:r>
      <w:r w:rsidR="00101B68">
        <w:rPr>
          <w:b/>
          <w:bCs/>
          <w:sz w:val="24"/>
          <w:szCs w:val="24"/>
        </w:rPr>
        <w:t>696</w:t>
      </w:r>
      <w:r w:rsidRPr="00E56AA3">
        <w:rPr>
          <w:sz w:val="24"/>
          <w:szCs w:val="24"/>
        </w:rPr>
        <w:t xml:space="preserve"> per respondent (see </w:t>
      </w:r>
      <w:r w:rsidRPr="00E56AA3">
        <w:rPr>
          <w:b/>
          <w:bCs/>
          <w:sz w:val="24"/>
          <w:szCs w:val="24"/>
        </w:rPr>
        <w:t>Exhibit 4</w:t>
      </w:r>
      <w:r w:rsidRPr="00E56AA3">
        <w:rPr>
          <w:sz w:val="24"/>
          <w:szCs w:val="24"/>
        </w:rPr>
        <w:t xml:space="preserve">). The estimated hourly wage rate </w:t>
      </w:r>
      <w:r w:rsidRPr="00E56AA3" w:rsidR="009F0276">
        <w:rPr>
          <w:sz w:val="24"/>
          <w:szCs w:val="24"/>
        </w:rPr>
        <w:t>($</w:t>
      </w:r>
      <w:r w:rsidR="00101B68">
        <w:rPr>
          <w:sz w:val="24"/>
          <w:szCs w:val="24"/>
        </w:rPr>
        <w:t>51.34</w:t>
      </w:r>
      <w:r w:rsidRPr="00E56AA3" w:rsidR="009F0276">
        <w:rPr>
          <w:sz w:val="24"/>
          <w:szCs w:val="24"/>
        </w:rPr>
        <w:t xml:space="preserve">) </w:t>
      </w:r>
      <w:r w:rsidRPr="00E56AA3">
        <w:rPr>
          <w:sz w:val="24"/>
          <w:szCs w:val="24"/>
        </w:rPr>
        <w:t xml:space="preserve">is a weighted average based on the distribution of the hour burden across four different categories of grantee labor (i.e., clerical/unskilled, skilled/technical, </w:t>
      </w:r>
      <w:r w:rsidRPr="00E56AA3">
        <w:rPr>
          <w:sz w:val="24"/>
          <w:szCs w:val="24"/>
        </w:rPr>
        <w:t>managerial</w:t>
      </w:r>
      <w:r w:rsidRPr="00E56AA3">
        <w:rPr>
          <w:sz w:val="24"/>
          <w:szCs w:val="24"/>
        </w:rPr>
        <w:t xml:space="preserve"> or professional, and executive). This</w:t>
      </w:r>
      <w:r w:rsidRPr="00E56AA3" w:rsidR="009F0276">
        <w:rPr>
          <w:sz w:val="24"/>
          <w:szCs w:val="24"/>
        </w:rPr>
        <w:t xml:space="preserve"> hour burden</w:t>
      </w:r>
      <w:r w:rsidRPr="00E56AA3">
        <w:rPr>
          <w:sz w:val="24"/>
          <w:szCs w:val="24"/>
        </w:rPr>
        <w:t xml:space="preserve"> across labor categories is based on </w:t>
      </w:r>
      <w:r w:rsidR="00112C99">
        <w:rPr>
          <w:sz w:val="24"/>
          <w:szCs w:val="24"/>
        </w:rPr>
        <w:t>a</w:t>
      </w:r>
      <w:r w:rsidR="00112C99">
        <w:rPr>
          <w:i/>
          <w:iCs/>
          <w:sz w:val="24"/>
          <w:szCs w:val="24"/>
        </w:rPr>
        <w:t xml:space="preserve"> </w:t>
      </w:r>
      <w:r w:rsidR="00EB6809">
        <w:rPr>
          <w:sz w:val="24"/>
          <w:szCs w:val="24"/>
        </w:rPr>
        <w:t xml:space="preserve">burden </w:t>
      </w:r>
      <w:r w:rsidR="00112C99">
        <w:rPr>
          <w:sz w:val="24"/>
          <w:szCs w:val="24"/>
        </w:rPr>
        <w:t>estimate</w:t>
      </w:r>
      <w:r w:rsidR="00EB6809">
        <w:rPr>
          <w:sz w:val="24"/>
          <w:szCs w:val="24"/>
        </w:rPr>
        <w:t xml:space="preserve"> done by the American College of Gynecologists and Obstetricians in May of 2021</w:t>
      </w:r>
      <w:r w:rsidRPr="00E56AA3">
        <w:rPr>
          <w:sz w:val="24"/>
          <w:szCs w:val="24"/>
        </w:rPr>
        <w:t>.</w:t>
      </w:r>
      <w:r w:rsidRPr="00E56AA3" w:rsidR="00E61518">
        <w:rPr>
          <w:sz w:val="24"/>
          <w:szCs w:val="24"/>
        </w:rPr>
        <w:t xml:space="preserve"> </w:t>
      </w:r>
      <w:hyperlink w:anchor="_ENREF_17" w:tooltip=",  #565" w:history="1"/>
      <w:r w:rsidRPr="00E56AA3">
        <w:rPr>
          <w:sz w:val="24"/>
          <w:szCs w:val="24"/>
        </w:rPr>
        <w:t xml:space="preserve">The average wage rate for each labor category was obtained from the U.S. Bureau of Labor Statistics </w:t>
      </w:r>
      <w:r w:rsidRPr="00E56AA3" w:rsidR="00B92121">
        <w:rPr>
          <w:sz w:val="24"/>
          <w:szCs w:val="24"/>
        </w:rPr>
        <w:t>20</w:t>
      </w:r>
      <w:r w:rsidR="00EB6809">
        <w:rPr>
          <w:sz w:val="24"/>
          <w:szCs w:val="24"/>
        </w:rPr>
        <w:t>2</w:t>
      </w:r>
      <w:r w:rsidR="00217B4F">
        <w:rPr>
          <w:sz w:val="24"/>
          <w:szCs w:val="24"/>
        </w:rPr>
        <w:t>3</w:t>
      </w:r>
      <w:r w:rsidRPr="00E56AA3" w:rsidR="00B92121">
        <w:rPr>
          <w:sz w:val="24"/>
          <w:szCs w:val="24"/>
        </w:rPr>
        <w:t xml:space="preserve"> </w:t>
      </w:r>
      <w:r w:rsidRPr="00E56AA3">
        <w:rPr>
          <w:sz w:val="24"/>
          <w:szCs w:val="24"/>
        </w:rPr>
        <w:t>wage rates for the health care and social assistance sector.</w:t>
      </w:r>
      <w:r w:rsidR="00027254">
        <w:rPr>
          <w:sz w:val="24"/>
          <w:szCs w:val="24"/>
          <w:vertAlign w:val="superscript"/>
        </w:rPr>
        <w:t>19</w:t>
      </w:r>
    </w:p>
    <w:p w:rsidR="00D832DD" w:rsidRPr="00E56AA3" w:rsidP="00B85E32" w14:paraId="47DE94AB" w14:textId="4495F918">
      <w:pPr>
        <w:pStyle w:val="Caption"/>
        <w:ind w:firstLine="360"/>
        <w:rPr>
          <w:sz w:val="24"/>
          <w:szCs w:val="24"/>
        </w:rPr>
      </w:pPr>
      <w:bookmarkStart w:id="41" w:name="_Toc16534323"/>
      <w:bookmarkStart w:id="42" w:name="_Toc186726921"/>
      <w:r w:rsidRPr="00B85E32">
        <w:rPr>
          <w:sz w:val="24"/>
          <w:szCs w:val="24"/>
        </w:rPr>
        <w:t xml:space="preserve">Exhibit  </w:t>
      </w:r>
      <w:r w:rsidRPr="00B85E32">
        <w:rPr>
          <w:sz w:val="24"/>
          <w:szCs w:val="24"/>
        </w:rPr>
        <w:fldChar w:fldCharType="begin"/>
      </w:r>
      <w:r w:rsidRPr="00B85E32">
        <w:rPr>
          <w:sz w:val="24"/>
          <w:szCs w:val="24"/>
        </w:rPr>
        <w:instrText xml:space="preserve"> SEQ Exhibit_ \* ARABIC </w:instrText>
      </w:r>
      <w:r w:rsidRPr="00B85E32">
        <w:rPr>
          <w:sz w:val="24"/>
          <w:szCs w:val="24"/>
        </w:rPr>
        <w:fldChar w:fldCharType="separate"/>
      </w:r>
      <w:r w:rsidR="00DA52D0">
        <w:rPr>
          <w:noProof/>
          <w:sz w:val="24"/>
          <w:szCs w:val="24"/>
        </w:rPr>
        <w:t>4</w:t>
      </w:r>
      <w:r w:rsidRPr="00B85E32">
        <w:rPr>
          <w:sz w:val="24"/>
          <w:szCs w:val="24"/>
        </w:rPr>
        <w:fldChar w:fldCharType="end"/>
      </w:r>
      <w:r w:rsidRPr="00E56AA3">
        <w:rPr>
          <w:sz w:val="24"/>
          <w:szCs w:val="24"/>
        </w:rPr>
        <w:t>–Estimated Annualized Cost to Respondents for Information Collection</w:t>
      </w:r>
      <w:bookmarkEnd w:id="41"/>
      <w:bookmarkEnd w:id="42"/>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90"/>
        <w:gridCol w:w="2160"/>
        <w:gridCol w:w="2160"/>
        <w:gridCol w:w="2430"/>
      </w:tblGrid>
      <w:tr w14:paraId="29DFB1EA" w14:textId="77777777" w:rsidTr="003D2D3C">
        <w:tblPrEx>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c>
          <w:tcPr>
            <w:tcW w:w="1890" w:type="dxa"/>
            <w:shd w:val="clear" w:color="auto" w:fill="F2F2F2" w:themeFill="background1" w:themeFillShade="F2"/>
            <w:tcMar>
              <w:top w:w="0" w:type="dxa"/>
              <w:left w:w="108" w:type="dxa"/>
              <w:bottom w:w="0" w:type="dxa"/>
              <w:right w:w="108" w:type="dxa"/>
            </w:tcMar>
            <w:vAlign w:val="bottom"/>
          </w:tcPr>
          <w:p w:rsidR="00D832DD" w:rsidRPr="00E56AA3" w:rsidP="00B50F09" w14:paraId="40FA3F75" w14:textId="77777777">
            <w:pPr>
              <w:jc w:val="center"/>
              <w:rPr>
                <w:b/>
                <w:bCs/>
              </w:rPr>
            </w:pPr>
            <w:r w:rsidRPr="00E56AA3">
              <w:rPr>
                <w:b/>
                <w:bCs/>
              </w:rPr>
              <w:t>Type of Respondent</w:t>
            </w:r>
          </w:p>
        </w:tc>
        <w:tc>
          <w:tcPr>
            <w:tcW w:w="2160" w:type="dxa"/>
            <w:shd w:val="clear" w:color="auto" w:fill="F2F2F2" w:themeFill="background1" w:themeFillShade="F2"/>
            <w:tcMar>
              <w:top w:w="0" w:type="dxa"/>
              <w:left w:w="108" w:type="dxa"/>
              <w:bottom w:w="0" w:type="dxa"/>
              <w:right w:w="108" w:type="dxa"/>
            </w:tcMar>
            <w:vAlign w:val="bottom"/>
          </w:tcPr>
          <w:p w:rsidR="00D832DD" w:rsidRPr="00E56AA3" w14:paraId="5B615573" w14:textId="77777777">
            <w:pPr>
              <w:jc w:val="center"/>
              <w:rPr>
                <w:b/>
                <w:bCs/>
              </w:rPr>
            </w:pPr>
            <w:r w:rsidRPr="00E56AA3">
              <w:rPr>
                <w:b/>
                <w:bCs/>
              </w:rPr>
              <w:t>Total Burden Hours</w:t>
            </w:r>
          </w:p>
        </w:tc>
        <w:tc>
          <w:tcPr>
            <w:tcW w:w="2160" w:type="dxa"/>
            <w:shd w:val="clear" w:color="auto" w:fill="F2F2F2" w:themeFill="background1" w:themeFillShade="F2"/>
            <w:vAlign w:val="bottom"/>
          </w:tcPr>
          <w:p w:rsidR="00D832DD" w:rsidRPr="00E56AA3" w14:paraId="401816D6" w14:textId="77777777">
            <w:pPr>
              <w:jc w:val="center"/>
              <w:rPr>
                <w:b/>
                <w:bCs/>
              </w:rPr>
            </w:pPr>
            <w:r w:rsidRPr="00E56AA3">
              <w:rPr>
                <w:b/>
                <w:bCs/>
              </w:rPr>
              <w:t>Average (Weighted)</w:t>
            </w:r>
            <w:r w:rsidRPr="00E56AA3">
              <w:rPr>
                <w:b/>
                <w:bCs/>
              </w:rPr>
              <w:br/>
              <w:t>Hourly Wage Rate</w:t>
            </w:r>
          </w:p>
        </w:tc>
        <w:tc>
          <w:tcPr>
            <w:tcW w:w="2430" w:type="dxa"/>
            <w:shd w:val="clear" w:color="auto" w:fill="F2F2F2" w:themeFill="background1" w:themeFillShade="F2"/>
            <w:vAlign w:val="bottom"/>
          </w:tcPr>
          <w:p w:rsidR="00D832DD" w:rsidRPr="00E56AA3" w14:paraId="7730E575" w14:textId="77777777">
            <w:pPr>
              <w:jc w:val="center"/>
              <w:rPr>
                <w:b/>
                <w:bCs/>
              </w:rPr>
            </w:pPr>
            <w:r w:rsidRPr="00E56AA3">
              <w:rPr>
                <w:b/>
                <w:bCs/>
              </w:rPr>
              <w:t>Total Respondent Cost</w:t>
            </w:r>
          </w:p>
        </w:tc>
      </w:tr>
      <w:tr w14:paraId="38F776AC" w14:textId="77777777" w:rsidTr="00760BBD">
        <w:tblPrEx>
          <w:tblW w:w="8640" w:type="dxa"/>
          <w:tblInd w:w="468" w:type="dxa"/>
          <w:tblCellMar>
            <w:left w:w="0" w:type="dxa"/>
            <w:right w:w="0" w:type="dxa"/>
          </w:tblCellMar>
          <w:tblLook w:val="0000"/>
        </w:tblPrEx>
        <w:tc>
          <w:tcPr>
            <w:tcW w:w="1890" w:type="dxa"/>
            <w:tcMar>
              <w:top w:w="0" w:type="dxa"/>
              <w:left w:w="108" w:type="dxa"/>
              <w:bottom w:w="0" w:type="dxa"/>
              <w:right w:w="108" w:type="dxa"/>
            </w:tcMar>
          </w:tcPr>
          <w:p w:rsidR="00D832DD" w:rsidRPr="00E56AA3" w:rsidP="00760BBD" w14:paraId="05B933F4" w14:textId="77777777">
            <w:pPr>
              <w:spacing w:before="60" w:after="60"/>
              <w:ind w:left="72"/>
            </w:pPr>
            <w:r w:rsidRPr="00E56AA3">
              <w:t>Grantees</w:t>
            </w:r>
          </w:p>
        </w:tc>
        <w:tc>
          <w:tcPr>
            <w:tcW w:w="2160" w:type="dxa"/>
            <w:tcMar>
              <w:top w:w="0" w:type="dxa"/>
              <w:left w:w="108" w:type="dxa"/>
              <w:bottom w:w="0" w:type="dxa"/>
              <w:right w:w="108" w:type="dxa"/>
            </w:tcMar>
          </w:tcPr>
          <w:p w:rsidR="00D832DD" w:rsidRPr="00E56AA3" w:rsidP="00760BBD" w14:paraId="2D0AD83B" w14:textId="47552B75">
            <w:pPr>
              <w:spacing w:before="60" w:after="60"/>
              <w:ind w:right="792"/>
              <w:jc w:val="right"/>
            </w:pPr>
            <w:r>
              <w:t>6,336</w:t>
            </w:r>
          </w:p>
        </w:tc>
        <w:tc>
          <w:tcPr>
            <w:tcW w:w="2160" w:type="dxa"/>
          </w:tcPr>
          <w:p w:rsidR="00D832DD" w:rsidRPr="00E56AA3" w:rsidP="005E3989" w14:paraId="141618F1" w14:textId="0B397938">
            <w:pPr>
              <w:spacing w:before="60" w:after="60"/>
              <w:ind w:right="720"/>
              <w:jc w:val="right"/>
            </w:pPr>
            <w:r>
              <w:t>$51.34</w:t>
            </w:r>
          </w:p>
        </w:tc>
        <w:tc>
          <w:tcPr>
            <w:tcW w:w="2430" w:type="dxa"/>
          </w:tcPr>
          <w:p w:rsidR="00D832DD" w:rsidRPr="00E56AA3" w:rsidP="003B14B3" w14:paraId="2EC7904C" w14:textId="5CB61F1F">
            <w:pPr>
              <w:spacing w:before="60" w:after="60"/>
              <w:ind w:right="720"/>
              <w:jc w:val="right"/>
              <w:rPr>
                <w:b/>
                <w:bCs/>
              </w:rPr>
            </w:pPr>
            <w:r>
              <w:rPr>
                <w:b/>
                <w:bCs/>
              </w:rPr>
              <w:t>$</w:t>
            </w:r>
            <w:r w:rsidR="00D763A5">
              <w:rPr>
                <w:b/>
                <w:bCs/>
              </w:rPr>
              <w:t>32</w:t>
            </w:r>
            <w:r w:rsidR="00BA6741">
              <w:rPr>
                <w:b/>
                <w:bCs/>
              </w:rPr>
              <w:t>5,290</w:t>
            </w:r>
          </w:p>
        </w:tc>
      </w:tr>
    </w:tbl>
    <w:p w:rsidR="00D832DD" w:rsidRPr="00E56AA3" w:rsidP="00D832DD" w14:paraId="08906DC5" w14:textId="77777777">
      <w:pPr>
        <w:pStyle w:val="bodytext-gph"/>
        <w:rPr>
          <w:sz w:val="24"/>
          <w:szCs w:val="24"/>
        </w:rPr>
      </w:pPr>
    </w:p>
    <w:p w:rsidR="00D832DD" w:rsidRPr="00E56AA3" w:rsidP="00D832DD" w14:paraId="27CFC468" w14:textId="7E305438">
      <w:pPr>
        <w:pStyle w:val="Heading3"/>
        <w:keepNext/>
        <w:tabs>
          <w:tab w:val="num" w:pos="360"/>
          <w:tab w:val="clear" w:pos="1252"/>
        </w:tabs>
        <w:spacing w:before="0" w:after="120"/>
        <w:ind w:left="360"/>
        <w:rPr>
          <w:rStyle w:val="Heading3OMB"/>
        </w:rPr>
      </w:pPr>
      <w:bookmarkStart w:id="43" w:name="_Toc179880113"/>
      <w:r>
        <w:rPr>
          <w:rStyle w:val="Heading3OMB"/>
        </w:rPr>
        <w:t>Estimates of other Total Annual Cost Burden to Respondents or Recordkeepers/Capital Costs</w:t>
      </w:r>
      <w:bookmarkEnd w:id="43"/>
    </w:p>
    <w:p w:rsidR="00D832DD" w:rsidRPr="00E56AA3" w14:paraId="4424E8E9" w14:textId="6F090EC9">
      <w:pPr>
        <w:pStyle w:val="Heading3"/>
        <w:keepNext/>
        <w:tabs>
          <w:tab w:val="num" w:pos="360"/>
          <w:tab w:val="clear" w:pos="1252"/>
        </w:tabs>
        <w:spacing w:before="0" w:after="120"/>
        <w:ind w:left="360"/>
        <w:rPr>
          <w:rStyle w:val="Heading3OMB"/>
        </w:rPr>
      </w:pPr>
      <w:bookmarkStart w:id="44" w:name="_Toc16533871"/>
      <w:bookmarkStart w:id="45" w:name="_Toc179880114"/>
      <w:r w:rsidRPr="00E56AA3">
        <w:rPr>
          <w:rStyle w:val="Heading3OMB"/>
        </w:rPr>
        <w:t>Annualized Cost to Federal Government</w:t>
      </w:r>
      <w:bookmarkEnd w:id="44"/>
      <w:bookmarkEnd w:id="45"/>
    </w:p>
    <w:p w:rsidR="00435604" w:rsidRPr="00E56AA3" w:rsidP="00B50F09" w14:paraId="57081985" w14:textId="172268C1">
      <w:pPr>
        <w:pStyle w:val="bodytext-gph"/>
        <w:rPr>
          <w:sz w:val="24"/>
          <w:szCs w:val="24"/>
        </w:rPr>
      </w:pPr>
      <w:r w:rsidRPr="00E56AA3">
        <w:rPr>
          <w:sz w:val="24"/>
          <w:szCs w:val="24"/>
        </w:rPr>
        <w:t xml:space="preserve">The estimated annualized cost to the federal government for collecting FPAR data is </w:t>
      </w:r>
      <w:r w:rsidRPr="00E56AA3">
        <w:rPr>
          <w:rStyle w:val="Stylebodytext-gphBoldChar"/>
          <w:sz w:val="24"/>
          <w:szCs w:val="24"/>
        </w:rPr>
        <w:t>$</w:t>
      </w:r>
      <w:r w:rsidR="00785FDF">
        <w:rPr>
          <w:rStyle w:val="Stylebodytext-gphBoldChar"/>
          <w:sz w:val="24"/>
          <w:szCs w:val="24"/>
        </w:rPr>
        <w:t>929,183</w:t>
      </w:r>
      <w:r w:rsidRPr="00E56AA3">
        <w:rPr>
          <w:sz w:val="24"/>
          <w:szCs w:val="24"/>
        </w:rPr>
        <w:t xml:space="preserve">. </w:t>
      </w:r>
      <w:r w:rsidRPr="00E56AA3">
        <w:rPr>
          <w:b/>
          <w:bCs/>
          <w:sz w:val="24"/>
          <w:szCs w:val="24"/>
        </w:rPr>
        <w:t xml:space="preserve">Exhibit 5 </w:t>
      </w:r>
      <w:r w:rsidRPr="00E56AA3">
        <w:rPr>
          <w:sz w:val="24"/>
          <w:szCs w:val="24"/>
        </w:rPr>
        <w:t>presents a breakdown of this total.</w:t>
      </w:r>
      <w:r w:rsidRPr="00E56AA3" w:rsidR="00AF6D70">
        <w:rPr>
          <w:sz w:val="24"/>
          <w:szCs w:val="24"/>
        </w:rPr>
        <w:t xml:space="preserve"> </w:t>
      </w:r>
      <w:r w:rsidR="00EB7B44">
        <w:rPr>
          <w:sz w:val="24"/>
          <w:szCs w:val="24"/>
        </w:rPr>
        <w:t xml:space="preserve">This number is based on the last CLIN of the contract and represent system costs needed to maintain a hybrid data system to accommodate grantees who are transitioning to FPAR 2.0 and those who have already transitioned. It is anticipated that costs will be lower in future years. </w:t>
      </w:r>
      <w:r w:rsidRPr="00E56AA3" w:rsidR="00AF6D70">
        <w:rPr>
          <w:sz w:val="24"/>
          <w:szCs w:val="24"/>
        </w:rPr>
        <w:t xml:space="preserve">The estimate includes </w:t>
      </w:r>
      <w:r w:rsidRPr="00E56AA3">
        <w:rPr>
          <w:sz w:val="24"/>
          <w:szCs w:val="24"/>
        </w:rPr>
        <w:t>costs by federal staff and by the FPAR contractor</w:t>
      </w:r>
      <w:r w:rsidRPr="00E56AA3" w:rsidR="00B50F09">
        <w:rPr>
          <w:sz w:val="24"/>
          <w:szCs w:val="24"/>
        </w:rPr>
        <w:t xml:space="preserve"> for the following activities</w:t>
      </w:r>
      <w:r w:rsidRPr="00E56AA3">
        <w:rPr>
          <w:sz w:val="24"/>
          <w:szCs w:val="24"/>
        </w:rPr>
        <w:t>:</w:t>
      </w:r>
    </w:p>
    <w:p w:rsidR="003437CE" w:rsidRPr="00E56AA3" w:rsidP="00B50F09" w14:paraId="4CBDDF35" w14:textId="53FBCCBF">
      <w:pPr>
        <w:pStyle w:val="bodytext-gph"/>
        <w:numPr>
          <w:ilvl w:val="0"/>
          <w:numId w:val="12"/>
        </w:numPr>
        <w:ind w:left="720"/>
        <w:rPr>
          <w:sz w:val="24"/>
          <w:szCs w:val="24"/>
        </w:rPr>
      </w:pPr>
      <w:r w:rsidRPr="00E56AA3">
        <w:rPr>
          <w:b/>
          <w:bCs/>
          <w:sz w:val="24"/>
          <w:szCs w:val="24"/>
        </w:rPr>
        <w:t>OPA Staff and FPAR Data Coordinator–</w:t>
      </w:r>
      <w:r w:rsidRPr="00E56AA3" w:rsidR="00AB30EA">
        <w:rPr>
          <w:sz w:val="24"/>
          <w:szCs w:val="24"/>
        </w:rPr>
        <w:t>To r</w:t>
      </w:r>
      <w:r w:rsidRPr="00E56AA3" w:rsidR="00AF6D70">
        <w:rPr>
          <w:sz w:val="24"/>
          <w:szCs w:val="24"/>
        </w:rPr>
        <w:t>eview</w:t>
      </w:r>
      <w:r w:rsidRPr="00E56AA3" w:rsidR="00AC472C">
        <w:rPr>
          <w:sz w:val="24"/>
          <w:szCs w:val="24"/>
        </w:rPr>
        <w:t>, correct,</w:t>
      </w:r>
      <w:r w:rsidRPr="00E56AA3" w:rsidR="00AF6D70">
        <w:rPr>
          <w:sz w:val="24"/>
          <w:szCs w:val="24"/>
        </w:rPr>
        <w:t xml:space="preserve"> and approve FPAR submissions, oversee and coordinate the work of the FPAR data contractor, </w:t>
      </w:r>
      <w:r w:rsidRPr="00E56AA3" w:rsidR="00B45064">
        <w:rPr>
          <w:sz w:val="24"/>
          <w:szCs w:val="24"/>
        </w:rPr>
        <w:t>review and approve validation procedures performed by contractor and addressed by the FPAR Review Checklist, and review contractor prepared reports about data quality and data submission; and</w:t>
      </w:r>
      <w:r w:rsidRPr="00E56AA3" w:rsidR="004F08DA">
        <w:rPr>
          <w:sz w:val="24"/>
          <w:szCs w:val="24"/>
        </w:rPr>
        <w:t xml:space="preserve">  </w:t>
      </w:r>
    </w:p>
    <w:p w:rsidR="00D832DD" w:rsidRPr="00E56AA3" w:rsidP="00B50F09" w14:paraId="2B28DD61" w14:textId="690FE6F9">
      <w:pPr>
        <w:pStyle w:val="bodytext-gph"/>
        <w:numPr>
          <w:ilvl w:val="0"/>
          <w:numId w:val="12"/>
        </w:numPr>
        <w:ind w:left="720"/>
        <w:rPr>
          <w:sz w:val="24"/>
          <w:szCs w:val="24"/>
        </w:rPr>
      </w:pPr>
      <w:r w:rsidRPr="00E56AA3">
        <w:rPr>
          <w:b/>
          <w:bCs/>
          <w:sz w:val="24"/>
          <w:szCs w:val="24"/>
        </w:rPr>
        <w:t xml:space="preserve">FPAR </w:t>
      </w:r>
      <w:r w:rsidRPr="00E56AA3" w:rsidR="00AC472C">
        <w:rPr>
          <w:b/>
          <w:bCs/>
          <w:sz w:val="24"/>
          <w:szCs w:val="24"/>
        </w:rPr>
        <w:t xml:space="preserve">2.0 </w:t>
      </w:r>
      <w:r w:rsidRPr="00E56AA3">
        <w:rPr>
          <w:b/>
          <w:bCs/>
          <w:sz w:val="24"/>
          <w:szCs w:val="24"/>
        </w:rPr>
        <w:t>Contractor</w:t>
      </w:r>
      <w:r w:rsidRPr="00E56AA3">
        <w:rPr>
          <w:sz w:val="24"/>
          <w:szCs w:val="24"/>
        </w:rPr>
        <w:t>–</w:t>
      </w:r>
      <w:r w:rsidRPr="00E56AA3" w:rsidR="00AB30EA">
        <w:rPr>
          <w:sz w:val="24"/>
          <w:szCs w:val="24"/>
        </w:rPr>
        <w:t xml:space="preserve">To </w:t>
      </w:r>
      <w:r w:rsidRPr="00E56AA3" w:rsidR="00435604">
        <w:rPr>
          <w:sz w:val="24"/>
          <w:szCs w:val="24"/>
        </w:rPr>
        <w:t>validate FPAR data</w:t>
      </w:r>
      <w:r w:rsidRPr="00E56AA3" w:rsidR="00AB30EA">
        <w:rPr>
          <w:sz w:val="24"/>
          <w:szCs w:val="24"/>
        </w:rPr>
        <w:t xml:space="preserve">, including review and update SAS programs, preparation and dissemination of the validation results report, and work with </w:t>
      </w:r>
      <w:r w:rsidRPr="00E56AA3" w:rsidR="00AB30EA">
        <w:rPr>
          <w:sz w:val="24"/>
          <w:szCs w:val="24"/>
        </w:rPr>
        <w:t xml:space="preserve">the FPAR Data Coordinator and regional staff to resolve issues; </w:t>
      </w:r>
      <w:r w:rsidRPr="00E56AA3" w:rsidR="00435604">
        <w:rPr>
          <w:sz w:val="24"/>
          <w:szCs w:val="24"/>
        </w:rPr>
        <w:t xml:space="preserve">develop/update FPAR </w:t>
      </w:r>
      <w:r w:rsidRPr="00E56AA3" w:rsidR="00AB30EA">
        <w:rPr>
          <w:sz w:val="24"/>
          <w:szCs w:val="24"/>
        </w:rPr>
        <w:t>R</w:t>
      </w:r>
      <w:r w:rsidRPr="00E56AA3" w:rsidR="00435604">
        <w:rPr>
          <w:sz w:val="24"/>
          <w:szCs w:val="24"/>
        </w:rPr>
        <w:t xml:space="preserve">eview </w:t>
      </w:r>
      <w:r w:rsidRPr="00E56AA3" w:rsidR="00AB30EA">
        <w:rPr>
          <w:sz w:val="24"/>
          <w:szCs w:val="24"/>
        </w:rPr>
        <w:t>C</w:t>
      </w:r>
      <w:r w:rsidRPr="00E56AA3" w:rsidR="00435604">
        <w:rPr>
          <w:sz w:val="24"/>
          <w:szCs w:val="24"/>
        </w:rPr>
        <w:t xml:space="preserve">hecklist for use by </w:t>
      </w:r>
      <w:r w:rsidR="00B54B59">
        <w:rPr>
          <w:sz w:val="24"/>
          <w:szCs w:val="24"/>
        </w:rPr>
        <w:t>OPA</w:t>
      </w:r>
      <w:r w:rsidRPr="00E56AA3" w:rsidR="00435604">
        <w:rPr>
          <w:sz w:val="24"/>
          <w:szCs w:val="24"/>
        </w:rPr>
        <w:t xml:space="preserve"> staff in their review of FPARs</w:t>
      </w:r>
      <w:r w:rsidRPr="00E56AA3" w:rsidR="00AB30EA">
        <w:rPr>
          <w:sz w:val="24"/>
          <w:szCs w:val="24"/>
        </w:rPr>
        <w:t>;</w:t>
      </w:r>
      <w:r w:rsidRPr="00E56AA3" w:rsidR="00435604">
        <w:rPr>
          <w:sz w:val="24"/>
          <w:szCs w:val="24"/>
        </w:rPr>
        <w:t xml:space="preserve"> </w:t>
      </w:r>
      <w:r w:rsidRPr="00E56AA3" w:rsidR="00AB30EA">
        <w:rPr>
          <w:sz w:val="24"/>
          <w:szCs w:val="24"/>
        </w:rPr>
        <w:t xml:space="preserve">prepare </w:t>
      </w:r>
      <w:r w:rsidRPr="00E56AA3" w:rsidR="00435604">
        <w:rPr>
          <w:sz w:val="24"/>
          <w:szCs w:val="24"/>
        </w:rPr>
        <w:t>of initial tabulations of national</w:t>
      </w:r>
      <w:r w:rsidRPr="00E56AA3" w:rsidR="00AB30EA">
        <w:rPr>
          <w:sz w:val="24"/>
          <w:szCs w:val="24"/>
        </w:rPr>
        <w:t xml:space="preserve"> and regional data; prepare </w:t>
      </w:r>
      <w:r w:rsidRPr="00E56AA3" w:rsidR="00435604">
        <w:rPr>
          <w:sz w:val="24"/>
          <w:szCs w:val="24"/>
        </w:rPr>
        <w:t>the FPAR Data Validation/Quality/Transition Report and the FPAR Submission Reports;</w:t>
      </w:r>
      <w:r w:rsidRPr="00E56AA3" w:rsidR="00AB30EA">
        <w:rPr>
          <w:sz w:val="24"/>
          <w:szCs w:val="24"/>
        </w:rPr>
        <w:t xml:space="preserve"> operate and maintain the FPAR Data System website, staff </w:t>
      </w:r>
      <w:r w:rsidRPr="00E56AA3" w:rsidR="00435604">
        <w:rPr>
          <w:sz w:val="24"/>
          <w:szCs w:val="24"/>
        </w:rPr>
        <w:t xml:space="preserve">Helpdesk, </w:t>
      </w:r>
      <w:r w:rsidRPr="00E56AA3" w:rsidR="00AB30EA">
        <w:rPr>
          <w:sz w:val="24"/>
          <w:szCs w:val="24"/>
        </w:rPr>
        <w:t>resolve system issues/bugs</w:t>
      </w:r>
      <w:r w:rsidRPr="00E56AA3" w:rsidR="00435604">
        <w:rPr>
          <w:sz w:val="24"/>
          <w:szCs w:val="24"/>
        </w:rPr>
        <w:t xml:space="preserve">, </w:t>
      </w:r>
      <w:r w:rsidRPr="00E56AA3" w:rsidR="00AB30EA">
        <w:rPr>
          <w:sz w:val="24"/>
          <w:szCs w:val="24"/>
        </w:rPr>
        <w:t xml:space="preserve">prepare and deliver </w:t>
      </w:r>
      <w:r w:rsidRPr="00E56AA3" w:rsidR="00435604">
        <w:rPr>
          <w:sz w:val="24"/>
          <w:szCs w:val="24"/>
        </w:rPr>
        <w:t xml:space="preserve">grantee and OPA </w:t>
      </w:r>
      <w:r w:rsidRPr="00E56AA3" w:rsidR="00AB30EA">
        <w:rPr>
          <w:sz w:val="24"/>
          <w:szCs w:val="24"/>
        </w:rPr>
        <w:t xml:space="preserve">training webinars, review and update system documentation, and update system security documents and interact with </w:t>
      </w:r>
      <w:r w:rsidRPr="00E56AA3" w:rsidR="00AF6D70">
        <w:rPr>
          <w:sz w:val="24"/>
          <w:szCs w:val="24"/>
        </w:rPr>
        <w:t xml:space="preserve">HHS/OIT and ASPA </w:t>
      </w:r>
      <w:r w:rsidRPr="00E56AA3" w:rsidR="00AB30EA">
        <w:rPr>
          <w:sz w:val="24"/>
          <w:szCs w:val="24"/>
        </w:rPr>
        <w:t>on issues related to website compliance with HHS requirements.</w:t>
      </w:r>
      <w:r w:rsidRPr="00E56AA3" w:rsidR="00AF6D70">
        <w:rPr>
          <w:sz w:val="24"/>
          <w:szCs w:val="24"/>
        </w:rPr>
        <w:t xml:space="preserve"> </w:t>
      </w:r>
    </w:p>
    <w:p w:rsidR="00D832DD" w:rsidRPr="00E56AA3" w:rsidP="00B85E32" w14:paraId="59C1A602" w14:textId="4DCEDFAB">
      <w:pPr>
        <w:pStyle w:val="Caption"/>
        <w:ind w:firstLine="720"/>
        <w:rPr>
          <w:sz w:val="24"/>
          <w:szCs w:val="24"/>
        </w:rPr>
      </w:pPr>
      <w:bookmarkStart w:id="46" w:name="_Toc16534324"/>
      <w:bookmarkStart w:id="47" w:name="_Toc186726922"/>
      <w:r w:rsidRPr="00B85E32">
        <w:rPr>
          <w:sz w:val="24"/>
          <w:szCs w:val="24"/>
        </w:rPr>
        <w:t xml:space="preserve">Exhibit  </w:t>
      </w:r>
      <w:r w:rsidRPr="00B85E32">
        <w:rPr>
          <w:sz w:val="24"/>
          <w:szCs w:val="24"/>
        </w:rPr>
        <w:fldChar w:fldCharType="begin"/>
      </w:r>
      <w:r w:rsidRPr="00B85E32">
        <w:rPr>
          <w:sz w:val="24"/>
          <w:szCs w:val="24"/>
        </w:rPr>
        <w:instrText xml:space="preserve"> SEQ Exhibit_ \* ARABIC </w:instrText>
      </w:r>
      <w:r w:rsidRPr="00B85E32">
        <w:rPr>
          <w:sz w:val="24"/>
          <w:szCs w:val="24"/>
        </w:rPr>
        <w:fldChar w:fldCharType="separate"/>
      </w:r>
      <w:r w:rsidR="00DA52D0">
        <w:rPr>
          <w:noProof/>
          <w:sz w:val="24"/>
          <w:szCs w:val="24"/>
        </w:rPr>
        <w:t>5</w:t>
      </w:r>
      <w:r w:rsidRPr="00B85E32">
        <w:rPr>
          <w:sz w:val="24"/>
          <w:szCs w:val="24"/>
        </w:rPr>
        <w:fldChar w:fldCharType="end"/>
      </w:r>
      <w:r w:rsidRPr="00E56AA3">
        <w:rPr>
          <w:sz w:val="24"/>
          <w:szCs w:val="24"/>
        </w:rPr>
        <w:t>–Annualized Cost of FPAR Reporting to Federal Government</w:t>
      </w:r>
      <w:bookmarkEnd w:id="46"/>
      <w:bookmarkEnd w:id="47"/>
    </w:p>
    <w:tbl>
      <w:tblPr>
        <w:tblW w:w="902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3"/>
        <w:gridCol w:w="1530"/>
      </w:tblGrid>
      <w:tr w14:paraId="1EBBD792" w14:textId="77777777" w:rsidTr="00E03F93">
        <w:tblPrEx>
          <w:tblW w:w="902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7493" w:type="dxa"/>
            <w:shd w:val="clear" w:color="auto" w:fill="F2F2F2" w:themeFill="background1" w:themeFillShade="F2"/>
          </w:tcPr>
          <w:p w:rsidR="00D832DD" w:rsidRPr="00E56AA3" w:rsidP="00B50F09" w14:paraId="750A7769" w14:textId="77777777">
            <w:pPr>
              <w:widowControl w:val="0"/>
              <w:autoSpaceDE w:val="0"/>
              <w:autoSpaceDN w:val="0"/>
              <w:adjustRightInd w:val="0"/>
              <w:spacing w:before="60" w:after="60" w:line="240" w:lineRule="atLeast"/>
              <w:jc w:val="center"/>
              <w:rPr>
                <w:b/>
                <w:bCs/>
                <w:color w:val="000000"/>
              </w:rPr>
            </w:pPr>
            <w:r w:rsidRPr="00E56AA3">
              <w:rPr>
                <w:b/>
                <w:bCs/>
                <w:color w:val="000000"/>
              </w:rPr>
              <w:t>Source</w:t>
            </w:r>
          </w:p>
        </w:tc>
        <w:tc>
          <w:tcPr>
            <w:tcW w:w="1530" w:type="dxa"/>
            <w:shd w:val="clear" w:color="auto" w:fill="F2F2F2" w:themeFill="background1" w:themeFillShade="F2"/>
          </w:tcPr>
          <w:p w:rsidR="00D832DD" w:rsidRPr="00E56AA3" w:rsidP="00B50F09" w14:paraId="2D93EB6F" w14:textId="77777777">
            <w:pPr>
              <w:widowControl w:val="0"/>
              <w:autoSpaceDE w:val="0"/>
              <w:autoSpaceDN w:val="0"/>
              <w:adjustRightInd w:val="0"/>
              <w:spacing w:before="60" w:after="60" w:line="240" w:lineRule="atLeast"/>
              <w:jc w:val="center"/>
              <w:rPr>
                <w:b/>
                <w:bCs/>
                <w:color w:val="000000"/>
              </w:rPr>
            </w:pPr>
            <w:r w:rsidRPr="00E56AA3">
              <w:rPr>
                <w:b/>
                <w:bCs/>
                <w:color w:val="000000"/>
              </w:rPr>
              <w:t>Amount ($)</w:t>
            </w:r>
          </w:p>
        </w:tc>
      </w:tr>
      <w:tr w14:paraId="306049B0" w14:textId="77777777" w:rsidTr="00E03F93">
        <w:tblPrEx>
          <w:tblW w:w="9023" w:type="dxa"/>
          <w:tblInd w:w="715" w:type="dxa"/>
          <w:tblLayout w:type="fixed"/>
          <w:tblLook w:val="01E0"/>
        </w:tblPrEx>
        <w:tc>
          <w:tcPr>
            <w:tcW w:w="7493" w:type="dxa"/>
          </w:tcPr>
          <w:p w:rsidR="00D832DD" w:rsidRPr="00E56AA3" w14:paraId="2749B224" w14:textId="6B4F0434">
            <w:pPr>
              <w:widowControl w:val="0"/>
              <w:tabs>
                <w:tab w:val="left" w:pos="9960"/>
              </w:tabs>
              <w:autoSpaceDE w:val="0"/>
              <w:autoSpaceDN w:val="0"/>
              <w:adjustRightInd w:val="0"/>
              <w:spacing w:before="60" w:after="60" w:line="240" w:lineRule="atLeast"/>
              <w:rPr>
                <w:color w:val="000000"/>
              </w:rPr>
            </w:pPr>
            <w:r w:rsidRPr="00E56AA3">
              <w:rPr>
                <w:color w:val="000000"/>
              </w:rPr>
              <w:t>FPAR review/approval and validation resolution, seed data review</w:t>
            </w:r>
            <w:r w:rsidRPr="00E56AA3">
              <w:rPr>
                <w:color w:val="000000"/>
              </w:rPr>
              <w:t xml:space="preserve"> by </w:t>
            </w:r>
            <w:r w:rsidRPr="00E56AA3" w:rsidR="00AC472C">
              <w:rPr>
                <w:color w:val="000000"/>
              </w:rPr>
              <w:t xml:space="preserve">OPA </w:t>
            </w:r>
            <w:r w:rsidRPr="00E56AA3">
              <w:rPr>
                <w:color w:val="000000"/>
              </w:rPr>
              <w:t>Office Staff (400 hours x $</w:t>
            </w:r>
            <w:r w:rsidR="00D8087F">
              <w:rPr>
                <w:color w:val="000000"/>
              </w:rPr>
              <w:t>52.80</w:t>
            </w:r>
            <w:r w:rsidRPr="00E56AA3">
              <w:rPr>
                <w:color w:val="000000"/>
              </w:rPr>
              <w:t>/hour)</w:t>
            </w:r>
          </w:p>
        </w:tc>
        <w:tc>
          <w:tcPr>
            <w:tcW w:w="1530" w:type="dxa"/>
          </w:tcPr>
          <w:p w:rsidR="00D832DD" w:rsidRPr="00E56AA3" w:rsidP="00B50F09" w14:paraId="5143C819" w14:textId="3B29ECAF">
            <w:pPr>
              <w:widowControl w:val="0"/>
              <w:autoSpaceDE w:val="0"/>
              <w:autoSpaceDN w:val="0"/>
              <w:adjustRightInd w:val="0"/>
              <w:spacing w:before="60" w:after="60" w:line="240" w:lineRule="atLeast"/>
              <w:jc w:val="center"/>
              <w:rPr>
                <w:color w:val="000000"/>
              </w:rPr>
            </w:pPr>
            <w:r w:rsidRPr="00E56AA3">
              <w:rPr>
                <w:color w:val="000000"/>
              </w:rPr>
              <w:t>$</w:t>
            </w:r>
            <w:r w:rsidR="00D8087F">
              <w:rPr>
                <w:color w:val="000000"/>
              </w:rPr>
              <w:t>21,</w:t>
            </w:r>
            <w:r w:rsidR="00A85013">
              <w:rPr>
                <w:color w:val="000000"/>
              </w:rPr>
              <w:t>120</w:t>
            </w:r>
          </w:p>
        </w:tc>
      </w:tr>
      <w:tr w14:paraId="0F2B8816" w14:textId="77777777" w:rsidTr="00E03F93">
        <w:tblPrEx>
          <w:tblW w:w="9023" w:type="dxa"/>
          <w:tblInd w:w="715" w:type="dxa"/>
          <w:tblLayout w:type="fixed"/>
          <w:tblLook w:val="01E0"/>
        </w:tblPrEx>
        <w:tc>
          <w:tcPr>
            <w:tcW w:w="7493" w:type="dxa"/>
          </w:tcPr>
          <w:p w:rsidR="00D832DD" w:rsidRPr="00E56AA3" w14:paraId="78F7C046" w14:textId="18C4643B">
            <w:pPr>
              <w:widowControl w:val="0"/>
              <w:autoSpaceDE w:val="0"/>
              <w:autoSpaceDN w:val="0"/>
              <w:adjustRightInd w:val="0"/>
              <w:spacing w:before="60" w:after="60" w:line="240" w:lineRule="atLeast"/>
              <w:rPr>
                <w:color w:val="000000"/>
              </w:rPr>
            </w:pPr>
            <w:r w:rsidRPr="00E56AA3">
              <w:rPr>
                <w:color w:val="000000"/>
              </w:rPr>
              <w:t>FPAR r</w:t>
            </w:r>
            <w:r w:rsidRPr="00E56AA3">
              <w:rPr>
                <w:color w:val="000000"/>
              </w:rPr>
              <w:t>eview</w:t>
            </w:r>
            <w:r w:rsidRPr="00E56AA3">
              <w:rPr>
                <w:color w:val="000000"/>
              </w:rPr>
              <w:t>/approval, validation resolution, seed data request, FPAR contractor oversight/management</w:t>
            </w:r>
            <w:r w:rsidRPr="00E56AA3">
              <w:rPr>
                <w:color w:val="000000"/>
              </w:rPr>
              <w:t xml:space="preserve"> (</w:t>
            </w:r>
            <w:r w:rsidRPr="00E56AA3">
              <w:rPr>
                <w:color w:val="000000"/>
              </w:rPr>
              <w:t>3</w:t>
            </w:r>
            <w:r w:rsidRPr="00E56AA3" w:rsidR="000E25C6">
              <w:rPr>
                <w:color w:val="000000"/>
              </w:rPr>
              <w:t>50</w:t>
            </w:r>
            <w:r w:rsidRPr="00E56AA3">
              <w:rPr>
                <w:color w:val="000000"/>
              </w:rPr>
              <w:t xml:space="preserve"> hours x $</w:t>
            </w:r>
            <w:r w:rsidR="00D8087F">
              <w:rPr>
                <w:color w:val="000000"/>
              </w:rPr>
              <w:t>52.80</w:t>
            </w:r>
            <w:r w:rsidRPr="00E56AA3">
              <w:rPr>
                <w:color w:val="000000"/>
              </w:rPr>
              <w:t>/hour)</w:t>
            </w:r>
          </w:p>
        </w:tc>
        <w:tc>
          <w:tcPr>
            <w:tcW w:w="1530" w:type="dxa"/>
          </w:tcPr>
          <w:p w:rsidR="00D8087F" w:rsidRPr="00E56AA3" w:rsidP="00D8087F" w14:paraId="53982761" w14:textId="06EEA16F">
            <w:pPr>
              <w:widowControl w:val="0"/>
              <w:autoSpaceDE w:val="0"/>
              <w:autoSpaceDN w:val="0"/>
              <w:adjustRightInd w:val="0"/>
              <w:spacing w:before="60" w:after="60" w:line="240" w:lineRule="atLeast"/>
              <w:jc w:val="center"/>
              <w:rPr>
                <w:color w:val="000000"/>
              </w:rPr>
            </w:pPr>
            <w:r w:rsidRPr="00E56AA3">
              <w:rPr>
                <w:color w:val="000000"/>
              </w:rPr>
              <w:t>$</w:t>
            </w:r>
            <w:r w:rsidR="009A4E5F">
              <w:rPr>
                <w:color w:val="000000"/>
              </w:rPr>
              <w:t>19,530</w:t>
            </w:r>
          </w:p>
        </w:tc>
      </w:tr>
      <w:tr w14:paraId="38BE7447" w14:textId="77777777" w:rsidTr="00E03F93">
        <w:tblPrEx>
          <w:tblW w:w="9023" w:type="dxa"/>
          <w:tblInd w:w="715" w:type="dxa"/>
          <w:tblLayout w:type="fixed"/>
          <w:tblLook w:val="01E0"/>
        </w:tblPrEx>
        <w:tc>
          <w:tcPr>
            <w:tcW w:w="7493" w:type="dxa"/>
          </w:tcPr>
          <w:p w:rsidR="00C25546" w:rsidRPr="00E56AA3" w14:paraId="35F3EF48" w14:textId="428209D7">
            <w:pPr>
              <w:widowControl w:val="0"/>
              <w:tabs>
                <w:tab w:val="left" w:pos="9960"/>
              </w:tabs>
              <w:autoSpaceDE w:val="0"/>
              <w:autoSpaceDN w:val="0"/>
              <w:adjustRightInd w:val="0"/>
              <w:spacing w:before="60" w:after="60" w:line="240" w:lineRule="atLeast"/>
              <w:rPr>
                <w:color w:val="000000"/>
              </w:rPr>
            </w:pPr>
            <w:r w:rsidRPr="00E56AA3">
              <w:rPr>
                <w:color w:val="000000"/>
              </w:rPr>
              <w:t>FPAR 2.0 project management</w:t>
            </w:r>
          </w:p>
        </w:tc>
        <w:tc>
          <w:tcPr>
            <w:tcW w:w="1530" w:type="dxa"/>
          </w:tcPr>
          <w:p w:rsidR="00C25546" w:rsidRPr="00E56AA3" w:rsidP="00B50F09" w14:paraId="6A2F6EE7" w14:textId="30F57D46">
            <w:pPr>
              <w:widowControl w:val="0"/>
              <w:autoSpaceDE w:val="0"/>
              <w:autoSpaceDN w:val="0"/>
              <w:adjustRightInd w:val="0"/>
              <w:spacing w:before="60" w:after="60" w:line="240" w:lineRule="atLeast"/>
              <w:jc w:val="center"/>
              <w:rPr>
                <w:color w:val="000000"/>
              </w:rPr>
            </w:pPr>
            <w:r w:rsidRPr="00E56AA3">
              <w:rPr>
                <w:color w:val="000000"/>
              </w:rPr>
              <w:t>$</w:t>
            </w:r>
            <w:r w:rsidR="00EB7B44">
              <w:rPr>
                <w:color w:val="000000"/>
              </w:rPr>
              <w:t>107,710</w:t>
            </w:r>
          </w:p>
        </w:tc>
      </w:tr>
      <w:tr w14:paraId="34DEC678" w14:textId="77777777" w:rsidTr="00E03F93">
        <w:tblPrEx>
          <w:tblW w:w="9023" w:type="dxa"/>
          <w:tblInd w:w="715" w:type="dxa"/>
          <w:tblLayout w:type="fixed"/>
          <w:tblLook w:val="01E0"/>
        </w:tblPrEx>
        <w:tc>
          <w:tcPr>
            <w:tcW w:w="7493" w:type="dxa"/>
          </w:tcPr>
          <w:p w:rsidR="00C25546" w:rsidRPr="00E56AA3" w14:paraId="657A3207" w14:textId="166D5256">
            <w:pPr>
              <w:widowControl w:val="0"/>
              <w:tabs>
                <w:tab w:val="left" w:pos="9960"/>
              </w:tabs>
              <w:autoSpaceDE w:val="0"/>
              <w:autoSpaceDN w:val="0"/>
              <w:adjustRightInd w:val="0"/>
              <w:spacing w:before="60" w:after="60" w:line="240" w:lineRule="atLeast"/>
              <w:rPr>
                <w:color w:val="000000"/>
              </w:rPr>
            </w:pPr>
            <w:r w:rsidRPr="00E56AA3">
              <w:rPr>
                <w:color w:val="000000"/>
              </w:rPr>
              <w:t>System development and maintenance</w:t>
            </w:r>
          </w:p>
        </w:tc>
        <w:tc>
          <w:tcPr>
            <w:tcW w:w="1530" w:type="dxa"/>
          </w:tcPr>
          <w:p w:rsidR="00C25546" w:rsidRPr="00E56AA3" w:rsidP="00B50F09" w14:paraId="1BDE2930" w14:textId="54D3B88D">
            <w:pPr>
              <w:widowControl w:val="0"/>
              <w:autoSpaceDE w:val="0"/>
              <w:autoSpaceDN w:val="0"/>
              <w:adjustRightInd w:val="0"/>
              <w:spacing w:before="60" w:after="60" w:line="240" w:lineRule="atLeast"/>
              <w:jc w:val="center"/>
              <w:rPr>
                <w:color w:val="000000"/>
              </w:rPr>
            </w:pPr>
            <w:r w:rsidRPr="00E56AA3">
              <w:rPr>
                <w:color w:val="000000"/>
              </w:rPr>
              <w:t>$</w:t>
            </w:r>
            <w:r w:rsidR="00EB7B44">
              <w:rPr>
                <w:color w:val="000000"/>
              </w:rPr>
              <w:t>350,506</w:t>
            </w:r>
          </w:p>
        </w:tc>
      </w:tr>
      <w:tr w14:paraId="23633B88" w14:textId="77777777" w:rsidTr="00E03F93">
        <w:tblPrEx>
          <w:tblW w:w="9023" w:type="dxa"/>
          <w:tblInd w:w="715" w:type="dxa"/>
          <w:tblLayout w:type="fixed"/>
          <w:tblLook w:val="01E0"/>
        </w:tblPrEx>
        <w:tc>
          <w:tcPr>
            <w:tcW w:w="7493" w:type="dxa"/>
          </w:tcPr>
          <w:p w:rsidR="00C25546" w:rsidRPr="00E56AA3" w14:paraId="502DE5E3" w14:textId="4B98FFC4">
            <w:pPr>
              <w:widowControl w:val="0"/>
              <w:tabs>
                <w:tab w:val="left" w:pos="9960"/>
              </w:tabs>
              <w:autoSpaceDE w:val="0"/>
              <w:autoSpaceDN w:val="0"/>
              <w:adjustRightInd w:val="0"/>
              <w:spacing w:before="60" w:after="60" w:line="240" w:lineRule="atLeast"/>
              <w:rPr>
                <w:color w:val="000000"/>
              </w:rPr>
            </w:pPr>
            <w:r w:rsidRPr="00E56AA3">
              <w:rPr>
                <w:color w:val="000000"/>
              </w:rPr>
              <w:t>Technical assistance to grantees and electronic health record vendors</w:t>
            </w:r>
          </w:p>
        </w:tc>
        <w:tc>
          <w:tcPr>
            <w:tcW w:w="1530" w:type="dxa"/>
          </w:tcPr>
          <w:p w:rsidR="00C25546" w:rsidRPr="00E56AA3" w:rsidP="00B50F09" w14:paraId="0BD91E11" w14:textId="595BD60F">
            <w:pPr>
              <w:widowControl w:val="0"/>
              <w:autoSpaceDE w:val="0"/>
              <w:autoSpaceDN w:val="0"/>
              <w:adjustRightInd w:val="0"/>
              <w:spacing w:before="60" w:after="60" w:line="240" w:lineRule="atLeast"/>
              <w:jc w:val="center"/>
              <w:rPr>
                <w:color w:val="000000"/>
              </w:rPr>
            </w:pPr>
            <w:r w:rsidRPr="00E56AA3">
              <w:rPr>
                <w:color w:val="000000"/>
              </w:rPr>
              <w:t>$</w:t>
            </w:r>
            <w:r w:rsidR="00EB7B44">
              <w:rPr>
                <w:color w:val="000000"/>
              </w:rPr>
              <w:t>430,317</w:t>
            </w:r>
          </w:p>
        </w:tc>
      </w:tr>
      <w:tr w14:paraId="5BEAAE68" w14:textId="77777777" w:rsidTr="00E03F93">
        <w:tblPrEx>
          <w:tblW w:w="9023" w:type="dxa"/>
          <w:tblInd w:w="715" w:type="dxa"/>
          <w:tblLayout w:type="fixed"/>
          <w:tblLook w:val="01E0"/>
        </w:tblPrEx>
        <w:tc>
          <w:tcPr>
            <w:tcW w:w="7493" w:type="dxa"/>
          </w:tcPr>
          <w:p w:rsidR="00D832DD" w:rsidRPr="00E56AA3" w:rsidP="003D2D3C" w14:paraId="5274F733" w14:textId="77777777">
            <w:pPr>
              <w:widowControl w:val="0"/>
              <w:tabs>
                <w:tab w:val="left" w:pos="9960"/>
              </w:tabs>
              <w:autoSpaceDE w:val="0"/>
              <w:autoSpaceDN w:val="0"/>
              <w:adjustRightInd w:val="0"/>
              <w:spacing w:before="60" w:after="60" w:line="240" w:lineRule="atLeast"/>
              <w:rPr>
                <w:b/>
                <w:bCs/>
                <w:color w:val="000000"/>
              </w:rPr>
            </w:pPr>
            <w:r w:rsidRPr="00E56AA3">
              <w:rPr>
                <w:b/>
                <w:bCs/>
                <w:color w:val="000000"/>
              </w:rPr>
              <w:t>Total Annualized Cost</w:t>
            </w:r>
          </w:p>
        </w:tc>
        <w:tc>
          <w:tcPr>
            <w:tcW w:w="1530" w:type="dxa"/>
          </w:tcPr>
          <w:p w:rsidR="00D832DD" w:rsidRPr="00E56AA3" w:rsidP="00B50F09" w14:paraId="6C3C2F2C" w14:textId="2F740478">
            <w:pPr>
              <w:widowControl w:val="0"/>
              <w:autoSpaceDE w:val="0"/>
              <w:autoSpaceDN w:val="0"/>
              <w:adjustRightInd w:val="0"/>
              <w:spacing w:before="60" w:after="60" w:line="240" w:lineRule="atLeast"/>
              <w:jc w:val="center"/>
              <w:rPr>
                <w:b/>
                <w:bCs/>
                <w:color w:val="000000"/>
              </w:rPr>
            </w:pPr>
            <w:r w:rsidRPr="00E56AA3">
              <w:rPr>
                <w:b/>
                <w:bCs/>
                <w:color w:val="000000"/>
              </w:rPr>
              <w:t>$</w:t>
            </w:r>
            <w:r w:rsidR="00785FDF">
              <w:rPr>
                <w:b/>
                <w:bCs/>
                <w:color w:val="000000"/>
              </w:rPr>
              <w:t>929,183</w:t>
            </w:r>
          </w:p>
        </w:tc>
      </w:tr>
    </w:tbl>
    <w:p w:rsidR="00D832DD" w:rsidRPr="00E56AA3" w:rsidP="00D832DD" w14:paraId="5531BCB2" w14:textId="77777777"/>
    <w:p w:rsidR="00D832DD" w:rsidRPr="00E56AA3" w:rsidP="00D832DD" w14:paraId="7020EE99" w14:textId="7CAF016F">
      <w:pPr>
        <w:pStyle w:val="Heading3"/>
        <w:keepNext/>
        <w:tabs>
          <w:tab w:val="num" w:pos="360"/>
          <w:tab w:val="clear" w:pos="1252"/>
        </w:tabs>
        <w:spacing w:before="0" w:after="120"/>
        <w:ind w:left="360"/>
        <w:rPr>
          <w:rStyle w:val="Heading3OMB"/>
        </w:rPr>
      </w:pPr>
      <w:bookmarkStart w:id="48" w:name="_Toc16533872"/>
      <w:bookmarkStart w:id="49" w:name="_Toc179880115"/>
      <w:r w:rsidRPr="00E56AA3">
        <w:rPr>
          <w:rStyle w:val="Heading3OMB"/>
        </w:rPr>
        <w:t>Explanation for Program Changes or Adjustments</w:t>
      </w:r>
      <w:bookmarkEnd w:id="48"/>
      <w:bookmarkEnd w:id="49"/>
    </w:p>
    <w:p w:rsidR="009D5384" w:rsidP="004D73A1" w14:paraId="6CC8C067" w14:textId="70D7CB6D">
      <w:pPr>
        <w:pStyle w:val="NormalWeb"/>
        <w:ind w:left="360"/>
      </w:pPr>
      <w:r w:rsidRPr="00E56AA3">
        <w:rPr>
          <w:b/>
          <w:bCs/>
          <w:i/>
          <w:iCs/>
        </w:rPr>
        <w:t>Estimated Annualized Burden Hours.</w:t>
      </w:r>
      <w:r w:rsidRPr="00E56AA3">
        <w:t xml:space="preserve"> The requested annualized burden of </w:t>
      </w:r>
      <w:r w:rsidR="00EB7B44">
        <w:t>6,</w:t>
      </w:r>
      <w:r w:rsidR="00A314A1">
        <w:t>336</w:t>
      </w:r>
      <w:r w:rsidRPr="00E56AA3">
        <w:t xml:space="preserve"> hours is </w:t>
      </w:r>
      <w:r w:rsidR="00932DEE">
        <w:t xml:space="preserve">approximately </w:t>
      </w:r>
      <w:r w:rsidR="00A314A1">
        <w:t>11</w:t>
      </w:r>
      <w:r w:rsidR="00EB7B44">
        <w:t xml:space="preserve">% less than the previous estimate of 7,140 hours. </w:t>
      </w:r>
      <w:r w:rsidR="00CC7563">
        <w:t xml:space="preserve">This reflects a reduction in the </w:t>
      </w:r>
      <w:r w:rsidR="007F4527">
        <w:t xml:space="preserve">number of burden hours per response from 102 hours to </w:t>
      </w:r>
      <w:r w:rsidR="00A314A1">
        <w:t>72</w:t>
      </w:r>
      <w:r w:rsidR="004A2026">
        <w:t xml:space="preserve"> hours</w:t>
      </w:r>
      <w:r w:rsidR="007F4527">
        <w:t>.</w:t>
      </w:r>
      <w:r w:rsidR="006700C9">
        <w:t xml:space="preserve"> </w:t>
      </w:r>
      <w:r>
        <w:t xml:space="preserve">FPAR 2.0 implementation burden, included in the 2021 </w:t>
      </w:r>
      <w:r w:rsidR="001637A5">
        <w:t>estimate,</w:t>
      </w:r>
      <w:r>
        <w:t xml:space="preserve"> should now be completed </w:t>
      </w:r>
      <w:r w:rsidR="001637A5">
        <w:t>so</w:t>
      </w:r>
      <w:r>
        <w:t xml:space="preserve"> that portion of the previous estimate is no longer included.</w:t>
      </w:r>
    </w:p>
    <w:p w:rsidR="00D11826" w:rsidRPr="00E56AA3" w:rsidP="004D73A1" w14:paraId="3A6E600A" w14:textId="5CEA4681">
      <w:pPr>
        <w:pStyle w:val="NormalWeb"/>
        <w:ind w:left="360"/>
      </w:pPr>
      <w:r>
        <w:t>The previous</w:t>
      </w:r>
      <w:r w:rsidR="001637A5">
        <w:t xml:space="preserve"> 2021</w:t>
      </w:r>
      <w:r>
        <w:t xml:space="preserve"> estimate </w:t>
      </w:r>
      <w:r w:rsidR="00653683">
        <w:t>utilized</w:t>
      </w:r>
      <w:r>
        <w:t xml:space="preserve"> a smaller number of respondents</w:t>
      </w:r>
      <w:r w:rsidR="00445B88">
        <w:t xml:space="preserve">. Since then, more grantees have </w:t>
      </w:r>
      <w:r w:rsidR="00D84250">
        <w:t>re-entered the</w:t>
      </w:r>
      <w:r w:rsidR="00F936EE">
        <w:t xml:space="preserve"> Title X</w:t>
      </w:r>
      <w:r w:rsidR="00D84250">
        <w:t xml:space="preserve"> program </w:t>
      </w:r>
      <w:r w:rsidR="004213C5">
        <w:t xml:space="preserve">taking </w:t>
      </w:r>
      <w:r w:rsidR="00A314A1">
        <w:t>the number of funded organizations</w:t>
      </w:r>
      <w:r w:rsidR="004213C5">
        <w:t xml:space="preserve"> back to the historic average. </w:t>
      </w:r>
      <w:r w:rsidR="00F936EE">
        <w:t xml:space="preserve">Implementation burden is assumed to be completed at this point as all grantees </w:t>
      </w:r>
      <w:r w:rsidR="00D15685">
        <w:t xml:space="preserve">should have </w:t>
      </w:r>
      <w:r w:rsidR="00FB0D8E">
        <w:t>fully transition</w:t>
      </w:r>
      <w:r w:rsidR="00D15685">
        <w:t>ed</w:t>
      </w:r>
      <w:r w:rsidR="00FB0D8E">
        <w:t xml:space="preserve"> to FPAR 2.0 by January 1, 2025. </w:t>
      </w:r>
    </w:p>
    <w:p w:rsidR="00D11826" w:rsidRPr="00E56AA3" w:rsidP="0063602A" w14:paraId="0C657C08" w14:textId="31C4BF2B">
      <w:pPr>
        <w:pStyle w:val="NormalWeb"/>
        <w:ind w:left="360"/>
      </w:pPr>
      <w:r w:rsidRPr="00E56AA3">
        <w:rPr>
          <w:b/>
          <w:bCs/>
          <w:i/>
          <w:iCs/>
        </w:rPr>
        <w:t xml:space="preserve">Estimated Annualized Labor </w:t>
      </w:r>
      <w:r w:rsidRPr="00E56AA3" w:rsidR="0063602A">
        <w:rPr>
          <w:b/>
          <w:bCs/>
          <w:i/>
          <w:iCs/>
        </w:rPr>
        <w:t xml:space="preserve">and Non-labor </w:t>
      </w:r>
      <w:r w:rsidRPr="00E56AA3">
        <w:rPr>
          <w:b/>
          <w:bCs/>
          <w:i/>
          <w:iCs/>
        </w:rPr>
        <w:t>Cost</w:t>
      </w:r>
      <w:r w:rsidRPr="00E56AA3" w:rsidR="0063602A">
        <w:rPr>
          <w:b/>
          <w:bCs/>
          <w:i/>
          <w:iCs/>
        </w:rPr>
        <w:t>s</w:t>
      </w:r>
      <w:r w:rsidRPr="00E56AA3">
        <w:rPr>
          <w:b/>
          <w:bCs/>
          <w:i/>
          <w:iCs/>
        </w:rPr>
        <w:t>.</w:t>
      </w:r>
      <w:r w:rsidRPr="00E56AA3">
        <w:t xml:space="preserve"> </w:t>
      </w:r>
      <w:r w:rsidRPr="00E56AA3" w:rsidR="0063602A">
        <w:t xml:space="preserve">As a result of the </w:t>
      </w:r>
      <w:r w:rsidR="00EB7B44">
        <w:t>inflation and more current wage estimates,</w:t>
      </w:r>
      <w:r w:rsidRPr="00E56AA3" w:rsidR="0063602A">
        <w:t xml:space="preserve"> t</w:t>
      </w:r>
      <w:r w:rsidRPr="00E56AA3">
        <w:t xml:space="preserve">he annualized labor cost </w:t>
      </w:r>
      <w:r w:rsidRPr="00E56AA3" w:rsidR="0063602A">
        <w:t xml:space="preserve">and non-labor costs have also </w:t>
      </w:r>
      <w:r w:rsidR="005C67F8">
        <w:t xml:space="preserve">increased. </w:t>
      </w:r>
    </w:p>
    <w:p w:rsidR="00D832DD" w:rsidRPr="00E56AA3" w:rsidP="005660FA" w14:paraId="2C53F648" w14:textId="0E935F96">
      <w:pPr>
        <w:pStyle w:val="Heading3"/>
        <w:keepNext/>
        <w:tabs>
          <w:tab w:val="num" w:pos="360"/>
          <w:tab w:val="clear" w:pos="1252"/>
        </w:tabs>
        <w:spacing w:before="0" w:after="120"/>
        <w:ind w:left="360"/>
        <w:rPr>
          <w:rStyle w:val="Heading3OMB"/>
        </w:rPr>
      </w:pPr>
      <w:bookmarkStart w:id="50" w:name="_Toc352230269"/>
      <w:bookmarkStart w:id="51" w:name="_Toc16533873"/>
      <w:bookmarkStart w:id="52" w:name="_Toc179880116"/>
      <w:bookmarkEnd w:id="50"/>
      <w:r w:rsidRPr="00E56AA3">
        <w:rPr>
          <w:rStyle w:val="Heading3OMB"/>
        </w:rPr>
        <w:t>Plans for Tabulation and Publication and Project Time Schedule</w:t>
      </w:r>
      <w:bookmarkEnd w:id="51"/>
      <w:bookmarkEnd w:id="52"/>
    </w:p>
    <w:p w:rsidR="004D5AE8" w:rsidRPr="003C4B2E" w14:paraId="2C1BE48D" w14:textId="71EFD2DD">
      <w:pPr>
        <w:pStyle w:val="bodytext-gph"/>
        <w:rPr>
          <w:sz w:val="24"/>
          <w:szCs w:val="24"/>
        </w:rPr>
      </w:pPr>
      <w:r w:rsidRPr="00E56AA3">
        <w:rPr>
          <w:sz w:val="24"/>
          <w:szCs w:val="24"/>
        </w:rPr>
        <w:t>Annually</w:t>
      </w:r>
      <w:r w:rsidRPr="00E56AA3" w:rsidR="006E76F4">
        <w:rPr>
          <w:sz w:val="24"/>
          <w:szCs w:val="24"/>
        </w:rPr>
        <w:t>, the</w:t>
      </w:r>
      <w:r w:rsidRPr="00E56AA3" w:rsidR="00405233">
        <w:rPr>
          <w:sz w:val="24"/>
          <w:szCs w:val="24"/>
        </w:rPr>
        <w:t xml:space="preserve"> </w:t>
      </w:r>
      <w:r w:rsidRPr="00E56AA3" w:rsidR="00E8367F">
        <w:rPr>
          <w:sz w:val="24"/>
          <w:szCs w:val="24"/>
        </w:rPr>
        <w:t>FPAR</w:t>
      </w:r>
      <w:r w:rsidRPr="00E56AA3" w:rsidR="00550A30">
        <w:rPr>
          <w:sz w:val="24"/>
          <w:szCs w:val="24"/>
        </w:rPr>
        <w:t xml:space="preserve"> 2.0</w:t>
      </w:r>
      <w:r w:rsidRPr="00E56AA3" w:rsidR="00E8367F">
        <w:rPr>
          <w:sz w:val="24"/>
          <w:szCs w:val="24"/>
        </w:rPr>
        <w:t xml:space="preserve"> </w:t>
      </w:r>
      <w:r w:rsidRPr="00E56AA3">
        <w:rPr>
          <w:sz w:val="24"/>
          <w:szCs w:val="24"/>
        </w:rPr>
        <w:t>contractor</w:t>
      </w:r>
      <w:r w:rsidRPr="00E56AA3" w:rsidR="00CB7784">
        <w:rPr>
          <w:sz w:val="24"/>
          <w:szCs w:val="24"/>
        </w:rPr>
        <w:t xml:space="preserve"> will</w:t>
      </w:r>
      <w:r w:rsidRPr="00E56AA3">
        <w:rPr>
          <w:sz w:val="24"/>
          <w:szCs w:val="24"/>
        </w:rPr>
        <w:t xml:space="preserve"> validate, tabulate, analyze, and disseminate the FPAR data in the form of a national summary. </w:t>
      </w:r>
      <w:r w:rsidR="00AF5671">
        <w:rPr>
          <w:sz w:val="24"/>
          <w:szCs w:val="24"/>
        </w:rPr>
        <w:t xml:space="preserve">If possible, with the more granular data, OPA will produce more summaries based on geographic data. </w:t>
      </w:r>
      <w:r w:rsidRPr="00E56AA3">
        <w:rPr>
          <w:sz w:val="24"/>
          <w:szCs w:val="24"/>
        </w:rPr>
        <w:t xml:space="preserve">For the reporting period (calendar year), the national summary presents national (aggregate) data for each </w:t>
      </w:r>
      <w:r w:rsidRPr="00E56AA3" w:rsidR="00550A30">
        <w:rPr>
          <w:sz w:val="24"/>
          <w:szCs w:val="24"/>
        </w:rPr>
        <w:t>of the components described in the FPAR 2.0 encounter data and project revenues</w:t>
      </w:r>
      <w:r w:rsidRPr="00E56AA3">
        <w:rPr>
          <w:sz w:val="24"/>
          <w:szCs w:val="24"/>
        </w:rPr>
        <w:t>, user income level and age group by state, and trend data (</w:t>
      </w:r>
      <w:r w:rsidRPr="00E56AA3" w:rsidR="004D73A1">
        <w:rPr>
          <w:sz w:val="24"/>
          <w:szCs w:val="24"/>
        </w:rPr>
        <w:t xml:space="preserve">from </w:t>
      </w:r>
      <w:r w:rsidRPr="00E56AA3">
        <w:rPr>
          <w:sz w:val="24"/>
          <w:szCs w:val="24"/>
        </w:rPr>
        <w:t>1999 to</w:t>
      </w:r>
      <w:r w:rsidRPr="00E56AA3" w:rsidR="004D73A1">
        <w:rPr>
          <w:sz w:val="24"/>
          <w:szCs w:val="24"/>
        </w:rPr>
        <w:t xml:space="preserve"> the current</w:t>
      </w:r>
      <w:r w:rsidRPr="00E56AA3">
        <w:rPr>
          <w:sz w:val="24"/>
          <w:szCs w:val="24"/>
        </w:rPr>
        <w:t xml:space="preserve"> reporting year) for selected FPAR data items. </w:t>
      </w:r>
      <w:r w:rsidRPr="00E56AA3">
        <w:rPr>
          <w:sz w:val="24"/>
          <w:szCs w:val="24"/>
        </w:rPr>
        <w:t>The national summary also presents a description of the procedures used to compile and validate the data, as well as definitions of all key FPAR</w:t>
      </w:r>
      <w:r w:rsidRPr="00E56AA3" w:rsidR="00550A30">
        <w:rPr>
          <w:sz w:val="24"/>
          <w:szCs w:val="24"/>
        </w:rPr>
        <w:t xml:space="preserve"> 2.0</w:t>
      </w:r>
      <w:r w:rsidRPr="00E56AA3">
        <w:rPr>
          <w:sz w:val="24"/>
          <w:szCs w:val="24"/>
        </w:rPr>
        <w:t xml:space="preserve"> terms and definitions. The appendix to the national summary contains detailed, table-specific notes on any discrepancies between OPA-requested data and what individual grantees were able to provide, how those data inconsistencies were resolved, and the effect, if any, on the data presented in the report. OPA posts a 508-compliant PDF version of the national summary on the OPA </w:t>
      </w:r>
      <w:r w:rsidRPr="00E56AA3" w:rsidR="00AC472C">
        <w:rPr>
          <w:sz w:val="24"/>
          <w:szCs w:val="24"/>
        </w:rPr>
        <w:t>website</w:t>
      </w:r>
      <w:r w:rsidRPr="00E56AA3">
        <w:rPr>
          <w:sz w:val="24"/>
          <w:szCs w:val="24"/>
        </w:rPr>
        <w:t xml:space="preserve">, where the public has full access. </w:t>
      </w:r>
    </w:p>
    <w:p w:rsidR="004D5AE8" w:rsidRPr="00E56AA3" w:rsidP="005660FA" w14:paraId="5373D20F" w14:textId="2C85F5E9">
      <w:pPr>
        <w:pStyle w:val="bodytext-gph"/>
        <w:rPr>
          <w:b/>
          <w:bCs/>
          <w:sz w:val="24"/>
          <w:szCs w:val="24"/>
        </w:rPr>
      </w:pPr>
      <w:r w:rsidRPr="00E56AA3">
        <w:rPr>
          <w:sz w:val="24"/>
          <w:szCs w:val="24"/>
        </w:rPr>
        <w:t xml:space="preserve">By February </w:t>
      </w:r>
      <w:r w:rsidR="003C4B2E">
        <w:rPr>
          <w:sz w:val="24"/>
          <w:szCs w:val="24"/>
        </w:rPr>
        <w:t>28</w:t>
      </w:r>
      <w:r w:rsidRPr="00E56AA3" w:rsidR="003C4B2E">
        <w:rPr>
          <w:sz w:val="24"/>
          <w:szCs w:val="24"/>
        </w:rPr>
        <w:t xml:space="preserve"> </w:t>
      </w:r>
      <w:r w:rsidRPr="00E56AA3">
        <w:rPr>
          <w:sz w:val="24"/>
          <w:szCs w:val="24"/>
        </w:rPr>
        <w:t xml:space="preserve">of each year, the grantees compile and submit data for the recently completed calendar year. </w:t>
      </w:r>
      <w:r w:rsidRPr="00E56AA3">
        <w:rPr>
          <w:b/>
          <w:bCs/>
          <w:sz w:val="24"/>
          <w:szCs w:val="24"/>
        </w:rPr>
        <w:t xml:space="preserve">Exhibit 6 </w:t>
      </w:r>
      <w:r w:rsidRPr="00E56AA3">
        <w:rPr>
          <w:sz w:val="24"/>
          <w:szCs w:val="24"/>
        </w:rPr>
        <w:t>presents the timetable</w:t>
      </w:r>
      <w:r w:rsidRPr="00E56AA3">
        <w:rPr>
          <w:b/>
          <w:bCs/>
          <w:sz w:val="24"/>
          <w:szCs w:val="24"/>
        </w:rPr>
        <w:t xml:space="preserve"> </w:t>
      </w:r>
      <w:r w:rsidRPr="00E56AA3">
        <w:rPr>
          <w:sz w:val="24"/>
          <w:szCs w:val="24"/>
        </w:rPr>
        <w:t xml:space="preserve">for key activities following OMB approval. The timetable assumes an OMB approval date </w:t>
      </w:r>
      <w:r w:rsidR="003C4B2E">
        <w:rPr>
          <w:sz w:val="24"/>
          <w:szCs w:val="24"/>
        </w:rPr>
        <w:t>of 3/1/25</w:t>
      </w:r>
      <w:r w:rsidRPr="00E56AA3" w:rsidR="00D70601">
        <w:rPr>
          <w:sz w:val="24"/>
          <w:szCs w:val="24"/>
        </w:rPr>
        <w:t>.</w:t>
      </w:r>
    </w:p>
    <w:p w:rsidR="00D832DD" w:rsidRPr="00E56AA3" w:rsidP="00E03F93" w14:paraId="1D4E5DE5" w14:textId="1F248BB9">
      <w:pPr>
        <w:pStyle w:val="Caption"/>
        <w:ind w:firstLine="360"/>
        <w:rPr>
          <w:sz w:val="24"/>
          <w:szCs w:val="24"/>
        </w:rPr>
      </w:pPr>
      <w:bookmarkStart w:id="53" w:name="_Toc16534325"/>
      <w:bookmarkStart w:id="54" w:name="_Toc186726923"/>
      <w:r w:rsidRPr="00E03F93">
        <w:rPr>
          <w:sz w:val="24"/>
          <w:szCs w:val="24"/>
        </w:rPr>
        <w:t xml:space="preserve">Exhibit  </w:t>
      </w:r>
      <w:r w:rsidRPr="00E03F93">
        <w:rPr>
          <w:sz w:val="24"/>
          <w:szCs w:val="24"/>
        </w:rPr>
        <w:fldChar w:fldCharType="begin"/>
      </w:r>
      <w:r w:rsidRPr="00E03F93">
        <w:rPr>
          <w:sz w:val="24"/>
          <w:szCs w:val="24"/>
        </w:rPr>
        <w:instrText xml:space="preserve"> SEQ Exhibit_ \* ARABIC </w:instrText>
      </w:r>
      <w:r w:rsidRPr="00E03F93">
        <w:rPr>
          <w:sz w:val="24"/>
          <w:szCs w:val="24"/>
        </w:rPr>
        <w:fldChar w:fldCharType="separate"/>
      </w:r>
      <w:r w:rsidR="00DA52D0">
        <w:rPr>
          <w:noProof/>
          <w:sz w:val="24"/>
          <w:szCs w:val="24"/>
        </w:rPr>
        <w:t>6</w:t>
      </w:r>
      <w:r w:rsidRPr="00E03F93">
        <w:rPr>
          <w:sz w:val="24"/>
          <w:szCs w:val="24"/>
        </w:rPr>
        <w:fldChar w:fldCharType="end"/>
      </w:r>
      <w:r w:rsidRPr="00E56AA3">
        <w:rPr>
          <w:sz w:val="24"/>
          <w:szCs w:val="24"/>
        </w:rPr>
        <w:t>–Timetable for Data Collection, Analysis, and Publication</w:t>
      </w:r>
      <w:bookmarkEnd w:id="53"/>
      <w:bookmarkEnd w:id="54"/>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2970"/>
      </w:tblGrid>
      <w:tr w14:paraId="06CE6D73" w14:textId="77777777" w:rsidTr="00456F5F">
        <w:tblPrEx>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120" w:type="dxa"/>
            <w:shd w:val="clear" w:color="auto" w:fill="F2F2F2" w:themeFill="background1" w:themeFillShade="F2"/>
          </w:tcPr>
          <w:p w:rsidR="00D832DD" w:rsidRPr="00E56AA3" w:rsidP="00760BBD" w14:paraId="6274E8DD" w14:textId="77777777">
            <w:pPr>
              <w:spacing w:before="40" w:after="40"/>
              <w:rPr>
                <w:b/>
                <w:bCs/>
              </w:rPr>
            </w:pPr>
            <w:r w:rsidRPr="00E56AA3">
              <w:rPr>
                <w:b/>
                <w:bCs/>
              </w:rPr>
              <w:t>Activity</w:t>
            </w:r>
          </w:p>
        </w:tc>
        <w:tc>
          <w:tcPr>
            <w:tcW w:w="2970" w:type="dxa"/>
            <w:shd w:val="clear" w:color="auto" w:fill="F2F2F2" w:themeFill="background1" w:themeFillShade="F2"/>
          </w:tcPr>
          <w:p w:rsidR="00D832DD" w:rsidRPr="00E56AA3" w:rsidP="00760BBD" w14:paraId="3A165BD9" w14:textId="77777777">
            <w:pPr>
              <w:spacing w:before="40" w:after="40"/>
              <w:rPr>
                <w:b/>
                <w:bCs/>
              </w:rPr>
            </w:pPr>
            <w:r w:rsidRPr="00E56AA3">
              <w:rPr>
                <w:b/>
                <w:bCs/>
              </w:rPr>
              <w:t>Expected Date of Completion</w:t>
            </w:r>
          </w:p>
        </w:tc>
      </w:tr>
      <w:tr w14:paraId="59ED3314" w14:textId="77777777" w:rsidTr="00760BBD">
        <w:tblPrEx>
          <w:tblW w:w="9090" w:type="dxa"/>
          <w:tblInd w:w="468" w:type="dxa"/>
          <w:tblLook w:val="01E0"/>
        </w:tblPrEx>
        <w:tc>
          <w:tcPr>
            <w:tcW w:w="6120" w:type="dxa"/>
          </w:tcPr>
          <w:p w:rsidR="00B74EF0" w:rsidRPr="00E56AA3" w:rsidP="00760BBD" w14:paraId="036D32DB" w14:textId="063668B7">
            <w:pPr>
              <w:spacing w:before="40" w:after="40"/>
              <w:ind w:left="72" w:hanging="72"/>
            </w:pPr>
            <w:r w:rsidRPr="00E56AA3">
              <w:t>Data collection</w:t>
            </w:r>
          </w:p>
        </w:tc>
        <w:tc>
          <w:tcPr>
            <w:tcW w:w="2970" w:type="dxa"/>
          </w:tcPr>
          <w:p w:rsidR="00247F5E" w:rsidP="00760BBD" w14:paraId="7B29D822" w14:textId="530AF879">
            <w:pPr>
              <w:spacing w:before="40" w:after="40"/>
            </w:pPr>
            <w:r>
              <w:t>1/7/202</w:t>
            </w:r>
            <w:r w:rsidR="00FD4007">
              <w:t>5</w:t>
            </w:r>
            <w:r>
              <w:t xml:space="preserve"> through </w:t>
            </w:r>
            <w:r w:rsidR="003C4B2E">
              <w:t>2/28/25</w:t>
            </w:r>
            <w:r>
              <w:t xml:space="preserve"> (for 2024 FPAR data)</w:t>
            </w:r>
            <w:r w:rsidR="003C4B2E">
              <w:t xml:space="preserve"> </w:t>
            </w:r>
          </w:p>
          <w:p w:rsidR="00790D7C" w:rsidP="00760BBD" w14:paraId="456872DA" w14:textId="77777777">
            <w:pPr>
              <w:spacing w:before="40" w:after="40"/>
            </w:pPr>
            <w:r>
              <w:t>January</w:t>
            </w:r>
            <w:r>
              <w:t>-</w:t>
            </w:r>
            <w:r w:rsidR="005E740F">
              <w:t>February</w:t>
            </w:r>
            <w:r>
              <w:t xml:space="preserve"> 2026</w:t>
            </w:r>
            <w:r w:rsidR="00247F5E">
              <w:t xml:space="preserve"> (for 2025 FPAR data)</w:t>
            </w:r>
          </w:p>
          <w:p w:rsidR="00B74EF0" w:rsidRPr="00E56AA3" w:rsidP="00760BBD" w14:paraId="0F44B555" w14:textId="5EB4F49A">
            <w:pPr>
              <w:spacing w:before="40" w:after="40"/>
            </w:pPr>
            <w:r>
              <w:t>January</w:t>
            </w:r>
            <w:r w:rsidR="00790D7C">
              <w:t>-</w:t>
            </w:r>
            <w:r>
              <w:t>February 2027</w:t>
            </w:r>
            <w:r w:rsidR="00790D7C">
              <w:t xml:space="preserve"> (for 2026 FPAR data)</w:t>
            </w:r>
          </w:p>
        </w:tc>
      </w:tr>
      <w:tr w14:paraId="167BA779" w14:textId="77777777" w:rsidTr="00760BBD">
        <w:tblPrEx>
          <w:tblW w:w="9090" w:type="dxa"/>
          <w:tblInd w:w="468" w:type="dxa"/>
          <w:tblLook w:val="01E0"/>
        </w:tblPrEx>
        <w:tc>
          <w:tcPr>
            <w:tcW w:w="6120" w:type="dxa"/>
          </w:tcPr>
          <w:p w:rsidR="00D832DD" w:rsidRPr="00E56AA3" w:rsidP="00760BBD" w14:paraId="54998616" w14:textId="488BEC0B">
            <w:pPr>
              <w:spacing w:before="40" w:after="40"/>
              <w:ind w:left="72" w:hanging="72"/>
            </w:pPr>
            <w:r w:rsidRPr="00E56AA3">
              <w:t>Resolve validation issues</w:t>
            </w:r>
          </w:p>
        </w:tc>
        <w:tc>
          <w:tcPr>
            <w:tcW w:w="2970" w:type="dxa"/>
          </w:tcPr>
          <w:p w:rsidR="0006770E" w:rsidP="00760BBD" w14:paraId="65C896BE" w14:textId="0E889815">
            <w:pPr>
              <w:spacing w:before="40" w:after="40"/>
            </w:pPr>
            <w:r w:rsidRPr="0006770E">
              <w:t>April 2025</w:t>
            </w:r>
            <w:r w:rsidR="005764D2">
              <w:t xml:space="preserve"> (for 2024 FPAR data)</w:t>
            </w:r>
          </w:p>
          <w:p w:rsidR="005764D2" w:rsidP="00760BBD" w14:paraId="220884F8" w14:textId="73BC67C3">
            <w:pPr>
              <w:spacing w:before="40" w:after="40"/>
            </w:pPr>
            <w:r w:rsidRPr="0006770E">
              <w:t>April 2026</w:t>
            </w:r>
            <w:r>
              <w:t xml:space="preserve"> (for 2025 FPAR data)</w:t>
            </w:r>
          </w:p>
          <w:p w:rsidR="00D832DD" w:rsidRPr="00E56AA3" w:rsidP="00760BBD" w14:paraId="20B9E465" w14:textId="356C6888">
            <w:pPr>
              <w:spacing w:before="40" w:after="40"/>
            </w:pPr>
            <w:r w:rsidRPr="0006770E">
              <w:t>April 2027</w:t>
            </w:r>
            <w:r w:rsidR="005764D2">
              <w:t xml:space="preserve"> (for 2026 FPAR data)</w:t>
            </w:r>
          </w:p>
        </w:tc>
      </w:tr>
      <w:tr w14:paraId="323EDF24" w14:textId="77777777" w:rsidTr="00760BBD">
        <w:tblPrEx>
          <w:tblW w:w="9090" w:type="dxa"/>
          <w:tblInd w:w="468" w:type="dxa"/>
          <w:tblLook w:val="01E0"/>
        </w:tblPrEx>
        <w:tc>
          <w:tcPr>
            <w:tcW w:w="6120" w:type="dxa"/>
          </w:tcPr>
          <w:p w:rsidR="00D832DD" w:rsidRPr="00E56AA3" w:rsidP="00760BBD" w14:paraId="20D489F3" w14:textId="6110B3BB">
            <w:pPr>
              <w:spacing w:before="40" w:after="40"/>
              <w:ind w:left="72" w:hanging="72"/>
            </w:pPr>
            <w:r w:rsidRPr="00E56AA3">
              <w:t>Export FPAR data file to contractor for validation and tabulation</w:t>
            </w:r>
          </w:p>
        </w:tc>
        <w:tc>
          <w:tcPr>
            <w:tcW w:w="2970" w:type="dxa"/>
          </w:tcPr>
          <w:p w:rsidR="005764D2" w:rsidP="005764D2" w14:paraId="34F34D9C" w14:textId="0E589473">
            <w:pPr>
              <w:spacing w:before="40" w:after="40"/>
            </w:pPr>
            <w:r>
              <w:t>May</w:t>
            </w:r>
            <w:r w:rsidRPr="0006770E">
              <w:t xml:space="preserve"> 2025</w:t>
            </w:r>
            <w:r>
              <w:t xml:space="preserve"> (for 2024 FPAR data)</w:t>
            </w:r>
          </w:p>
          <w:p w:rsidR="005764D2" w:rsidP="005764D2" w14:paraId="74F532FC" w14:textId="0222AE9A">
            <w:pPr>
              <w:spacing w:before="40" w:after="40"/>
            </w:pPr>
            <w:r>
              <w:t>May</w:t>
            </w:r>
            <w:r w:rsidRPr="0006770E">
              <w:t xml:space="preserve"> 2026</w:t>
            </w:r>
            <w:r>
              <w:t xml:space="preserve"> (for 2025 FPAR data)</w:t>
            </w:r>
          </w:p>
          <w:p w:rsidR="00D832DD" w:rsidRPr="00E56AA3" w:rsidP="005764D2" w14:paraId="14BD0393" w14:textId="2CD02A34">
            <w:pPr>
              <w:spacing w:before="40" w:after="40"/>
            </w:pPr>
            <w:r>
              <w:t>May</w:t>
            </w:r>
            <w:r w:rsidRPr="0006770E">
              <w:t xml:space="preserve"> 2027</w:t>
            </w:r>
            <w:r>
              <w:t xml:space="preserve"> (for 2026 FPAR data)</w:t>
            </w:r>
          </w:p>
        </w:tc>
      </w:tr>
      <w:tr w14:paraId="54CBC7B0" w14:textId="77777777" w:rsidTr="00760BBD">
        <w:tblPrEx>
          <w:tblW w:w="9090" w:type="dxa"/>
          <w:tblInd w:w="468" w:type="dxa"/>
          <w:tblLook w:val="01E0"/>
        </w:tblPrEx>
        <w:trPr>
          <w:trHeight w:val="70"/>
        </w:trPr>
        <w:tc>
          <w:tcPr>
            <w:tcW w:w="6120" w:type="dxa"/>
          </w:tcPr>
          <w:p w:rsidR="00D832DD" w:rsidRPr="00E56AA3" w:rsidP="00760BBD" w14:paraId="3B326341" w14:textId="016E2395">
            <w:pPr>
              <w:spacing w:before="40" w:after="40"/>
              <w:ind w:left="72" w:hanging="72"/>
            </w:pPr>
            <w:r w:rsidRPr="00E56AA3">
              <w:t>Prepare draft national summar</w:t>
            </w:r>
            <w:r w:rsidR="005E740F">
              <w:t>y</w:t>
            </w:r>
            <w:r w:rsidRPr="00E56AA3">
              <w:t xml:space="preserve"> for OPA review</w:t>
            </w:r>
          </w:p>
        </w:tc>
        <w:tc>
          <w:tcPr>
            <w:tcW w:w="2970" w:type="dxa"/>
          </w:tcPr>
          <w:p w:rsidR="005764D2" w:rsidP="005764D2" w14:paraId="14ADBBCA" w14:textId="064101C8">
            <w:pPr>
              <w:spacing w:before="40" w:after="40"/>
            </w:pPr>
            <w:r>
              <w:t>July</w:t>
            </w:r>
            <w:r w:rsidRPr="0006770E">
              <w:t xml:space="preserve"> 2025</w:t>
            </w:r>
            <w:r>
              <w:t xml:space="preserve"> (for 2024 FPAR data)</w:t>
            </w:r>
          </w:p>
          <w:p w:rsidR="005764D2" w:rsidP="005764D2" w14:paraId="6809E9F4" w14:textId="362BB187">
            <w:pPr>
              <w:spacing w:before="40" w:after="40"/>
            </w:pPr>
            <w:r>
              <w:t>July</w:t>
            </w:r>
            <w:r w:rsidRPr="0006770E">
              <w:t xml:space="preserve"> 2026</w:t>
            </w:r>
            <w:r>
              <w:t xml:space="preserve"> (for 2025 FPAR data)</w:t>
            </w:r>
          </w:p>
          <w:p w:rsidR="00D832DD" w:rsidRPr="00E56AA3" w:rsidP="005764D2" w14:paraId="17167D26" w14:textId="01112A72">
            <w:pPr>
              <w:spacing w:before="40" w:after="40"/>
            </w:pPr>
            <w:r>
              <w:t>July</w:t>
            </w:r>
            <w:r w:rsidRPr="0006770E">
              <w:t xml:space="preserve"> 2027</w:t>
            </w:r>
            <w:r>
              <w:t xml:space="preserve"> (for 2026 FPAR data)</w:t>
            </w:r>
          </w:p>
        </w:tc>
      </w:tr>
      <w:tr w14:paraId="66475B5D" w14:textId="77777777" w:rsidTr="00760BBD">
        <w:tblPrEx>
          <w:tblW w:w="9090" w:type="dxa"/>
          <w:tblInd w:w="468" w:type="dxa"/>
          <w:tblLook w:val="01E0"/>
        </w:tblPrEx>
        <w:trPr>
          <w:trHeight w:val="70"/>
        </w:trPr>
        <w:tc>
          <w:tcPr>
            <w:tcW w:w="6120" w:type="dxa"/>
          </w:tcPr>
          <w:p w:rsidR="00D832DD" w:rsidRPr="00E56AA3" w:rsidP="00760BBD" w14:paraId="003349F9" w14:textId="77777777">
            <w:pPr>
              <w:spacing w:before="40" w:after="40"/>
              <w:ind w:left="72" w:hanging="72"/>
            </w:pPr>
            <w:r w:rsidRPr="00E56AA3">
              <w:t xml:space="preserve">Post 508-compliant version of national </w:t>
            </w:r>
            <w:r w:rsidRPr="00E56AA3" w:rsidR="007905EE">
              <w:t>summary</w:t>
            </w:r>
            <w:r w:rsidRPr="00E56AA3">
              <w:t xml:space="preserve"> to OPA Web site</w:t>
            </w:r>
          </w:p>
        </w:tc>
        <w:tc>
          <w:tcPr>
            <w:tcW w:w="2970" w:type="dxa"/>
          </w:tcPr>
          <w:p w:rsidR="00EC20F5" w:rsidP="00EC20F5" w14:paraId="0A551975" w14:textId="6B62D801">
            <w:pPr>
              <w:spacing w:before="40" w:after="40"/>
            </w:pPr>
            <w:r>
              <w:t>September</w:t>
            </w:r>
            <w:r w:rsidRPr="0006770E">
              <w:t xml:space="preserve"> 2025</w:t>
            </w:r>
            <w:r>
              <w:t xml:space="preserve"> (for 2024 FPAR data)</w:t>
            </w:r>
          </w:p>
          <w:p w:rsidR="00EC20F5" w:rsidP="00EC20F5" w14:paraId="7DBE5E17" w14:textId="5F200993">
            <w:pPr>
              <w:spacing w:before="40" w:after="40"/>
            </w:pPr>
            <w:r>
              <w:t>September</w:t>
            </w:r>
            <w:r w:rsidRPr="0006770E">
              <w:t xml:space="preserve"> 2026</w:t>
            </w:r>
            <w:r>
              <w:t xml:space="preserve"> (for 2025 FPAR data)</w:t>
            </w:r>
          </w:p>
          <w:p w:rsidR="00D832DD" w:rsidRPr="00E56AA3" w:rsidP="00EC20F5" w14:paraId="4AA991B3" w14:textId="33EAF390">
            <w:pPr>
              <w:spacing w:before="40" w:after="40"/>
            </w:pPr>
            <w:r>
              <w:t>September</w:t>
            </w:r>
            <w:r w:rsidRPr="0006770E" w:rsidR="00EC20F5">
              <w:t xml:space="preserve"> 2027</w:t>
            </w:r>
            <w:r w:rsidR="00EC20F5">
              <w:t xml:space="preserve"> (for 2026 FPAR data)</w:t>
            </w:r>
          </w:p>
        </w:tc>
      </w:tr>
    </w:tbl>
    <w:p w:rsidR="00D832DD" w:rsidRPr="00E56AA3" w:rsidP="00D832DD" w14:paraId="4E49F940" w14:textId="77777777"/>
    <w:p w:rsidR="00D832DD" w:rsidRPr="00E56AA3" w:rsidP="00D832DD" w14:paraId="06EBF082" w14:textId="2F701C14">
      <w:pPr>
        <w:pStyle w:val="Heading3"/>
        <w:keepNext/>
        <w:tabs>
          <w:tab w:val="num" w:pos="360"/>
          <w:tab w:val="clear" w:pos="1252"/>
        </w:tabs>
        <w:spacing w:before="0" w:after="120"/>
        <w:ind w:left="360"/>
        <w:rPr>
          <w:rStyle w:val="Heading3OMB"/>
        </w:rPr>
      </w:pPr>
      <w:bookmarkStart w:id="55" w:name="_Toc16533874"/>
      <w:bookmarkStart w:id="56" w:name="_Toc179880117"/>
      <w:r w:rsidRPr="00E56AA3">
        <w:rPr>
          <w:rStyle w:val="Heading3OMB"/>
        </w:rPr>
        <w:t>Reason(s) Display of OMB Expiration Date Is Inappropriate</w:t>
      </w:r>
      <w:bookmarkEnd w:id="55"/>
      <w:bookmarkEnd w:id="56"/>
    </w:p>
    <w:p w:rsidR="00D832DD" w:rsidRPr="00E56AA3" w:rsidP="00D832DD" w14:paraId="2476600E" w14:textId="12FD8163">
      <w:pPr>
        <w:pStyle w:val="bodytext-gph"/>
        <w:rPr>
          <w:sz w:val="24"/>
          <w:szCs w:val="24"/>
        </w:rPr>
      </w:pPr>
      <w:r w:rsidRPr="00E56AA3">
        <w:rPr>
          <w:sz w:val="24"/>
          <w:szCs w:val="24"/>
        </w:rPr>
        <w:t xml:space="preserve">The 3-year expiration date for OMB approval will be displayed on all versions of the form (i.e., electronic, Web-based). </w:t>
      </w:r>
    </w:p>
    <w:p w:rsidR="00D832DD" w:rsidRPr="00E56AA3" w:rsidP="00D832DD" w14:paraId="6C4FAEBB" w14:textId="3513D8D0">
      <w:pPr>
        <w:pStyle w:val="Heading3"/>
        <w:keepNext/>
        <w:tabs>
          <w:tab w:val="num" w:pos="360"/>
          <w:tab w:val="clear" w:pos="1252"/>
        </w:tabs>
        <w:spacing w:before="0" w:after="120"/>
        <w:ind w:left="360"/>
        <w:rPr>
          <w:rStyle w:val="Heading3OMB"/>
        </w:rPr>
      </w:pPr>
      <w:bookmarkStart w:id="57" w:name="_Toc16533875"/>
      <w:bookmarkStart w:id="58" w:name="_Toc179880118"/>
      <w:r w:rsidRPr="00E56AA3">
        <w:rPr>
          <w:rStyle w:val="Heading3OMB"/>
        </w:rPr>
        <w:t>Exceptions to Certification for Paperwork Reduction Act Submissions</w:t>
      </w:r>
      <w:bookmarkEnd w:id="57"/>
      <w:bookmarkEnd w:id="58"/>
    </w:p>
    <w:p w:rsidR="00D832DD" w:rsidRPr="00E56AA3" w:rsidP="00D832DD" w14:paraId="47EF3E3C" w14:textId="77777777">
      <w:pPr>
        <w:pStyle w:val="bodytext-gph"/>
        <w:rPr>
          <w:sz w:val="24"/>
          <w:szCs w:val="24"/>
        </w:rPr>
      </w:pPr>
      <w:r w:rsidRPr="00E56AA3">
        <w:rPr>
          <w:sz w:val="24"/>
          <w:szCs w:val="24"/>
        </w:rPr>
        <w:t xml:space="preserve">There are no exceptions to the certification. </w:t>
      </w:r>
    </w:p>
    <w:p w:rsidR="00EB6C03" w:rsidRPr="00E56AA3" w:rsidP="00EB6C03" w14:paraId="403358D7" w14:textId="1F078B48">
      <w:pPr>
        <w:pStyle w:val="Heading2-OMB"/>
        <w:numPr>
          <w:ilvl w:val="0"/>
          <w:numId w:val="2"/>
        </w:numPr>
        <w:tabs>
          <w:tab w:val="num" w:pos="360"/>
          <w:tab w:val="clear" w:pos="720"/>
        </w:tabs>
        <w:ind w:left="360"/>
        <w:rPr>
          <w:rFonts w:ascii="Times New Roman" w:hAnsi="Times New Roman"/>
        </w:rPr>
      </w:pPr>
      <w:bookmarkStart w:id="59" w:name="_Toc16533876"/>
      <w:bookmarkStart w:id="60" w:name="_Toc179880119"/>
      <w:r w:rsidRPr="00E56AA3">
        <w:rPr>
          <w:rFonts w:ascii="Times New Roman" w:hAnsi="Times New Roman"/>
        </w:rPr>
        <w:t>DATA COLLECTION PROCEDURES: FPAR Data System</w:t>
      </w:r>
      <w:bookmarkEnd w:id="59"/>
      <w:bookmarkEnd w:id="60"/>
    </w:p>
    <w:p w:rsidR="00EB6C03" w:rsidRPr="00E56AA3" w:rsidP="007D0CD4" w14:paraId="0CE4102B" w14:textId="17AF3D73">
      <w:pPr>
        <w:pStyle w:val="bodytext-gph"/>
        <w:rPr>
          <w:sz w:val="24"/>
          <w:szCs w:val="24"/>
        </w:rPr>
      </w:pPr>
      <w:r w:rsidRPr="00E56AA3">
        <w:rPr>
          <w:sz w:val="24"/>
          <w:szCs w:val="24"/>
        </w:rPr>
        <w:t xml:space="preserve">The FPAR reporting requirement does not use statistical methods. In accordance with federal regulations, annual FPAR submission is required of all Title X </w:t>
      </w:r>
      <w:r w:rsidRPr="00E56AA3" w:rsidR="00FA1BCD">
        <w:rPr>
          <w:sz w:val="24"/>
          <w:szCs w:val="24"/>
        </w:rPr>
        <w:t xml:space="preserve">Family Planning Services </w:t>
      </w:r>
      <w:r w:rsidRPr="00E56AA3">
        <w:rPr>
          <w:sz w:val="24"/>
          <w:szCs w:val="24"/>
        </w:rPr>
        <w:t>grantees for purposes of monitoring and reporting program performance (45 CFR Part 74 and 45 CFR Part 92).</w:t>
      </w:r>
      <w:r w:rsidR="00906D58">
        <w:rPr>
          <w:noProof/>
          <w:sz w:val="24"/>
          <w:szCs w:val="24"/>
          <w:vertAlign w:val="superscript"/>
        </w:rPr>
        <w:t>5,6</w:t>
      </w:r>
      <w:r w:rsidRPr="00E56AA3">
        <w:rPr>
          <w:sz w:val="24"/>
          <w:szCs w:val="24"/>
        </w:rPr>
        <w:t xml:space="preserve"> The Family Planning Annual Report</w:t>
      </w:r>
      <w:r w:rsidRPr="00E56AA3" w:rsidR="00E81D39">
        <w:rPr>
          <w:sz w:val="24"/>
          <w:szCs w:val="24"/>
        </w:rPr>
        <w:t xml:space="preserve"> 2.0</w:t>
      </w:r>
      <w:r w:rsidRPr="00E56AA3">
        <w:rPr>
          <w:sz w:val="24"/>
          <w:szCs w:val="24"/>
        </w:rPr>
        <w:t xml:space="preserve"> (FPAR</w:t>
      </w:r>
      <w:r w:rsidRPr="00E56AA3" w:rsidR="00E81D39">
        <w:rPr>
          <w:sz w:val="24"/>
          <w:szCs w:val="24"/>
        </w:rPr>
        <w:t xml:space="preserve"> 2.0</w:t>
      </w:r>
      <w:r w:rsidRPr="00E56AA3">
        <w:rPr>
          <w:sz w:val="24"/>
          <w:szCs w:val="24"/>
        </w:rPr>
        <w:t xml:space="preserve">) Data System is dedicated to collecting and managing Title X FPAR data. The System’s purpose is to facilitate user-friendly submission of annual FPAR data by Title X service grantees and to provide a central location for review, approval, storage, and management of FPAR data by HHS/OPA staff. The website’s target audiences include authorized staff of Title X service grantees and HHS/OPA staff responsible for administering grants and monitoring performance. The </w:t>
      </w:r>
      <w:r w:rsidRPr="00E56AA3">
        <w:rPr>
          <w:sz w:val="24"/>
          <w:szCs w:val="24"/>
        </w:rPr>
        <w:t>general public</w:t>
      </w:r>
      <w:r w:rsidRPr="00E56AA3">
        <w:rPr>
          <w:sz w:val="24"/>
          <w:szCs w:val="24"/>
        </w:rPr>
        <w:t xml:space="preserve"> is not an intended audience. </w:t>
      </w:r>
    </w:p>
    <w:p w:rsidR="00D832DD" w:rsidRPr="00E56AA3" w:rsidP="00F8148E" w14:paraId="35AD5293" w14:textId="24676F04">
      <w:pPr>
        <w:pStyle w:val="Heading2-OMB"/>
        <w:numPr>
          <w:ilvl w:val="0"/>
          <w:numId w:val="2"/>
        </w:numPr>
        <w:tabs>
          <w:tab w:val="left" w:pos="360"/>
        </w:tabs>
        <w:spacing w:before="0"/>
        <w:ind w:left="360"/>
        <w:rPr>
          <w:rFonts w:ascii="Times New Roman" w:hAnsi="Times New Roman"/>
        </w:rPr>
      </w:pPr>
      <w:r w:rsidRPr="00E56AA3">
        <w:rPr>
          <w:rFonts w:ascii="Times New Roman" w:hAnsi="Times New Roman"/>
        </w:rPr>
        <w:br w:type="page"/>
      </w:r>
      <w:bookmarkStart w:id="61" w:name="_Toc16533882"/>
      <w:bookmarkStart w:id="62" w:name="_Toc179880120"/>
      <w:bookmarkStart w:id="63" w:name="_Hlk57037843"/>
      <w:r w:rsidRPr="00E56AA3" w:rsidR="005660FA">
        <w:rPr>
          <w:rFonts w:ascii="Times New Roman" w:hAnsi="Times New Roman"/>
        </w:rPr>
        <w:t>REFERENCES</w:t>
      </w:r>
      <w:bookmarkEnd w:id="61"/>
      <w:bookmarkEnd w:id="62"/>
    </w:p>
    <w:p w:rsidR="005B2DF9" w:rsidRPr="00286E30" w:rsidP="000445F5" w14:paraId="5545AC97" w14:textId="1B3EFB74">
      <w:pPr>
        <w:pStyle w:val="EndNoteBibliography"/>
        <w:numPr>
          <w:ilvl w:val="0"/>
          <w:numId w:val="40"/>
        </w:numPr>
        <w:spacing w:after="120"/>
        <w:ind w:left="360"/>
      </w:pPr>
      <w:bookmarkStart w:id="64" w:name="_ENREF_1"/>
      <w:bookmarkStart w:id="65" w:name="_Hlk176882969"/>
      <w:bookmarkStart w:id="66" w:name="_Hlk57097626"/>
      <w:r w:rsidRPr="00286E30">
        <w:t xml:space="preserve">42 </w:t>
      </w:r>
      <w:r w:rsidR="0003502B">
        <w:t>United States Code (</w:t>
      </w:r>
      <w:r w:rsidRPr="00286E30">
        <w:t>USC</w:t>
      </w:r>
      <w:r w:rsidR="0003502B">
        <w:t>)</w:t>
      </w:r>
      <w:r w:rsidRPr="00286E30">
        <w:t xml:space="preserve"> 300, </w:t>
      </w:r>
      <w:r w:rsidRPr="00A505F3">
        <w:rPr>
          <w:i/>
          <w:iCs/>
        </w:rPr>
        <w:t>Project Grants and Contracts for Family Planning Services.</w:t>
      </w:r>
      <w:r w:rsidRPr="00286E30">
        <w:t xml:space="preserve"> Retrieved </w:t>
      </w:r>
      <w:r w:rsidRPr="00286E30" w:rsidR="00BF4D5E">
        <w:t xml:space="preserve">October </w:t>
      </w:r>
      <w:r w:rsidRPr="00286E30" w:rsidR="00865266">
        <w:t>09</w:t>
      </w:r>
      <w:r w:rsidRPr="00286E30" w:rsidR="00BF4D5E">
        <w:t>, 202</w:t>
      </w:r>
      <w:r w:rsidRPr="00286E30" w:rsidR="00865266">
        <w:t>4</w:t>
      </w:r>
      <w:r w:rsidRPr="00286E30">
        <w:t>, from</w:t>
      </w:r>
      <w:r w:rsidRPr="00286E30" w:rsidR="00E61518">
        <w:t xml:space="preserve"> </w:t>
      </w:r>
      <w:hyperlink r:id="rId12" w:history="1">
        <w:r w:rsidRPr="006A52B0" w:rsidR="00045948">
          <w:rPr>
            <w:rStyle w:val="Hyperlink"/>
          </w:rPr>
          <w:t>https://uscode.house.gov/view.xhtml?req=(title:42%20section:300%20edition:prelim)</w:t>
        </w:r>
      </w:hyperlink>
      <w:r w:rsidR="00045948">
        <w:t xml:space="preserve"> </w:t>
      </w:r>
      <w:bookmarkEnd w:id="64"/>
    </w:p>
    <w:p w:rsidR="00CC2CEB" w:rsidP="00DC297F" w14:paraId="4E817012" w14:textId="56A9CA52">
      <w:pPr>
        <w:pStyle w:val="EndNoteBibliography"/>
        <w:numPr>
          <w:ilvl w:val="0"/>
          <w:numId w:val="40"/>
        </w:numPr>
        <w:spacing w:after="120"/>
        <w:ind w:left="360"/>
      </w:pPr>
      <w:bookmarkStart w:id="67" w:name="_ENREF_2"/>
      <w:bookmarkEnd w:id="65"/>
      <w:r w:rsidRPr="00286E30">
        <w:t>42 USC 300</w:t>
      </w:r>
      <w:r w:rsidR="00800F8C">
        <w:t>a-4</w:t>
      </w:r>
      <w:r w:rsidRPr="00A505F3" w:rsidR="00C754D1">
        <w:rPr>
          <w:i/>
          <w:iCs/>
        </w:rPr>
        <w:t>,</w:t>
      </w:r>
      <w:r w:rsidRPr="00A505F3">
        <w:rPr>
          <w:i/>
          <w:iCs/>
        </w:rPr>
        <w:t xml:space="preserve"> </w:t>
      </w:r>
      <w:r w:rsidRPr="00A505F3" w:rsidR="00786BAA">
        <w:rPr>
          <w:i/>
          <w:iCs/>
        </w:rPr>
        <w:t>Grants and contracts</w:t>
      </w:r>
      <w:r w:rsidRPr="00286E30">
        <w:t xml:space="preserve">. Retrieved </w:t>
      </w:r>
      <w:r w:rsidR="00786BAA">
        <w:t>January 2, 2025</w:t>
      </w:r>
      <w:r w:rsidRPr="00286E30">
        <w:t xml:space="preserve">, from </w:t>
      </w:r>
      <w:hyperlink r:id="rId13" w:history="1">
        <w:r w:rsidRPr="006A52B0" w:rsidR="00045948">
          <w:rPr>
            <w:rStyle w:val="Hyperlink"/>
          </w:rPr>
          <w:t>https://uscode.house.gov/view.xhtml?hl=false&amp;edition=prelim&amp;req=granuleid%3AUSC-prelim-title42-section300a-4</w:t>
        </w:r>
      </w:hyperlink>
      <w:r w:rsidR="00045948">
        <w:t xml:space="preserve"> </w:t>
      </w:r>
      <w:r w:rsidRPr="00126EE5" w:rsidR="00126EE5">
        <w:t xml:space="preserve"> </w:t>
      </w:r>
      <w:bookmarkStart w:id="68" w:name="_ENREF_3"/>
      <w:bookmarkEnd w:id="67"/>
    </w:p>
    <w:p w:rsidR="005B2DF9" w:rsidRPr="00286E30" w:rsidP="00DC297F" w14:paraId="732A3895" w14:textId="365C98F9">
      <w:pPr>
        <w:pStyle w:val="EndNoteBibliography"/>
        <w:numPr>
          <w:ilvl w:val="0"/>
          <w:numId w:val="40"/>
        </w:numPr>
        <w:spacing w:after="120"/>
        <w:ind w:left="360"/>
      </w:pPr>
      <w:r w:rsidRPr="00286E30">
        <w:t xml:space="preserve">42 Code of Federal Regulations (CFR) Part 59, </w:t>
      </w:r>
      <w:r w:rsidRPr="00A505F3">
        <w:rPr>
          <w:i/>
          <w:iCs/>
        </w:rPr>
        <w:t>Grants for Family Planning Services</w:t>
      </w:r>
      <w:r w:rsidRPr="00286E30">
        <w:t xml:space="preserve"> (</w:t>
      </w:r>
      <w:r w:rsidRPr="00286E30" w:rsidR="007A758D">
        <w:t>September 10, 2024</w:t>
      </w:r>
      <w:r w:rsidRPr="00286E30">
        <w:t xml:space="preserve">). Retrieved </w:t>
      </w:r>
      <w:r w:rsidRPr="00286E30" w:rsidR="007A758D">
        <w:t>September 10 2024</w:t>
      </w:r>
      <w:r w:rsidRPr="00286E30">
        <w:t xml:space="preserve">, from </w:t>
      </w:r>
      <w:hyperlink r:id="rId14" w:history="1">
        <w:r w:rsidRPr="006A52B0" w:rsidR="00045948">
          <w:rPr>
            <w:rStyle w:val="Hyperlink"/>
          </w:rPr>
          <w:t>https://www.ecfr.gov/current/title-42/chapter-I/subchapter-D/part-59</w:t>
        </w:r>
      </w:hyperlink>
      <w:r w:rsidR="00045948">
        <w:t xml:space="preserve"> </w:t>
      </w:r>
    </w:p>
    <w:p w:rsidR="005B2DF9" w:rsidRPr="00286E30" w:rsidP="000445F5" w14:paraId="142D12E8" w14:textId="70290512">
      <w:pPr>
        <w:pStyle w:val="EndNoteBibliography"/>
        <w:numPr>
          <w:ilvl w:val="0"/>
          <w:numId w:val="40"/>
        </w:numPr>
        <w:spacing w:after="120"/>
        <w:ind w:left="360"/>
      </w:pPr>
      <w:bookmarkStart w:id="69" w:name="_ENREF_5"/>
      <w:bookmarkEnd w:id="68"/>
      <w:r w:rsidRPr="00286E30">
        <w:t xml:space="preserve">Killewald, P., Leith, W., Paxton, N., Rosenthal, I., Troxel, J., Wong, M., &amp; Zief, S. (2024, September). </w:t>
      </w:r>
      <w:r w:rsidRPr="00A505F3">
        <w:rPr>
          <w:i/>
          <w:iCs/>
        </w:rPr>
        <w:t>Family planning annual report: 2023 national summary</w:t>
      </w:r>
      <w:r w:rsidRPr="00286E30">
        <w:t xml:space="preserve">. Office of Population Affairs, Office of the Assistant Secretary for Health, U.S. Department of Health and Human Services. Retrieved December 30, 2024, from </w:t>
      </w:r>
      <w:hyperlink r:id="rId15" w:history="1">
        <w:r w:rsidRPr="006A52B0" w:rsidR="00045948">
          <w:rPr>
            <w:rStyle w:val="Hyperlink"/>
          </w:rPr>
          <w:t>https://opa.hhs.gov/sites/default/files/2024-10/2023-FPAR-National-Summary-Report.pdf</w:t>
        </w:r>
      </w:hyperlink>
      <w:r w:rsidR="00045948">
        <w:t xml:space="preserve"> </w:t>
      </w:r>
      <w:r w:rsidRPr="00286E30" w:rsidR="003B2CE2">
        <w:t xml:space="preserve"> </w:t>
      </w:r>
      <w:bookmarkEnd w:id="69"/>
    </w:p>
    <w:p w:rsidR="005B2DF9" w:rsidRPr="00286E30" w:rsidP="000445F5" w14:paraId="203B037C" w14:textId="477E0034">
      <w:pPr>
        <w:pStyle w:val="EndNoteBibliography"/>
        <w:numPr>
          <w:ilvl w:val="0"/>
          <w:numId w:val="40"/>
        </w:numPr>
        <w:spacing w:after="120"/>
        <w:ind w:left="360"/>
      </w:pPr>
      <w:bookmarkStart w:id="70" w:name="_ENREF_6"/>
      <w:r w:rsidRPr="00286E30">
        <w:t xml:space="preserve">45 CFR Part 74, </w:t>
      </w:r>
      <w:r w:rsidRPr="00A505F3">
        <w:rPr>
          <w:i/>
          <w:iCs/>
        </w:rPr>
        <w:t>Uniform Administrative Requirements for Awards and Subawards to Institutions of Higher Education, Hospitals, Other Nonprofit Organizations, and Certain Grants and Agreements with States, Local Governments and Indian Tribal Governments</w:t>
      </w:r>
      <w:r w:rsidRPr="00286E30">
        <w:t xml:space="preserve">. Retrieved </w:t>
      </w:r>
      <w:r w:rsidRPr="00286E30" w:rsidR="00BF4D5E">
        <w:t>October 26, 2020</w:t>
      </w:r>
      <w:r w:rsidRPr="00286E30">
        <w:t xml:space="preserve">, from </w:t>
      </w:r>
      <w:hyperlink r:id="rId16" w:history="1">
        <w:r w:rsidRPr="006A52B0" w:rsidR="00045948">
          <w:rPr>
            <w:rStyle w:val="Hyperlink"/>
          </w:rPr>
          <w:t>https://www.govinfo.gov/content/pkg/CFR-2000-title45-vol1/pdf/CFR-2000-title45-vol1-part74.pdf</w:t>
        </w:r>
      </w:hyperlink>
      <w:r w:rsidR="00045948">
        <w:t xml:space="preserve"> </w:t>
      </w:r>
      <w:r w:rsidRPr="00286E30" w:rsidR="00774E99">
        <w:t xml:space="preserve">  </w:t>
      </w:r>
    </w:p>
    <w:p w:rsidR="005B2DF9" w:rsidRPr="00286E30" w:rsidP="000445F5" w14:paraId="13015E2D" w14:textId="0BB9980B">
      <w:pPr>
        <w:pStyle w:val="EndNoteBibliography"/>
        <w:numPr>
          <w:ilvl w:val="0"/>
          <w:numId w:val="40"/>
        </w:numPr>
        <w:spacing w:after="120"/>
        <w:ind w:left="360"/>
      </w:pPr>
      <w:bookmarkStart w:id="71" w:name="_ENREF_7"/>
      <w:bookmarkEnd w:id="70"/>
      <w:r w:rsidRPr="00286E30">
        <w:t xml:space="preserve">45 CFR Part 92, </w:t>
      </w:r>
      <w:r w:rsidRPr="00A505F3">
        <w:rPr>
          <w:i/>
          <w:iCs/>
        </w:rPr>
        <w:t>Uniform Administrative Requirements for Grants and Cooperative Agreements to State and Local Governments</w:t>
      </w:r>
      <w:r w:rsidRPr="00286E30">
        <w:t xml:space="preserve">. Retrieved </w:t>
      </w:r>
      <w:r w:rsidRPr="00286E30" w:rsidR="00BF4D5E">
        <w:t>October 26, 2020</w:t>
      </w:r>
      <w:r w:rsidRPr="00286E30">
        <w:t xml:space="preserve">, from </w:t>
      </w:r>
      <w:hyperlink r:id="rId17" w:history="1">
        <w:r w:rsidRPr="006A52B0" w:rsidR="00045948">
          <w:rPr>
            <w:rStyle w:val="Hyperlink"/>
          </w:rPr>
          <w:t>https://www.govinfo.gov/content/pkg/CFR-2011-title45-vol1/pdf/CFR-2011-title45-vol1-part92.pdf</w:t>
        </w:r>
      </w:hyperlink>
      <w:bookmarkEnd w:id="71"/>
      <w:r w:rsidR="00045948">
        <w:t xml:space="preserve"> </w:t>
      </w:r>
    </w:p>
    <w:p w:rsidR="005B2DF9" w:rsidRPr="00286E30" w:rsidP="000445F5" w14:paraId="3686ABAE" w14:textId="730ADF7D">
      <w:pPr>
        <w:pStyle w:val="EndNoteBibliography"/>
        <w:numPr>
          <w:ilvl w:val="0"/>
          <w:numId w:val="40"/>
        </w:numPr>
        <w:spacing w:after="120"/>
        <w:ind w:left="360"/>
      </w:pPr>
      <w:r w:rsidRPr="00097CE6">
        <w:t>HHS</w:t>
      </w:r>
      <w:r w:rsidR="0035136D">
        <w:t xml:space="preserve"> Office of Population Affairs</w:t>
      </w:r>
      <w:r w:rsidR="00F42F00">
        <w:t xml:space="preserve">. </w:t>
      </w:r>
      <w:r w:rsidRPr="00A505F3" w:rsidR="00F42F00">
        <w:rPr>
          <w:i/>
          <w:iCs/>
        </w:rPr>
        <w:t>Title X Program Expectations</w:t>
      </w:r>
      <w:r w:rsidR="00F42F00">
        <w:t xml:space="preserve">. </w:t>
      </w:r>
      <w:hyperlink r:id="rId18" w:history="1">
        <w:r w:rsidRPr="006A52B0" w:rsidR="00BA3C17">
          <w:rPr>
            <w:rStyle w:val="Hyperlink"/>
          </w:rPr>
          <w:t>https://opa.hhs.gov/grant-programs/title-x-service-grants/about-title-x-service-grants/title-x-program-expectations</w:t>
        </w:r>
      </w:hyperlink>
      <w:r w:rsidR="00045948">
        <w:t xml:space="preserve"> </w:t>
      </w:r>
      <w:r w:rsidR="00BA3C17">
        <w:t xml:space="preserve"> </w:t>
      </w:r>
    </w:p>
    <w:p w:rsidR="005B2DF9" w:rsidP="000445F5" w14:paraId="0FE92592" w14:textId="0D8E922C">
      <w:pPr>
        <w:pStyle w:val="EndNoteBibliography"/>
        <w:numPr>
          <w:ilvl w:val="0"/>
          <w:numId w:val="40"/>
        </w:numPr>
        <w:spacing w:after="120"/>
        <w:ind w:left="360"/>
      </w:pPr>
      <w:bookmarkStart w:id="72" w:name="_ENREF_10"/>
      <w:r w:rsidRPr="00286E30">
        <w:t>HHS Office of Population Affairs.</w:t>
      </w:r>
      <w:r w:rsidR="00417B06">
        <w:t xml:space="preserve"> (2022, July)</w:t>
      </w:r>
      <w:r w:rsidRPr="00286E30">
        <w:t xml:space="preserve"> </w:t>
      </w:r>
      <w:r w:rsidRPr="00A505F3" w:rsidR="0064727B">
        <w:rPr>
          <w:i/>
          <w:iCs/>
        </w:rPr>
        <w:t>Title X Program Handbook</w:t>
      </w:r>
      <w:r w:rsidRPr="00286E30">
        <w:t xml:space="preserve">. </w:t>
      </w:r>
      <w:hyperlink r:id="rId19" w:history="1">
        <w:r w:rsidRPr="006A52B0" w:rsidR="0050295D">
          <w:rPr>
            <w:rStyle w:val="Hyperlink"/>
          </w:rPr>
          <w:t>https://opa.hhs.gov/sites/default/files/2022-08/title-x-program-handbook-july-2022-508-updated.pdf</w:t>
        </w:r>
      </w:hyperlink>
      <w:r w:rsidR="00045948">
        <w:t xml:space="preserve"> </w:t>
      </w:r>
      <w:r w:rsidR="0050295D">
        <w:t xml:space="preserve"> </w:t>
      </w:r>
      <w:bookmarkEnd w:id="72"/>
    </w:p>
    <w:p w:rsidR="005B2DF9" w:rsidP="000445F5" w14:paraId="7E531073" w14:textId="1BFF24EF">
      <w:pPr>
        <w:pStyle w:val="EndNoteBibliography"/>
        <w:numPr>
          <w:ilvl w:val="0"/>
          <w:numId w:val="40"/>
        </w:numPr>
        <w:spacing w:after="120"/>
        <w:ind w:left="360"/>
      </w:pPr>
      <w:bookmarkStart w:id="73" w:name="_ENREF_11"/>
      <w:r w:rsidRPr="00286E30">
        <w:t xml:space="preserve">Gavin L, </w:t>
      </w:r>
      <w:r w:rsidRPr="00286E30" w:rsidR="005916B5">
        <w:t>Pazol</w:t>
      </w:r>
      <w:r w:rsidRPr="00286E30">
        <w:t xml:space="preserve"> </w:t>
      </w:r>
      <w:r w:rsidRPr="00286E30" w:rsidR="005916B5">
        <w:t>K</w:t>
      </w:r>
      <w:r w:rsidRPr="00286E30">
        <w:t xml:space="preserve">, </w:t>
      </w:r>
      <w:r w:rsidR="00CC0BF3">
        <w:t>Ahrens K</w:t>
      </w:r>
      <w:r w:rsidRPr="00286E30">
        <w:t xml:space="preserve">. </w:t>
      </w:r>
      <w:r w:rsidRPr="001602D4" w:rsidR="005916B5">
        <w:t xml:space="preserve">Update: </w:t>
      </w:r>
      <w:r w:rsidRPr="001602D4">
        <w:t>Providing Quality Family Planning Services Recommendations of CDC and the U.S. Office of Population Affairs</w:t>
      </w:r>
      <w:r w:rsidR="00CC0BF3">
        <w:t>, 2017</w:t>
      </w:r>
      <w:r w:rsidRPr="00286E30">
        <w:t xml:space="preserve"> </w:t>
      </w:r>
      <w:r w:rsidRPr="00A505F3" w:rsidR="00CB2228">
        <w:rPr>
          <w:i/>
          <w:iCs/>
        </w:rPr>
        <w:t>Morbidity and Mortality Weekly Report</w:t>
      </w:r>
      <w:r w:rsidRPr="00A505F3" w:rsidR="00634C9D">
        <w:rPr>
          <w:i/>
          <w:iCs/>
        </w:rPr>
        <w:t xml:space="preserve">, </w:t>
      </w:r>
      <w:r w:rsidRPr="00A505F3" w:rsidR="00AA4DDA">
        <w:rPr>
          <w:i/>
          <w:iCs/>
        </w:rPr>
        <w:t>66</w:t>
      </w:r>
      <w:r w:rsidR="00AA4DDA">
        <w:t xml:space="preserve">, 1381-1385. </w:t>
      </w:r>
      <w:bookmarkEnd w:id="73"/>
      <w:hyperlink r:id="rId20" w:history="1">
        <w:r w:rsidRPr="006A52B0" w:rsidR="00CC0BF3">
          <w:rPr>
            <w:rStyle w:val="Hyperlink"/>
          </w:rPr>
          <w:t>http://dx.doi.org/10.15585/mmwr.mm6650a4</w:t>
        </w:r>
      </w:hyperlink>
      <w:r w:rsidR="00045948">
        <w:t xml:space="preserve"> </w:t>
      </w:r>
      <w:r w:rsidR="00CC0BF3">
        <w:t xml:space="preserve"> </w:t>
      </w:r>
    </w:p>
    <w:p w:rsidR="0062258D" w:rsidP="000445F5" w14:paraId="542EB140" w14:textId="56B77993">
      <w:pPr>
        <w:pStyle w:val="EndNoteBibliography"/>
        <w:numPr>
          <w:ilvl w:val="0"/>
          <w:numId w:val="40"/>
        </w:numPr>
        <w:spacing w:after="120"/>
        <w:ind w:left="360"/>
      </w:pPr>
      <w:r>
        <w:t>Romer, Sarah E</w:t>
      </w:r>
      <w:r w:rsidR="00D81A51">
        <w:t xml:space="preserve">, et al. </w:t>
      </w:r>
      <w:r w:rsidRPr="00D81A51" w:rsidR="00D81A51">
        <w:t>Providing Quality Family Planning Services in the United States: Recommendations of the U.S. Office of Population Affairs (Revised 2024)</w:t>
      </w:r>
      <w:r w:rsidR="00D81A51">
        <w:t xml:space="preserve">. </w:t>
      </w:r>
      <w:r w:rsidRPr="00A505F3" w:rsidR="00D81A51">
        <w:rPr>
          <w:i/>
          <w:iCs/>
        </w:rPr>
        <w:t>American Journal of Preventive Medicine</w:t>
      </w:r>
      <w:r w:rsidR="001602D4">
        <w:rPr>
          <w:i/>
          <w:iCs/>
        </w:rPr>
        <w:t xml:space="preserve">, </w:t>
      </w:r>
      <w:r w:rsidR="008B04AA">
        <w:rPr>
          <w:i/>
          <w:iCs/>
        </w:rPr>
        <w:t>67</w:t>
      </w:r>
      <w:r w:rsidRPr="00A505F3" w:rsidR="008B04AA">
        <w:t>(6)</w:t>
      </w:r>
      <w:r w:rsidRPr="00A505F3" w:rsidR="00F50A70">
        <w:t xml:space="preserve"> S41-S86</w:t>
      </w:r>
      <w:r w:rsidR="00F50A70">
        <w:rPr>
          <w:i/>
          <w:iCs/>
        </w:rPr>
        <w:t xml:space="preserve">. </w:t>
      </w:r>
      <w:hyperlink r:id="rId21" w:history="1">
        <w:r w:rsidRPr="00A505F3" w:rsidR="00CC0BF3">
          <w:rPr>
            <w:rStyle w:val="Hyperlink"/>
          </w:rPr>
          <w:t>https://doi.org/10.1016/j.amepre.2024.09.007</w:t>
        </w:r>
      </w:hyperlink>
      <w:r w:rsidR="00045948">
        <w:t xml:space="preserve"> </w:t>
      </w:r>
      <w:r w:rsidR="00CC0BF3">
        <w:t xml:space="preserve"> </w:t>
      </w:r>
    </w:p>
    <w:p w:rsidR="005B2DF9" w:rsidP="000445F5" w14:paraId="476D34C8" w14:textId="2BA46717">
      <w:pPr>
        <w:pStyle w:val="EndNoteBibliography"/>
        <w:numPr>
          <w:ilvl w:val="0"/>
          <w:numId w:val="40"/>
        </w:numPr>
        <w:spacing w:after="120"/>
        <w:ind w:left="360"/>
      </w:pPr>
      <w:r>
        <w:t>HHS Heath Resources and Services Administration. (2025)</w:t>
      </w:r>
      <w:r w:rsidR="003F6922">
        <w:t xml:space="preserve">. </w:t>
      </w:r>
      <w:r w:rsidRPr="00A505F3" w:rsidR="003F6922">
        <w:rPr>
          <w:i/>
          <w:iCs/>
        </w:rPr>
        <w:t>Health Center Program Uniform Data System (UDS) Data Overview</w:t>
      </w:r>
      <w:r w:rsidR="003F6922">
        <w:rPr>
          <w:i/>
          <w:iCs/>
        </w:rPr>
        <w:t xml:space="preserve">. </w:t>
      </w:r>
      <w:hyperlink r:id="rId22" w:history="1">
        <w:r w:rsidRPr="00A505F3" w:rsidR="003F6922">
          <w:rPr>
            <w:rStyle w:val="Hyperlink"/>
          </w:rPr>
          <w:t>https://data.hrsa.gov/tools/data-reporting/program-dat</w:t>
        </w:r>
        <w:r w:rsidRPr="006A52B0" w:rsidR="003F6922">
          <w:rPr>
            <w:rStyle w:val="Hyperlink"/>
          </w:rPr>
          <w:t>a</w:t>
        </w:r>
      </w:hyperlink>
      <w:r w:rsidR="00045948">
        <w:t xml:space="preserve"> </w:t>
      </w:r>
      <w:r w:rsidR="003F6922">
        <w:t xml:space="preserve"> </w:t>
      </w:r>
    </w:p>
    <w:p w:rsidR="008D06EA" w:rsidRPr="003F6922" w:rsidP="000445F5" w14:paraId="51B55F83" w14:textId="57C65595">
      <w:pPr>
        <w:pStyle w:val="EndNoteBibliography"/>
        <w:numPr>
          <w:ilvl w:val="0"/>
          <w:numId w:val="40"/>
        </w:numPr>
        <w:spacing w:after="120"/>
        <w:ind w:left="360"/>
      </w:pPr>
      <w:r w:rsidRPr="00E56AA3">
        <w:t xml:space="preserve">Bernstein J, Chollet D, Peterson S. </w:t>
      </w:r>
      <w:r w:rsidR="004D4497">
        <w:t xml:space="preserve">(2010, April </w:t>
      </w:r>
      <w:r w:rsidR="00F6548A">
        <w:t xml:space="preserve">30). </w:t>
      </w:r>
      <w:r w:rsidRPr="00A505F3">
        <w:rPr>
          <w:i/>
          <w:iCs/>
        </w:rPr>
        <w:t>How Does Insurance Coverage Improve Health Outcomes?</w:t>
      </w:r>
      <w:r w:rsidRPr="00E56AA3">
        <w:t xml:space="preserve"> Mathematica Policy Research, Inc.</w:t>
      </w:r>
      <w:r w:rsidR="00E367BC">
        <w:t xml:space="preserve"> </w:t>
      </w:r>
      <w:hyperlink r:id="rId23" w:history="1">
        <w:r w:rsidRPr="006A52B0" w:rsidR="00E367BC">
          <w:rPr>
            <w:rStyle w:val="Hyperlink"/>
          </w:rPr>
          <w:t>https://www.mathematica.org/publications/how-does-insurance-coverage-improve-health-outcomes</w:t>
        </w:r>
      </w:hyperlink>
      <w:r w:rsidR="00045948">
        <w:t xml:space="preserve"> </w:t>
      </w:r>
      <w:r w:rsidR="00E367BC">
        <w:t xml:space="preserve"> </w:t>
      </w:r>
    </w:p>
    <w:p w:rsidR="005B2DF9" w:rsidP="000445F5" w14:paraId="438EBF56" w14:textId="2A951B50">
      <w:pPr>
        <w:pStyle w:val="EndNoteBibliography"/>
        <w:numPr>
          <w:ilvl w:val="0"/>
          <w:numId w:val="40"/>
        </w:numPr>
        <w:spacing w:after="120"/>
        <w:ind w:left="360"/>
      </w:pPr>
      <w:bookmarkStart w:id="74" w:name="_ENREF_15"/>
      <w:r>
        <w:t>KFF</w:t>
      </w:r>
      <w:r w:rsidRPr="00286E30">
        <w:t xml:space="preserve">. </w:t>
      </w:r>
      <w:r w:rsidR="001D2FD7">
        <w:t xml:space="preserve">(2024, December 12). </w:t>
      </w:r>
      <w:r w:rsidRPr="00A505F3">
        <w:rPr>
          <w:i/>
          <w:iCs/>
        </w:rPr>
        <w:t>Women's Health Insurance Coverage</w:t>
      </w:r>
      <w:r>
        <w:t xml:space="preserve">. </w:t>
      </w:r>
      <w:bookmarkEnd w:id="74"/>
      <w:hyperlink r:id="rId24" w:history="1">
        <w:r w:rsidRPr="006A52B0" w:rsidR="001C592A">
          <w:rPr>
            <w:rStyle w:val="Hyperlink"/>
          </w:rPr>
          <w:t>https://www.kff.org/womens-health-policy/fact-sheet/womens-health-insurance-coverage-fact-sheet/</w:t>
        </w:r>
      </w:hyperlink>
    </w:p>
    <w:p w:rsidR="005B2DF9" w:rsidP="000445F5" w14:paraId="62BF9E96" w14:textId="4D13718E">
      <w:pPr>
        <w:pStyle w:val="EndNoteBibliography"/>
        <w:numPr>
          <w:ilvl w:val="0"/>
          <w:numId w:val="40"/>
        </w:numPr>
        <w:spacing w:after="120"/>
        <w:ind w:left="360"/>
      </w:pPr>
      <w:r>
        <w:t>HHS</w:t>
      </w:r>
      <w:r w:rsidR="002C6107">
        <w:t xml:space="preserve">. (2024, December </w:t>
      </w:r>
      <w:r w:rsidR="00983C21">
        <w:t xml:space="preserve">6). </w:t>
      </w:r>
      <w:r w:rsidRPr="00A505F3" w:rsidR="002C6107">
        <w:rPr>
          <w:i/>
          <w:iCs/>
        </w:rPr>
        <w:t>Limited English Proficiency</w:t>
      </w:r>
      <w:r w:rsidR="002C6107">
        <w:t xml:space="preserve">. </w:t>
      </w:r>
      <w:hyperlink r:id="rId25" w:history="1">
        <w:r w:rsidRPr="006A52B0" w:rsidR="002C6107">
          <w:rPr>
            <w:rStyle w:val="Hyperlink"/>
          </w:rPr>
          <w:t>https://www.hhs.gov/civil-rights/for-individuals/special-topics/limited-english-proficiency/index.html</w:t>
        </w:r>
      </w:hyperlink>
      <w:r w:rsidR="00045948">
        <w:t xml:space="preserve"> </w:t>
      </w:r>
      <w:r w:rsidR="002C6107">
        <w:t xml:space="preserve"> </w:t>
      </w:r>
      <w:r w:rsidR="00045948">
        <w:t xml:space="preserve"> </w:t>
      </w:r>
    </w:p>
    <w:p w:rsidR="002452F9" w:rsidP="000445F5" w14:paraId="644A968E" w14:textId="4B7AC3DF">
      <w:pPr>
        <w:pStyle w:val="EndNoteBibliography"/>
        <w:numPr>
          <w:ilvl w:val="0"/>
          <w:numId w:val="40"/>
        </w:numPr>
        <w:spacing w:after="120"/>
        <w:ind w:left="360"/>
      </w:pPr>
      <w:r>
        <w:t xml:space="preserve">Office of Management and Budget. </w:t>
      </w:r>
      <w:r w:rsidR="00A27708">
        <w:t xml:space="preserve">(2024, October 17). </w:t>
      </w:r>
      <w:r w:rsidRPr="00A505F3" w:rsidR="00A27708">
        <w:rPr>
          <w:i/>
          <w:iCs/>
        </w:rPr>
        <w:t>OMB Statistical Policy Directive No. 15 on Race and Ethnicity Data Standards</w:t>
      </w:r>
      <w:r w:rsidR="00A27708">
        <w:t>.</w:t>
      </w:r>
      <w:r w:rsidRPr="00A27708" w:rsidR="00A27708">
        <w:t xml:space="preserve"> </w:t>
      </w:r>
      <w:hyperlink r:id="rId26" w:history="1">
        <w:r w:rsidRPr="006A52B0" w:rsidR="00A27708">
          <w:rPr>
            <w:rStyle w:val="Hyperlink"/>
          </w:rPr>
          <w:t>https://spd15revision.gov/</w:t>
        </w:r>
      </w:hyperlink>
      <w:r w:rsidR="00045948">
        <w:t xml:space="preserve"> </w:t>
      </w:r>
      <w:r w:rsidR="00A27708">
        <w:t xml:space="preserve"> </w:t>
      </w:r>
    </w:p>
    <w:p w:rsidR="00F67675" w:rsidP="000445F5" w14:paraId="21F15ADC" w14:textId="37A713FF">
      <w:pPr>
        <w:pStyle w:val="EndNoteBibliography"/>
        <w:numPr>
          <w:ilvl w:val="0"/>
          <w:numId w:val="40"/>
        </w:numPr>
        <w:spacing w:after="120"/>
        <w:ind w:left="360"/>
      </w:pPr>
      <w:r>
        <w:t xml:space="preserve">HealthIT.gov. </w:t>
      </w:r>
      <w:r w:rsidRPr="00A505F3">
        <w:rPr>
          <w:i/>
          <w:iCs/>
        </w:rPr>
        <w:t>United States Core Data for Interoperability (USCDI).</w:t>
      </w:r>
      <w:r>
        <w:t xml:space="preserve"> </w:t>
      </w:r>
      <w:r w:rsidRPr="005047E9" w:rsidR="005047E9">
        <w:t>Assistant Secretary for Technology Policy/Office of the National Coordinator for Health IT</w:t>
      </w:r>
      <w:r w:rsidR="005047E9">
        <w:t xml:space="preserve">. </w:t>
      </w:r>
      <w:hyperlink r:id="rId27" w:history="1">
        <w:r w:rsidRPr="006A52B0" w:rsidR="005047E9">
          <w:rPr>
            <w:rStyle w:val="Hyperlink"/>
          </w:rPr>
          <w:t>https://www.healthit.gov/isp/united-states-core-data-interoperability-uscdi</w:t>
        </w:r>
      </w:hyperlink>
      <w:r w:rsidR="00045948">
        <w:t xml:space="preserve"> </w:t>
      </w:r>
      <w:r w:rsidR="005047E9">
        <w:t xml:space="preserve"> </w:t>
      </w:r>
    </w:p>
    <w:p w:rsidR="009A12C9" w:rsidP="000445F5" w14:paraId="6FE72530" w14:textId="636C55BE">
      <w:pPr>
        <w:pStyle w:val="EndNoteBibliography"/>
        <w:numPr>
          <w:ilvl w:val="0"/>
          <w:numId w:val="40"/>
        </w:numPr>
        <w:spacing w:after="120"/>
        <w:ind w:left="360"/>
      </w:pPr>
      <w:r w:rsidRPr="009A12C9">
        <w:t>Health Data, Technology, and Interoperability: Patient Engagement, Information Sharing, and Public Health Interoperability</w:t>
      </w:r>
      <w:r w:rsidR="000948D8">
        <w:t>, 89 F</w:t>
      </w:r>
      <w:r w:rsidR="00C8736D">
        <w:t>.</w:t>
      </w:r>
      <w:r w:rsidR="000948D8">
        <w:t>R</w:t>
      </w:r>
      <w:r w:rsidR="00C8736D">
        <w:t>.,</w:t>
      </w:r>
      <w:r w:rsidR="000948D8">
        <w:t xml:space="preserve"> 63498</w:t>
      </w:r>
      <w:r w:rsidR="00A207FD">
        <w:t xml:space="preserve"> (</w:t>
      </w:r>
      <w:r w:rsidR="001F7647">
        <w:t xml:space="preserve">proposed </w:t>
      </w:r>
      <w:r w:rsidR="00A207FD">
        <w:t>August 5, 2024)</w:t>
      </w:r>
      <w:r w:rsidR="000948D8">
        <w:t xml:space="preserve"> (to be codified at 45 CFR pts. 170, 171, and 172). </w:t>
      </w:r>
      <w:hyperlink r:id="rId28" w:anchor="agency" w:history="1">
        <w:r w:rsidRPr="006A52B0" w:rsidR="00C8736D">
          <w:rPr>
            <w:rStyle w:val="Hyperlink"/>
          </w:rPr>
          <w:t>https://www.federalregister.gov/documents/2024/08/05/2024-14975/health-data-technology-and-interoperability-patient-engagement-information-sharing-and-public-health#agency</w:t>
        </w:r>
      </w:hyperlink>
      <w:r w:rsidR="00045948">
        <w:t xml:space="preserve"> </w:t>
      </w:r>
      <w:r w:rsidR="00C8736D">
        <w:t xml:space="preserve"> </w:t>
      </w:r>
    </w:p>
    <w:p w:rsidR="001E710B" w:rsidRPr="00286E30" w:rsidP="000445F5" w14:paraId="5E042903" w14:textId="039C329F">
      <w:pPr>
        <w:pStyle w:val="EndNoteBibliography"/>
        <w:numPr>
          <w:ilvl w:val="0"/>
          <w:numId w:val="40"/>
        </w:numPr>
        <w:spacing w:after="120"/>
        <w:ind w:left="360"/>
      </w:pPr>
      <w:r>
        <w:t>HealthIT.gov</w:t>
      </w:r>
      <w:r w:rsidR="00E370CA">
        <w:t xml:space="preserve">. (2024 July) </w:t>
      </w:r>
      <w:r w:rsidRPr="00A505F3" w:rsidR="00E370CA">
        <w:rPr>
          <w:i/>
          <w:iCs/>
        </w:rPr>
        <w:t>ONC Standards Bulletin – July 2024</w:t>
      </w:r>
      <w:r w:rsidR="00E370CA">
        <w:t xml:space="preserve">. </w:t>
      </w:r>
      <w:r w:rsidRPr="005047E9" w:rsidR="005047E9">
        <w:t>Assistant Secretary for Technology Policy/Office of the National Coordinator for Health IT</w:t>
      </w:r>
      <w:r w:rsidR="005047E9">
        <w:t xml:space="preserve">. </w:t>
      </w:r>
      <w:hyperlink r:id="rId29" w:history="1">
        <w:r w:rsidRPr="005047E9" w:rsidR="005047E9">
          <w:rPr>
            <w:rStyle w:val="Hyperlink"/>
          </w:rPr>
          <w:t>https://www.healthit.gov/topic/standardsbulletin_24-2</w:t>
        </w:r>
      </w:hyperlink>
      <w:r w:rsidR="00045948">
        <w:t xml:space="preserve"> </w:t>
      </w:r>
      <w:r w:rsidR="00E60D2D">
        <w:t xml:space="preserve"> </w:t>
      </w:r>
    </w:p>
    <w:p w:rsidR="005B2DF9" w:rsidRPr="00286E30" w:rsidP="000445F5" w14:paraId="6C33D886" w14:textId="1D0F6BB0">
      <w:pPr>
        <w:pStyle w:val="EndNoteBibliography"/>
        <w:numPr>
          <w:ilvl w:val="0"/>
          <w:numId w:val="40"/>
        </w:numPr>
        <w:spacing w:after="120"/>
        <w:ind w:left="360"/>
      </w:pPr>
      <w:bookmarkStart w:id="75" w:name="_ENREF_24"/>
      <w:r w:rsidRPr="00286E30">
        <w:t xml:space="preserve">Bureau of Labor Statistics. May </w:t>
      </w:r>
      <w:r w:rsidRPr="00286E30" w:rsidR="00B23888">
        <w:t>202</w:t>
      </w:r>
      <w:r w:rsidR="00865D8E">
        <w:t>3</w:t>
      </w:r>
      <w:r w:rsidRPr="00286E30" w:rsidR="00B23888">
        <w:t xml:space="preserve"> </w:t>
      </w:r>
      <w:r w:rsidRPr="00286E30">
        <w:t>National Industry-Specific Occupational Employment and Wage Estimates: Sector 62-Health Care and Social Assistance</w:t>
      </w:r>
      <w:r w:rsidRPr="00286E30" w:rsidR="00F5499B">
        <w:t xml:space="preserve">; </w:t>
      </w:r>
      <w:r w:rsidR="00865D8E">
        <w:t>April 2024</w:t>
      </w:r>
      <w:r w:rsidRPr="00286E30">
        <w:t>.</w:t>
      </w:r>
      <w:bookmarkEnd w:id="75"/>
      <w:r w:rsidRPr="00286E30" w:rsidR="002662EF">
        <w:t xml:space="preserve"> </w:t>
      </w:r>
      <w:hyperlink r:id="rId30" w:history="1">
        <w:r w:rsidRPr="00252A4B" w:rsidR="00FE18C3">
          <w:rPr>
            <w:rStyle w:val="Hyperlink"/>
          </w:rPr>
          <w:t>https://www.bls.gov/oes/2023/may/naics2_62.htm</w:t>
        </w:r>
      </w:hyperlink>
      <w:r w:rsidR="00FE18C3">
        <w:t xml:space="preserve"> </w:t>
      </w:r>
    </w:p>
    <w:p w:rsidR="004D5AE8" w:rsidP="00647AB1" w14:paraId="42464CA0" w14:textId="27BE409B">
      <w:pPr>
        <w:pStyle w:val="EndNoteBibliography"/>
        <w:spacing w:after="120"/>
      </w:pPr>
      <w:bookmarkStart w:id="76" w:name="lastplace"/>
      <w:bookmarkEnd w:id="63"/>
      <w:bookmarkEnd w:id="66"/>
      <w:bookmarkEnd w:id="76"/>
    </w:p>
    <w:p w:rsidR="000D768F" w:rsidRPr="00E56AA3" w:rsidP="00F423CD" w14:paraId="4404F725" w14:textId="77777777">
      <w:pPr>
        <w:spacing w:after="120"/>
        <w:ind w:left="360" w:hanging="360"/>
      </w:pPr>
    </w:p>
    <w:sectPr w:rsidSect="00760BBD">
      <w:pgSz w:w="12320" w:h="1580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36F" w:rsidP="00760BBD" w14:paraId="04AECCE9" w14:textId="126BF6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D9236F" w14:paraId="40F7B3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36F" w:rsidP="00760BBD" w14:paraId="13918447" w14:textId="63EEF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9236F" w14:paraId="508C43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F13" w14:paraId="0E0E57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3686B"/>
    <w:multiLevelType w:val="hybridMultilevel"/>
    <w:tmpl w:val="5838E728"/>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924FF0"/>
    <w:multiLevelType w:val="hybridMultilevel"/>
    <w:tmpl w:val="DA6E6BE4"/>
    <w:lvl w:ilvl="0">
      <w:start w:val="1"/>
      <w:numFmt w:val="bullet"/>
      <w:pStyle w:val="Style115ptBlackBefore6ptLinespacingAtleast14pt1"/>
      <w:lvlText w:val=""/>
      <w:lvlJc w:val="left"/>
      <w:pPr>
        <w:tabs>
          <w:tab w:val="num" w:pos="288"/>
        </w:tabs>
        <w:ind w:left="64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C949B0"/>
    <w:multiLevelType w:val="hybridMultilevel"/>
    <w:tmpl w:val="755A87DE"/>
    <w:lvl w:ilvl="0">
      <w:start w:val="1"/>
      <w:numFmt w:val="decimal"/>
      <w:pStyle w:val="Heading3"/>
      <w:lvlText w:val="%1."/>
      <w:lvlJc w:val="left"/>
      <w:pPr>
        <w:tabs>
          <w:tab w:val="num" w:pos="1252"/>
        </w:tabs>
        <w:ind w:left="1252" w:hanging="360"/>
      </w:pPr>
      <w:rPr>
        <w:rFonts w:hint="default"/>
        <w:b/>
      </w:rPr>
    </w:lvl>
    <w:lvl w:ilvl="1">
      <w:start w:val="1"/>
      <w:numFmt w:val="lowerLetter"/>
      <w:lvlText w:val="%2."/>
      <w:lvlJc w:val="left"/>
      <w:pPr>
        <w:tabs>
          <w:tab w:val="num" w:pos="1612"/>
        </w:tabs>
        <w:ind w:left="1612" w:hanging="360"/>
      </w:pPr>
      <w:rPr>
        <w:rFonts w:hint="default"/>
        <w:b/>
      </w:rPr>
    </w:lvl>
    <w:lvl w:ilvl="2">
      <w:start w:val="1"/>
      <w:numFmt w:val="lowerRoman"/>
      <w:lvlText w:val="%3."/>
      <w:lvlJc w:val="right"/>
      <w:pPr>
        <w:tabs>
          <w:tab w:val="num" w:pos="2332"/>
        </w:tabs>
        <w:ind w:left="2332" w:hanging="180"/>
      </w:pPr>
    </w:lvl>
    <w:lvl w:ilvl="3">
      <w:start w:val="1"/>
      <w:numFmt w:val="bullet"/>
      <w:lvlText w:val=""/>
      <w:lvlJc w:val="left"/>
      <w:pPr>
        <w:tabs>
          <w:tab w:val="num" w:pos="3052"/>
        </w:tabs>
        <w:ind w:left="3052" w:hanging="360"/>
      </w:pPr>
      <w:rPr>
        <w:rFonts w:ascii="Symbol" w:hAnsi="Symbol" w:hint="default"/>
      </w:rPr>
    </w:lvl>
    <w:lvl w:ilvl="4">
      <w:start w:val="2"/>
      <w:numFmt w:val="upperLetter"/>
      <w:lvlText w:val="%5."/>
      <w:lvlJc w:val="left"/>
      <w:pPr>
        <w:tabs>
          <w:tab w:val="num" w:pos="3772"/>
        </w:tabs>
        <w:ind w:left="3772" w:hanging="360"/>
      </w:pPr>
      <w:rPr>
        <w:rFonts w:hint="default"/>
      </w:rPr>
    </w:lvl>
    <w:lvl w:ilvl="5">
      <w:start w:val="1"/>
      <w:numFmt w:val="lowerRoman"/>
      <w:lvlText w:val="%6."/>
      <w:lvlJc w:val="right"/>
      <w:pPr>
        <w:tabs>
          <w:tab w:val="num" w:pos="4492"/>
        </w:tabs>
        <w:ind w:left="4492" w:hanging="180"/>
      </w:pPr>
    </w:lvl>
    <w:lvl w:ilvl="6" w:tentative="1">
      <w:start w:val="1"/>
      <w:numFmt w:val="decimal"/>
      <w:lvlText w:val="%7."/>
      <w:lvlJc w:val="left"/>
      <w:pPr>
        <w:tabs>
          <w:tab w:val="num" w:pos="5212"/>
        </w:tabs>
        <w:ind w:left="5212" w:hanging="360"/>
      </w:pPr>
    </w:lvl>
    <w:lvl w:ilvl="7" w:tentative="1">
      <w:start w:val="1"/>
      <w:numFmt w:val="lowerLetter"/>
      <w:lvlText w:val="%8."/>
      <w:lvlJc w:val="left"/>
      <w:pPr>
        <w:tabs>
          <w:tab w:val="num" w:pos="5932"/>
        </w:tabs>
        <w:ind w:left="5932" w:hanging="360"/>
      </w:pPr>
    </w:lvl>
    <w:lvl w:ilvl="8" w:tentative="1">
      <w:start w:val="1"/>
      <w:numFmt w:val="lowerRoman"/>
      <w:lvlText w:val="%9."/>
      <w:lvlJc w:val="right"/>
      <w:pPr>
        <w:tabs>
          <w:tab w:val="num" w:pos="6652"/>
        </w:tabs>
        <w:ind w:left="6652" w:hanging="180"/>
      </w:pPr>
    </w:lvl>
  </w:abstractNum>
  <w:abstractNum w:abstractNumId="4">
    <w:nsid w:val="100B2CCB"/>
    <w:multiLevelType w:val="hybridMultilevel"/>
    <w:tmpl w:val="52725A2A"/>
    <w:lvl w:ilvl="0">
      <w:start w:val="2"/>
      <w:numFmt w:val="bullet"/>
      <w:lvlText w:val="-"/>
      <w:lvlJc w:val="left"/>
      <w:pPr>
        <w:ind w:left="144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525449"/>
    <w:multiLevelType w:val="hybridMultilevel"/>
    <w:tmpl w:val="5B589DAA"/>
    <w:lvl w:ilvl="0">
      <w:start w:val="1"/>
      <w:numFmt w:val="bullet"/>
      <w:lvlText w:val=""/>
      <w:lvlJc w:val="left"/>
      <w:pPr>
        <w:ind w:left="1141" w:hanging="360"/>
      </w:pPr>
      <w:rPr>
        <w:rFonts w:ascii="Symbol" w:hAnsi="Symbol" w:hint="default"/>
      </w:rPr>
    </w:lvl>
    <w:lvl w:ilvl="1">
      <w:start w:val="1"/>
      <w:numFmt w:val="bullet"/>
      <w:lvlText w:val="o"/>
      <w:lvlJc w:val="left"/>
      <w:pPr>
        <w:ind w:left="1861" w:hanging="360"/>
      </w:pPr>
      <w:rPr>
        <w:rFonts w:ascii="Courier New" w:hAnsi="Courier New" w:cs="Courier New" w:hint="default"/>
      </w:rPr>
    </w:lvl>
    <w:lvl w:ilvl="2" w:tentative="1">
      <w:start w:val="1"/>
      <w:numFmt w:val="bullet"/>
      <w:lvlText w:val=""/>
      <w:lvlJc w:val="left"/>
      <w:pPr>
        <w:ind w:left="2581" w:hanging="360"/>
      </w:pPr>
      <w:rPr>
        <w:rFonts w:ascii="Wingdings" w:hAnsi="Wingdings" w:hint="default"/>
      </w:rPr>
    </w:lvl>
    <w:lvl w:ilvl="3" w:tentative="1">
      <w:start w:val="1"/>
      <w:numFmt w:val="bullet"/>
      <w:lvlText w:val=""/>
      <w:lvlJc w:val="left"/>
      <w:pPr>
        <w:ind w:left="3301" w:hanging="360"/>
      </w:pPr>
      <w:rPr>
        <w:rFonts w:ascii="Symbol" w:hAnsi="Symbol" w:hint="default"/>
      </w:rPr>
    </w:lvl>
    <w:lvl w:ilvl="4" w:tentative="1">
      <w:start w:val="1"/>
      <w:numFmt w:val="bullet"/>
      <w:lvlText w:val="o"/>
      <w:lvlJc w:val="left"/>
      <w:pPr>
        <w:ind w:left="4021" w:hanging="360"/>
      </w:pPr>
      <w:rPr>
        <w:rFonts w:ascii="Courier New" w:hAnsi="Courier New" w:cs="Courier New" w:hint="default"/>
      </w:rPr>
    </w:lvl>
    <w:lvl w:ilvl="5" w:tentative="1">
      <w:start w:val="1"/>
      <w:numFmt w:val="bullet"/>
      <w:lvlText w:val=""/>
      <w:lvlJc w:val="left"/>
      <w:pPr>
        <w:ind w:left="4741" w:hanging="360"/>
      </w:pPr>
      <w:rPr>
        <w:rFonts w:ascii="Wingdings" w:hAnsi="Wingdings" w:hint="default"/>
      </w:rPr>
    </w:lvl>
    <w:lvl w:ilvl="6" w:tentative="1">
      <w:start w:val="1"/>
      <w:numFmt w:val="bullet"/>
      <w:lvlText w:val=""/>
      <w:lvlJc w:val="left"/>
      <w:pPr>
        <w:ind w:left="5461" w:hanging="360"/>
      </w:pPr>
      <w:rPr>
        <w:rFonts w:ascii="Symbol" w:hAnsi="Symbol" w:hint="default"/>
      </w:rPr>
    </w:lvl>
    <w:lvl w:ilvl="7" w:tentative="1">
      <w:start w:val="1"/>
      <w:numFmt w:val="bullet"/>
      <w:lvlText w:val="o"/>
      <w:lvlJc w:val="left"/>
      <w:pPr>
        <w:ind w:left="6181" w:hanging="360"/>
      </w:pPr>
      <w:rPr>
        <w:rFonts w:ascii="Courier New" w:hAnsi="Courier New" w:cs="Courier New" w:hint="default"/>
      </w:rPr>
    </w:lvl>
    <w:lvl w:ilvl="8" w:tentative="1">
      <w:start w:val="1"/>
      <w:numFmt w:val="bullet"/>
      <w:lvlText w:val=""/>
      <w:lvlJc w:val="left"/>
      <w:pPr>
        <w:ind w:left="6901" w:hanging="360"/>
      </w:pPr>
      <w:rPr>
        <w:rFonts w:ascii="Wingdings" w:hAnsi="Wingdings" w:hint="default"/>
      </w:rPr>
    </w:lvl>
  </w:abstractNum>
  <w:abstractNum w:abstractNumId="6">
    <w:nsid w:val="177F08D2"/>
    <w:multiLevelType w:val="hybridMultilevel"/>
    <w:tmpl w:val="372E62BA"/>
    <w:lvl w:ilvl="0">
      <w:start w:val="1"/>
      <w:numFmt w:val="bullet"/>
      <w:lvlText w:val=""/>
      <w:lvlJc w:val="left"/>
      <w:pPr>
        <w:ind w:left="1138" w:hanging="360"/>
      </w:pPr>
      <w:rPr>
        <w:rFonts w:ascii="Symbol" w:hAnsi="Symbol" w:hint="default"/>
      </w:rPr>
    </w:lvl>
    <w:lvl w:ilvl="1">
      <w:start w:val="1"/>
      <w:numFmt w:val="bullet"/>
      <w:lvlText w:val="o"/>
      <w:lvlJc w:val="left"/>
      <w:pPr>
        <w:ind w:left="1858" w:hanging="360"/>
      </w:pPr>
      <w:rPr>
        <w:rFonts w:ascii="Courier New" w:hAnsi="Courier New" w:cs="Courier New" w:hint="default"/>
      </w:rPr>
    </w:lvl>
    <w:lvl w:ilvl="2">
      <w:start w:val="1"/>
      <w:numFmt w:val="bullet"/>
      <w:lvlText w:val=""/>
      <w:lvlJc w:val="left"/>
      <w:pPr>
        <w:ind w:left="2578" w:hanging="360"/>
      </w:pPr>
      <w:rPr>
        <w:rFonts w:ascii="Wingdings" w:hAnsi="Wingdings" w:hint="default"/>
      </w:rPr>
    </w:lvl>
    <w:lvl w:ilvl="3" w:tentative="1">
      <w:start w:val="1"/>
      <w:numFmt w:val="bullet"/>
      <w:lvlText w:val=""/>
      <w:lvlJc w:val="left"/>
      <w:pPr>
        <w:ind w:left="3298" w:hanging="360"/>
      </w:pPr>
      <w:rPr>
        <w:rFonts w:ascii="Symbol" w:hAnsi="Symbol" w:hint="default"/>
      </w:rPr>
    </w:lvl>
    <w:lvl w:ilvl="4" w:tentative="1">
      <w:start w:val="1"/>
      <w:numFmt w:val="bullet"/>
      <w:lvlText w:val="o"/>
      <w:lvlJc w:val="left"/>
      <w:pPr>
        <w:ind w:left="4018" w:hanging="360"/>
      </w:pPr>
      <w:rPr>
        <w:rFonts w:ascii="Courier New" w:hAnsi="Courier New" w:cs="Courier New" w:hint="default"/>
      </w:rPr>
    </w:lvl>
    <w:lvl w:ilvl="5" w:tentative="1">
      <w:start w:val="1"/>
      <w:numFmt w:val="bullet"/>
      <w:lvlText w:val=""/>
      <w:lvlJc w:val="left"/>
      <w:pPr>
        <w:ind w:left="4738" w:hanging="360"/>
      </w:pPr>
      <w:rPr>
        <w:rFonts w:ascii="Wingdings" w:hAnsi="Wingdings" w:hint="default"/>
      </w:rPr>
    </w:lvl>
    <w:lvl w:ilvl="6" w:tentative="1">
      <w:start w:val="1"/>
      <w:numFmt w:val="bullet"/>
      <w:lvlText w:val=""/>
      <w:lvlJc w:val="left"/>
      <w:pPr>
        <w:ind w:left="5458" w:hanging="360"/>
      </w:pPr>
      <w:rPr>
        <w:rFonts w:ascii="Symbol" w:hAnsi="Symbol" w:hint="default"/>
      </w:rPr>
    </w:lvl>
    <w:lvl w:ilvl="7" w:tentative="1">
      <w:start w:val="1"/>
      <w:numFmt w:val="bullet"/>
      <w:lvlText w:val="o"/>
      <w:lvlJc w:val="left"/>
      <w:pPr>
        <w:ind w:left="6178" w:hanging="360"/>
      </w:pPr>
      <w:rPr>
        <w:rFonts w:ascii="Courier New" w:hAnsi="Courier New" w:cs="Courier New" w:hint="default"/>
      </w:rPr>
    </w:lvl>
    <w:lvl w:ilvl="8" w:tentative="1">
      <w:start w:val="1"/>
      <w:numFmt w:val="bullet"/>
      <w:lvlText w:val=""/>
      <w:lvlJc w:val="left"/>
      <w:pPr>
        <w:ind w:left="6898" w:hanging="360"/>
      </w:pPr>
      <w:rPr>
        <w:rFonts w:ascii="Wingdings" w:hAnsi="Wingdings" w:hint="default"/>
      </w:rPr>
    </w:lvl>
  </w:abstractNum>
  <w:abstractNum w:abstractNumId="7">
    <w:nsid w:val="1F332443"/>
    <w:multiLevelType w:val="hybridMultilevel"/>
    <w:tmpl w:val="BA1E8A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341D1E"/>
    <w:multiLevelType w:val="hybridMultilevel"/>
    <w:tmpl w:val="651439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406877"/>
    <w:multiLevelType w:val="hybridMultilevel"/>
    <w:tmpl w:val="E8C099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12E1B9D"/>
    <w:multiLevelType w:val="hybridMultilevel"/>
    <w:tmpl w:val="05D61A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413703"/>
    <w:multiLevelType w:val="hybridMultilevel"/>
    <w:tmpl w:val="7AD4BD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F976CB"/>
    <w:multiLevelType w:val="multilevel"/>
    <w:tmpl w:val="3B187C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75227"/>
    <w:multiLevelType w:val="hybridMultilevel"/>
    <w:tmpl w:val="2F3C66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B97E3D"/>
    <w:multiLevelType w:val="hybridMultilevel"/>
    <w:tmpl w:val="7EA4ED7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43D0A4A"/>
    <w:multiLevelType w:val="hybridMultilevel"/>
    <w:tmpl w:val="AE706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A1D7109"/>
    <w:multiLevelType w:val="hybridMultilevel"/>
    <w:tmpl w:val="8F8668FE"/>
    <w:lvl w:ilvl="0">
      <w:start w:val="1"/>
      <w:numFmt w:val="decimal"/>
      <w:lvlText w:val="%1."/>
      <w:lvlJc w:val="left"/>
      <w:pPr>
        <w:tabs>
          <w:tab w:val="num" w:pos="1252"/>
        </w:tabs>
        <w:ind w:left="1252" w:hanging="360"/>
      </w:pPr>
      <w:rPr>
        <w:b/>
      </w:rPr>
    </w:lvl>
    <w:lvl w:ilvl="1">
      <w:start w:val="1"/>
      <w:numFmt w:val="lowerLetter"/>
      <w:lvlText w:val="%2."/>
      <w:lvlJc w:val="left"/>
      <w:pPr>
        <w:tabs>
          <w:tab w:val="num" w:pos="1612"/>
        </w:tabs>
        <w:ind w:left="1612" w:hanging="360"/>
      </w:pPr>
      <w:rPr>
        <w:rFonts w:hint="default"/>
        <w:b/>
      </w:rPr>
    </w:lvl>
    <w:lvl w:ilvl="2">
      <w:start w:val="1"/>
      <w:numFmt w:val="lowerRoman"/>
      <w:lvlText w:val="%3."/>
      <w:lvlJc w:val="right"/>
      <w:pPr>
        <w:tabs>
          <w:tab w:val="num" w:pos="2332"/>
        </w:tabs>
        <w:ind w:left="2332" w:hanging="180"/>
      </w:pPr>
    </w:lvl>
    <w:lvl w:ilvl="3">
      <w:start w:val="1"/>
      <w:numFmt w:val="bullet"/>
      <w:lvlText w:val=""/>
      <w:lvlJc w:val="left"/>
      <w:pPr>
        <w:tabs>
          <w:tab w:val="num" w:pos="3052"/>
        </w:tabs>
        <w:ind w:left="3052" w:hanging="360"/>
      </w:pPr>
      <w:rPr>
        <w:rFonts w:ascii="Symbol" w:hAnsi="Symbol" w:hint="default"/>
      </w:rPr>
    </w:lvl>
    <w:lvl w:ilvl="4">
      <w:start w:val="2"/>
      <w:numFmt w:val="upperLetter"/>
      <w:lvlText w:val="%5."/>
      <w:lvlJc w:val="left"/>
      <w:pPr>
        <w:tabs>
          <w:tab w:val="num" w:pos="3772"/>
        </w:tabs>
        <w:ind w:left="3772" w:hanging="360"/>
      </w:pPr>
      <w:rPr>
        <w:rFonts w:hint="default"/>
      </w:rPr>
    </w:lvl>
    <w:lvl w:ilvl="5">
      <w:start w:val="1"/>
      <w:numFmt w:val="lowerRoman"/>
      <w:lvlText w:val="%6."/>
      <w:lvlJc w:val="right"/>
      <w:pPr>
        <w:tabs>
          <w:tab w:val="num" w:pos="4492"/>
        </w:tabs>
        <w:ind w:left="4492" w:hanging="180"/>
      </w:pPr>
    </w:lvl>
    <w:lvl w:ilvl="6" w:tentative="1">
      <w:start w:val="1"/>
      <w:numFmt w:val="decimal"/>
      <w:lvlText w:val="%7."/>
      <w:lvlJc w:val="left"/>
      <w:pPr>
        <w:tabs>
          <w:tab w:val="num" w:pos="5212"/>
        </w:tabs>
        <w:ind w:left="5212" w:hanging="360"/>
      </w:pPr>
    </w:lvl>
    <w:lvl w:ilvl="7" w:tentative="1">
      <w:start w:val="1"/>
      <w:numFmt w:val="lowerLetter"/>
      <w:lvlText w:val="%8."/>
      <w:lvlJc w:val="left"/>
      <w:pPr>
        <w:tabs>
          <w:tab w:val="num" w:pos="5932"/>
        </w:tabs>
        <w:ind w:left="5932" w:hanging="360"/>
      </w:pPr>
    </w:lvl>
    <w:lvl w:ilvl="8" w:tentative="1">
      <w:start w:val="1"/>
      <w:numFmt w:val="lowerRoman"/>
      <w:lvlText w:val="%9."/>
      <w:lvlJc w:val="right"/>
      <w:pPr>
        <w:tabs>
          <w:tab w:val="num" w:pos="6652"/>
        </w:tabs>
        <w:ind w:left="6652" w:hanging="180"/>
      </w:pPr>
    </w:lvl>
  </w:abstractNum>
  <w:abstractNum w:abstractNumId="17">
    <w:nsid w:val="4BCA4D3B"/>
    <w:multiLevelType w:val="hybridMultilevel"/>
    <w:tmpl w:val="6DD8909A"/>
    <w:lvl w:ilvl="0">
      <w:start w:val="5"/>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C732766"/>
    <w:multiLevelType w:val="hybridMultilevel"/>
    <w:tmpl w:val="5B4AB5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B773F40"/>
    <w:multiLevelType w:val="hybridMultilevel"/>
    <w:tmpl w:val="8BD26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E076FD"/>
    <w:multiLevelType w:val="hybridMultilevel"/>
    <w:tmpl w:val="CBBEEF2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1A54B0A"/>
    <w:multiLevelType w:val="hybridMultilevel"/>
    <w:tmpl w:val="00AADB1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54374E6"/>
    <w:multiLevelType w:val="hybridMultilevel"/>
    <w:tmpl w:val="FA5887D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3">
    <w:nsid w:val="65D455BD"/>
    <w:multiLevelType w:val="multilevel"/>
    <w:tmpl w:val="F3BA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59161D"/>
    <w:multiLevelType w:val="hybridMultilevel"/>
    <w:tmpl w:val="E51A9BBC"/>
    <w:lvl w:ilvl="0">
      <w:start w:val="1"/>
      <w:numFmt w:val="decimal"/>
      <w:lvlText w:val="%1."/>
      <w:lvlJc w:val="left"/>
      <w:pPr>
        <w:tabs>
          <w:tab w:val="num" w:pos="1252"/>
        </w:tabs>
        <w:ind w:left="1252" w:hanging="360"/>
      </w:pPr>
      <w:rPr>
        <w:rFonts w:hint="default"/>
        <w:b/>
      </w:rPr>
    </w:lvl>
    <w:lvl w:ilvl="1">
      <w:start w:val="1"/>
      <w:numFmt w:val="lowerLetter"/>
      <w:lvlText w:val="%2."/>
      <w:lvlJc w:val="left"/>
      <w:pPr>
        <w:tabs>
          <w:tab w:val="num" w:pos="1612"/>
        </w:tabs>
        <w:ind w:left="1612" w:hanging="360"/>
      </w:pPr>
      <w:rPr>
        <w:rFonts w:hint="default"/>
        <w:b/>
      </w:rPr>
    </w:lvl>
    <w:lvl w:ilvl="2">
      <w:start w:val="1"/>
      <w:numFmt w:val="lowerRoman"/>
      <w:lvlText w:val="%3."/>
      <w:lvlJc w:val="right"/>
      <w:pPr>
        <w:tabs>
          <w:tab w:val="num" w:pos="2332"/>
        </w:tabs>
        <w:ind w:left="2332" w:hanging="180"/>
      </w:pPr>
    </w:lvl>
    <w:lvl w:ilvl="3">
      <w:start w:val="1"/>
      <w:numFmt w:val="bullet"/>
      <w:lvlText w:val=""/>
      <w:lvlJc w:val="left"/>
      <w:pPr>
        <w:tabs>
          <w:tab w:val="num" w:pos="3052"/>
        </w:tabs>
        <w:ind w:left="3052" w:hanging="360"/>
      </w:pPr>
      <w:rPr>
        <w:rFonts w:ascii="Symbol" w:hAnsi="Symbol" w:hint="default"/>
      </w:rPr>
    </w:lvl>
    <w:lvl w:ilvl="4">
      <w:start w:val="2"/>
      <w:numFmt w:val="upperLetter"/>
      <w:lvlText w:val="%5."/>
      <w:lvlJc w:val="left"/>
      <w:pPr>
        <w:tabs>
          <w:tab w:val="num" w:pos="3772"/>
        </w:tabs>
        <w:ind w:left="3772" w:hanging="360"/>
      </w:pPr>
      <w:rPr>
        <w:rFonts w:hint="default"/>
      </w:rPr>
    </w:lvl>
    <w:lvl w:ilvl="5">
      <w:start w:val="1"/>
      <w:numFmt w:val="lowerRoman"/>
      <w:lvlText w:val="%6."/>
      <w:lvlJc w:val="right"/>
      <w:pPr>
        <w:tabs>
          <w:tab w:val="num" w:pos="4492"/>
        </w:tabs>
        <w:ind w:left="4492" w:hanging="180"/>
      </w:pPr>
    </w:lvl>
    <w:lvl w:ilvl="6" w:tentative="1">
      <w:start w:val="1"/>
      <w:numFmt w:val="decimal"/>
      <w:lvlText w:val="%7."/>
      <w:lvlJc w:val="left"/>
      <w:pPr>
        <w:tabs>
          <w:tab w:val="num" w:pos="5212"/>
        </w:tabs>
        <w:ind w:left="5212" w:hanging="360"/>
      </w:pPr>
    </w:lvl>
    <w:lvl w:ilvl="7" w:tentative="1">
      <w:start w:val="1"/>
      <w:numFmt w:val="lowerLetter"/>
      <w:lvlText w:val="%8."/>
      <w:lvlJc w:val="left"/>
      <w:pPr>
        <w:tabs>
          <w:tab w:val="num" w:pos="5932"/>
        </w:tabs>
        <w:ind w:left="5932" w:hanging="360"/>
      </w:pPr>
    </w:lvl>
    <w:lvl w:ilvl="8" w:tentative="1">
      <w:start w:val="1"/>
      <w:numFmt w:val="lowerRoman"/>
      <w:lvlText w:val="%9."/>
      <w:lvlJc w:val="right"/>
      <w:pPr>
        <w:tabs>
          <w:tab w:val="num" w:pos="6652"/>
        </w:tabs>
        <w:ind w:left="6652" w:hanging="180"/>
      </w:pPr>
    </w:lvl>
  </w:abstractNum>
  <w:abstractNum w:abstractNumId="25">
    <w:nsid w:val="6BF3203E"/>
    <w:multiLevelType w:val="hybridMultilevel"/>
    <w:tmpl w:val="2B723CA2"/>
    <w:lvl w:ilvl="0">
      <w:start w:val="2"/>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6CFE08C8"/>
    <w:multiLevelType w:val="hybridMultilevel"/>
    <w:tmpl w:val="303A7E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37C1D4F"/>
    <w:multiLevelType w:val="hybridMultilevel"/>
    <w:tmpl w:val="3F84085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8">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7A3A6645"/>
    <w:multiLevelType w:val="hybridMultilevel"/>
    <w:tmpl w:val="C53C14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750E8F"/>
    <w:multiLevelType w:val="hybridMultilevel"/>
    <w:tmpl w:val="672672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41437046">
    <w:abstractNumId w:val="16"/>
  </w:num>
  <w:num w:numId="2" w16cid:durableId="523522139">
    <w:abstractNumId w:val="1"/>
  </w:num>
  <w:num w:numId="3" w16cid:durableId="1982614825">
    <w:abstractNumId w:val="2"/>
  </w:num>
  <w:num w:numId="4" w16cid:durableId="1708026642">
    <w:abstractNumId w:val="0"/>
  </w:num>
  <w:num w:numId="5" w16cid:durableId="20605887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47230">
    <w:abstractNumId w:val="10"/>
  </w:num>
  <w:num w:numId="7" w16cid:durableId="1311640601">
    <w:abstractNumId w:val="20"/>
  </w:num>
  <w:num w:numId="8" w16cid:durableId="367073685">
    <w:abstractNumId w:val="16"/>
  </w:num>
  <w:num w:numId="9" w16cid:durableId="105462865">
    <w:abstractNumId w:val="28"/>
  </w:num>
  <w:num w:numId="10" w16cid:durableId="1946385124">
    <w:abstractNumId w:val="16"/>
  </w:num>
  <w:num w:numId="11" w16cid:durableId="1546138386">
    <w:abstractNumId w:val="9"/>
  </w:num>
  <w:num w:numId="12" w16cid:durableId="49810212">
    <w:abstractNumId w:val="21"/>
  </w:num>
  <w:num w:numId="13" w16cid:durableId="1830560386">
    <w:abstractNumId w:val="23"/>
  </w:num>
  <w:num w:numId="14" w16cid:durableId="1501233737">
    <w:abstractNumId w:val="11"/>
  </w:num>
  <w:num w:numId="15" w16cid:durableId="7680156">
    <w:abstractNumId w:val="16"/>
  </w:num>
  <w:num w:numId="16" w16cid:durableId="392394438">
    <w:abstractNumId w:val="24"/>
  </w:num>
  <w:num w:numId="17" w16cid:durableId="148448451">
    <w:abstractNumId w:val="24"/>
  </w:num>
  <w:num w:numId="18" w16cid:durableId="1770394319">
    <w:abstractNumId w:val="3"/>
  </w:num>
  <w:num w:numId="19" w16cid:durableId="1815877777">
    <w:abstractNumId w:val="3"/>
    <w:lvlOverride w:ilvl="0">
      <w:startOverride w:val="1"/>
    </w:lvlOverride>
  </w:num>
  <w:num w:numId="20" w16cid:durableId="778381071">
    <w:abstractNumId w:val="3"/>
  </w:num>
  <w:num w:numId="21" w16cid:durableId="1026248451">
    <w:abstractNumId w:val="3"/>
  </w:num>
  <w:num w:numId="22" w16cid:durableId="2084133144">
    <w:abstractNumId w:val="3"/>
  </w:num>
  <w:num w:numId="23" w16cid:durableId="1753700153">
    <w:abstractNumId w:val="3"/>
  </w:num>
  <w:num w:numId="24" w16cid:durableId="1645281295">
    <w:abstractNumId w:val="3"/>
  </w:num>
  <w:num w:numId="25" w16cid:durableId="248657192">
    <w:abstractNumId w:val="3"/>
  </w:num>
  <w:num w:numId="26" w16cid:durableId="456919428">
    <w:abstractNumId w:val="3"/>
  </w:num>
  <w:num w:numId="27" w16cid:durableId="1364750803">
    <w:abstractNumId w:val="12"/>
  </w:num>
  <w:num w:numId="28" w16cid:durableId="1525559351">
    <w:abstractNumId w:val="2"/>
  </w:num>
  <w:num w:numId="29" w16cid:durableId="1375157886">
    <w:abstractNumId w:val="2"/>
  </w:num>
  <w:num w:numId="30" w16cid:durableId="547227237">
    <w:abstractNumId w:val="3"/>
  </w:num>
  <w:num w:numId="31" w16cid:durableId="978000445">
    <w:abstractNumId w:val="5"/>
  </w:num>
  <w:num w:numId="32" w16cid:durableId="899906372">
    <w:abstractNumId w:val="30"/>
  </w:num>
  <w:num w:numId="33" w16cid:durableId="1445999013">
    <w:abstractNumId w:val="13"/>
  </w:num>
  <w:num w:numId="34" w16cid:durableId="1767800208">
    <w:abstractNumId w:val="19"/>
  </w:num>
  <w:num w:numId="35" w16cid:durableId="966542508">
    <w:abstractNumId w:val="25"/>
  </w:num>
  <w:num w:numId="36" w16cid:durableId="423307819">
    <w:abstractNumId w:val="4"/>
  </w:num>
  <w:num w:numId="37" w16cid:durableId="67576344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3414122">
    <w:abstractNumId w:val="18"/>
  </w:num>
  <w:num w:numId="39" w16cid:durableId="232132528">
    <w:abstractNumId w:val="14"/>
  </w:num>
  <w:num w:numId="40" w16cid:durableId="1736776759">
    <w:abstractNumId w:val="8"/>
  </w:num>
  <w:num w:numId="41" w16cid:durableId="1573271903">
    <w:abstractNumId w:val="6"/>
  </w:num>
  <w:num w:numId="42" w16cid:durableId="647704342">
    <w:abstractNumId w:val="7"/>
  </w:num>
  <w:num w:numId="43" w16cid:durableId="1253856390">
    <w:abstractNumId w:val="29"/>
  </w:num>
  <w:num w:numId="44" w16cid:durableId="1855144127">
    <w:abstractNumId w:val="26"/>
  </w:num>
  <w:num w:numId="45" w16cid:durableId="114950954">
    <w:abstractNumId w:val="27"/>
  </w:num>
  <w:num w:numId="46" w16cid:durableId="13862916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DD"/>
    <w:rsid w:val="0000064E"/>
    <w:rsid w:val="00001796"/>
    <w:rsid w:val="00001981"/>
    <w:rsid w:val="00003250"/>
    <w:rsid w:val="00005982"/>
    <w:rsid w:val="00011AB6"/>
    <w:rsid w:val="00011D2F"/>
    <w:rsid w:val="00012A2B"/>
    <w:rsid w:val="00013C33"/>
    <w:rsid w:val="0001670F"/>
    <w:rsid w:val="00016764"/>
    <w:rsid w:val="0002120C"/>
    <w:rsid w:val="00025C11"/>
    <w:rsid w:val="00027254"/>
    <w:rsid w:val="0002741B"/>
    <w:rsid w:val="000302E0"/>
    <w:rsid w:val="000323FD"/>
    <w:rsid w:val="0003502B"/>
    <w:rsid w:val="00035F93"/>
    <w:rsid w:val="00040734"/>
    <w:rsid w:val="000411F3"/>
    <w:rsid w:val="0004153F"/>
    <w:rsid w:val="00041845"/>
    <w:rsid w:val="00042CC6"/>
    <w:rsid w:val="000434D5"/>
    <w:rsid w:val="00043B68"/>
    <w:rsid w:val="000445F5"/>
    <w:rsid w:val="00045710"/>
    <w:rsid w:val="00045948"/>
    <w:rsid w:val="00046D92"/>
    <w:rsid w:val="00047A3E"/>
    <w:rsid w:val="00050AAC"/>
    <w:rsid w:val="00050AB7"/>
    <w:rsid w:val="0005360B"/>
    <w:rsid w:val="00053B3B"/>
    <w:rsid w:val="00054560"/>
    <w:rsid w:val="000547D9"/>
    <w:rsid w:val="00055F46"/>
    <w:rsid w:val="0005714E"/>
    <w:rsid w:val="000579D2"/>
    <w:rsid w:val="00060095"/>
    <w:rsid w:val="00060281"/>
    <w:rsid w:val="000615CC"/>
    <w:rsid w:val="00067119"/>
    <w:rsid w:val="0006770E"/>
    <w:rsid w:val="00070B4A"/>
    <w:rsid w:val="00070ED3"/>
    <w:rsid w:val="00076408"/>
    <w:rsid w:val="00080B60"/>
    <w:rsid w:val="000922E7"/>
    <w:rsid w:val="00093C70"/>
    <w:rsid w:val="000948D8"/>
    <w:rsid w:val="00095A76"/>
    <w:rsid w:val="00095E6F"/>
    <w:rsid w:val="00097B19"/>
    <w:rsid w:val="00097CE6"/>
    <w:rsid w:val="000A362C"/>
    <w:rsid w:val="000A652D"/>
    <w:rsid w:val="000B17C7"/>
    <w:rsid w:val="000B1A62"/>
    <w:rsid w:val="000B22CF"/>
    <w:rsid w:val="000B4CF2"/>
    <w:rsid w:val="000B7D3B"/>
    <w:rsid w:val="000C0285"/>
    <w:rsid w:val="000C03D3"/>
    <w:rsid w:val="000C0656"/>
    <w:rsid w:val="000C1545"/>
    <w:rsid w:val="000C1E59"/>
    <w:rsid w:val="000C204C"/>
    <w:rsid w:val="000C4D85"/>
    <w:rsid w:val="000C6443"/>
    <w:rsid w:val="000C7C08"/>
    <w:rsid w:val="000D4D0D"/>
    <w:rsid w:val="000D6BA0"/>
    <w:rsid w:val="000D764F"/>
    <w:rsid w:val="000D768F"/>
    <w:rsid w:val="000D7DB5"/>
    <w:rsid w:val="000E081B"/>
    <w:rsid w:val="000E13C5"/>
    <w:rsid w:val="000E23D4"/>
    <w:rsid w:val="000E25C6"/>
    <w:rsid w:val="000E3BC4"/>
    <w:rsid w:val="000E4F9C"/>
    <w:rsid w:val="000E5411"/>
    <w:rsid w:val="000E6C71"/>
    <w:rsid w:val="000F1522"/>
    <w:rsid w:val="000F1AA7"/>
    <w:rsid w:val="000F1EE4"/>
    <w:rsid w:val="000F2F71"/>
    <w:rsid w:val="000F7ACD"/>
    <w:rsid w:val="00100CBD"/>
    <w:rsid w:val="0010102F"/>
    <w:rsid w:val="00101B68"/>
    <w:rsid w:val="00103DD3"/>
    <w:rsid w:val="001058E7"/>
    <w:rsid w:val="001070A8"/>
    <w:rsid w:val="00112C99"/>
    <w:rsid w:val="001223CB"/>
    <w:rsid w:val="00123DD3"/>
    <w:rsid w:val="00126EE5"/>
    <w:rsid w:val="001276D0"/>
    <w:rsid w:val="00127D00"/>
    <w:rsid w:val="00130498"/>
    <w:rsid w:val="00130C0C"/>
    <w:rsid w:val="00131983"/>
    <w:rsid w:val="00131DA6"/>
    <w:rsid w:val="00132772"/>
    <w:rsid w:val="00135754"/>
    <w:rsid w:val="0013667D"/>
    <w:rsid w:val="00137C57"/>
    <w:rsid w:val="001407FE"/>
    <w:rsid w:val="00140F63"/>
    <w:rsid w:val="001439AE"/>
    <w:rsid w:val="00143F8E"/>
    <w:rsid w:val="00144828"/>
    <w:rsid w:val="0014588D"/>
    <w:rsid w:val="00145C2C"/>
    <w:rsid w:val="00146AE8"/>
    <w:rsid w:val="001472A7"/>
    <w:rsid w:val="001517F6"/>
    <w:rsid w:val="00151A2B"/>
    <w:rsid w:val="001525FB"/>
    <w:rsid w:val="00153841"/>
    <w:rsid w:val="001602D4"/>
    <w:rsid w:val="001622F4"/>
    <w:rsid w:val="001630F4"/>
    <w:rsid w:val="001637A5"/>
    <w:rsid w:val="00163D5A"/>
    <w:rsid w:val="00166427"/>
    <w:rsid w:val="001668C0"/>
    <w:rsid w:val="00171246"/>
    <w:rsid w:val="00173CEF"/>
    <w:rsid w:val="00173EF9"/>
    <w:rsid w:val="00181F19"/>
    <w:rsid w:val="00184307"/>
    <w:rsid w:val="00190F68"/>
    <w:rsid w:val="00194B4C"/>
    <w:rsid w:val="00197A95"/>
    <w:rsid w:val="001A1580"/>
    <w:rsid w:val="001A2C15"/>
    <w:rsid w:val="001A381B"/>
    <w:rsid w:val="001A559D"/>
    <w:rsid w:val="001A6B39"/>
    <w:rsid w:val="001A6D10"/>
    <w:rsid w:val="001B13CB"/>
    <w:rsid w:val="001B62F3"/>
    <w:rsid w:val="001B70D9"/>
    <w:rsid w:val="001B7117"/>
    <w:rsid w:val="001C095E"/>
    <w:rsid w:val="001C1F0C"/>
    <w:rsid w:val="001C3652"/>
    <w:rsid w:val="001C592A"/>
    <w:rsid w:val="001C5EAE"/>
    <w:rsid w:val="001D23BF"/>
    <w:rsid w:val="001D242E"/>
    <w:rsid w:val="001D2FD7"/>
    <w:rsid w:val="001D2FEE"/>
    <w:rsid w:val="001D36BE"/>
    <w:rsid w:val="001D4517"/>
    <w:rsid w:val="001D5883"/>
    <w:rsid w:val="001D7D3E"/>
    <w:rsid w:val="001E2B43"/>
    <w:rsid w:val="001E306E"/>
    <w:rsid w:val="001E38DD"/>
    <w:rsid w:val="001E4AEF"/>
    <w:rsid w:val="001E710B"/>
    <w:rsid w:val="001F098C"/>
    <w:rsid w:val="001F29CF"/>
    <w:rsid w:val="001F3D41"/>
    <w:rsid w:val="001F4EF9"/>
    <w:rsid w:val="001F5996"/>
    <w:rsid w:val="001F7647"/>
    <w:rsid w:val="002012E3"/>
    <w:rsid w:val="002018B0"/>
    <w:rsid w:val="00203895"/>
    <w:rsid w:val="00207A42"/>
    <w:rsid w:val="00210C82"/>
    <w:rsid w:val="00211131"/>
    <w:rsid w:val="00211CF8"/>
    <w:rsid w:val="002120F7"/>
    <w:rsid w:val="002136B2"/>
    <w:rsid w:val="00213A41"/>
    <w:rsid w:val="00215DDB"/>
    <w:rsid w:val="00216F57"/>
    <w:rsid w:val="00217B4F"/>
    <w:rsid w:val="002224CE"/>
    <w:rsid w:val="00222871"/>
    <w:rsid w:val="00223056"/>
    <w:rsid w:val="002264CF"/>
    <w:rsid w:val="002268D1"/>
    <w:rsid w:val="00227B35"/>
    <w:rsid w:val="00231197"/>
    <w:rsid w:val="00236185"/>
    <w:rsid w:val="0023711E"/>
    <w:rsid w:val="00237912"/>
    <w:rsid w:val="002379B2"/>
    <w:rsid w:val="00242CEF"/>
    <w:rsid w:val="00244246"/>
    <w:rsid w:val="002452F9"/>
    <w:rsid w:val="00246A66"/>
    <w:rsid w:val="00247927"/>
    <w:rsid w:val="00247F5E"/>
    <w:rsid w:val="002519E0"/>
    <w:rsid w:val="00252A4B"/>
    <w:rsid w:val="00253CE2"/>
    <w:rsid w:val="0025584E"/>
    <w:rsid w:val="00255FF8"/>
    <w:rsid w:val="0026259B"/>
    <w:rsid w:val="00263B98"/>
    <w:rsid w:val="002662EF"/>
    <w:rsid w:val="002701C6"/>
    <w:rsid w:val="00270B4B"/>
    <w:rsid w:val="00273F98"/>
    <w:rsid w:val="00275687"/>
    <w:rsid w:val="002803E3"/>
    <w:rsid w:val="00280B99"/>
    <w:rsid w:val="00281B76"/>
    <w:rsid w:val="00284FBE"/>
    <w:rsid w:val="00286558"/>
    <w:rsid w:val="002869FE"/>
    <w:rsid w:val="00286E30"/>
    <w:rsid w:val="00287572"/>
    <w:rsid w:val="00287831"/>
    <w:rsid w:val="002919E6"/>
    <w:rsid w:val="00291B44"/>
    <w:rsid w:val="002934F8"/>
    <w:rsid w:val="0029356F"/>
    <w:rsid w:val="002943C4"/>
    <w:rsid w:val="00294FC3"/>
    <w:rsid w:val="00295A1D"/>
    <w:rsid w:val="00296ACF"/>
    <w:rsid w:val="00297A7F"/>
    <w:rsid w:val="002A525A"/>
    <w:rsid w:val="002A78A4"/>
    <w:rsid w:val="002B0524"/>
    <w:rsid w:val="002B1AB7"/>
    <w:rsid w:val="002B6097"/>
    <w:rsid w:val="002B652F"/>
    <w:rsid w:val="002C3B2D"/>
    <w:rsid w:val="002C6107"/>
    <w:rsid w:val="002C70CB"/>
    <w:rsid w:val="002D0134"/>
    <w:rsid w:val="002D1728"/>
    <w:rsid w:val="002D1A5E"/>
    <w:rsid w:val="002D34C5"/>
    <w:rsid w:val="002D42ED"/>
    <w:rsid w:val="002D68EB"/>
    <w:rsid w:val="002E2598"/>
    <w:rsid w:val="002E4258"/>
    <w:rsid w:val="002E5727"/>
    <w:rsid w:val="002E586E"/>
    <w:rsid w:val="002E7444"/>
    <w:rsid w:val="002F2A0E"/>
    <w:rsid w:val="002F542E"/>
    <w:rsid w:val="002F629D"/>
    <w:rsid w:val="002F7EC5"/>
    <w:rsid w:val="00300372"/>
    <w:rsid w:val="003003A9"/>
    <w:rsid w:val="00301736"/>
    <w:rsid w:val="003029F2"/>
    <w:rsid w:val="00303DC5"/>
    <w:rsid w:val="00304891"/>
    <w:rsid w:val="0031108B"/>
    <w:rsid w:val="0031490E"/>
    <w:rsid w:val="0031496F"/>
    <w:rsid w:val="003155E0"/>
    <w:rsid w:val="003161A8"/>
    <w:rsid w:val="00316525"/>
    <w:rsid w:val="00316D43"/>
    <w:rsid w:val="00324402"/>
    <w:rsid w:val="00334D38"/>
    <w:rsid w:val="003367C3"/>
    <w:rsid w:val="00336E1E"/>
    <w:rsid w:val="00337EB2"/>
    <w:rsid w:val="00341512"/>
    <w:rsid w:val="0034251B"/>
    <w:rsid w:val="003437CE"/>
    <w:rsid w:val="003445B8"/>
    <w:rsid w:val="0035136D"/>
    <w:rsid w:val="00351689"/>
    <w:rsid w:val="003523A3"/>
    <w:rsid w:val="00354597"/>
    <w:rsid w:val="00357DCD"/>
    <w:rsid w:val="00360EDD"/>
    <w:rsid w:val="00361AC9"/>
    <w:rsid w:val="00364375"/>
    <w:rsid w:val="003663E8"/>
    <w:rsid w:val="0036651B"/>
    <w:rsid w:val="00366E25"/>
    <w:rsid w:val="0036764A"/>
    <w:rsid w:val="00370534"/>
    <w:rsid w:val="003705F4"/>
    <w:rsid w:val="00371C5D"/>
    <w:rsid w:val="00372980"/>
    <w:rsid w:val="00374C01"/>
    <w:rsid w:val="003751CC"/>
    <w:rsid w:val="0038076D"/>
    <w:rsid w:val="0038091D"/>
    <w:rsid w:val="00384292"/>
    <w:rsid w:val="003876C2"/>
    <w:rsid w:val="00392A45"/>
    <w:rsid w:val="00393495"/>
    <w:rsid w:val="003957F2"/>
    <w:rsid w:val="003964D1"/>
    <w:rsid w:val="0039736A"/>
    <w:rsid w:val="00397711"/>
    <w:rsid w:val="003978E6"/>
    <w:rsid w:val="00397B7E"/>
    <w:rsid w:val="003A41B8"/>
    <w:rsid w:val="003A528E"/>
    <w:rsid w:val="003B14B3"/>
    <w:rsid w:val="003B2CE2"/>
    <w:rsid w:val="003B514C"/>
    <w:rsid w:val="003B5C6D"/>
    <w:rsid w:val="003B7C00"/>
    <w:rsid w:val="003B7CD3"/>
    <w:rsid w:val="003C0D1B"/>
    <w:rsid w:val="003C17DF"/>
    <w:rsid w:val="003C379D"/>
    <w:rsid w:val="003C3B73"/>
    <w:rsid w:val="003C40B4"/>
    <w:rsid w:val="003C4586"/>
    <w:rsid w:val="003C4B2E"/>
    <w:rsid w:val="003C4C54"/>
    <w:rsid w:val="003C7D65"/>
    <w:rsid w:val="003D0183"/>
    <w:rsid w:val="003D1923"/>
    <w:rsid w:val="003D2D3C"/>
    <w:rsid w:val="003D3EAD"/>
    <w:rsid w:val="003D533D"/>
    <w:rsid w:val="003D597D"/>
    <w:rsid w:val="003D5A13"/>
    <w:rsid w:val="003D79D3"/>
    <w:rsid w:val="003D7D1E"/>
    <w:rsid w:val="003E079C"/>
    <w:rsid w:val="003E21F6"/>
    <w:rsid w:val="003E283D"/>
    <w:rsid w:val="003E335E"/>
    <w:rsid w:val="003E3657"/>
    <w:rsid w:val="003E7A99"/>
    <w:rsid w:val="003E7E4E"/>
    <w:rsid w:val="003F0576"/>
    <w:rsid w:val="003F08C8"/>
    <w:rsid w:val="003F2975"/>
    <w:rsid w:val="003F3808"/>
    <w:rsid w:val="003F4830"/>
    <w:rsid w:val="003F6922"/>
    <w:rsid w:val="00400F92"/>
    <w:rsid w:val="00401A9E"/>
    <w:rsid w:val="00401FFB"/>
    <w:rsid w:val="00403103"/>
    <w:rsid w:val="00403A8F"/>
    <w:rsid w:val="00405233"/>
    <w:rsid w:val="00406C7E"/>
    <w:rsid w:val="00407807"/>
    <w:rsid w:val="00417B06"/>
    <w:rsid w:val="004213C5"/>
    <w:rsid w:val="00421FBE"/>
    <w:rsid w:val="00422263"/>
    <w:rsid w:val="0042533E"/>
    <w:rsid w:val="00427A71"/>
    <w:rsid w:val="00427F59"/>
    <w:rsid w:val="00433049"/>
    <w:rsid w:val="004347A2"/>
    <w:rsid w:val="004349F2"/>
    <w:rsid w:val="00435604"/>
    <w:rsid w:val="00437CAF"/>
    <w:rsid w:val="00440083"/>
    <w:rsid w:val="00440484"/>
    <w:rsid w:val="00441A93"/>
    <w:rsid w:val="004457EA"/>
    <w:rsid w:val="00445B88"/>
    <w:rsid w:val="0044784D"/>
    <w:rsid w:val="00447AA8"/>
    <w:rsid w:val="00452A3D"/>
    <w:rsid w:val="00453E3E"/>
    <w:rsid w:val="00456F5F"/>
    <w:rsid w:val="00456FF8"/>
    <w:rsid w:val="00457B32"/>
    <w:rsid w:val="00457C99"/>
    <w:rsid w:val="00460156"/>
    <w:rsid w:val="00460163"/>
    <w:rsid w:val="00460307"/>
    <w:rsid w:val="00463BFE"/>
    <w:rsid w:val="00466880"/>
    <w:rsid w:val="00467D53"/>
    <w:rsid w:val="004719A0"/>
    <w:rsid w:val="004738B6"/>
    <w:rsid w:val="00482EA7"/>
    <w:rsid w:val="00483016"/>
    <w:rsid w:val="00485A3C"/>
    <w:rsid w:val="00485DF8"/>
    <w:rsid w:val="00485FCB"/>
    <w:rsid w:val="0048670F"/>
    <w:rsid w:val="00486796"/>
    <w:rsid w:val="00486D6F"/>
    <w:rsid w:val="004873A8"/>
    <w:rsid w:val="00487D48"/>
    <w:rsid w:val="00487D6D"/>
    <w:rsid w:val="00494212"/>
    <w:rsid w:val="00494AAA"/>
    <w:rsid w:val="004956DD"/>
    <w:rsid w:val="004960FB"/>
    <w:rsid w:val="00497585"/>
    <w:rsid w:val="004A0B36"/>
    <w:rsid w:val="004A0DC6"/>
    <w:rsid w:val="004A2026"/>
    <w:rsid w:val="004A267C"/>
    <w:rsid w:val="004A405A"/>
    <w:rsid w:val="004A6B86"/>
    <w:rsid w:val="004A7617"/>
    <w:rsid w:val="004A7C69"/>
    <w:rsid w:val="004B3891"/>
    <w:rsid w:val="004B3EAD"/>
    <w:rsid w:val="004C2AD2"/>
    <w:rsid w:val="004C4CB9"/>
    <w:rsid w:val="004D1B65"/>
    <w:rsid w:val="004D264C"/>
    <w:rsid w:val="004D3C16"/>
    <w:rsid w:val="004D4497"/>
    <w:rsid w:val="004D5AE8"/>
    <w:rsid w:val="004D5B4D"/>
    <w:rsid w:val="004D600B"/>
    <w:rsid w:val="004D6C38"/>
    <w:rsid w:val="004D73A1"/>
    <w:rsid w:val="004E0E71"/>
    <w:rsid w:val="004E1070"/>
    <w:rsid w:val="004E180F"/>
    <w:rsid w:val="004E1919"/>
    <w:rsid w:val="004E3B54"/>
    <w:rsid w:val="004E504E"/>
    <w:rsid w:val="004E525F"/>
    <w:rsid w:val="004F08DA"/>
    <w:rsid w:val="004F0FCA"/>
    <w:rsid w:val="004F3E89"/>
    <w:rsid w:val="004F4BB2"/>
    <w:rsid w:val="004F5B70"/>
    <w:rsid w:val="004F5DED"/>
    <w:rsid w:val="005005C2"/>
    <w:rsid w:val="0050295D"/>
    <w:rsid w:val="005029F9"/>
    <w:rsid w:val="00503A42"/>
    <w:rsid w:val="005047E9"/>
    <w:rsid w:val="00505E5C"/>
    <w:rsid w:val="00507AF7"/>
    <w:rsid w:val="00507B20"/>
    <w:rsid w:val="0051022F"/>
    <w:rsid w:val="0051033B"/>
    <w:rsid w:val="005163C6"/>
    <w:rsid w:val="00516DBF"/>
    <w:rsid w:val="00517BD7"/>
    <w:rsid w:val="00520698"/>
    <w:rsid w:val="005228FA"/>
    <w:rsid w:val="0052371D"/>
    <w:rsid w:val="005249C7"/>
    <w:rsid w:val="005254DF"/>
    <w:rsid w:val="005323E5"/>
    <w:rsid w:val="00541F68"/>
    <w:rsid w:val="0054401C"/>
    <w:rsid w:val="00544CC3"/>
    <w:rsid w:val="0054589B"/>
    <w:rsid w:val="00550A30"/>
    <w:rsid w:val="00551A38"/>
    <w:rsid w:val="00552E15"/>
    <w:rsid w:val="00553B28"/>
    <w:rsid w:val="00556116"/>
    <w:rsid w:val="005567FC"/>
    <w:rsid w:val="00557A83"/>
    <w:rsid w:val="0056019D"/>
    <w:rsid w:val="00562FFF"/>
    <w:rsid w:val="00563DBC"/>
    <w:rsid w:val="0056484A"/>
    <w:rsid w:val="005660FA"/>
    <w:rsid w:val="00566D04"/>
    <w:rsid w:val="0057039D"/>
    <w:rsid w:val="005703DB"/>
    <w:rsid w:val="005704A4"/>
    <w:rsid w:val="00572642"/>
    <w:rsid w:val="00575162"/>
    <w:rsid w:val="005764D2"/>
    <w:rsid w:val="005826BA"/>
    <w:rsid w:val="00583D41"/>
    <w:rsid w:val="00583ED6"/>
    <w:rsid w:val="0058479E"/>
    <w:rsid w:val="00584974"/>
    <w:rsid w:val="00584C51"/>
    <w:rsid w:val="00586803"/>
    <w:rsid w:val="00590BE8"/>
    <w:rsid w:val="005916B5"/>
    <w:rsid w:val="005920FD"/>
    <w:rsid w:val="00593535"/>
    <w:rsid w:val="00596D64"/>
    <w:rsid w:val="005A1F84"/>
    <w:rsid w:val="005A378A"/>
    <w:rsid w:val="005A7435"/>
    <w:rsid w:val="005A7D8C"/>
    <w:rsid w:val="005B2DF9"/>
    <w:rsid w:val="005B365E"/>
    <w:rsid w:val="005B3AC5"/>
    <w:rsid w:val="005B4097"/>
    <w:rsid w:val="005B5717"/>
    <w:rsid w:val="005C2E04"/>
    <w:rsid w:val="005C4113"/>
    <w:rsid w:val="005C5966"/>
    <w:rsid w:val="005C6298"/>
    <w:rsid w:val="005C67F8"/>
    <w:rsid w:val="005D65BB"/>
    <w:rsid w:val="005D7467"/>
    <w:rsid w:val="005D78D5"/>
    <w:rsid w:val="005E0319"/>
    <w:rsid w:val="005E27A8"/>
    <w:rsid w:val="005E3989"/>
    <w:rsid w:val="005E4C5A"/>
    <w:rsid w:val="005E4F18"/>
    <w:rsid w:val="005E57C3"/>
    <w:rsid w:val="005E67A1"/>
    <w:rsid w:val="005E740F"/>
    <w:rsid w:val="005E776A"/>
    <w:rsid w:val="005F063F"/>
    <w:rsid w:val="005F2A08"/>
    <w:rsid w:val="005F3323"/>
    <w:rsid w:val="005F5385"/>
    <w:rsid w:val="005F5B20"/>
    <w:rsid w:val="00604CC2"/>
    <w:rsid w:val="00604F3E"/>
    <w:rsid w:val="00612972"/>
    <w:rsid w:val="00616A4D"/>
    <w:rsid w:val="00617677"/>
    <w:rsid w:val="00617EE8"/>
    <w:rsid w:val="0062258D"/>
    <w:rsid w:val="006230B0"/>
    <w:rsid w:val="00623D23"/>
    <w:rsid w:val="00626487"/>
    <w:rsid w:val="006312A5"/>
    <w:rsid w:val="00632C2B"/>
    <w:rsid w:val="006345F2"/>
    <w:rsid w:val="00634C9D"/>
    <w:rsid w:val="0063602A"/>
    <w:rsid w:val="006376BC"/>
    <w:rsid w:val="00641205"/>
    <w:rsid w:val="00641ACF"/>
    <w:rsid w:val="00642B98"/>
    <w:rsid w:val="00643AD9"/>
    <w:rsid w:val="0064727B"/>
    <w:rsid w:val="00647AB1"/>
    <w:rsid w:val="00650AAC"/>
    <w:rsid w:val="00652156"/>
    <w:rsid w:val="00653683"/>
    <w:rsid w:val="006548B0"/>
    <w:rsid w:val="006575CD"/>
    <w:rsid w:val="006700C9"/>
    <w:rsid w:val="00683B5B"/>
    <w:rsid w:val="00683F89"/>
    <w:rsid w:val="00690845"/>
    <w:rsid w:val="00691787"/>
    <w:rsid w:val="00696057"/>
    <w:rsid w:val="006A2383"/>
    <w:rsid w:val="006A4871"/>
    <w:rsid w:val="006A4F35"/>
    <w:rsid w:val="006A52B0"/>
    <w:rsid w:val="006A74D4"/>
    <w:rsid w:val="006A7611"/>
    <w:rsid w:val="006B0063"/>
    <w:rsid w:val="006B4E7A"/>
    <w:rsid w:val="006B76D1"/>
    <w:rsid w:val="006B783B"/>
    <w:rsid w:val="006C1685"/>
    <w:rsid w:val="006C56D5"/>
    <w:rsid w:val="006C57B0"/>
    <w:rsid w:val="006C5BA8"/>
    <w:rsid w:val="006C627D"/>
    <w:rsid w:val="006C6D12"/>
    <w:rsid w:val="006C72AF"/>
    <w:rsid w:val="006D2A09"/>
    <w:rsid w:val="006D3EF0"/>
    <w:rsid w:val="006D73B6"/>
    <w:rsid w:val="006E06E8"/>
    <w:rsid w:val="006E117E"/>
    <w:rsid w:val="006E1E28"/>
    <w:rsid w:val="006E2DFF"/>
    <w:rsid w:val="006E2EEF"/>
    <w:rsid w:val="006E47BF"/>
    <w:rsid w:val="006E6A16"/>
    <w:rsid w:val="006E76F4"/>
    <w:rsid w:val="006E782B"/>
    <w:rsid w:val="006F02C2"/>
    <w:rsid w:val="006F03F1"/>
    <w:rsid w:val="006F4870"/>
    <w:rsid w:val="006F4F53"/>
    <w:rsid w:val="006F52C9"/>
    <w:rsid w:val="006F53BF"/>
    <w:rsid w:val="006F5AEB"/>
    <w:rsid w:val="006F6C8E"/>
    <w:rsid w:val="006F784C"/>
    <w:rsid w:val="00700C17"/>
    <w:rsid w:val="00701089"/>
    <w:rsid w:val="0070195D"/>
    <w:rsid w:val="00704345"/>
    <w:rsid w:val="00704417"/>
    <w:rsid w:val="00704FC9"/>
    <w:rsid w:val="00705E85"/>
    <w:rsid w:val="00711992"/>
    <w:rsid w:val="007133B4"/>
    <w:rsid w:val="00713436"/>
    <w:rsid w:val="00713BDB"/>
    <w:rsid w:val="00717F1B"/>
    <w:rsid w:val="00720C48"/>
    <w:rsid w:val="00721983"/>
    <w:rsid w:val="007222B8"/>
    <w:rsid w:val="00722641"/>
    <w:rsid w:val="007260E5"/>
    <w:rsid w:val="007263CA"/>
    <w:rsid w:val="00727175"/>
    <w:rsid w:val="00727F7B"/>
    <w:rsid w:val="00732C3C"/>
    <w:rsid w:val="00732D75"/>
    <w:rsid w:val="0073427C"/>
    <w:rsid w:val="007363A2"/>
    <w:rsid w:val="00737C1C"/>
    <w:rsid w:val="0074050A"/>
    <w:rsid w:val="00740B24"/>
    <w:rsid w:val="00740D11"/>
    <w:rsid w:val="0074129C"/>
    <w:rsid w:val="00741843"/>
    <w:rsid w:val="00746EEC"/>
    <w:rsid w:val="00747FDA"/>
    <w:rsid w:val="007524A4"/>
    <w:rsid w:val="007527A7"/>
    <w:rsid w:val="007532DB"/>
    <w:rsid w:val="00753936"/>
    <w:rsid w:val="00753E43"/>
    <w:rsid w:val="007560CC"/>
    <w:rsid w:val="00756B7D"/>
    <w:rsid w:val="00757472"/>
    <w:rsid w:val="00760BBD"/>
    <w:rsid w:val="00760F26"/>
    <w:rsid w:val="00761C2F"/>
    <w:rsid w:val="00762438"/>
    <w:rsid w:val="0076349C"/>
    <w:rsid w:val="00763A29"/>
    <w:rsid w:val="00763BA6"/>
    <w:rsid w:val="007640E8"/>
    <w:rsid w:val="00764345"/>
    <w:rsid w:val="007644B8"/>
    <w:rsid w:val="0076706D"/>
    <w:rsid w:val="00770A34"/>
    <w:rsid w:val="00771C09"/>
    <w:rsid w:val="00773DFA"/>
    <w:rsid w:val="007743BA"/>
    <w:rsid w:val="00774E99"/>
    <w:rsid w:val="00777B1A"/>
    <w:rsid w:val="00782525"/>
    <w:rsid w:val="00782B83"/>
    <w:rsid w:val="00785B5C"/>
    <w:rsid w:val="00785FDF"/>
    <w:rsid w:val="00786BAA"/>
    <w:rsid w:val="007904D9"/>
    <w:rsid w:val="007905EE"/>
    <w:rsid w:val="00790B40"/>
    <w:rsid w:val="00790D7C"/>
    <w:rsid w:val="007912C3"/>
    <w:rsid w:val="00792986"/>
    <w:rsid w:val="0079302F"/>
    <w:rsid w:val="007931D5"/>
    <w:rsid w:val="00794178"/>
    <w:rsid w:val="0079647F"/>
    <w:rsid w:val="00796552"/>
    <w:rsid w:val="0079708C"/>
    <w:rsid w:val="007972D0"/>
    <w:rsid w:val="007A058A"/>
    <w:rsid w:val="007A176E"/>
    <w:rsid w:val="007A1DFD"/>
    <w:rsid w:val="007A4F83"/>
    <w:rsid w:val="007A5451"/>
    <w:rsid w:val="007A54EA"/>
    <w:rsid w:val="007A55D1"/>
    <w:rsid w:val="007A758D"/>
    <w:rsid w:val="007A78BC"/>
    <w:rsid w:val="007A7AF4"/>
    <w:rsid w:val="007B0E05"/>
    <w:rsid w:val="007B3BB1"/>
    <w:rsid w:val="007B5AB3"/>
    <w:rsid w:val="007B675D"/>
    <w:rsid w:val="007B7397"/>
    <w:rsid w:val="007B7947"/>
    <w:rsid w:val="007C0A99"/>
    <w:rsid w:val="007C146C"/>
    <w:rsid w:val="007C1497"/>
    <w:rsid w:val="007C1D3A"/>
    <w:rsid w:val="007C2B5E"/>
    <w:rsid w:val="007C4923"/>
    <w:rsid w:val="007D0CD4"/>
    <w:rsid w:val="007D45A2"/>
    <w:rsid w:val="007D5818"/>
    <w:rsid w:val="007D67B8"/>
    <w:rsid w:val="007D7AE1"/>
    <w:rsid w:val="007E1607"/>
    <w:rsid w:val="007E1D6C"/>
    <w:rsid w:val="007E23E5"/>
    <w:rsid w:val="007E351A"/>
    <w:rsid w:val="007E3B86"/>
    <w:rsid w:val="007F0436"/>
    <w:rsid w:val="007F095B"/>
    <w:rsid w:val="007F141C"/>
    <w:rsid w:val="007F1FAF"/>
    <w:rsid w:val="007F21A8"/>
    <w:rsid w:val="007F269E"/>
    <w:rsid w:val="007F4527"/>
    <w:rsid w:val="007F52F4"/>
    <w:rsid w:val="007F71F9"/>
    <w:rsid w:val="00800F8C"/>
    <w:rsid w:val="00801BE7"/>
    <w:rsid w:val="00804B65"/>
    <w:rsid w:val="00805703"/>
    <w:rsid w:val="008069EE"/>
    <w:rsid w:val="00813252"/>
    <w:rsid w:val="0081338E"/>
    <w:rsid w:val="0081377B"/>
    <w:rsid w:val="00814906"/>
    <w:rsid w:val="00814E6C"/>
    <w:rsid w:val="0081794B"/>
    <w:rsid w:val="00821833"/>
    <w:rsid w:val="0082771B"/>
    <w:rsid w:val="008332AA"/>
    <w:rsid w:val="008342F8"/>
    <w:rsid w:val="00843A01"/>
    <w:rsid w:val="0084570A"/>
    <w:rsid w:val="008476E1"/>
    <w:rsid w:val="00847EEC"/>
    <w:rsid w:val="0085391A"/>
    <w:rsid w:val="00864770"/>
    <w:rsid w:val="00865266"/>
    <w:rsid w:val="00865D8E"/>
    <w:rsid w:val="00872CB5"/>
    <w:rsid w:val="00872D77"/>
    <w:rsid w:val="00874270"/>
    <w:rsid w:val="00874B1B"/>
    <w:rsid w:val="00880178"/>
    <w:rsid w:val="00881F43"/>
    <w:rsid w:val="00885041"/>
    <w:rsid w:val="00885BEB"/>
    <w:rsid w:val="00886CE5"/>
    <w:rsid w:val="00886E14"/>
    <w:rsid w:val="008901B8"/>
    <w:rsid w:val="008919FD"/>
    <w:rsid w:val="008A0D77"/>
    <w:rsid w:val="008A215E"/>
    <w:rsid w:val="008A2A8D"/>
    <w:rsid w:val="008A4219"/>
    <w:rsid w:val="008A49A7"/>
    <w:rsid w:val="008A51B1"/>
    <w:rsid w:val="008A549E"/>
    <w:rsid w:val="008A76F6"/>
    <w:rsid w:val="008A7E7B"/>
    <w:rsid w:val="008B04AA"/>
    <w:rsid w:val="008B08BC"/>
    <w:rsid w:val="008B450C"/>
    <w:rsid w:val="008B56E5"/>
    <w:rsid w:val="008B69A9"/>
    <w:rsid w:val="008C03EE"/>
    <w:rsid w:val="008C614E"/>
    <w:rsid w:val="008C797E"/>
    <w:rsid w:val="008D06EA"/>
    <w:rsid w:val="008D21D4"/>
    <w:rsid w:val="008D629A"/>
    <w:rsid w:val="008D65F0"/>
    <w:rsid w:val="008D71BC"/>
    <w:rsid w:val="008E0B80"/>
    <w:rsid w:val="008E2C77"/>
    <w:rsid w:val="008E6D3D"/>
    <w:rsid w:val="008E7712"/>
    <w:rsid w:val="008F0E51"/>
    <w:rsid w:val="008F5320"/>
    <w:rsid w:val="008F5369"/>
    <w:rsid w:val="008F5738"/>
    <w:rsid w:val="008F5CEB"/>
    <w:rsid w:val="0090173B"/>
    <w:rsid w:val="009018ED"/>
    <w:rsid w:val="0090191B"/>
    <w:rsid w:val="00902154"/>
    <w:rsid w:val="009021C8"/>
    <w:rsid w:val="009024C7"/>
    <w:rsid w:val="00903C52"/>
    <w:rsid w:val="00906D58"/>
    <w:rsid w:val="009110C8"/>
    <w:rsid w:val="00911FD6"/>
    <w:rsid w:val="00913B0C"/>
    <w:rsid w:val="00914897"/>
    <w:rsid w:val="00914B7A"/>
    <w:rsid w:val="00915B7D"/>
    <w:rsid w:val="0091692B"/>
    <w:rsid w:val="00917F05"/>
    <w:rsid w:val="009214E5"/>
    <w:rsid w:val="00924575"/>
    <w:rsid w:val="00924753"/>
    <w:rsid w:val="00924B91"/>
    <w:rsid w:val="00932DEE"/>
    <w:rsid w:val="00933959"/>
    <w:rsid w:val="00936892"/>
    <w:rsid w:val="00936D21"/>
    <w:rsid w:val="00940263"/>
    <w:rsid w:val="00943E0C"/>
    <w:rsid w:val="00943FA7"/>
    <w:rsid w:val="00944E24"/>
    <w:rsid w:val="009460CE"/>
    <w:rsid w:val="009502A2"/>
    <w:rsid w:val="0095072C"/>
    <w:rsid w:val="0095162B"/>
    <w:rsid w:val="00952B64"/>
    <w:rsid w:val="009532DA"/>
    <w:rsid w:val="00954128"/>
    <w:rsid w:val="009569F7"/>
    <w:rsid w:val="009603AE"/>
    <w:rsid w:val="00961037"/>
    <w:rsid w:val="00961A7C"/>
    <w:rsid w:val="00962864"/>
    <w:rsid w:val="00962A33"/>
    <w:rsid w:val="00967151"/>
    <w:rsid w:val="00977067"/>
    <w:rsid w:val="00981EA3"/>
    <w:rsid w:val="00981EE9"/>
    <w:rsid w:val="00983C21"/>
    <w:rsid w:val="00984F5F"/>
    <w:rsid w:val="00985261"/>
    <w:rsid w:val="00985E90"/>
    <w:rsid w:val="009877EE"/>
    <w:rsid w:val="00987E2C"/>
    <w:rsid w:val="00987EDF"/>
    <w:rsid w:val="0099006B"/>
    <w:rsid w:val="00991290"/>
    <w:rsid w:val="009923CE"/>
    <w:rsid w:val="00992964"/>
    <w:rsid w:val="00993A8A"/>
    <w:rsid w:val="009A12C9"/>
    <w:rsid w:val="009A20FB"/>
    <w:rsid w:val="009A2522"/>
    <w:rsid w:val="009A39EB"/>
    <w:rsid w:val="009A3CA8"/>
    <w:rsid w:val="009A3E7C"/>
    <w:rsid w:val="009A4E5F"/>
    <w:rsid w:val="009A7CE0"/>
    <w:rsid w:val="009B011F"/>
    <w:rsid w:val="009B435C"/>
    <w:rsid w:val="009B4664"/>
    <w:rsid w:val="009B4FE8"/>
    <w:rsid w:val="009B60EA"/>
    <w:rsid w:val="009B6C1E"/>
    <w:rsid w:val="009B7E86"/>
    <w:rsid w:val="009C15DE"/>
    <w:rsid w:val="009C3349"/>
    <w:rsid w:val="009C6090"/>
    <w:rsid w:val="009C6F3F"/>
    <w:rsid w:val="009D0D51"/>
    <w:rsid w:val="009D164B"/>
    <w:rsid w:val="009D3B13"/>
    <w:rsid w:val="009D5384"/>
    <w:rsid w:val="009D5D18"/>
    <w:rsid w:val="009D7E0C"/>
    <w:rsid w:val="009E1E1E"/>
    <w:rsid w:val="009E3AFC"/>
    <w:rsid w:val="009E5913"/>
    <w:rsid w:val="009F0276"/>
    <w:rsid w:val="009F25AC"/>
    <w:rsid w:val="009F3777"/>
    <w:rsid w:val="009F59D4"/>
    <w:rsid w:val="009F6982"/>
    <w:rsid w:val="00A00112"/>
    <w:rsid w:val="00A00319"/>
    <w:rsid w:val="00A04B24"/>
    <w:rsid w:val="00A04D1C"/>
    <w:rsid w:val="00A072AF"/>
    <w:rsid w:val="00A109D8"/>
    <w:rsid w:val="00A144B0"/>
    <w:rsid w:val="00A14B3F"/>
    <w:rsid w:val="00A16A84"/>
    <w:rsid w:val="00A207FD"/>
    <w:rsid w:val="00A20C09"/>
    <w:rsid w:val="00A21569"/>
    <w:rsid w:val="00A22C99"/>
    <w:rsid w:val="00A2369D"/>
    <w:rsid w:val="00A24F3A"/>
    <w:rsid w:val="00A27708"/>
    <w:rsid w:val="00A314A1"/>
    <w:rsid w:val="00A31D63"/>
    <w:rsid w:val="00A32110"/>
    <w:rsid w:val="00A33F63"/>
    <w:rsid w:val="00A35D7E"/>
    <w:rsid w:val="00A36741"/>
    <w:rsid w:val="00A40626"/>
    <w:rsid w:val="00A41105"/>
    <w:rsid w:val="00A443D8"/>
    <w:rsid w:val="00A50417"/>
    <w:rsid w:val="00A505F3"/>
    <w:rsid w:val="00A51CC6"/>
    <w:rsid w:val="00A553E0"/>
    <w:rsid w:val="00A565C0"/>
    <w:rsid w:val="00A60156"/>
    <w:rsid w:val="00A619E7"/>
    <w:rsid w:val="00A65547"/>
    <w:rsid w:val="00A66757"/>
    <w:rsid w:val="00A70CFB"/>
    <w:rsid w:val="00A72E94"/>
    <w:rsid w:val="00A8327A"/>
    <w:rsid w:val="00A85013"/>
    <w:rsid w:val="00A853CD"/>
    <w:rsid w:val="00A8544E"/>
    <w:rsid w:val="00A858D7"/>
    <w:rsid w:val="00A8779B"/>
    <w:rsid w:val="00A87B9C"/>
    <w:rsid w:val="00A92602"/>
    <w:rsid w:val="00A926C9"/>
    <w:rsid w:val="00A94104"/>
    <w:rsid w:val="00A94804"/>
    <w:rsid w:val="00A95053"/>
    <w:rsid w:val="00A951FE"/>
    <w:rsid w:val="00A955CB"/>
    <w:rsid w:val="00A958BE"/>
    <w:rsid w:val="00A95AA1"/>
    <w:rsid w:val="00A95BD2"/>
    <w:rsid w:val="00AA14C7"/>
    <w:rsid w:val="00AA3668"/>
    <w:rsid w:val="00AA4410"/>
    <w:rsid w:val="00AA4DDA"/>
    <w:rsid w:val="00AA59AC"/>
    <w:rsid w:val="00AA5A2E"/>
    <w:rsid w:val="00AA67F8"/>
    <w:rsid w:val="00AA7C3D"/>
    <w:rsid w:val="00AB2043"/>
    <w:rsid w:val="00AB30EA"/>
    <w:rsid w:val="00AB3AC0"/>
    <w:rsid w:val="00AB5E10"/>
    <w:rsid w:val="00AB7408"/>
    <w:rsid w:val="00AB7852"/>
    <w:rsid w:val="00AB7AE2"/>
    <w:rsid w:val="00AB7CD0"/>
    <w:rsid w:val="00AC3D9B"/>
    <w:rsid w:val="00AC3FA1"/>
    <w:rsid w:val="00AC472C"/>
    <w:rsid w:val="00AC47F6"/>
    <w:rsid w:val="00AC6A6F"/>
    <w:rsid w:val="00AC7260"/>
    <w:rsid w:val="00AE3CA2"/>
    <w:rsid w:val="00AF4A7D"/>
    <w:rsid w:val="00AF52B1"/>
    <w:rsid w:val="00AF52C5"/>
    <w:rsid w:val="00AF5671"/>
    <w:rsid w:val="00AF665E"/>
    <w:rsid w:val="00AF67FB"/>
    <w:rsid w:val="00AF6D70"/>
    <w:rsid w:val="00AF7A1E"/>
    <w:rsid w:val="00AF7B84"/>
    <w:rsid w:val="00B0585D"/>
    <w:rsid w:val="00B069C6"/>
    <w:rsid w:val="00B07712"/>
    <w:rsid w:val="00B10096"/>
    <w:rsid w:val="00B12B9D"/>
    <w:rsid w:val="00B147C4"/>
    <w:rsid w:val="00B16689"/>
    <w:rsid w:val="00B23888"/>
    <w:rsid w:val="00B23DB0"/>
    <w:rsid w:val="00B3084A"/>
    <w:rsid w:val="00B32A9A"/>
    <w:rsid w:val="00B369F7"/>
    <w:rsid w:val="00B40C2A"/>
    <w:rsid w:val="00B437BE"/>
    <w:rsid w:val="00B44187"/>
    <w:rsid w:val="00B45064"/>
    <w:rsid w:val="00B47204"/>
    <w:rsid w:val="00B50A33"/>
    <w:rsid w:val="00B50F09"/>
    <w:rsid w:val="00B528A7"/>
    <w:rsid w:val="00B528DD"/>
    <w:rsid w:val="00B529E7"/>
    <w:rsid w:val="00B52F58"/>
    <w:rsid w:val="00B54B59"/>
    <w:rsid w:val="00B561EB"/>
    <w:rsid w:val="00B56694"/>
    <w:rsid w:val="00B61D81"/>
    <w:rsid w:val="00B6589B"/>
    <w:rsid w:val="00B722F6"/>
    <w:rsid w:val="00B7235E"/>
    <w:rsid w:val="00B74EF0"/>
    <w:rsid w:val="00B76E31"/>
    <w:rsid w:val="00B76FCE"/>
    <w:rsid w:val="00B80778"/>
    <w:rsid w:val="00B81C9D"/>
    <w:rsid w:val="00B83B35"/>
    <w:rsid w:val="00B83C85"/>
    <w:rsid w:val="00B85E32"/>
    <w:rsid w:val="00B86B57"/>
    <w:rsid w:val="00B905FE"/>
    <w:rsid w:val="00B92121"/>
    <w:rsid w:val="00B9794C"/>
    <w:rsid w:val="00BA3C17"/>
    <w:rsid w:val="00BA56CD"/>
    <w:rsid w:val="00BA574A"/>
    <w:rsid w:val="00BA6741"/>
    <w:rsid w:val="00BB009F"/>
    <w:rsid w:val="00BB0C67"/>
    <w:rsid w:val="00BB16A5"/>
    <w:rsid w:val="00BB244B"/>
    <w:rsid w:val="00BB3196"/>
    <w:rsid w:val="00BB31B7"/>
    <w:rsid w:val="00BB3E24"/>
    <w:rsid w:val="00BB4B87"/>
    <w:rsid w:val="00BB7C36"/>
    <w:rsid w:val="00BC36F6"/>
    <w:rsid w:val="00BC3E7A"/>
    <w:rsid w:val="00BC653C"/>
    <w:rsid w:val="00BD168B"/>
    <w:rsid w:val="00BD5B57"/>
    <w:rsid w:val="00BD6642"/>
    <w:rsid w:val="00BE0D77"/>
    <w:rsid w:val="00BE56CC"/>
    <w:rsid w:val="00BE589C"/>
    <w:rsid w:val="00BF05EE"/>
    <w:rsid w:val="00BF1768"/>
    <w:rsid w:val="00BF1903"/>
    <w:rsid w:val="00BF4D5E"/>
    <w:rsid w:val="00BF59D0"/>
    <w:rsid w:val="00BF6E1E"/>
    <w:rsid w:val="00BF76F0"/>
    <w:rsid w:val="00BF7979"/>
    <w:rsid w:val="00C04F4A"/>
    <w:rsid w:val="00C06E4A"/>
    <w:rsid w:val="00C076AA"/>
    <w:rsid w:val="00C11C6A"/>
    <w:rsid w:val="00C172CF"/>
    <w:rsid w:val="00C17A18"/>
    <w:rsid w:val="00C24728"/>
    <w:rsid w:val="00C25546"/>
    <w:rsid w:val="00C27337"/>
    <w:rsid w:val="00C31F64"/>
    <w:rsid w:val="00C3312B"/>
    <w:rsid w:val="00C34073"/>
    <w:rsid w:val="00C355F8"/>
    <w:rsid w:val="00C35DC8"/>
    <w:rsid w:val="00C3716E"/>
    <w:rsid w:val="00C41043"/>
    <w:rsid w:val="00C43A58"/>
    <w:rsid w:val="00C443ED"/>
    <w:rsid w:val="00C45DFA"/>
    <w:rsid w:val="00C50CF7"/>
    <w:rsid w:val="00C51CAF"/>
    <w:rsid w:val="00C52E12"/>
    <w:rsid w:val="00C53ABF"/>
    <w:rsid w:val="00C55F55"/>
    <w:rsid w:val="00C57346"/>
    <w:rsid w:val="00C576C4"/>
    <w:rsid w:val="00C60799"/>
    <w:rsid w:val="00C609BB"/>
    <w:rsid w:val="00C62123"/>
    <w:rsid w:val="00C628D0"/>
    <w:rsid w:val="00C62BAD"/>
    <w:rsid w:val="00C63A60"/>
    <w:rsid w:val="00C64509"/>
    <w:rsid w:val="00C64BE9"/>
    <w:rsid w:val="00C64F6B"/>
    <w:rsid w:val="00C65DA3"/>
    <w:rsid w:val="00C66F08"/>
    <w:rsid w:val="00C73176"/>
    <w:rsid w:val="00C74AC0"/>
    <w:rsid w:val="00C751C2"/>
    <w:rsid w:val="00C754D1"/>
    <w:rsid w:val="00C779E4"/>
    <w:rsid w:val="00C77E33"/>
    <w:rsid w:val="00C848B4"/>
    <w:rsid w:val="00C85211"/>
    <w:rsid w:val="00C8736D"/>
    <w:rsid w:val="00C93025"/>
    <w:rsid w:val="00C93A0A"/>
    <w:rsid w:val="00C96ABF"/>
    <w:rsid w:val="00CA208B"/>
    <w:rsid w:val="00CA40AA"/>
    <w:rsid w:val="00CA53F9"/>
    <w:rsid w:val="00CA58DF"/>
    <w:rsid w:val="00CB09A2"/>
    <w:rsid w:val="00CB0B60"/>
    <w:rsid w:val="00CB2228"/>
    <w:rsid w:val="00CB298E"/>
    <w:rsid w:val="00CB30E2"/>
    <w:rsid w:val="00CB34B8"/>
    <w:rsid w:val="00CB58A7"/>
    <w:rsid w:val="00CB5CF3"/>
    <w:rsid w:val="00CB658E"/>
    <w:rsid w:val="00CB7784"/>
    <w:rsid w:val="00CB7A30"/>
    <w:rsid w:val="00CC0BF3"/>
    <w:rsid w:val="00CC1051"/>
    <w:rsid w:val="00CC1689"/>
    <w:rsid w:val="00CC2CEB"/>
    <w:rsid w:val="00CC7563"/>
    <w:rsid w:val="00CC78B7"/>
    <w:rsid w:val="00CD0D93"/>
    <w:rsid w:val="00CD6473"/>
    <w:rsid w:val="00CD6E2D"/>
    <w:rsid w:val="00CE444A"/>
    <w:rsid w:val="00CE5277"/>
    <w:rsid w:val="00CE6FC4"/>
    <w:rsid w:val="00CF1DDB"/>
    <w:rsid w:val="00CF40D9"/>
    <w:rsid w:val="00CF64A7"/>
    <w:rsid w:val="00D01147"/>
    <w:rsid w:val="00D01DAF"/>
    <w:rsid w:val="00D050CD"/>
    <w:rsid w:val="00D066BB"/>
    <w:rsid w:val="00D10572"/>
    <w:rsid w:val="00D10F40"/>
    <w:rsid w:val="00D11323"/>
    <w:rsid w:val="00D11826"/>
    <w:rsid w:val="00D15162"/>
    <w:rsid w:val="00D15685"/>
    <w:rsid w:val="00D15F83"/>
    <w:rsid w:val="00D16C3F"/>
    <w:rsid w:val="00D16D58"/>
    <w:rsid w:val="00D17A02"/>
    <w:rsid w:val="00D20EA7"/>
    <w:rsid w:val="00D224E8"/>
    <w:rsid w:val="00D25DB4"/>
    <w:rsid w:val="00D26804"/>
    <w:rsid w:val="00D324B7"/>
    <w:rsid w:val="00D34E7C"/>
    <w:rsid w:val="00D35819"/>
    <w:rsid w:val="00D366D5"/>
    <w:rsid w:val="00D37D58"/>
    <w:rsid w:val="00D37E57"/>
    <w:rsid w:val="00D417DD"/>
    <w:rsid w:val="00D4237A"/>
    <w:rsid w:val="00D43950"/>
    <w:rsid w:val="00D45473"/>
    <w:rsid w:val="00D46D93"/>
    <w:rsid w:val="00D5017A"/>
    <w:rsid w:val="00D537CD"/>
    <w:rsid w:val="00D54930"/>
    <w:rsid w:val="00D551AD"/>
    <w:rsid w:val="00D552CB"/>
    <w:rsid w:val="00D555A5"/>
    <w:rsid w:val="00D56AE4"/>
    <w:rsid w:val="00D56D01"/>
    <w:rsid w:val="00D573C8"/>
    <w:rsid w:val="00D60CB6"/>
    <w:rsid w:val="00D60CCF"/>
    <w:rsid w:val="00D60D54"/>
    <w:rsid w:val="00D6211B"/>
    <w:rsid w:val="00D67084"/>
    <w:rsid w:val="00D70601"/>
    <w:rsid w:val="00D763A5"/>
    <w:rsid w:val="00D7739D"/>
    <w:rsid w:val="00D8087F"/>
    <w:rsid w:val="00D81426"/>
    <w:rsid w:val="00D81A51"/>
    <w:rsid w:val="00D82F91"/>
    <w:rsid w:val="00D832DD"/>
    <w:rsid w:val="00D83FA9"/>
    <w:rsid w:val="00D84250"/>
    <w:rsid w:val="00D84BEB"/>
    <w:rsid w:val="00D853D3"/>
    <w:rsid w:val="00D85C69"/>
    <w:rsid w:val="00D86455"/>
    <w:rsid w:val="00D912D1"/>
    <w:rsid w:val="00D9236F"/>
    <w:rsid w:val="00D96A0C"/>
    <w:rsid w:val="00D96D95"/>
    <w:rsid w:val="00D9782B"/>
    <w:rsid w:val="00DA19DE"/>
    <w:rsid w:val="00DA52D0"/>
    <w:rsid w:val="00DB130A"/>
    <w:rsid w:val="00DB2F09"/>
    <w:rsid w:val="00DB2F13"/>
    <w:rsid w:val="00DB3F42"/>
    <w:rsid w:val="00DB5F9D"/>
    <w:rsid w:val="00DC0DBA"/>
    <w:rsid w:val="00DC184C"/>
    <w:rsid w:val="00DC297F"/>
    <w:rsid w:val="00DC4789"/>
    <w:rsid w:val="00DC5202"/>
    <w:rsid w:val="00DC7823"/>
    <w:rsid w:val="00DD07E1"/>
    <w:rsid w:val="00DD6032"/>
    <w:rsid w:val="00DE026E"/>
    <w:rsid w:val="00DE162F"/>
    <w:rsid w:val="00DE22B0"/>
    <w:rsid w:val="00DE53EA"/>
    <w:rsid w:val="00DE54DA"/>
    <w:rsid w:val="00DE6A3E"/>
    <w:rsid w:val="00DF0FEF"/>
    <w:rsid w:val="00DF2D9A"/>
    <w:rsid w:val="00DF3938"/>
    <w:rsid w:val="00DF526A"/>
    <w:rsid w:val="00DF5AC5"/>
    <w:rsid w:val="00DF5AE3"/>
    <w:rsid w:val="00E03F93"/>
    <w:rsid w:val="00E0520E"/>
    <w:rsid w:val="00E15890"/>
    <w:rsid w:val="00E201E1"/>
    <w:rsid w:val="00E22F22"/>
    <w:rsid w:val="00E23327"/>
    <w:rsid w:val="00E238E0"/>
    <w:rsid w:val="00E30CA8"/>
    <w:rsid w:val="00E3609F"/>
    <w:rsid w:val="00E367BC"/>
    <w:rsid w:val="00E370CA"/>
    <w:rsid w:val="00E422A1"/>
    <w:rsid w:val="00E42518"/>
    <w:rsid w:val="00E42A97"/>
    <w:rsid w:val="00E42B36"/>
    <w:rsid w:val="00E43459"/>
    <w:rsid w:val="00E460AE"/>
    <w:rsid w:val="00E5075F"/>
    <w:rsid w:val="00E5187B"/>
    <w:rsid w:val="00E56AA3"/>
    <w:rsid w:val="00E56B67"/>
    <w:rsid w:val="00E60D2D"/>
    <w:rsid w:val="00E60EC5"/>
    <w:rsid w:val="00E61518"/>
    <w:rsid w:val="00E62B75"/>
    <w:rsid w:val="00E632B5"/>
    <w:rsid w:val="00E63F8E"/>
    <w:rsid w:val="00E701C5"/>
    <w:rsid w:val="00E72722"/>
    <w:rsid w:val="00E72780"/>
    <w:rsid w:val="00E75118"/>
    <w:rsid w:val="00E76691"/>
    <w:rsid w:val="00E7715C"/>
    <w:rsid w:val="00E7792B"/>
    <w:rsid w:val="00E81D39"/>
    <w:rsid w:val="00E81F7F"/>
    <w:rsid w:val="00E826A5"/>
    <w:rsid w:val="00E8367F"/>
    <w:rsid w:val="00E84A18"/>
    <w:rsid w:val="00E84F6A"/>
    <w:rsid w:val="00E865C5"/>
    <w:rsid w:val="00E90E36"/>
    <w:rsid w:val="00E927C8"/>
    <w:rsid w:val="00E944E1"/>
    <w:rsid w:val="00E9712F"/>
    <w:rsid w:val="00EA0FA8"/>
    <w:rsid w:val="00EA10B3"/>
    <w:rsid w:val="00EA3B02"/>
    <w:rsid w:val="00EA46C6"/>
    <w:rsid w:val="00EA46ED"/>
    <w:rsid w:val="00EA4D81"/>
    <w:rsid w:val="00EA4DFD"/>
    <w:rsid w:val="00EA5646"/>
    <w:rsid w:val="00EA6AD6"/>
    <w:rsid w:val="00EB24DE"/>
    <w:rsid w:val="00EB66F1"/>
    <w:rsid w:val="00EB6809"/>
    <w:rsid w:val="00EB6C03"/>
    <w:rsid w:val="00EB7B44"/>
    <w:rsid w:val="00EC20F5"/>
    <w:rsid w:val="00EC3ACA"/>
    <w:rsid w:val="00EC5664"/>
    <w:rsid w:val="00ED3676"/>
    <w:rsid w:val="00ED3EF7"/>
    <w:rsid w:val="00EE0C72"/>
    <w:rsid w:val="00EE160B"/>
    <w:rsid w:val="00EF05D9"/>
    <w:rsid w:val="00EF1CE1"/>
    <w:rsid w:val="00EF252A"/>
    <w:rsid w:val="00EF5300"/>
    <w:rsid w:val="00EF5746"/>
    <w:rsid w:val="00EF57BE"/>
    <w:rsid w:val="00F03258"/>
    <w:rsid w:val="00F04057"/>
    <w:rsid w:val="00F0552D"/>
    <w:rsid w:val="00F062CA"/>
    <w:rsid w:val="00F074C3"/>
    <w:rsid w:val="00F11250"/>
    <w:rsid w:val="00F11817"/>
    <w:rsid w:val="00F11AF3"/>
    <w:rsid w:val="00F11F91"/>
    <w:rsid w:val="00F12878"/>
    <w:rsid w:val="00F2024F"/>
    <w:rsid w:val="00F22596"/>
    <w:rsid w:val="00F22FCB"/>
    <w:rsid w:val="00F22FE3"/>
    <w:rsid w:val="00F23928"/>
    <w:rsid w:val="00F23A13"/>
    <w:rsid w:val="00F24A54"/>
    <w:rsid w:val="00F25153"/>
    <w:rsid w:val="00F25332"/>
    <w:rsid w:val="00F32ED9"/>
    <w:rsid w:val="00F377BF"/>
    <w:rsid w:val="00F40012"/>
    <w:rsid w:val="00F4230F"/>
    <w:rsid w:val="00F423CD"/>
    <w:rsid w:val="00F42F00"/>
    <w:rsid w:val="00F4582A"/>
    <w:rsid w:val="00F473BA"/>
    <w:rsid w:val="00F479CA"/>
    <w:rsid w:val="00F50A70"/>
    <w:rsid w:val="00F51332"/>
    <w:rsid w:val="00F541BA"/>
    <w:rsid w:val="00F54693"/>
    <w:rsid w:val="00F5499B"/>
    <w:rsid w:val="00F5730D"/>
    <w:rsid w:val="00F62A23"/>
    <w:rsid w:val="00F637DE"/>
    <w:rsid w:val="00F63E79"/>
    <w:rsid w:val="00F6548A"/>
    <w:rsid w:val="00F67675"/>
    <w:rsid w:val="00F70BDC"/>
    <w:rsid w:val="00F712A2"/>
    <w:rsid w:val="00F75DB1"/>
    <w:rsid w:val="00F76D27"/>
    <w:rsid w:val="00F76DBD"/>
    <w:rsid w:val="00F773AE"/>
    <w:rsid w:val="00F77593"/>
    <w:rsid w:val="00F8148E"/>
    <w:rsid w:val="00F82485"/>
    <w:rsid w:val="00F8615D"/>
    <w:rsid w:val="00F865EC"/>
    <w:rsid w:val="00F9020F"/>
    <w:rsid w:val="00F90663"/>
    <w:rsid w:val="00F90F47"/>
    <w:rsid w:val="00F92DF7"/>
    <w:rsid w:val="00F936EE"/>
    <w:rsid w:val="00FA0F6E"/>
    <w:rsid w:val="00FA1BCD"/>
    <w:rsid w:val="00FA1DBF"/>
    <w:rsid w:val="00FA296C"/>
    <w:rsid w:val="00FA7FDA"/>
    <w:rsid w:val="00FB09C4"/>
    <w:rsid w:val="00FB0D8E"/>
    <w:rsid w:val="00FB1E8F"/>
    <w:rsid w:val="00FB37AC"/>
    <w:rsid w:val="00FB50F5"/>
    <w:rsid w:val="00FB51CB"/>
    <w:rsid w:val="00FB6880"/>
    <w:rsid w:val="00FB6C44"/>
    <w:rsid w:val="00FB6D39"/>
    <w:rsid w:val="00FB7B93"/>
    <w:rsid w:val="00FC355C"/>
    <w:rsid w:val="00FC4361"/>
    <w:rsid w:val="00FC7BF9"/>
    <w:rsid w:val="00FD04CE"/>
    <w:rsid w:val="00FD4007"/>
    <w:rsid w:val="00FD58D0"/>
    <w:rsid w:val="00FD6935"/>
    <w:rsid w:val="00FE18C3"/>
    <w:rsid w:val="00FE2397"/>
    <w:rsid w:val="00FE32B6"/>
    <w:rsid w:val="00FE368F"/>
    <w:rsid w:val="00FE6770"/>
    <w:rsid w:val="00FF4061"/>
    <w:rsid w:val="00FF472C"/>
    <w:rsid w:val="00FF5757"/>
    <w:rsid w:val="00FF5CA7"/>
    <w:rsid w:val="00FF65B3"/>
    <w:rsid w:val="00FF6A01"/>
  </w:rsids>
  <w:docVars>
    <w:docVar w:name="EN.InstantFormat" w:val="&lt;ENInstantFormat&gt;&lt;Enabled&gt;1&lt;/Enabled&gt;&lt;ScanUnformatted&gt;1&lt;/ScanUnformatted&gt;&lt;ScanChanges&gt;1&lt;/ScanChanges&gt;&lt;Suspended&gt;1&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wsst2se5d00aserxe45fwxapw95xpt5992r&quot;&gt;OMB EndNote Library&lt;record-ids&gt;&lt;item&gt;1&lt;/item&gt;&lt;item&gt;2&lt;/item&gt;&lt;item&gt;3&lt;/item&gt;&lt;item&gt;4&lt;/item&gt;&lt;item&gt;5&lt;/item&gt;&lt;item&gt;6&lt;/item&gt;&lt;item&gt;7&lt;/item&gt;&lt;item&gt;8&lt;/item&gt;&lt;/record-ids&gt;&lt;/item&gt;&lt;/Libraries&gt;"/>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BABA780"/>
  <w15:docId w15:val="{A51FF877-E4BC-4356-8E71-A0B8DB21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32DD"/>
    <w:rPr>
      <w:sz w:val="24"/>
      <w:szCs w:val="24"/>
    </w:rPr>
  </w:style>
  <w:style w:type="paragraph" w:styleId="Heading1">
    <w:name w:val="heading 1"/>
    <w:basedOn w:val="Normal"/>
    <w:next w:val="Normal"/>
    <w:link w:val="Heading1Char"/>
    <w:uiPriority w:val="9"/>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CC1689"/>
    <w:pPr>
      <w:tabs>
        <w:tab w:val="left" w:pos="480"/>
        <w:tab w:val="right" w:leader="dot" w:pos="9000"/>
      </w:tabs>
      <w:ind w:right="560"/>
    </w:pPr>
    <w:rPr>
      <w:b/>
      <w:bCs/>
      <w:noProof/>
    </w:rPr>
  </w:style>
  <w:style w:type="paragraph" w:styleId="TOC3">
    <w:name w:val="toc 3"/>
    <w:basedOn w:val="Normal"/>
    <w:next w:val="Normal"/>
    <w:autoRedefine/>
    <w:uiPriority w:val="39"/>
    <w:rsid w:val="001A559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967151"/>
    <w:pPr>
      <w:tabs>
        <w:tab w:val="right" w:leader="dot" w:pos="9010"/>
      </w:tabs>
      <w:spacing w:before="60" w:line="260" w:lineRule="atLeast"/>
      <w:ind w:left="547" w:hanging="547"/>
    </w:pPr>
  </w:style>
  <w:style w:type="paragraph" w:styleId="TOC2">
    <w:name w:val="toc 2"/>
    <w:basedOn w:val="Normal"/>
    <w:next w:val="Normal"/>
    <w:autoRedefine/>
    <w:uiPriority w:val="39"/>
    <w:rsid w:val="006376BC"/>
    <w:pPr>
      <w:tabs>
        <w:tab w:val="left" w:pos="990"/>
        <w:tab w:val="right" w:leader="dot" w:pos="9010"/>
      </w:tabs>
      <w:ind w:left="240"/>
    </w:pPr>
  </w:style>
  <w:style w:type="paragraph" w:styleId="PlainText">
    <w:name w:val="Plain Text"/>
    <w:basedOn w:val="Normal"/>
    <w:link w:val="PlainTextChar"/>
    <w:uiPriority w:val="99"/>
    <w:unhideWhenUsed/>
    <w:rsid w:val="00247927"/>
    <w:rPr>
      <w:rFonts w:ascii="Consolas" w:hAnsi="Consolas" w:eastAsiaTheme="minorHAnsi" w:cs="Consolas"/>
      <w:sz w:val="21"/>
      <w:szCs w:val="21"/>
    </w:rPr>
  </w:style>
  <w:style w:type="character" w:customStyle="1" w:styleId="PlainTextChar">
    <w:name w:val="Plain Text Char"/>
    <w:basedOn w:val="DefaultParagraphFont"/>
    <w:link w:val="PlainText"/>
    <w:uiPriority w:val="99"/>
    <w:rsid w:val="00247927"/>
    <w:rPr>
      <w:rFonts w:ascii="Consolas" w:hAnsi="Consolas" w:eastAsiaTheme="minorHAnsi" w:cs="Consolas"/>
      <w:sz w:val="21"/>
      <w:szCs w:val="21"/>
    </w:rPr>
  </w:style>
  <w:style w:type="paragraph" w:customStyle="1" w:styleId="EndNoteBibliographyTitle">
    <w:name w:val="EndNote Bibliography Title"/>
    <w:basedOn w:val="Normal"/>
    <w:link w:val="EndNoteBibliographyTitleChar"/>
    <w:rsid w:val="003705F4"/>
    <w:pPr>
      <w:jc w:val="center"/>
    </w:pPr>
    <w:rPr>
      <w:noProof/>
    </w:rPr>
  </w:style>
  <w:style w:type="character" w:customStyle="1" w:styleId="EndNoteBibliographyTitleChar">
    <w:name w:val="EndNote Bibliography Title Char"/>
    <w:basedOn w:val="bodytext-gphChar"/>
    <w:link w:val="EndNoteBibliographyTitle"/>
    <w:rsid w:val="003705F4"/>
    <w:rPr>
      <w:noProof/>
      <w:sz w:val="24"/>
      <w:szCs w:val="24"/>
    </w:rPr>
  </w:style>
  <w:style w:type="paragraph" w:customStyle="1" w:styleId="EndNoteBibliography">
    <w:name w:val="EndNote Bibliography"/>
    <w:basedOn w:val="Normal"/>
    <w:link w:val="EndNoteBibliographyChar"/>
    <w:rsid w:val="003705F4"/>
    <w:rPr>
      <w:noProof/>
    </w:rPr>
  </w:style>
  <w:style w:type="character" w:customStyle="1" w:styleId="EndNoteBibliographyChar">
    <w:name w:val="EndNote Bibliography Char"/>
    <w:basedOn w:val="bodytext-gphChar"/>
    <w:link w:val="EndNoteBibliography"/>
    <w:rsid w:val="003705F4"/>
    <w:rPr>
      <w:noProof/>
      <w:sz w:val="24"/>
      <w:szCs w:val="24"/>
    </w:rPr>
  </w:style>
  <w:style w:type="paragraph" w:styleId="TOCHeading">
    <w:name w:val="TOC Heading"/>
    <w:basedOn w:val="Heading1"/>
    <w:next w:val="Normal"/>
    <w:uiPriority w:val="39"/>
    <w:unhideWhenUsed/>
    <w:qFormat/>
    <w:rsid w:val="000547D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semiHidden/>
    <w:unhideWhenUsed/>
    <w:rsid w:val="00A958BE"/>
    <w:rPr>
      <w:color w:val="605E5C"/>
      <w:shd w:val="clear" w:color="auto" w:fill="E1DFDD"/>
    </w:rPr>
  </w:style>
  <w:style w:type="paragraph" w:styleId="ListParagraph">
    <w:name w:val="List Paragraph"/>
    <w:basedOn w:val="Normal"/>
    <w:uiPriority w:val="34"/>
    <w:qFormat/>
    <w:rsid w:val="0005714E"/>
    <w:pPr>
      <w:ind w:left="720"/>
    </w:pPr>
    <w:rPr>
      <w:rFonts w:ascii="Calibri" w:hAnsi="Calibri" w:eastAsiaTheme="minorHAnsi" w:cs="Calibri"/>
      <w:sz w:val="22"/>
      <w:szCs w:val="22"/>
    </w:rPr>
  </w:style>
  <w:style w:type="paragraph" w:styleId="Bibliography">
    <w:name w:val="Bibliography"/>
    <w:basedOn w:val="Normal"/>
    <w:next w:val="Normal"/>
    <w:uiPriority w:val="37"/>
    <w:unhideWhenUsed/>
    <w:rsid w:val="0038076D"/>
  </w:style>
  <w:style w:type="character" w:customStyle="1" w:styleId="cf01">
    <w:name w:val="cf01"/>
    <w:basedOn w:val="DefaultParagraphFont"/>
    <w:rsid w:val="00C751C2"/>
    <w:rPr>
      <w:rFonts w:ascii="Segoe UI" w:hAnsi="Segoe UI" w:cs="Segoe UI" w:hint="default"/>
      <w:sz w:val="18"/>
      <w:szCs w:val="18"/>
    </w:rPr>
  </w:style>
  <w:style w:type="paragraph" w:styleId="TableofFigures">
    <w:name w:val="table of figures"/>
    <w:basedOn w:val="Normal"/>
    <w:next w:val="Normal"/>
    <w:uiPriority w:val="99"/>
    <w:unhideWhenUsed/>
    <w:rsid w:val="00403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fpar.opa.hhs.gov" TargetMode="External" /><Relationship Id="rId12" Type="http://schemas.openxmlformats.org/officeDocument/2006/relationships/hyperlink" Target="https://uscode.house.gov/view.xhtml?req=(title:42%20section:300%20edition:prelim)" TargetMode="External" /><Relationship Id="rId13" Type="http://schemas.openxmlformats.org/officeDocument/2006/relationships/hyperlink" Target="https://uscode.house.gov/view.xhtml?hl=false&amp;edition=prelim&amp;req=granuleid%3AUSC-prelim-title42-section300a-4" TargetMode="External" /><Relationship Id="rId14" Type="http://schemas.openxmlformats.org/officeDocument/2006/relationships/hyperlink" Target="https://www.ecfr.gov/current/title-42/chapter-I/subchapter-D/part-59" TargetMode="External" /><Relationship Id="rId15" Type="http://schemas.openxmlformats.org/officeDocument/2006/relationships/hyperlink" Target="https://opa.hhs.gov/sites/default/files/2024-10/2023-FPAR-National-Summary-Report.pdf" TargetMode="External" /><Relationship Id="rId16" Type="http://schemas.openxmlformats.org/officeDocument/2006/relationships/hyperlink" Target="https://www.govinfo.gov/content/pkg/CFR-2000-title45-vol1/pdf/CFR-2000-title45-vol1-part74.pdf" TargetMode="External" /><Relationship Id="rId17" Type="http://schemas.openxmlformats.org/officeDocument/2006/relationships/hyperlink" Target="https://www.govinfo.gov/content/pkg/CFR-2011-title45-vol1/pdf/CFR-2011-title45-vol1-part92.pdf" TargetMode="External" /><Relationship Id="rId18" Type="http://schemas.openxmlformats.org/officeDocument/2006/relationships/hyperlink" Target="https://opa.hhs.gov/grant-programs/title-x-service-grants/about-title-x-service-grants/title-x-program-expectations" TargetMode="External" /><Relationship Id="rId19" Type="http://schemas.openxmlformats.org/officeDocument/2006/relationships/hyperlink" Target="https://opa.hhs.gov/sites/default/files/2022-08/title-x-program-handbook-july-2022-508-updated.pdf" TargetMode="External" /><Relationship Id="rId2" Type="http://schemas.openxmlformats.org/officeDocument/2006/relationships/webSettings" Target="webSettings.xml" /><Relationship Id="rId20" Type="http://schemas.openxmlformats.org/officeDocument/2006/relationships/hyperlink" Target="http://dx.doi.org/10.15585/mmwr.mm6650a4" TargetMode="External" /><Relationship Id="rId21" Type="http://schemas.openxmlformats.org/officeDocument/2006/relationships/hyperlink" Target="https://doi.org/10.1016/j.amepre.2024.09.007" TargetMode="External" /><Relationship Id="rId22" Type="http://schemas.openxmlformats.org/officeDocument/2006/relationships/hyperlink" Target="https://data.hrsa.gov/tools/data-reporting/program-data" TargetMode="External" /><Relationship Id="rId23" Type="http://schemas.openxmlformats.org/officeDocument/2006/relationships/hyperlink" Target="https://www.mathematica.org/publications/how-does-insurance-coverage-improve-health-outcomes" TargetMode="External" /><Relationship Id="rId24" Type="http://schemas.openxmlformats.org/officeDocument/2006/relationships/hyperlink" Target="https://www.kff.org/womens-health-policy/fact-sheet/womens-health-insurance-coverage-fact-sheet/" TargetMode="External" /><Relationship Id="rId25" Type="http://schemas.openxmlformats.org/officeDocument/2006/relationships/hyperlink" Target="https://www.hhs.gov/civil-rights/for-individuals/special-topics/limited-english-proficiency/index.html" TargetMode="External" /><Relationship Id="rId26" Type="http://schemas.openxmlformats.org/officeDocument/2006/relationships/hyperlink" Target="https://spd15revision.gov/" TargetMode="External" /><Relationship Id="rId27" Type="http://schemas.openxmlformats.org/officeDocument/2006/relationships/hyperlink" Target="https://www.healthit.gov/isp/united-states-core-data-interoperability-uscdi" TargetMode="External" /><Relationship Id="rId28" Type="http://schemas.openxmlformats.org/officeDocument/2006/relationships/hyperlink" Target="https://www.federalregister.gov/documents/2024/08/05/2024-14975/health-data-technology-and-interoperability-patient-engagement-information-sharing-and-public-health" TargetMode="External" /><Relationship Id="rId29" Type="http://schemas.openxmlformats.org/officeDocument/2006/relationships/hyperlink" Target="https://www.healthit.gov/topic/standardsbulletin_24-2" TargetMode="External" /><Relationship Id="rId3" Type="http://schemas.openxmlformats.org/officeDocument/2006/relationships/fontTable" Target="fontTable.xml" /><Relationship Id="rId30" Type="http://schemas.openxmlformats.org/officeDocument/2006/relationships/hyperlink" Target="https://www.bls.gov/oes/2023/may/naics2_62.htm"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E649B51A90046BA6F03286A9C9174" ma:contentTypeVersion="18" ma:contentTypeDescription="Create a new document." ma:contentTypeScope="" ma:versionID="a3e4b16e5951fac60a2d2991a96b2f3b">
  <xsd:schema xmlns:xsd="http://www.w3.org/2001/XMLSchema" xmlns:xs="http://www.w3.org/2001/XMLSchema" xmlns:p="http://schemas.microsoft.com/office/2006/metadata/properties" xmlns:ns1="http://schemas.microsoft.com/sharepoint/v3" xmlns:ns3="2b7480a6-370c-42b2-86ec-7b867bf93e85" xmlns:ns4="291fefc7-9aa6-4727-b72b-1e7c3fea29bd" targetNamespace="http://schemas.microsoft.com/office/2006/metadata/properties" ma:root="true" ma:fieldsID="41804774520a0e02c11aab5877baab0b" ns1:_="" ns3:_="" ns4:_="">
    <xsd:import namespace="http://schemas.microsoft.com/sharepoint/v3"/>
    <xsd:import namespace="2b7480a6-370c-42b2-86ec-7b867bf93e85"/>
    <xsd:import namespace="291fefc7-9aa6-4727-b72b-1e7c3fea29bd"/>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480a6-370c-42b2-86ec-7b867bf93e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fefc7-9aa6-4727-b72b-1e7c3fea29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Frost15</b:Tag>
    <b:SourceType>JournalArticle</b:SourceType>
    <b:Guid>{3C70BAE1-6776-4E9F-B1D9-F113CC5F4D09}</b:Guid>
    <b:Title>Contraceptive Needs and Services, 2013 update</b:Title>
    <b:Year>2015</b:Year>
    <b:Author>
      <b:Author>
        <b:NameList>
          <b:Person>
            <b:Last>Jennifer J. Frost</b:Last>
            <b:First>Lori</b:First>
            <b:Middle>Frohwirth, Mia R. Zolna</b:Middle>
          </b:Person>
        </b:NameList>
      </b:Author>
    </b:Author>
    <b:JournalName>Guttmacher Institute</b:JournalName>
    <b:Pages>1</b:Pages>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activity xmlns="2b7480a6-370c-42b2-86ec-7b867bf93e8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61CB6F-E42C-47C5-8B72-1FA471334CFC}">
  <ds:schemaRefs>
    <ds:schemaRef ds:uri="http://schemas.microsoft.com/sharepoint/v3/contenttype/forms"/>
  </ds:schemaRefs>
</ds:datastoreItem>
</file>

<file path=customXml/itemProps2.xml><?xml version="1.0" encoding="utf-8"?>
<ds:datastoreItem xmlns:ds="http://schemas.openxmlformats.org/officeDocument/2006/customXml" ds:itemID="{75396B08-BE8C-4395-BA27-24AEE7593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7480a6-370c-42b2-86ec-7b867bf93e85"/>
    <ds:schemaRef ds:uri="291fefc7-9aa6-4727-b72b-1e7c3fea2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AE286-F3F8-4464-A0BC-66CCC002D82D}">
  <ds:schemaRefs>
    <ds:schemaRef ds:uri="http://schemas.openxmlformats.org/officeDocument/2006/bibliography"/>
  </ds:schemaRefs>
</ds:datastoreItem>
</file>

<file path=customXml/itemProps4.xml><?xml version="1.0" encoding="utf-8"?>
<ds:datastoreItem xmlns:ds="http://schemas.openxmlformats.org/officeDocument/2006/customXml" ds:itemID="{9CB75408-B7D4-4C49-8FC3-C25F3E190075}">
  <ds:schemaRefs>
    <ds:schemaRef ds:uri="http://schemas.microsoft.com/office/2006/metadata/properties"/>
    <ds:schemaRef ds:uri="http://schemas.microsoft.com/office/infopath/2007/PartnerControls"/>
    <ds:schemaRef ds:uri="2b7480a6-370c-42b2-86ec-7b867bf93e85"/>
    <ds:schemaRef ds:uri="http://schemas.microsoft.com/sharepoint/v3"/>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7286</Words>
  <Characters>45915</Characters>
  <Application>Microsoft Office Word</Application>
  <DocSecurity>0</DocSecurity>
  <Lines>382</Lines>
  <Paragraphs>106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Beth (OS/ASPA)</dc:creator>
  <cp:lastModifiedBy>Kim, Jamie (HHS/OASH)</cp:lastModifiedBy>
  <cp:revision>3</cp:revision>
  <cp:lastPrinted>2025-01-03T19:25:00Z</cp:lastPrinted>
  <dcterms:created xsi:type="dcterms:W3CDTF">2025-02-28T19:36:00Z</dcterms:created>
  <dcterms:modified xsi:type="dcterms:W3CDTF">2025-02-28T19:36:00Z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0x0101006CBE649B51A90046BA6F03286A9C9174</vt:lpwstr>
  </property>
  <property fmtid="{D5CDD505-2E9C-101B-9397-08002B2CF9AE}" pid="3" name="_NewReviewCycle">
    <vt:lpwstr/>
  </property>
</Properties>
</file>