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0AB0" w:rsidP="00AE7C37" w14:paraId="739FA1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32"/>
          <w:szCs w:val="32"/>
        </w:rPr>
      </w:pPr>
      <w:r w:rsidRPr="00645C4A">
        <w:rPr>
          <w:sz w:val="32"/>
          <w:szCs w:val="32"/>
          <w:lang w:val="en-CA"/>
        </w:rPr>
        <w:fldChar w:fldCharType="begin"/>
      </w:r>
      <w:r w:rsidRPr="00645C4A" w:rsidR="00645C4A">
        <w:rPr>
          <w:sz w:val="32"/>
          <w:szCs w:val="32"/>
          <w:lang w:val="en-CA"/>
        </w:rPr>
        <w:instrText xml:space="preserve"> SEQ CHAPTER \h \r 1</w:instrText>
      </w:r>
      <w:r w:rsidRPr="00645C4A">
        <w:rPr>
          <w:sz w:val="32"/>
          <w:szCs w:val="32"/>
          <w:lang w:val="en-CA"/>
        </w:rPr>
        <w:fldChar w:fldCharType="separate"/>
      </w:r>
      <w:r w:rsidRPr="00645C4A">
        <w:rPr>
          <w:sz w:val="32"/>
          <w:szCs w:val="32"/>
          <w:lang w:val="en-CA"/>
        </w:rPr>
        <w:fldChar w:fldCharType="end"/>
      </w:r>
      <w:r w:rsidRPr="00645C4A" w:rsidR="00645C4A">
        <w:rPr>
          <w:b/>
          <w:bCs/>
          <w:sz w:val="32"/>
          <w:szCs w:val="32"/>
        </w:rPr>
        <w:t xml:space="preserve">Supporting Statement </w:t>
      </w:r>
      <w:r>
        <w:rPr>
          <w:b/>
          <w:bCs/>
          <w:sz w:val="32"/>
          <w:szCs w:val="32"/>
        </w:rPr>
        <w:t>A</w:t>
      </w:r>
    </w:p>
    <w:p w:rsidR="00645C4A" w:rsidRPr="00645C4A" w:rsidP="00AE7C37" w14:paraId="4DF93A43" w14:textId="77777777">
      <w:pPr>
        <w:tabs>
          <w:tab w:val="center" w:pos="4680"/>
        </w:tabs>
        <w:jc w:val="center"/>
        <w:outlineLvl w:val="0"/>
        <w:rPr>
          <w:b/>
          <w:sz w:val="32"/>
          <w:szCs w:val="32"/>
        </w:rPr>
      </w:pPr>
      <w:r>
        <w:rPr>
          <w:b/>
          <w:sz w:val="32"/>
          <w:szCs w:val="32"/>
        </w:rPr>
        <w:t>3</w:t>
      </w:r>
      <w:r w:rsidRPr="00645C4A">
        <w:rPr>
          <w:b/>
          <w:sz w:val="32"/>
          <w:szCs w:val="32"/>
        </w:rPr>
        <w:t>0 CFR P</w:t>
      </w:r>
      <w:r>
        <w:rPr>
          <w:b/>
          <w:sz w:val="32"/>
          <w:szCs w:val="32"/>
        </w:rPr>
        <w:t>art</w:t>
      </w:r>
      <w:r w:rsidRPr="00645C4A">
        <w:rPr>
          <w:b/>
          <w:sz w:val="32"/>
          <w:szCs w:val="32"/>
        </w:rPr>
        <w:t xml:space="preserve"> 7</w:t>
      </w:r>
      <w:r>
        <w:rPr>
          <w:b/>
          <w:sz w:val="32"/>
          <w:szCs w:val="32"/>
        </w:rPr>
        <w:t>00</w:t>
      </w:r>
      <w:r w:rsidR="003F0748">
        <w:rPr>
          <w:b/>
          <w:sz w:val="32"/>
          <w:szCs w:val="32"/>
        </w:rPr>
        <w:t xml:space="preserve"> - General</w:t>
      </w:r>
    </w:p>
    <w:p w:rsidR="00645C4A" w:rsidRPr="00645C4A" w:rsidP="00645C4A" w14:paraId="6D3CF0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645C4A" w:rsidRPr="00645C4A" w:rsidP="00AE7C37" w14:paraId="55E29E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32"/>
          <w:szCs w:val="32"/>
        </w:rPr>
      </w:pPr>
      <w:r w:rsidRPr="00645C4A">
        <w:rPr>
          <w:b/>
          <w:bCs/>
          <w:sz w:val="32"/>
          <w:szCs w:val="32"/>
        </w:rPr>
        <w:t>OMB Control Number 1029-009</w:t>
      </w:r>
      <w:r>
        <w:rPr>
          <w:b/>
          <w:bCs/>
          <w:sz w:val="32"/>
          <w:szCs w:val="32"/>
        </w:rPr>
        <w:t>4</w:t>
      </w:r>
    </w:p>
    <w:p w:rsidR="003F0748" w:rsidP="00645C4A" w14:paraId="71DC5D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645C4A" w:rsidRPr="003F0748" w:rsidP="00645C4A" w14:paraId="2DF9E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F0748">
        <w:rPr>
          <w:sz w:val="28"/>
          <w:szCs w:val="28"/>
        </w:rPr>
        <w:t>Terms of Clearance:  None</w:t>
      </w:r>
    </w:p>
    <w:p w:rsidR="003F0748" w:rsidP="00645C4A" w14:paraId="67B2B023" w14:textId="4FA5CB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FF6082" w:rsidRPr="00645C4A" w:rsidP="00FF6082" w14:paraId="06E7AEC1" w14:textId="77777777">
      <w:pPr>
        <w:tabs>
          <w:tab w:val="left" w:pos="1502"/>
        </w:tabs>
        <w:outlineLvl w:val="0"/>
        <w:rPr>
          <w:b/>
        </w:rPr>
      </w:pPr>
      <w:r w:rsidRPr="00645C4A">
        <w:rPr>
          <w:b/>
        </w:rPr>
        <w:t>Introduction</w:t>
      </w:r>
    </w:p>
    <w:p w:rsidR="00FF6082" w:rsidRPr="00645C4A" w:rsidP="00FF6082" w14:paraId="0127DAFD" w14:textId="77777777">
      <w:pPr>
        <w:tabs>
          <w:tab w:val="left" w:pos="1502"/>
        </w:tabs>
      </w:pPr>
    </w:p>
    <w:p w:rsidR="00FF6082" w:rsidRPr="00645C4A" w:rsidP="00FF6082" w14:paraId="07BDF9C4" w14:textId="200D55D6">
      <w:pPr>
        <w:rPr>
          <w:szCs w:val="26"/>
        </w:rPr>
      </w:pPr>
      <w:r w:rsidRPr="00645C4A">
        <w:t>This information collection clearance package is being submitted by the Office of Surface Mining Reclamation and Enforcement (OSM</w:t>
      </w:r>
      <w:r>
        <w:t>RE</w:t>
      </w:r>
      <w:r w:rsidRPr="00645C4A">
        <w:t>) to request permission to continue collecting information under 30 CFR Part 700.  The regulations govern termination of jurisdictions</w:t>
      </w:r>
      <w:r w:rsidRPr="00645C4A">
        <w:rPr>
          <w:szCs w:val="26"/>
        </w:rPr>
        <w:t xml:space="preserve">, </w:t>
      </w:r>
      <w:r w:rsidRPr="00645C4A">
        <w:t>petitions for rulemaking, and citizen suits under the Surface Mining Control and Reclamation Act and its</w:t>
      </w:r>
      <w:r w:rsidRPr="00645C4A">
        <w:rPr>
          <w:szCs w:val="26"/>
        </w:rPr>
        <w:t xml:space="preserve"> implementing regulations.  </w:t>
      </w:r>
      <w:r w:rsidRPr="00645C4A">
        <w:t>This information collection was previously reviewed and approved by the Of</w:t>
      </w:r>
      <w:r>
        <w:t xml:space="preserve">fice of Management and Budget (OMB) and assigned </w:t>
      </w:r>
      <w:r w:rsidRPr="00645C4A">
        <w:t xml:space="preserve">control number 1029-0094.  </w:t>
      </w:r>
    </w:p>
    <w:p w:rsidR="00FF6082" w:rsidRPr="00645C4A" w:rsidP="00FF6082" w14:paraId="1E238E93" w14:textId="77777777">
      <w:pPr>
        <w:tabs>
          <w:tab w:val="left" w:pos="204"/>
        </w:tabs>
        <w:spacing w:line="277" w:lineRule="exact"/>
        <w:rPr>
          <w:sz w:val="26"/>
          <w:szCs w:val="26"/>
        </w:rPr>
      </w:pPr>
    </w:p>
    <w:p w:rsidR="0063456F" w:rsidRPr="00072AA0" w:rsidP="0063456F" w14:paraId="4D1C28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0063456F" w:rsidRPr="00072AA0" w:rsidP="0063456F" w14:paraId="4C57E9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63A6613D"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63456F" w:rsidRPr="00072AA0" w:rsidP="0063456F" w14:paraId="00ED5D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2D3304A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0063456F" w:rsidRPr="00072AA0" w:rsidP="0063456F" w14:paraId="1946CD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4C38CC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0063456F" w:rsidRPr="00072AA0" w:rsidP="0063456F" w14:paraId="39FE11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B053EF" w14:paraId="62E156D8" w14:textId="0731098C">
      <w:pPr>
        <w:pStyle w:val="TxBrp3"/>
        <w:spacing w:line="283" w:lineRule="exact"/>
        <w:ind w:left="709"/>
        <w:rPr>
          <w:i/>
        </w:rPr>
      </w:pPr>
      <w:r w:rsidRPr="00072AA0">
        <w:rPr>
          <w:i/>
        </w:rPr>
        <w:t>1.</w:t>
      </w:r>
      <w:r w:rsidRPr="00072AA0">
        <w:rPr>
          <w:i/>
        </w:rPr>
        <w:tab/>
        <w:t>Explain the circumstances that make the collection of information necessary.  Identify any legal or administrative requirements that necessitate the collection.</w:t>
      </w:r>
      <w:r w:rsidR="00756DD2">
        <w:rPr>
          <w:i/>
        </w:rPr>
        <w:br/>
      </w:r>
      <w:r w:rsidR="00756DD2">
        <w:rPr>
          <w:i/>
        </w:rPr>
        <w:br/>
      </w:r>
      <w:r w:rsidR="00756DD2">
        <w:t xml:space="preserve">As authorized by sections </w:t>
      </w:r>
      <w:r w:rsidR="00756DD2">
        <w:rPr>
          <w:i/>
          <w:iCs/>
        </w:rPr>
        <w:t xml:space="preserve">502, 515, </w:t>
      </w:r>
      <w:r w:rsidR="00756DD2">
        <w:t xml:space="preserve">and </w:t>
      </w:r>
      <w:r w:rsidR="00756DD2">
        <w:rPr>
          <w:i/>
          <w:iCs/>
        </w:rPr>
        <w:t xml:space="preserve">516 </w:t>
      </w:r>
      <w:r w:rsidR="00756DD2">
        <w:t xml:space="preserve">of the Surface Mining Control and Reclamation Act (SMCRA), 30 CFR 700.11(d)(1) and (2) define the criteria and procedures for determining when regulatory jurisdiction ends under SMCRA over a surface mining control and reclamation operation site.  The information required includes a written determination by the regulatory authority that all of the regulatory requirements imposed by either the initial or permanent program have been met and, therefore, there no longer exists a surface coal mining and reclamation operation on the particular site or increment thereof.  Initial program sites and permanent program sites will require a written finding by the regulatory authority that all requirements imposed under the regulatory program have been successfully completed.  Final bond release for permanent </w:t>
      </w:r>
      <w:r w:rsidR="00756DD2">
        <w:t>program sites will indicate that the site has met all the applicable regulatory requirements, and jurisdiction may be terminated.  This information collection submittal only reflects burden placed on State regulatory authorities under its initial programs to terminate jurisdiction since the State permanent program responsibilities are found at 30 CFR 800 and the collection authority has been approved separately.</w:t>
      </w:r>
      <w:r w:rsidR="00A668F5">
        <w:br/>
      </w:r>
      <w:r w:rsidR="00A668F5">
        <w:br/>
        <w:t>Section 201(g) of SMCRA provides for a process by which persons may petition the Secretary of the Interior for the “issuance, amendment or repeal of a rule under this Act.”  Subsection 201(g)(2)-(4) sets forth the process for such petition.  These provisions were implemented as regulations at 30 CFR 700.12(b).  This provision gives any person, State or local government an opportunity to initiate rulemaking proceedings by filing a petition for rulemaking with OSMRE.  The petition is required to set forth a concise statement of the facts, technical justification, and law that require the amendment or repeal of a regulation.  Petitioners are also to indicate their desire for a public hearing on the petition.  Individuals or organizations seeking changes in the regulations volunteer petitions.</w:t>
      </w:r>
      <w:r w:rsidR="00301243">
        <w:br/>
      </w:r>
      <w:r w:rsidR="00301243">
        <w:br/>
        <w:t>Section 520 of SMCRA authorizes citizens to sue OSMRE and/or State regulatory authorities to compel regulatory compliance with the SMCRA or duties under the SMCRA that are not discretionary.  In 30 CFR 700.13, those citizens intending to sue under Section 520 are required to send notice of such a suit to the Secretary of the Interior and the Director of OSMRE, the head of the State regulatory authority (if the State is part of the suit), and the alleged violator (if part of the suit).  The person needs to provide certain information pertinent to the suit, such as the section of SMCRA or regulation violated, identification of the party responsible for the violation, identification of the person suing as well as identification of legal counsel.</w:t>
      </w:r>
    </w:p>
    <w:p w:rsidR="0063456F" w:rsidRPr="00072AA0" w:rsidP="0063456F" w14:paraId="79CD99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053EF" w:rsidP="00B053EF" w14:paraId="147A9CBA" w14:textId="69297FAF">
      <w:pPr>
        <w:pStyle w:val="TxBrp2"/>
        <w:spacing w:line="283" w:lineRule="exact"/>
        <w:ind w:left="709"/>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3456F" w:rsidRPr="00072AA0" w:rsidP="00620DF1" w14:paraId="5F98C8CF" w14:textId="0DE33479">
      <w:pPr>
        <w:pStyle w:val="TxBrp3"/>
        <w:spacing w:line="283" w:lineRule="exact"/>
        <w:ind w:left="709"/>
        <w:rPr>
          <w:i/>
        </w:rPr>
      </w:pPr>
      <w:r>
        <w:rPr>
          <w:i/>
        </w:rPr>
        <w:br/>
      </w:r>
      <w:bookmarkStart w:id="0" w:name="_Hlk82686765"/>
      <w:r>
        <w:t>Section 700.11:</w:t>
      </w:r>
      <w:bookmarkEnd w:id="0"/>
      <w:r>
        <w:br/>
        <w:t>The information is used by the OSMRE and States to establish a point where a site is no longer a surface coal mining and reclamation operation and, therefore, regulatory jurisdiction ends.</w:t>
      </w:r>
      <w:r>
        <w:br/>
      </w:r>
      <w:r>
        <w:br/>
        <w:t>Section 700.12:</w:t>
      </w:r>
      <w:r>
        <w:br/>
      </w:r>
      <w:r w:rsidR="00D83649">
        <w:t>The information required by this regulation is to be used by the Director of OSMRE to consider the need, costs and benefits of the proposed regulatory change in order to grant or deny the petition submitted.  If the information were not submitted, there could be no petitions for rulemaking, limiting public participation in the regulatory process.</w:t>
      </w:r>
      <w:r w:rsidR="00250282">
        <w:br/>
      </w:r>
      <w:r w:rsidR="00250282">
        <w:br/>
        <w:t>Section 700.13:</w:t>
      </w:r>
      <w:r w:rsidR="00250282">
        <w:br/>
        <w:t xml:space="preserve">The information is used by OSMRE or the State to identify the person and the nature of the suit, so that OSMRE or the State can respond to it.  If this information collection were </w:t>
      </w:r>
      <w:r w:rsidR="00250282">
        <w:t>not conducted, OSMRE and the States could not properly defend themselves under due process.</w:t>
      </w:r>
    </w:p>
    <w:p w:rsidR="0063456F" w:rsidRPr="00072AA0" w:rsidP="0063456F" w14:paraId="035CA8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2244A" w:rsidP="00B2244A" w14:paraId="0336ACCE" w14:textId="03354E91">
      <w:pPr>
        <w:pStyle w:val="TxBrp3"/>
        <w:spacing w:line="283" w:lineRule="exact"/>
        <w:ind w:left="709"/>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DA111E">
        <w:rPr>
          <w:i/>
        </w:rPr>
        <w:br/>
      </w:r>
      <w:r w:rsidR="00DA111E">
        <w:rPr>
          <w:i/>
        </w:rPr>
        <w:br/>
      </w:r>
      <w:r w:rsidR="00DA111E">
        <w:t>This information is unique to each mining operation</w:t>
      </w:r>
      <w:r>
        <w:t>, each petitioner, and each lawsuit</w:t>
      </w:r>
      <w:r w:rsidR="00DA111E">
        <w:t>.  Respondents are State regulatory authorities that prepare documentation prior to terminating regulatory jurisdiction over a surface coal mining operation.  Form letters are prepared on computer which reduces the burden placed on State regulatory authorities each time the States prepare to terminate jurisdiction on an interim site or upon completion of reclamation activities after bond forfeiture.  Although electronic submission of the written findings is encouraged, since there are so few interim sites remaining, it is not practical for OSMRE to require State regulatory authorities to submit this information electronically although they could.</w:t>
      </w:r>
      <w:r>
        <w:t xml:space="preserve"> Respondents are citizens and individual companies who intend to sue the Federal and/or State government.  OSMRE usually receives Notices of Intent </w:t>
      </w:r>
      <w:r w:rsidR="000349C6">
        <w:t xml:space="preserve">(NOI) </w:t>
      </w:r>
      <w:r>
        <w:t>electronically, followed by hard-copy letters in the mail.</w:t>
      </w:r>
    </w:p>
    <w:p w:rsidR="00620DF1" w:rsidP="00620DF1" w14:paraId="0655E770" w14:textId="63900F35">
      <w:pPr>
        <w:pStyle w:val="TxBrp2"/>
        <w:spacing w:line="283" w:lineRule="exact"/>
        <w:ind w:left="709"/>
      </w:pPr>
    </w:p>
    <w:p w:rsidR="0063456F" w:rsidRPr="00072AA0" w:rsidP="0063456F" w14:paraId="44A8F5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76A55" w:rsidP="00776A55" w14:paraId="59273CE1" w14:textId="062E3F50">
      <w:pPr>
        <w:pStyle w:val="TxBrp2"/>
        <w:spacing w:line="283" w:lineRule="exact"/>
        <w:ind w:left="709"/>
      </w:pPr>
      <w:r w:rsidRPr="00072AA0">
        <w:rPr>
          <w:i/>
        </w:rPr>
        <w:t>4.</w:t>
      </w:r>
      <w:r w:rsidRPr="00072AA0">
        <w:rPr>
          <w:i/>
        </w:rPr>
        <w:tab/>
        <w:t>Describe efforts to identify duplication.  Show specifically why any similar information already available cannot be used or modified for use for the purposes described in Item 2 above.</w:t>
      </w:r>
      <w:r w:rsidR="00620DF1">
        <w:rPr>
          <w:i/>
        </w:rPr>
        <w:br/>
      </w:r>
      <w:r w:rsidR="00620DF1">
        <w:rPr>
          <w:i/>
        </w:rPr>
        <w:br/>
      </w:r>
      <w:r>
        <w:t>Since circumstances vary with each permit application, there is no other available source of information that can be used to satisfy the law.  No similar information pertaining to terminating jurisdiction over an interim permitted coal mining operation is required by other Federal agencies.</w:t>
      </w:r>
      <w:r w:rsidRPr="00776A55">
        <w:t xml:space="preserve"> </w:t>
      </w:r>
      <w:r>
        <w:t>No similar information pertaining to amending Chapter VII of the Code of Federal Regulations is required by other Federal agencies. No similar information pertaining to citizen suits is required by other Federal agencies relating to the conduct of surface coal mining.  Since circumstances vary with each notice of citizen suit, there is no other available source of information that can be used to satisfy the law.</w:t>
      </w:r>
    </w:p>
    <w:p w:rsidR="0063456F" w:rsidRPr="00072AA0" w:rsidP="0063456F" w14:paraId="53E5BE38" w14:textId="373F82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p>
    <w:p w:rsidR="003E4BDA" w:rsidP="003E4BDA" w14:paraId="38DAF275" w14:textId="4CDD2DAD">
      <w:pPr>
        <w:pStyle w:val="TxBrp3"/>
        <w:spacing w:line="283" w:lineRule="exact"/>
        <w:ind w:left="709"/>
      </w:pPr>
      <w:r w:rsidRPr="00072AA0">
        <w:rPr>
          <w:i/>
        </w:rPr>
        <w:t>5.</w:t>
      </w:r>
      <w:r w:rsidRPr="00072AA0">
        <w:rPr>
          <w:i/>
        </w:rPr>
        <w:tab/>
        <w:t>If the collection of information impacts small businesses or other small entities, describe any methods used to minimize burden.</w:t>
      </w:r>
      <w:r w:rsidR="00710639">
        <w:rPr>
          <w:i/>
        </w:rPr>
        <w:br/>
      </w:r>
      <w:r w:rsidR="00710639">
        <w:rPr>
          <w:i/>
        </w:rPr>
        <w:br/>
      </w:r>
      <w:r w:rsidR="00710639">
        <w:t>There are no small entities associated with this collection.  Potential respondents are the 24 State regulatory authorities.</w:t>
      </w:r>
      <w:r w:rsidR="004F7DCC">
        <w:t xml:space="preserve">  There are no special provisions to minimize burden for small coal mining operations or other small entities.</w:t>
      </w:r>
      <w:r w:rsidRPr="003E4BDA">
        <w:t xml:space="preserve"> </w:t>
      </w:r>
      <w:r>
        <w:t>There are no special provisions to minimize burden for small coal mining operations or other small entities.</w:t>
      </w:r>
    </w:p>
    <w:p w:rsidR="004F7DCC" w:rsidP="004F7DCC" w14:paraId="0E521089" w14:textId="4294430D">
      <w:pPr>
        <w:pStyle w:val="TxBrp2"/>
        <w:spacing w:line="283" w:lineRule="exact"/>
        <w:ind w:left="709"/>
      </w:pPr>
    </w:p>
    <w:p w:rsidR="00710639" w:rsidP="00710639" w14:paraId="61DAF980" w14:textId="7D51191B">
      <w:pPr>
        <w:pStyle w:val="TxBrp2"/>
        <w:spacing w:line="283" w:lineRule="exact"/>
        <w:ind w:left="709"/>
      </w:pPr>
    </w:p>
    <w:p w:rsidR="0063456F" w:rsidRPr="00072AA0" w:rsidP="0063456F" w14:paraId="2FBF5019" w14:textId="28A29A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59709C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FB34B8" w14:paraId="50248D64" w14:textId="13C9619F">
      <w:pPr>
        <w:pStyle w:val="TxBrp2"/>
        <w:spacing w:line="283" w:lineRule="exact"/>
        <w:ind w:left="709"/>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r w:rsidR="00D91CB3">
        <w:rPr>
          <w:i/>
        </w:rPr>
        <w:br/>
      </w:r>
      <w:r w:rsidR="00D91CB3">
        <w:rPr>
          <w:i/>
        </w:rPr>
        <w:br/>
      </w:r>
      <w:r w:rsidR="00D91CB3">
        <w:t xml:space="preserve">Information collection will occur </w:t>
      </w:r>
      <w:r w:rsidR="00FB34B8">
        <w:t>at times of termination of jurisdiction, petition for rulemaking, and at times of notice of intent (NOI) to sue by a citizen</w:t>
      </w:r>
      <w:r w:rsidR="00D91CB3">
        <w:t>.  Therefore, the frequency of collection does not apply here.</w:t>
      </w:r>
      <w:r w:rsidRPr="00E54A70" w:rsidR="00E54A70">
        <w:t xml:space="preserve"> </w:t>
      </w:r>
      <w:r w:rsidR="00D91CB3">
        <w:rPr>
          <w:i/>
        </w:rPr>
        <w:br/>
      </w:r>
    </w:p>
    <w:p w:rsidR="0063456F" w:rsidRPr="00072AA0" w:rsidP="0063456F" w14:paraId="255118C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332FA5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63456F" w:rsidRPr="00072AA0" w:rsidP="0063456F" w14:paraId="45F626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rsidR="0063456F" w:rsidRPr="00072AA0" w:rsidP="0063456F" w14:paraId="0F3539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63456F" w:rsidRPr="00072AA0" w:rsidP="0063456F" w14:paraId="07E7AD0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63456F" w:rsidRPr="00072AA0" w:rsidP="0063456F" w14:paraId="5DE607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63456F" w:rsidRPr="00072AA0" w:rsidP="0063456F" w14:paraId="5CC787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rsidR="0063456F" w:rsidRPr="00072AA0" w:rsidP="0063456F" w14:paraId="6D9B27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63456F" w:rsidRPr="00072AA0" w:rsidP="0063456F" w14:paraId="74377C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25388" w:rsidP="00A25388" w14:paraId="1BF68E9B" w14:textId="025284A2">
      <w:pPr>
        <w:pStyle w:val="TxBrp2"/>
        <w:spacing w:line="283" w:lineRule="exact"/>
        <w:ind w:left="709"/>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r w:rsidR="00FB34B8">
        <w:rPr>
          <w:i/>
        </w:rPr>
        <w:br/>
      </w:r>
      <w:r w:rsidR="00FB34B8">
        <w:rPr>
          <w:i/>
        </w:rPr>
        <w:br/>
      </w:r>
      <w:r>
        <w:t xml:space="preserve">Not applicable. </w:t>
      </w:r>
      <w:r w:rsidR="00FB34B8">
        <w:t>There are no special circumstances that require the collection of information to be conducted in a manner inconsistent with the guidelines in 5 CFR 1320.5(d)(2).</w:t>
      </w:r>
      <w:r>
        <w:t xml:space="preserve">  </w:t>
      </w:r>
    </w:p>
    <w:p w:rsidR="00FB34B8" w:rsidP="00FB34B8" w14:paraId="26107364" w14:textId="5CC98AE7">
      <w:pPr>
        <w:pStyle w:val="TxBrp2"/>
        <w:spacing w:line="283" w:lineRule="exact"/>
        <w:ind w:left="709"/>
        <w:rPr>
          <w:i/>
          <w:iCs/>
        </w:rPr>
      </w:pPr>
    </w:p>
    <w:p w:rsidR="0063456F" w:rsidRPr="00072AA0" w:rsidP="0063456F" w14:paraId="747FB53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625777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3456F" w:rsidRPr="00072AA0" w:rsidP="0063456F" w14:paraId="50A1095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4CEFBE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3456F" w:rsidRPr="00072AA0" w:rsidP="0063456F" w14:paraId="247A45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81FC0" w:rsidP="00A25388" w14:paraId="5136CE45" w14:textId="438FD470">
      <w:pPr>
        <w:pStyle w:val="TxBrp2"/>
        <w:spacing w:line="283" w:lineRule="exact"/>
        <w:ind w:left="709"/>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A25388">
        <w:rPr>
          <w:i/>
        </w:rPr>
        <w:br/>
      </w:r>
      <w:r w:rsidR="00A25388">
        <w:rPr>
          <w:i/>
        </w:rPr>
        <w:br/>
      </w:r>
      <w:r w:rsidR="0061765C">
        <w:t xml:space="preserve">OSMRE contacted each of </w:t>
      </w:r>
      <w:r w:rsidR="00A235C1">
        <w:t xml:space="preserve">its </w:t>
      </w:r>
      <w:r w:rsidR="0061765C">
        <w:t xml:space="preserve">three regional offices to determine </w:t>
      </w:r>
      <w:r w:rsidR="00A235C1">
        <w:t xml:space="preserve">recent actions regarding </w:t>
      </w:r>
      <w:r w:rsidRPr="00C21DFD" w:rsidR="00A235C1">
        <w:t>30 CFR 700</w:t>
      </w:r>
      <w:r w:rsidR="00A235C1">
        <w:t xml:space="preserve">.   </w:t>
      </w:r>
      <w:r w:rsidRPr="00C21DFD">
        <w:t>OSMRE contacted its regulatory program staff regarding the information collection requirements associated with filing petitions for rulemaking</w:t>
      </w:r>
      <w:r w:rsidR="00A235C1">
        <w:t>.</w:t>
      </w:r>
      <w:r w:rsidR="000349C6">
        <w:t xml:space="preserve"> There were no </w:t>
      </w:r>
      <w:r w:rsidR="00A235C1">
        <w:t xml:space="preserve">new </w:t>
      </w:r>
      <w:r w:rsidRPr="007A4E47">
        <w:t>petition</w:t>
      </w:r>
      <w:r w:rsidR="000349C6">
        <w:t xml:space="preserve">s for rulemaking over the last three years. </w:t>
      </w:r>
      <w:r>
        <w:t xml:space="preserve">Therefore, the </w:t>
      </w:r>
      <w:r w:rsidR="00635696">
        <w:t xml:space="preserve">responses and </w:t>
      </w:r>
      <w:r>
        <w:t xml:space="preserve">burden estimate </w:t>
      </w:r>
      <w:r w:rsidR="00635696">
        <w:t xml:space="preserve">per response </w:t>
      </w:r>
      <w:r>
        <w:t>remain unchanged</w:t>
      </w:r>
      <w:r w:rsidR="00494D0E">
        <w:t>.</w:t>
      </w:r>
      <w:r>
        <w:t xml:space="preserve"> </w:t>
      </w:r>
      <w:r w:rsidR="00494D0E">
        <w:t xml:space="preserve"> W</w:t>
      </w:r>
      <w:r>
        <w:t>e use the estimate</w:t>
      </w:r>
      <w:r w:rsidR="000349C6">
        <w:t>s from respondents</w:t>
      </w:r>
      <w:r>
        <w:t xml:space="preserve"> </w:t>
      </w:r>
      <w:r w:rsidR="00635696">
        <w:t>fr</w:t>
      </w:r>
      <w:r>
        <w:t>om the previous renewal.</w:t>
      </w:r>
      <w:r w:rsidR="00635696">
        <w:t xml:space="preserve"> There were no comments or </w:t>
      </w:r>
      <w:r w:rsidRPr="007A4E47" w:rsidR="00635696">
        <w:t xml:space="preserve">concerns with the reporting requirements of the subject regulations or availability of information.  </w:t>
      </w:r>
    </w:p>
    <w:p w:rsidR="00B81FC0" w:rsidP="00A25388" w14:paraId="4F164CBF" w14:textId="77777777">
      <w:pPr>
        <w:pStyle w:val="TxBrp2"/>
        <w:spacing w:line="283" w:lineRule="exact"/>
        <w:ind w:left="709"/>
      </w:pPr>
    </w:p>
    <w:p w:rsidR="0063456F" w:rsidRPr="00072AA0" w:rsidP="00635696" w14:paraId="01C1A871" w14:textId="655BD0E7">
      <w:pPr>
        <w:pStyle w:val="TxBrp2"/>
        <w:spacing w:line="283" w:lineRule="exact"/>
        <w:ind w:left="709"/>
        <w:rPr>
          <w:i/>
        </w:rPr>
      </w:pPr>
      <w:r>
        <w:rPr>
          <w:i/>
        </w:rPr>
        <w:tab/>
      </w:r>
      <w:r w:rsidRPr="00C21DFD" w:rsidR="00A25388">
        <w:tab/>
      </w:r>
      <w:r w:rsidRPr="005462C2" w:rsidR="00A25388">
        <w:t xml:space="preserve">On </w:t>
      </w:r>
      <w:r w:rsidRPr="005462C2" w:rsidR="00DA5580">
        <w:t>January 29, 2025</w:t>
      </w:r>
      <w:r w:rsidRPr="005462C2" w:rsidR="00A25388">
        <w:t xml:space="preserve">, OSMRE published in the </w:t>
      </w:r>
      <w:r w:rsidRPr="005462C2" w:rsidR="00A25388">
        <w:rPr>
          <w:u w:val="single"/>
        </w:rPr>
        <w:t>Federal</w:t>
      </w:r>
      <w:r w:rsidRPr="005462C2" w:rsidR="00A25388">
        <w:t xml:space="preserve"> </w:t>
      </w:r>
      <w:r w:rsidRPr="005462C2" w:rsidR="00A25388">
        <w:rPr>
          <w:u w:val="single"/>
        </w:rPr>
        <w:t>Register</w:t>
      </w:r>
      <w:r w:rsidRPr="005462C2" w:rsidR="00A25388">
        <w:t xml:space="preserve"> (</w:t>
      </w:r>
      <w:r w:rsidRPr="005462C2" w:rsidR="005462C2">
        <w:t>90</w:t>
      </w:r>
      <w:r w:rsidRPr="005462C2" w:rsidR="00A25388">
        <w:t xml:space="preserve">FR </w:t>
      </w:r>
      <w:r w:rsidRPr="005462C2" w:rsidR="005462C2">
        <w:t>8404</w:t>
      </w:r>
      <w:r w:rsidRPr="005462C2" w:rsidR="00A25388">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w:t>
      </w:r>
      <w:r w:rsidRPr="006D5119" w:rsidR="00A25388">
        <w:t xml:space="preserve">  </w:t>
      </w:r>
      <w:r w:rsidR="00706741">
        <w:br/>
      </w:r>
      <w:r w:rsidR="00A25388">
        <w:rPr>
          <w:i/>
        </w:rPr>
        <w:br/>
      </w:r>
    </w:p>
    <w:p w:rsidR="0063456F" w:rsidRPr="00072AA0" w:rsidP="0063456F" w14:paraId="7D67A8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25388" w:rsidP="00A25388" w14:paraId="70BD2D9C" w14:textId="77777777">
      <w:pPr>
        <w:pStyle w:val="TxBrp2"/>
        <w:spacing w:line="283" w:lineRule="exact"/>
        <w:ind w:left="709"/>
      </w:pPr>
      <w:r w:rsidRPr="00072AA0">
        <w:rPr>
          <w:i/>
        </w:rPr>
        <w:t>9.</w:t>
      </w:r>
      <w:r w:rsidRPr="00072AA0">
        <w:rPr>
          <w:i/>
        </w:rPr>
        <w:tab/>
        <w:t>Explain any decision to provide any payment or gift to respondents, other than remuneration of contractors or grantees.</w:t>
      </w:r>
      <w:r>
        <w:rPr>
          <w:i/>
        </w:rPr>
        <w:br/>
      </w:r>
      <w:r>
        <w:rPr>
          <w:i/>
        </w:rPr>
        <w:br/>
      </w:r>
      <w:r>
        <w:t>OSMRE provides no payments or gifts to respondents beyond grants authorized by law.</w:t>
      </w:r>
    </w:p>
    <w:p w:rsidR="0063456F" w:rsidRPr="00072AA0" w:rsidP="0063456F" w14:paraId="0CA9D2DC" w14:textId="248BA3E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6A0AF6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A118A6" w14:paraId="419D59EB" w14:textId="17F1DFDB">
      <w:pPr>
        <w:pStyle w:val="TxBrp3"/>
        <w:spacing w:line="283" w:lineRule="exact"/>
        <w:ind w:left="709"/>
        <w:rPr>
          <w:i/>
        </w:rPr>
      </w:pPr>
      <w:r w:rsidRPr="00072AA0">
        <w:rPr>
          <w:i/>
        </w:rPr>
        <w:t>10.</w:t>
      </w:r>
      <w:r w:rsidRPr="00072AA0">
        <w:rPr>
          <w:i/>
        </w:rPr>
        <w:tab/>
        <w:t>Describe any assurance of confidentiality provided to respondents and the basis for the assurance in statute, regulation, or agency policy.</w:t>
      </w:r>
      <w:r w:rsidR="00706741">
        <w:rPr>
          <w:i/>
        </w:rPr>
        <w:br/>
      </w:r>
      <w:r w:rsidR="00706741">
        <w:rPr>
          <w:i/>
        </w:rPr>
        <w:br/>
      </w:r>
      <w:r w:rsidR="00706741">
        <w:t>There are no confidentiality provisions since termination of liability decisions</w:t>
      </w:r>
      <w:r w:rsidR="00A118A6">
        <w:t>,</w:t>
      </w:r>
      <w:r w:rsidR="00706741">
        <w:t xml:space="preserve"> </w:t>
      </w:r>
      <w:r w:rsidR="00A118A6">
        <w:t xml:space="preserve">petitions for rulemaking, and NOI’s </w:t>
      </w:r>
      <w:r w:rsidR="00706741">
        <w:t>are a matter of public record.</w:t>
      </w:r>
      <w:r w:rsidRPr="00A118A6" w:rsidR="00A118A6">
        <w:t xml:space="preserve"> </w:t>
      </w:r>
    </w:p>
    <w:p w:rsidR="0063456F" w:rsidRPr="00072AA0" w:rsidP="0063456F" w14:paraId="4C8F52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315A196F" w14:textId="4038B94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A118A6">
        <w:rPr>
          <w:i/>
        </w:rPr>
        <w:br/>
      </w:r>
      <w:r w:rsidR="00A118A6">
        <w:rPr>
          <w:i/>
        </w:rPr>
        <w:br/>
      </w:r>
      <w:r w:rsidR="00C33814">
        <w:t>Not applicable. Sensitive questions are not asked.</w:t>
      </w:r>
    </w:p>
    <w:p w:rsidR="0063456F" w:rsidRPr="00072AA0" w:rsidP="0063456F" w14:paraId="688E78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3CA3B5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63456F" w:rsidRPr="00072AA0" w:rsidP="0063456F" w14:paraId="6F68615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3456F" w:rsidRPr="00072AA0" w:rsidP="0063456F" w14:paraId="126C3D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C730B4" w:rsidP="00C730B4" w14:paraId="09717590" w14:textId="77777777">
      <w:pPr>
        <w:pStyle w:val="TxBrp4"/>
        <w:tabs>
          <w:tab w:val="left" w:pos="708"/>
        </w:tabs>
        <w:spacing w:line="283" w:lineRule="exact"/>
        <w:ind w:left="709"/>
        <w:outlineLvl w:val="0"/>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i/>
        </w:rPr>
        <w:br/>
      </w:r>
      <w:r>
        <w:rPr>
          <w:i/>
        </w:rPr>
        <w:br/>
      </w:r>
      <w:r>
        <w:t>a.</w:t>
      </w:r>
      <w:r>
        <w:tab/>
      </w:r>
      <w:r>
        <w:rPr>
          <w:u w:val="single"/>
        </w:rPr>
        <w:t>Estimated Reporting Burden</w:t>
      </w:r>
      <w:r>
        <w:t>:</w:t>
      </w:r>
    </w:p>
    <w:p w:rsidR="00C730B4" w:rsidP="00C730B4" w14:paraId="60B7D8AC" w14:textId="77777777">
      <w:pPr>
        <w:tabs>
          <w:tab w:val="left" w:pos="708"/>
        </w:tabs>
        <w:spacing w:line="283" w:lineRule="exact"/>
      </w:pPr>
    </w:p>
    <w:p w:rsidR="00C730B4" w:rsidRPr="005E7FF6" w:rsidP="00C730B4" w14:paraId="00526289" w14:textId="437F016A">
      <w:pPr>
        <w:pStyle w:val="TxBrp4"/>
        <w:tabs>
          <w:tab w:val="left" w:pos="708"/>
        </w:tabs>
        <w:spacing w:line="283" w:lineRule="exact"/>
        <w:ind w:left="709"/>
      </w:pPr>
      <w:r>
        <w:t>Section 30 CFR 700.11(d) requires regulatory authorities to provide written documentation in support of terminating jurisdiction over initial program sites.  Based upon data from of the Annual Evaluation Reports for Evaluation Years 201</w:t>
      </w:r>
      <w:r w:rsidR="00C11E32">
        <w:t>8</w:t>
      </w:r>
      <w:r>
        <w:t xml:space="preserve"> through 20</w:t>
      </w:r>
      <w:r w:rsidR="00C11E32">
        <w:t>20</w:t>
      </w:r>
      <w:r>
        <w:t xml:space="preserve">, </w:t>
      </w:r>
      <w:r w:rsidRPr="005E7FF6">
        <w:t xml:space="preserve">there have been </w:t>
      </w:r>
      <w:r w:rsidR="00C11E32">
        <w:t>2</w:t>
      </w:r>
      <w:r w:rsidRPr="005E7FF6">
        <w:t xml:space="preserve"> written determinations regarding termination of jurisdiction on initial program sites over the span of the last three years.  </w:t>
      </w:r>
      <w:r>
        <w:t xml:space="preserve">We therefore estimate that for the next three years, regulatory authorities will provide 1 new written determination annually. </w:t>
      </w:r>
      <w:r w:rsidRPr="005E7FF6">
        <w:t>Each written determination requires approximately 1 hour preparing since the written determination is standardized and easily generated.</w:t>
      </w:r>
    </w:p>
    <w:p w:rsidR="00C730B4" w:rsidRPr="005E7FF6" w:rsidP="00C730B4" w14:paraId="739ADBD6" w14:textId="77777777">
      <w:pPr>
        <w:tabs>
          <w:tab w:val="left" w:pos="708"/>
        </w:tabs>
        <w:spacing w:line="283" w:lineRule="exact"/>
      </w:pPr>
    </w:p>
    <w:p w:rsidR="00C730B4" w:rsidRPr="00274252" w:rsidP="00C730B4" w14:paraId="63A3EA90" w14:textId="7AE87549">
      <w:pPr>
        <w:pStyle w:val="BodyTextIndent"/>
      </w:pPr>
      <w:r w:rsidRPr="00274252">
        <w:t>Based on information supplied by OSMRE’s reg</w:t>
      </w:r>
      <w:r>
        <w:t>ulatory program,</w:t>
      </w:r>
      <w:r w:rsidRPr="00274252">
        <w:t xml:space="preserve"> </w:t>
      </w:r>
      <w:r>
        <w:t>only one</w:t>
      </w:r>
      <w:r w:rsidRPr="00274252">
        <w:t xml:space="preserve"> petition for rulemaking </w:t>
      </w:r>
      <w:r>
        <w:t>was</w:t>
      </w:r>
      <w:r w:rsidRPr="00274252">
        <w:t xml:space="preserve"> received in the last three years.  </w:t>
      </w:r>
      <w:r>
        <w:t>OSMRE</w:t>
      </w:r>
      <w:r w:rsidRPr="00307E0E">
        <w:t xml:space="preserve"> </w:t>
      </w:r>
      <w:r>
        <w:t xml:space="preserve">will assume </w:t>
      </w:r>
      <w:r w:rsidRPr="00307E0E">
        <w:t xml:space="preserve">that one </w:t>
      </w:r>
      <w:r>
        <w:t xml:space="preserve">petition </w:t>
      </w:r>
      <w:r w:rsidRPr="00307E0E">
        <w:t xml:space="preserve">will be received each year </w:t>
      </w:r>
      <w:r>
        <w:t xml:space="preserve">requesting rulemaking.  </w:t>
      </w:r>
      <w:r w:rsidRPr="00274252">
        <w:t>Based on information provided by the respondent identified in item 8, each petition required about 50 hours to prepare.</w:t>
      </w:r>
    </w:p>
    <w:p w:rsidR="00D67551" w:rsidP="00C11E32" w14:paraId="79D3AD5F" w14:textId="396BDDC9">
      <w:pPr>
        <w:pStyle w:val="TxBrp2"/>
        <w:spacing w:line="240" w:lineRule="auto"/>
        <w:ind w:left="709"/>
      </w:pPr>
      <w:r>
        <w:tab/>
      </w:r>
      <w:r w:rsidR="00C11E32">
        <w:br/>
      </w:r>
      <w:r w:rsidRPr="00C762ED">
        <w:t xml:space="preserve">Based on information provided by </w:t>
      </w:r>
      <w:r>
        <w:t>OSMRE’s three r</w:t>
      </w:r>
      <w:r w:rsidRPr="00C762ED">
        <w:t xml:space="preserve">egional </w:t>
      </w:r>
      <w:r>
        <w:t>o</w:t>
      </w:r>
      <w:r w:rsidRPr="00C762ED">
        <w:t>ffice</w:t>
      </w:r>
      <w:r>
        <w:t xml:space="preserve">s we </w:t>
      </w:r>
      <w:r w:rsidRPr="00C762ED">
        <w:t xml:space="preserve">estimate that approximately </w:t>
      </w:r>
      <w:r>
        <w:t>3</w:t>
      </w:r>
      <w:r w:rsidRPr="00C762ED">
        <w:t xml:space="preserve"> notices will be received annually.</w:t>
      </w:r>
      <w:r>
        <w:tab/>
        <w:t xml:space="preserve">The individuals identified in item </w:t>
      </w:r>
      <w:r w:rsidRPr="00C762ED">
        <w:t>8</w:t>
      </w:r>
      <w:r>
        <w:t xml:space="preserve"> stated that the notice of intent to sue consists of only preparing a letter, which takes approximately four hours </w:t>
      </w:r>
      <w:r w:rsidRPr="00C762ED">
        <w:t xml:space="preserve">to complete </w:t>
      </w:r>
      <w:r>
        <w:t>as</w:t>
      </w:r>
      <w:r w:rsidRPr="00C762ED">
        <w:t xml:space="preserve"> required by 30 CFR 700.13</w:t>
      </w:r>
      <w:r>
        <w:t xml:space="preserve">.   </w:t>
      </w:r>
    </w:p>
    <w:p w:rsidR="00494D0E" w:rsidP="00D67551" w14:paraId="423FDC44" w14:textId="77777777">
      <w:pPr>
        <w:pStyle w:val="TxBrp5"/>
        <w:spacing w:line="240" w:lineRule="auto"/>
        <w:ind w:left="1429"/>
      </w:pPr>
      <w:r>
        <w:br/>
      </w:r>
    </w:p>
    <w:p w:rsidR="00494D0E" w:rsidP="00D67551" w14:paraId="2D29F18C" w14:textId="77777777">
      <w:pPr>
        <w:pStyle w:val="TxBrp5"/>
        <w:spacing w:line="240" w:lineRule="auto"/>
        <w:ind w:left="1429"/>
      </w:pPr>
    </w:p>
    <w:p w:rsidR="00D67551" w:rsidRPr="00214BB3" w:rsidP="00D67551" w14:paraId="48AEFFFC" w14:textId="26F20155">
      <w:pPr>
        <w:pStyle w:val="TxBrp5"/>
        <w:spacing w:line="240" w:lineRule="auto"/>
        <w:ind w:left="1429"/>
      </w:pPr>
      <w:r>
        <w:br/>
      </w:r>
      <w:r>
        <w:br/>
      </w:r>
    </w:p>
    <w:tbl>
      <w:tblPr>
        <w:tblW w:w="7400" w:type="dxa"/>
        <w:jc w:val="center"/>
        <w:tblLook w:val="04A0"/>
      </w:tblPr>
      <w:tblGrid>
        <w:gridCol w:w="2160"/>
        <w:gridCol w:w="1320"/>
        <w:gridCol w:w="1120"/>
        <w:gridCol w:w="960"/>
        <w:gridCol w:w="950"/>
        <w:gridCol w:w="950"/>
      </w:tblGrid>
      <w:tr w14:paraId="58BF19C4" w14:textId="77777777" w:rsidTr="00561418">
        <w:tblPrEx>
          <w:tblW w:w="7400" w:type="dxa"/>
          <w:jc w:val="center"/>
          <w:tblLook w:val="04A0"/>
        </w:tblPrEx>
        <w:trPr>
          <w:trHeight w:val="320"/>
          <w:jc w:val="center"/>
        </w:trPr>
        <w:tc>
          <w:tcPr>
            <w:tcW w:w="4600" w:type="dxa"/>
            <w:gridSpan w:val="3"/>
            <w:tcBorders>
              <w:top w:val="nil"/>
              <w:left w:val="nil"/>
              <w:bottom w:val="nil"/>
              <w:right w:val="nil"/>
            </w:tcBorders>
            <w:shd w:val="clear" w:color="000000" w:fill="FFFFFF"/>
            <w:noWrap/>
            <w:vAlign w:val="bottom"/>
            <w:hideMark/>
          </w:tcPr>
          <w:p w:rsidR="00C11E32" w:rsidRPr="00C11E32" w:rsidP="00C11E32" w14:paraId="2DDE4EF9" w14:textId="77777777">
            <w:pPr>
              <w:widowControl/>
              <w:autoSpaceDE/>
              <w:autoSpaceDN/>
              <w:adjustRightInd/>
              <w:rPr>
                <w:b/>
                <w:bCs/>
                <w:color w:val="000000"/>
              </w:rPr>
            </w:pPr>
            <w:r w:rsidRPr="00C11E32">
              <w:rPr>
                <w:b/>
                <w:bCs/>
                <w:color w:val="000000"/>
              </w:rPr>
              <w:t xml:space="preserve">Summary Burden Hours by Section </w:t>
            </w:r>
          </w:p>
        </w:tc>
        <w:tc>
          <w:tcPr>
            <w:tcW w:w="960" w:type="dxa"/>
            <w:tcBorders>
              <w:top w:val="nil"/>
              <w:left w:val="nil"/>
              <w:bottom w:val="nil"/>
              <w:right w:val="nil"/>
            </w:tcBorders>
            <w:shd w:val="clear" w:color="000000" w:fill="FFFFFF"/>
            <w:noWrap/>
            <w:vAlign w:val="bottom"/>
            <w:hideMark/>
          </w:tcPr>
          <w:p w:rsidR="00C11E32" w:rsidRPr="00C11E32" w:rsidP="00C11E32" w14:paraId="4488676B" w14:textId="77777777">
            <w:pPr>
              <w:widowControl/>
              <w:autoSpaceDE/>
              <w:autoSpaceDN/>
              <w:adjustRightInd/>
              <w:rPr>
                <w:rFonts w:ascii="Calibri" w:hAnsi="Calibri" w:cs="Calibri"/>
                <w:color w:val="000000"/>
                <w:sz w:val="22"/>
                <w:szCs w:val="22"/>
              </w:rPr>
            </w:pPr>
            <w:r w:rsidRPr="00C11E32">
              <w:rPr>
                <w:rFonts w:ascii="Calibri" w:hAnsi="Calibri" w:cs="Calibri"/>
                <w:color w:val="000000"/>
                <w:sz w:val="22"/>
                <w:szCs w:val="22"/>
              </w:rPr>
              <w:t> </w:t>
            </w:r>
          </w:p>
        </w:tc>
        <w:tc>
          <w:tcPr>
            <w:tcW w:w="900" w:type="dxa"/>
            <w:tcBorders>
              <w:top w:val="nil"/>
              <w:left w:val="nil"/>
              <w:bottom w:val="nil"/>
              <w:right w:val="nil"/>
            </w:tcBorders>
            <w:shd w:val="clear" w:color="000000" w:fill="FFFFFF"/>
            <w:noWrap/>
            <w:vAlign w:val="bottom"/>
            <w:hideMark/>
          </w:tcPr>
          <w:p w:rsidR="00C11E32" w:rsidRPr="00C11E32" w:rsidP="00C11E32" w14:paraId="3FF46038" w14:textId="77777777">
            <w:pPr>
              <w:widowControl/>
              <w:autoSpaceDE/>
              <w:autoSpaceDN/>
              <w:adjustRightInd/>
              <w:rPr>
                <w:rFonts w:ascii="Calibri" w:hAnsi="Calibri" w:cs="Calibri"/>
                <w:color w:val="000000"/>
                <w:sz w:val="22"/>
                <w:szCs w:val="22"/>
              </w:rPr>
            </w:pPr>
            <w:r w:rsidRPr="00C11E32">
              <w:rPr>
                <w:rFonts w:ascii="Calibri" w:hAnsi="Calibri" w:cs="Calibri"/>
                <w:color w:val="000000"/>
                <w:sz w:val="22"/>
                <w:szCs w:val="22"/>
              </w:rPr>
              <w:t> </w:t>
            </w:r>
          </w:p>
        </w:tc>
        <w:tc>
          <w:tcPr>
            <w:tcW w:w="940" w:type="dxa"/>
            <w:tcBorders>
              <w:top w:val="nil"/>
              <w:left w:val="nil"/>
              <w:bottom w:val="nil"/>
              <w:right w:val="nil"/>
            </w:tcBorders>
            <w:shd w:val="clear" w:color="000000" w:fill="FFFFFF"/>
            <w:noWrap/>
            <w:vAlign w:val="bottom"/>
            <w:hideMark/>
          </w:tcPr>
          <w:p w:rsidR="00C11E32" w:rsidRPr="00C11E32" w:rsidP="00C11E32" w14:paraId="1D1C10D9" w14:textId="77777777">
            <w:pPr>
              <w:widowControl/>
              <w:autoSpaceDE/>
              <w:autoSpaceDN/>
              <w:adjustRightInd/>
              <w:rPr>
                <w:rFonts w:ascii="Calibri" w:hAnsi="Calibri" w:cs="Calibri"/>
                <w:color w:val="000000"/>
                <w:sz w:val="22"/>
                <w:szCs w:val="22"/>
              </w:rPr>
            </w:pPr>
            <w:r w:rsidRPr="00C11E32">
              <w:rPr>
                <w:rFonts w:ascii="Calibri" w:hAnsi="Calibri" w:cs="Calibri"/>
                <w:color w:val="000000"/>
                <w:sz w:val="22"/>
                <w:szCs w:val="22"/>
              </w:rPr>
              <w:t> </w:t>
            </w:r>
          </w:p>
        </w:tc>
      </w:tr>
      <w:tr w14:paraId="34F09FF8" w14:textId="77777777" w:rsidTr="00561418">
        <w:tblPrEx>
          <w:tblW w:w="7400" w:type="dxa"/>
          <w:jc w:val="center"/>
          <w:tblLook w:val="04A0"/>
        </w:tblPrEx>
        <w:trPr>
          <w:trHeight w:val="840"/>
          <w:jc w:val="center"/>
        </w:trPr>
        <w:tc>
          <w:tcPr>
            <w:tcW w:w="216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11E32" w:rsidRPr="00C11E32" w:rsidP="00C11E32" w14:paraId="364C523D" w14:textId="77777777">
            <w:pPr>
              <w:widowControl/>
              <w:autoSpaceDE/>
              <w:autoSpaceDN/>
              <w:adjustRightInd/>
              <w:jc w:val="center"/>
              <w:rPr>
                <w:color w:val="000000"/>
              </w:rPr>
            </w:pPr>
            <w:r w:rsidRPr="00C11E32">
              <w:rPr>
                <w:color w:val="000000"/>
              </w:rPr>
              <w:t>Section</w:t>
            </w:r>
          </w:p>
        </w:tc>
        <w:tc>
          <w:tcPr>
            <w:tcW w:w="1320" w:type="dxa"/>
            <w:tcBorders>
              <w:top w:val="double" w:sz="6" w:space="0" w:color="auto"/>
              <w:left w:val="nil"/>
              <w:bottom w:val="single" w:sz="8" w:space="0" w:color="auto"/>
              <w:right w:val="single" w:sz="8" w:space="0" w:color="auto"/>
            </w:tcBorders>
            <w:shd w:val="clear" w:color="000000" w:fill="FFFFFF"/>
            <w:vAlign w:val="center"/>
            <w:hideMark/>
          </w:tcPr>
          <w:p w:rsidR="00C11E32" w:rsidRPr="00C11E32" w:rsidP="00C11E32" w14:paraId="28FBC66D" w14:textId="77777777">
            <w:pPr>
              <w:widowControl/>
              <w:autoSpaceDE/>
              <w:autoSpaceDN/>
              <w:adjustRightInd/>
              <w:jc w:val="center"/>
              <w:rPr>
                <w:color w:val="000000"/>
              </w:rPr>
            </w:pPr>
            <w:r w:rsidRPr="00C11E32">
              <w:rPr>
                <w:color w:val="000000"/>
              </w:rPr>
              <w:t>Responses</w:t>
            </w:r>
          </w:p>
        </w:tc>
        <w:tc>
          <w:tcPr>
            <w:tcW w:w="1120" w:type="dxa"/>
            <w:tcBorders>
              <w:top w:val="double" w:sz="6" w:space="0" w:color="auto"/>
              <w:left w:val="nil"/>
              <w:bottom w:val="single" w:sz="8" w:space="0" w:color="auto"/>
              <w:right w:val="single" w:sz="8" w:space="0" w:color="auto"/>
            </w:tcBorders>
            <w:shd w:val="clear" w:color="000000" w:fill="FFFFFF"/>
            <w:vAlign w:val="center"/>
            <w:hideMark/>
          </w:tcPr>
          <w:p w:rsidR="00C11E32" w:rsidRPr="00C11E32" w:rsidP="00C11E32" w14:paraId="5DF81C63" w14:textId="77777777">
            <w:pPr>
              <w:widowControl/>
              <w:autoSpaceDE/>
              <w:autoSpaceDN/>
              <w:adjustRightInd/>
              <w:jc w:val="center"/>
              <w:rPr>
                <w:color w:val="000000"/>
              </w:rPr>
            </w:pPr>
            <w:r w:rsidRPr="00C11E32">
              <w:rPr>
                <w:color w:val="000000"/>
              </w:rPr>
              <w:t>Hours per response</w:t>
            </w:r>
          </w:p>
        </w:tc>
        <w:tc>
          <w:tcPr>
            <w:tcW w:w="960" w:type="dxa"/>
            <w:tcBorders>
              <w:top w:val="double" w:sz="6" w:space="0" w:color="auto"/>
              <w:left w:val="nil"/>
              <w:bottom w:val="single" w:sz="8" w:space="0" w:color="auto"/>
              <w:right w:val="single" w:sz="8" w:space="0" w:color="auto"/>
            </w:tcBorders>
            <w:shd w:val="clear" w:color="000000" w:fill="FFFFFF"/>
            <w:vAlign w:val="center"/>
            <w:hideMark/>
          </w:tcPr>
          <w:p w:rsidR="00C11E32" w:rsidRPr="00C11E32" w:rsidP="00C11E32" w14:paraId="1265E52C" w14:textId="77777777">
            <w:pPr>
              <w:widowControl/>
              <w:autoSpaceDE/>
              <w:autoSpaceDN/>
              <w:adjustRightInd/>
              <w:jc w:val="center"/>
              <w:rPr>
                <w:color w:val="000000"/>
              </w:rPr>
            </w:pPr>
            <w:r w:rsidRPr="00C11E32">
              <w:rPr>
                <w:color w:val="000000"/>
              </w:rPr>
              <w:t>Total Hours</w:t>
            </w:r>
          </w:p>
        </w:tc>
        <w:tc>
          <w:tcPr>
            <w:tcW w:w="900" w:type="dxa"/>
            <w:tcBorders>
              <w:top w:val="double" w:sz="6" w:space="0" w:color="auto"/>
              <w:left w:val="nil"/>
              <w:bottom w:val="single" w:sz="8" w:space="0" w:color="auto"/>
              <w:right w:val="single" w:sz="8" w:space="0" w:color="auto"/>
            </w:tcBorders>
            <w:shd w:val="clear" w:color="000000" w:fill="FFFFFF"/>
            <w:vAlign w:val="center"/>
            <w:hideMark/>
          </w:tcPr>
          <w:p w:rsidR="00C11E32" w:rsidRPr="00C11E32" w:rsidP="00C11E32" w14:paraId="6A158F57" w14:textId="77777777">
            <w:pPr>
              <w:widowControl/>
              <w:autoSpaceDE/>
              <w:autoSpaceDN/>
              <w:adjustRightInd/>
              <w:jc w:val="center"/>
              <w:rPr>
                <w:color w:val="000000"/>
              </w:rPr>
            </w:pPr>
            <w:r w:rsidRPr="00C11E32">
              <w:rPr>
                <w:color w:val="000000"/>
              </w:rPr>
              <w:t>Current Hours</w:t>
            </w:r>
          </w:p>
        </w:tc>
        <w:tc>
          <w:tcPr>
            <w:tcW w:w="940" w:type="dxa"/>
            <w:tcBorders>
              <w:top w:val="double" w:sz="6" w:space="0" w:color="auto"/>
              <w:left w:val="nil"/>
              <w:bottom w:val="single" w:sz="8" w:space="0" w:color="auto"/>
              <w:right w:val="double" w:sz="6" w:space="0" w:color="auto"/>
            </w:tcBorders>
            <w:shd w:val="clear" w:color="000000" w:fill="FFFFFF"/>
            <w:vAlign w:val="center"/>
            <w:hideMark/>
          </w:tcPr>
          <w:p w:rsidR="00C11E32" w:rsidRPr="00C11E32" w:rsidP="00C11E32" w14:paraId="5828EBF3" w14:textId="77777777">
            <w:pPr>
              <w:widowControl/>
              <w:autoSpaceDE/>
              <w:autoSpaceDN/>
              <w:adjustRightInd/>
              <w:jc w:val="center"/>
              <w:rPr>
                <w:color w:val="000000"/>
              </w:rPr>
            </w:pPr>
            <w:r w:rsidRPr="00C11E32">
              <w:rPr>
                <w:color w:val="000000"/>
              </w:rPr>
              <w:t>Change</w:t>
            </w:r>
          </w:p>
        </w:tc>
      </w:tr>
      <w:tr w14:paraId="0071721A" w14:textId="77777777" w:rsidTr="00561418">
        <w:tblPrEx>
          <w:tblW w:w="7400" w:type="dxa"/>
          <w:jc w:val="center"/>
          <w:tblLook w:val="04A0"/>
        </w:tblPrEx>
        <w:trPr>
          <w:trHeight w:val="320"/>
          <w:jc w:val="center"/>
        </w:trPr>
        <w:tc>
          <w:tcPr>
            <w:tcW w:w="2160" w:type="dxa"/>
            <w:tcBorders>
              <w:top w:val="nil"/>
              <w:left w:val="double" w:sz="6" w:space="0" w:color="auto"/>
              <w:bottom w:val="single" w:sz="8" w:space="0" w:color="auto"/>
              <w:right w:val="single" w:sz="8" w:space="0" w:color="auto"/>
            </w:tcBorders>
            <w:shd w:val="clear" w:color="000000" w:fill="FFFFFF"/>
            <w:vAlign w:val="center"/>
            <w:hideMark/>
          </w:tcPr>
          <w:p w:rsidR="00C11E32" w:rsidRPr="00C11E32" w:rsidP="00C11E32" w14:paraId="0E35CD01" w14:textId="77777777">
            <w:pPr>
              <w:widowControl/>
              <w:autoSpaceDE/>
              <w:autoSpaceDN/>
              <w:adjustRightInd/>
              <w:jc w:val="right"/>
              <w:rPr>
                <w:color w:val="000000"/>
              </w:rPr>
            </w:pPr>
            <w:r w:rsidRPr="00C11E32">
              <w:rPr>
                <w:color w:val="000000"/>
                <w:lang w:val="fr-FR"/>
              </w:rPr>
              <w:t>700.11</w:t>
            </w:r>
          </w:p>
        </w:tc>
        <w:tc>
          <w:tcPr>
            <w:tcW w:w="1320" w:type="dxa"/>
            <w:tcBorders>
              <w:top w:val="nil"/>
              <w:left w:val="nil"/>
              <w:bottom w:val="single" w:sz="8" w:space="0" w:color="auto"/>
              <w:right w:val="single" w:sz="8" w:space="0" w:color="auto"/>
            </w:tcBorders>
            <w:shd w:val="clear" w:color="000000" w:fill="FFFFFF"/>
            <w:vAlign w:val="center"/>
            <w:hideMark/>
          </w:tcPr>
          <w:p w:rsidR="00C11E32" w:rsidRPr="00C11E32" w:rsidP="00C11E32" w14:paraId="41066605" w14:textId="77777777">
            <w:pPr>
              <w:widowControl/>
              <w:autoSpaceDE/>
              <w:autoSpaceDN/>
              <w:adjustRightInd/>
              <w:jc w:val="center"/>
              <w:rPr>
                <w:color w:val="000000"/>
              </w:rPr>
            </w:pPr>
            <w:r w:rsidRPr="00C11E32">
              <w:rPr>
                <w:color w:val="000000"/>
                <w:lang w:val="fr-FR"/>
              </w:rPr>
              <w:t>1</w:t>
            </w:r>
          </w:p>
        </w:tc>
        <w:tc>
          <w:tcPr>
            <w:tcW w:w="1120" w:type="dxa"/>
            <w:tcBorders>
              <w:top w:val="nil"/>
              <w:left w:val="nil"/>
              <w:bottom w:val="single" w:sz="8" w:space="0" w:color="auto"/>
              <w:right w:val="single" w:sz="8" w:space="0" w:color="auto"/>
            </w:tcBorders>
            <w:shd w:val="clear" w:color="000000" w:fill="FFFFFF"/>
            <w:vAlign w:val="center"/>
            <w:hideMark/>
          </w:tcPr>
          <w:p w:rsidR="00C11E32" w:rsidRPr="00C11E32" w:rsidP="00C11E32" w14:paraId="2D84B2AC" w14:textId="77777777">
            <w:pPr>
              <w:widowControl/>
              <w:autoSpaceDE/>
              <w:autoSpaceDN/>
              <w:adjustRightInd/>
              <w:jc w:val="center"/>
              <w:rPr>
                <w:color w:val="000000"/>
              </w:rPr>
            </w:pPr>
            <w:r w:rsidRPr="00C11E32">
              <w:rPr>
                <w:color w:val="000000"/>
                <w:lang w:val="fr-FR"/>
              </w:rPr>
              <w:t>1</w:t>
            </w:r>
          </w:p>
        </w:tc>
        <w:tc>
          <w:tcPr>
            <w:tcW w:w="960" w:type="dxa"/>
            <w:tcBorders>
              <w:top w:val="nil"/>
              <w:left w:val="nil"/>
              <w:bottom w:val="single" w:sz="8" w:space="0" w:color="auto"/>
              <w:right w:val="single" w:sz="8" w:space="0" w:color="auto"/>
            </w:tcBorders>
            <w:shd w:val="clear" w:color="auto" w:fill="auto"/>
            <w:noWrap/>
            <w:vAlign w:val="bottom"/>
            <w:hideMark/>
          </w:tcPr>
          <w:p w:rsidR="00C11E32" w:rsidRPr="00C11E32" w:rsidP="00C11E32" w14:paraId="56C736B1" w14:textId="77777777">
            <w:pPr>
              <w:widowControl/>
              <w:autoSpaceDE/>
              <w:autoSpaceDN/>
              <w:adjustRightInd/>
              <w:jc w:val="center"/>
              <w:rPr>
                <w:color w:val="000000"/>
              </w:rPr>
            </w:pPr>
            <w:r w:rsidRPr="00C11E32">
              <w:rPr>
                <w:color w:val="000000"/>
              </w:rPr>
              <w:t>1</w:t>
            </w:r>
          </w:p>
        </w:tc>
        <w:tc>
          <w:tcPr>
            <w:tcW w:w="900" w:type="dxa"/>
            <w:tcBorders>
              <w:top w:val="nil"/>
              <w:left w:val="nil"/>
              <w:bottom w:val="single" w:sz="8" w:space="0" w:color="auto"/>
              <w:right w:val="single" w:sz="8" w:space="0" w:color="auto"/>
            </w:tcBorders>
            <w:shd w:val="clear" w:color="000000" w:fill="FFFFFF"/>
            <w:vAlign w:val="center"/>
            <w:hideMark/>
          </w:tcPr>
          <w:p w:rsidR="00C11E32" w:rsidRPr="00C11E32" w:rsidP="00C11E32" w14:paraId="338A05B5" w14:textId="77777777">
            <w:pPr>
              <w:widowControl/>
              <w:autoSpaceDE/>
              <w:autoSpaceDN/>
              <w:adjustRightInd/>
              <w:jc w:val="center"/>
              <w:rPr>
                <w:color w:val="000000"/>
              </w:rPr>
            </w:pPr>
            <w:r w:rsidRPr="00C11E32">
              <w:rPr>
                <w:color w:val="000000"/>
                <w:lang w:val="fr-FR"/>
              </w:rPr>
              <w:t>1</w:t>
            </w:r>
          </w:p>
        </w:tc>
        <w:tc>
          <w:tcPr>
            <w:tcW w:w="940" w:type="dxa"/>
            <w:tcBorders>
              <w:top w:val="nil"/>
              <w:left w:val="nil"/>
              <w:bottom w:val="single" w:sz="8" w:space="0" w:color="auto"/>
              <w:right w:val="double" w:sz="6" w:space="0" w:color="auto"/>
            </w:tcBorders>
            <w:shd w:val="clear" w:color="000000" w:fill="FFFFFF"/>
            <w:vAlign w:val="center"/>
            <w:hideMark/>
          </w:tcPr>
          <w:p w:rsidR="00C11E32" w:rsidRPr="00C11E32" w:rsidP="00C11E32" w14:paraId="5109CFB0" w14:textId="77777777">
            <w:pPr>
              <w:widowControl/>
              <w:autoSpaceDE/>
              <w:autoSpaceDN/>
              <w:adjustRightInd/>
              <w:jc w:val="center"/>
              <w:rPr>
                <w:color w:val="000000"/>
              </w:rPr>
            </w:pPr>
            <w:r w:rsidRPr="00C11E32">
              <w:rPr>
                <w:color w:val="000000"/>
              </w:rPr>
              <w:t>0</w:t>
            </w:r>
          </w:p>
        </w:tc>
      </w:tr>
      <w:tr w14:paraId="39F66677" w14:textId="77777777" w:rsidTr="00561418">
        <w:tblPrEx>
          <w:tblW w:w="7400" w:type="dxa"/>
          <w:jc w:val="center"/>
          <w:tblLook w:val="04A0"/>
        </w:tblPrEx>
        <w:trPr>
          <w:trHeight w:val="320"/>
          <w:jc w:val="center"/>
        </w:trPr>
        <w:tc>
          <w:tcPr>
            <w:tcW w:w="2160" w:type="dxa"/>
            <w:tcBorders>
              <w:top w:val="nil"/>
              <w:left w:val="double" w:sz="6" w:space="0" w:color="auto"/>
              <w:bottom w:val="single" w:sz="8" w:space="0" w:color="auto"/>
              <w:right w:val="single" w:sz="8" w:space="0" w:color="auto"/>
            </w:tcBorders>
            <w:shd w:val="clear" w:color="000000" w:fill="FFFFFF"/>
            <w:vAlign w:val="center"/>
            <w:hideMark/>
          </w:tcPr>
          <w:p w:rsidR="00C11E32" w:rsidRPr="00C11E32" w:rsidP="00C11E32" w14:paraId="1B32F6C9" w14:textId="77777777">
            <w:pPr>
              <w:widowControl/>
              <w:autoSpaceDE/>
              <w:autoSpaceDN/>
              <w:adjustRightInd/>
              <w:jc w:val="right"/>
              <w:rPr>
                <w:color w:val="000000"/>
              </w:rPr>
            </w:pPr>
            <w:r w:rsidRPr="00C11E32">
              <w:rPr>
                <w:color w:val="000000"/>
              </w:rPr>
              <w:t>700.12</w:t>
            </w:r>
          </w:p>
        </w:tc>
        <w:tc>
          <w:tcPr>
            <w:tcW w:w="1320" w:type="dxa"/>
            <w:tcBorders>
              <w:top w:val="nil"/>
              <w:left w:val="nil"/>
              <w:bottom w:val="single" w:sz="8" w:space="0" w:color="auto"/>
              <w:right w:val="single" w:sz="8" w:space="0" w:color="auto"/>
            </w:tcBorders>
            <w:shd w:val="clear" w:color="000000" w:fill="FFFFFF"/>
            <w:vAlign w:val="center"/>
            <w:hideMark/>
          </w:tcPr>
          <w:p w:rsidR="00C11E32" w:rsidRPr="00C11E32" w:rsidP="00C11E32" w14:paraId="0D323E5D" w14:textId="77777777">
            <w:pPr>
              <w:widowControl/>
              <w:autoSpaceDE/>
              <w:autoSpaceDN/>
              <w:adjustRightInd/>
              <w:jc w:val="center"/>
              <w:rPr>
                <w:color w:val="000000"/>
              </w:rPr>
            </w:pPr>
            <w:r w:rsidRPr="00C11E32">
              <w:rPr>
                <w:color w:val="000000"/>
              </w:rPr>
              <w:t>1</w:t>
            </w:r>
          </w:p>
        </w:tc>
        <w:tc>
          <w:tcPr>
            <w:tcW w:w="1120" w:type="dxa"/>
            <w:tcBorders>
              <w:top w:val="nil"/>
              <w:left w:val="nil"/>
              <w:bottom w:val="single" w:sz="8" w:space="0" w:color="auto"/>
              <w:right w:val="single" w:sz="8" w:space="0" w:color="auto"/>
            </w:tcBorders>
            <w:shd w:val="clear" w:color="000000" w:fill="FFFFFF"/>
            <w:vAlign w:val="center"/>
            <w:hideMark/>
          </w:tcPr>
          <w:p w:rsidR="00C11E32" w:rsidRPr="00C11E32" w:rsidP="00C11E32" w14:paraId="5B8F1D62" w14:textId="77777777">
            <w:pPr>
              <w:widowControl/>
              <w:autoSpaceDE/>
              <w:autoSpaceDN/>
              <w:adjustRightInd/>
              <w:jc w:val="center"/>
              <w:rPr>
                <w:color w:val="000000"/>
              </w:rPr>
            </w:pPr>
            <w:r w:rsidRPr="00C11E32">
              <w:rPr>
                <w:color w:val="000000"/>
              </w:rPr>
              <w:t>50</w:t>
            </w:r>
          </w:p>
        </w:tc>
        <w:tc>
          <w:tcPr>
            <w:tcW w:w="960" w:type="dxa"/>
            <w:tcBorders>
              <w:top w:val="nil"/>
              <w:left w:val="nil"/>
              <w:bottom w:val="single" w:sz="8" w:space="0" w:color="auto"/>
              <w:right w:val="single" w:sz="8" w:space="0" w:color="auto"/>
            </w:tcBorders>
            <w:shd w:val="clear" w:color="auto" w:fill="auto"/>
            <w:noWrap/>
            <w:vAlign w:val="bottom"/>
            <w:hideMark/>
          </w:tcPr>
          <w:p w:rsidR="00C11E32" w:rsidRPr="00C11E32" w:rsidP="00C11E32" w14:paraId="1C672583" w14:textId="77777777">
            <w:pPr>
              <w:widowControl/>
              <w:autoSpaceDE/>
              <w:autoSpaceDN/>
              <w:adjustRightInd/>
              <w:jc w:val="center"/>
              <w:rPr>
                <w:color w:val="000000"/>
              </w:rPr>
            </w:pPr>
            <w:r w:rsidRPr="00C11E32">
              <w:rPr>
                <w:color w:val="000000"/>
              </w:rPr>
              <w:t>50</w:t>
            </w:r>
          </w:p>
        </w:tc>
        <w:tc>
          <w:tcPr>
            <w:tcW w:w="900" w:type="dxa"/>
            <w:tcBorders>
              <w:top w:val="nil"/>
              <w:left w:val="nil"/>
              <w:bottom w:val="single" w:sz="8" w:space="0" w:color="auto"/>
              <w:right w:val="single" w:sz="8" w:space="0" w:color="auto"/>
            </w:tcBorders>
            <w:shd w:val="clear" w:color="000000" w:fill="FFFFFF"/>
            <w:vAlign w:val="center"/>
            <w:hideMark/>
          </w:tcPr>
          <w:p w:rsidR="00C11E32" w:rsidRPr="00C11E32" w:rsidP="00C11E32" w14:paraId="3C16D9C6" w14:textId="77777777">
            <w:pPr>
              <w:widowControl/>
              <w:autoSpaceDE/>
              <w:autoSpaceDN/>
              <w:adjustRightInd/>
              <w:jc w:val="center"/>
              <w:rPr>
                <w:color w:val="000000"/>
              </w:rPr>
            </w:pPr>
            <w:r w:rsidRPr="00C11E32">
              <w:rPr>
                <w:color w:val="000000"/>
              </w:rPr>
              <w:t>50</w:t>
            </w:r>
          </w:p>
        </w:tc>
        <w:tc>
          <w:tcPr>
            <w:tcW w:w="940" w:type="dxa"/>
            <w:tcBorders>
              <w:top w:val="nil"/>
              <w:left w:val="nil"/>
              <w:bottom w:val="single" w:sz="8" w:space="0" w:color="auto"/>
              <w:right w:val="double" w:sz="6" w:space="0" w:color="auto"/>
            </w:tcBorders>
            <w:shd w:val="clear" w:color="000000" w:fill="FFFFFF"/>
            <w:vAlign w:val="center"/>
            <w:hideMark/>
          </w:tcPr>
          <w:p w:rsidR="00C11E32" w:rsidRPr="00C11E32" w:rsidP="00C11E32" w14:paraId="53AD49D6" w14:textId="77777777">
            <w:pPr>
              <w:widowControl/>
              <w:autoSpaceDE/>
              <w:autoSpaceDN/>
              <w:adjustRightInd/>
              <w:jc w:val="center"/>
              <w:rPr>
                <w:color w:val="000000"/>
              </w:rPr>
            </w:pPr>
            <w:r w:rsidRPr="00C11E32">
              <w:rPr>
                <w:color w:val="000000"/>
              </w:rPr>
              <w:t>0</w:t>
            </w:r>
          </w:p>
        </w:tc>
      </w:tr>
      <w:tr w14:paraId="3A2413E2" w14:textId="77777777" w:rsidTr="00561418">
        <w:tblPrEx>
          <w:tblW w:w="7400" w:type="dxa"/>
          <w:jc w:val="center"/>
          <w:tblLook w:val="04A0"/>
        </w:tblPrEx>
        <w:trPr>
          <w:trHeight w:val="320"/>
          <w:jc w:val="center"/>
        </w:trPr>
        <w:tc>
          <w:tcPr>
            <w:tcW w:w="2160" w:type="dxa"/>
            <w:tcBorders>
              <w:top w:val="nil"/>
              <w:left w:val="double" w:sz="6" w:space="0" w:color="auto"/>
              <w:bottom w:val="single" w:sz="8" w:space="0" w:color="auto"/>
              <w:right w:val="single" w:sz="8" w:space="0" w:color="auto"/>
            </w:tcBorders>
            <w:shd w:val="clear" w:color="000000" w:fill="FFFFFF"/>
            <w:vAlign w:val="center"/>
            <w:hideMark/>
          </w:tcPr>
          <w:p w:rsidR="00C11E32" w:rsidRPr="00C11E32" w:rsidP="00C11E32" w14:paraId="3CC5C743" w14:textId="77777777">
            <w:pPr>
              <w:widowControl/>
              <w:autoSpaceDE/>
              <w:autoSpaceDN/>
              <w:adjustRightInd/>
              <w:jc w:val="right"/>
              <w:rPr>
                <w:color w:val="000000"/>
              </w:rPr>
            </w:pPr>
            <w:r w:rsidRPr="00C11E32">
              <w:rPr>
                <w:color w:val="000000"/>
              </w:rPr>
              <w:t>700.13</w:t>
            </w:r>
          </w:p>
        </w:tc>
        <w:tc>
          <w:tcPr>
            <w:tcW w:w="1320" w:type="dxa"/>
            <w:tcBorders>
              <w:top w:val="nil"/>
              <w:left w:val="nil"/>
              <w:bottom w:val="single" w:sz="8" w:space="0" w:color="auto"/>
              <w:right w:val="single" w:sz="8" w:space="0" w:color="auto"/>
            </w:tcBorders>
            <w:shd w:val="clear" w:color="000000" w:fill="FFFFFF"/>
            <w:vAlign w:val="center"/>
            <w:hideMark/>
          </w:tcPr>
          <w:p w:rsidR="00C11E32" w:rsidRPr="00C11E32" w:rsidP="00C11E32" w14:paraId="0A7A1BA0" w14:textId="77777777">
            <w:pPr>
              <w:widowControl/>
              <w:autoSpaceDE/>
              <w:autoSpaceDN/>
              <w:adjustRightInd/>
              <w:jc w:val="center"/>
              <w:rPr>
                <w:color w:val="000000"/>
              </w:rPr>
            </w:pPr>
            <w:r w:rsidRPr="00C11E32">
              <w:rPr>
                <w:color w:val="000000"/>
              </w:rPr>
              <w:t>3</w:t>
            </w:r>
          </w:p>
        </w:tc>
        <w:tc>
          <w:tcPr>
            <w:tcW w:w="1120" w:type="dxa"/>
            <w:tcBorders>
              <w:top w:val="nil"/>
              <w:left w:val="nil"/>
              <w:bottom w:val="single" w:sz="8" w:space="0" w:color="auto"/>
              <w:right w:val="single" w:sz="8" w:space="0" w:color="auto"/>
            </w:tcBorders>
            <w:shd w:val="clear" w:color="000000" w:fill="FFFFFF"/>
            <w:vAlign w:val="center"/>
            <w:hideMark/>
          </w:tcPr>
          <w:p w:rsidR="00C11E32" w:rsidRPr="00C11E32" w:rsidP="00C11E32" w14:paraId="09828B24" w14:textId="77777777">
            <w:pPr>
              <w:widowControl/>
              <w:autoSpaceDE/>
              <w:autoSpaceDN/>
              <w:adjustRightInd/>
              <w:jc w:val="center"/>
              <w:rPr>
                <w:color w:val="000000"/>
              </w:rPr>
            </w:pPr>
            <w:r w:rsidRPr="00C11E32">
              <w:rPr>
                <w:color w:val="000000"/>
              </w:rPr>
              <w:t>4</w:t>
            </w:r>
          </w:p>
        </w:tc>
        <w:tc>
          <w:tcPr>
            <w:tcW w:w="960" w:type="dxa"/>
            <w:tcBorders>
              <w:top w:val="nil"/>
              <w:left w:val="nil"/>
              <w:bottom w:val="single" w:sz="8" w:space="0" w:color="auto"/>
              <w:right w:val="single" w:sz="8" w:space="0" w:color="auto"/>
            </w:tcBorders>
            <w:shd w:val="clear" w:color="auto" w:fill="auto"/>
            <w:noWrap/>
            <w:vAlign w:val="bottom"/>
            <w:hideMark/>
          </w:tcPr>
          <w:p w:rsidR="00C11E32" w:rsidRPr="00C11E32" w:rsidP="00C11E32" w14:paraId="70209886" w14:textId="77777777">
            <w:pPr>
              <w:widowControl/>
              <w:autoSpaceDE/>
              <w:autoSpaceDN/>
              <w:adjustRightInd/>
              <w:jc w:val="center"/>
              <w:rPr>
                <w:color w:val="000000"/>
              </w:rPr>
            </w:pPr>
            <w:r w:rsidRPr="00C11E32">
              <w:rPr>
                <w:color w:val="000000"/>
              </w:rPr>
              <w:t>12</w:t>
            </w:r>
          </w:p>
        </w:tc>
        <w:tc>
          <w:tcPr>
            <w:tcW w:w="900" w:type="dxa"/>
            <w:tcBorders>
              <w:top w:val="nil"/>
              <w:left w:val="nil"/>
              <w:bottom w:val="single" w:sz="8" w:space="0" w:color="auto"/>
              <w:right w:val="single" w:sz="8" w:space="0" w:color="auto"/>
            </w:tcBorders>
            <w:shd w:val="clear" w:color="000000" w:fill="FFFFFF"/>
            <w:vAlign w:val="center"/>
            <w:hideMark/>
          </w:tcPr>
          <w:p w:rsidR="00C11E32" w:rsidRPr="00C11E32" w:rsidP="00C11E32" w14:paraId="2D885294" w14:textId="77777777">
            <w:pPr>
              <w:widowControl/>
              <w:autoSpaceDE/>
              <w:autoSpaceDN/>
              <w:adjustRightInd/>
              <w:jc w:val="center"/>
              <w:rPr>
                <w:color w:val="000000"/>
              </w:rPr>
            </w:pPr>
            <w:r w:rsidRPr="00C11E32">
              <w:rPr>
                <w:color w:val="000000"/>
              </w:rPr>
              <w:t>12</w:t>
            </w:r>
          </w:p>
        </w:tc>
        <w:tc>
          <w:tcPr>
            <w:tcW w:w="940" w:type="dxa"/>
            <w:tcBorders>
              <w:top w:val="nil"/>
              <w:left w:val="nil"/>
              <w:bottom w:val="single" w:sz="8" w:space="0" w:color="auto"/>
              <w:right w:val="double" w:sz="6" w:space="0" w:color="auto"/>
            </w:tcBorders>
            <w:shd w:val="clear" w:color="000000" w:fill="FFFFFF"/>
            <w:vAlign w:val="center"/>
            <w:hideMark/>
          </w:tcPr>
          <w:p w:rsidR="00C11E32" w:rsidRPr="00C11E32" w:rsidP="00C11E32" w14:paraId="61D4C205" w14:textId="77777777">
            <w:pPr>
              <w:widowControl/>
              <w:autoSpaceDE/>
              <w:autoSpaceDN/>
              <w:adjustRightInd/>
              <w:jc w:val="center"/>
              <w:rPr>
                <w:color w:val="000000"/>
              </w:rPr>
            </w:pPr>
            <w:r w:rsidRPr="00C11E32">
              <w:rPr>
                <w:color w:val="000000"/>
              </w:rPr>
              <w:t>0</w:t>
            </w:r>
          </w:p>
        </w:tc>
      </w:tr>
      <w:tr w14:paraId="5E25A8F4" w14:textId="77777777" w:rsidTr="00561418">
        <w:tblPrEx>
          <w:tblW w:w="7400" w:type="dxa"/>
          <w:jc w:val="center"/>
          <w:tblLook w:val="04A0"/>
        </w:tblPrEx>
        <w:trPr>
          <w:trHeight w:val="320"/>
          <w:jc w:val="center"/>
        </w:trPr>
        <w:tc>
          <w:tcPr>
            <w:tcW w:w="2160" w:type="dxa"/>
            <w:tcBorders>
              <w:top w:val="nil"/>
              <w:left w:val="double" w:sz="6" w:space="0" w:color="auto"/>
              <w:bottom w:val="double" w:sz="6" w:space="0" w:color="auto"/>
              <w:right w:val="single" w:sz="8" w:space="0" w:color="auto"/>
            </w:tcBorders>
            <w:shd w:val="clear" w:color="000000" w:fill="FFFFFF"/>
            <w:vAlign w:val="center"/>
            <w:hideMark/>
          </w:tcPr>
          <w:p w:rsidR="00C11E32" w:rsidRPr="00C11E32" w:rsidP="00C11E32" w14:paraId="151B8551" w14:textId="77777777">
            <w:pPr>
              <w:widowControl/>
              <w:autoSpaceDE/>
              <w:autoSpaceDN/>
              <w:adjustRightInd/>
              <w:jc w:val="center"/>
              <w:rPr>
                <w:color w:val="000000"/>
              </w:rPr>
            </w:pPr>
            <w:r w:rsidRPr="00C11E32">
              <w:rPr>
                <w:color w:val="000000"/>
              </w:rPr>
              <w:t>Total</w:t>
            </w:r>
          </w:p>
        </w:tc>
        <w:tc>
          <w:tcPr>
            <w:tcW w:w="1320" w:type="dxa"/>
            <w:tcBorders>
              <w:top w:val="nil"/>
              <w:left w:val="nil"/>
              <w:bottom w:val="double" w:sz="6" w:space="0" w:color="auto"/>
              <w:right w:val="single" w:sz="8" w:space="0" w:color="auto"/>
            </w:tcBorders>
            <w:shd w:val="clear" w:color="auto" w:fill="auto"/>
            <w:noWrap/>
            <w:vAlign w:val="bottom"/>
            <w:hideMark/>
          </w:tcPr>
          <w:p w:rsidR="00C11E32" w:rsidRPr="00C11E32" w:rsidP="00C11E32" w14:paraId="5BD64173" w14:textId="77777777">
            <w:pPr>
              <w:widowControl/>
              <w:autoSpaceDE/>
              <w:autoSpaceDN/>
              <w:adjustRightInd/>
              <w:jc w:val="center"/>
              <w:rPr>
                <w:color w:val="000000"/>
              </w:rPr>
            </w:pPr>
            <w:r w:rsidRPr="00C11E32">
              <w:rPr>
                <w:color w:val="000000"/>
              </w:rPr>
              <w:t>5</w:t>
            </w:r>
          </w:p>
        </w:tc>
        <w:tc>
          <w:tcPr>
            <w:tcW w:w="1120" w:type="dxa"/>
            <w:tcBorders>
              <w:top w:val="nil"/>
              <w:left w:val="nil"/>
              <w:bottom w:val="double" w:sz="6" w:space="0" w:color="auto"/>
              <w:right w:val="single" w:sz="8" w:space="0" w:color="auto"/>
            </w:tcBorders>
            <w:shd w:val="clear" w:color="000000" w:fill="FFFFFF"/>
            <w:vAlign w:val="center"/>
            <w:hideMark/>
          </w:tcPr>
          <w:p w:rsidR="00C11E32" w:rsidRPr="00C11E32" w:rsidP="00C11E32" w14:paraId="4599CE7D" w14:textId="77777777">
            <w:pPr>
              <w:widowControl/>
              <w:autoSpaceDE/>
              <w:autoSpaceDN/>
              <w:adjustRightInd/>
              <w:jc w:val="center"/>
              <w:rPr>
                <w:color w:val="000000"/>
              </w:rPr>
            </w:pPr>
            <w:r w:rsidRPr="00C11E32">
              <w:rPr>
                <w:color w:val="000000"/>
              </w:rPr>
              <w:t> </w:t>
            </w:r>
          </w:p>
        </w:tc>
        <w:tc>
          <w:tcPr>
            <w:tcW w:w="960" w:type="dxa"/>
            <w:tcBorders>
              <w:top w:val="nil"/>
              <w:left w:val="nil"/>
              <w:bottom w:val="double" w:sz="6" w:space="0" w:color="auto"/>
              <w:right w:val="single" w:sz="8" w:space="0" w:color="auto"/>
            </w:tcBorders>
            <w:shd w:val="clear" w:color="auto" w:fill="auto"/>
            <w:noWrap/>
            <w:vAlign w:val="bottom"/>
            <w:hideMark/>
          </w:tcPr>
          <w:p w:rsidR="00C11E32" w:rsidRPr="00C11E32" w:rsidP="00C11E32" w14:paraId="389378F6" w14:textId="77777777">
            <w:pPr>
              <w:widowControl/>
              <w:autoSpaceDE/>
              <w:autoSpaceDN/>
              <w:adjustRightInd/>
              <w:jc w:val="center"/>
              <w:rPr>
                <w:color w:val="000000"/>
              </w:rPr>
            </w:pPr>
            <w:r w:rsidRPr="00C11E32">
              <w:rPr>
                <w:color w:val="000000"/>
              </w:rPr>
              <w:t>63</w:t>
            </w:r>
          </w:p>
        </w:tc>
        <w:tc>
          <w:tcPr>
            <w:tcW w:w="900" w:type="dxa"/>
            <w:tcBorders>
              <w:top w:val="nil"/>
              <w:left w:val="nil"/>
              <w:bottom w:val="double" w:sz="6" w:space="0" w:color="auto"/>
              <w:right w:val="single" w:sz="8" w:space="0" w:color="auto"/>
            </w:tcBorders>
            <w:shd w:val="clear" w:color="auto" w:fill="auto"/>
            <w:noWrap/>
            <w:vAlign w:val="bottom"/>
            <w:hideMark/>
          </w:tcPr>
          <w:p w:rsidR="00C11E32" w:rsidRPr="00C11E32" w:rsidP="00C11E32" w14:paraId="0C945042" w14:textId="77777777">
            <w:pPr>
              <w:widowControl/>
              <w:autoSpaceDE/>
              <w:autoSpaceDN/>
              <w:adjustRightInd/>
              <w:jc w:val="center"/>
              <w:rPr>
                <w:color w:val="000000"/>
              </w:rPr>
            </w:pPr>
            <w:r w:rsidRPr="00C11E32">
              <w:rPr>
                <w:color w:val="000000"/>
              </w:rPr>
              <w:t>63</w:t>
            </w:r>
          </w:p>
        </w:tc>
        <w:tc>
          <w:tcPr>
            <w:tcW w:w="940" w:type="dxa"/>
            <w:tcBorders>
              <w:top w:val="nil"/>
              <w:left w:val="nil"/>
              <w:bottom w:val="double" w:sz="6" w:space="0" w:color="auto"/>
              <w:right w:val="double" w:sz="6" w:space="0" w:color="auto"/>
            </w:tcBorders>
            <w:shd w:val="clear" w:color="000000" w:fill="FFFFFF"/>
            <w:vAlign w:val="center"/>
            <w:hideMark/>
          </w:tcPr>
          <w:p w:rsidR="00C11E32" w:rsidRPr="00C11E32" w:rsidP="00C11E32" w14:paraId="30D7B41E" w14:textId="77777777">
            <w:pPr>
              <w:widowControl/>
              <w:autoSpaceDE/>
              <w:autoSpaceDN/>
              <w:adjustRightInd/>
              <w:jc w:val="center"/>
              <w:rPr>
                <w:color w:val="000000"/>
              </w:rPr>
            </w:pPr>
            <w:r w:rsidRPr="00C11E32">
              <w:rPr>
                <w:color w:val="000000"/>
              </w:rPr>
              <w:t>0</w:t>
            </w:r>
          </w:p>
        </w:tc>
      </w:tr>
    </w:tbl>
    <w:p w:rsidR="00C730B4" w:rsidRPr="00274252" w:rsidP="00C730B4" w14:paraId="226A8CB4" w14:textId="7C9F44BA">
      <w:pPr>
        <w:pStyle w:val="TxBrp5"/>
        <w:spacing w:line="566" w:lineRule="exact"/>
        <w:ind w:left="1429"/>
      </w:pPr>
    </w:p>
    <w:p w:rsidR="00C730B4" w:rsidP="00C730B4" w14:paraId="16F0982F" w14:textId="6CA48890">
      <w:pPr>
        <w:pStyle w:val="TxBrc1"/>
        <w:tabs>
          <w:tab w:val="left" w:pos="708"/>
        </w:tabs>
        <w:spacing w:line="240" w:lineRule="auto"/>
        <w:jc w:val="left"/>
      </w:pPr>
    </w:p>
    <w:p w:rsidR="00C730B4" w:rsidP="00C730B4" w14:paraId="270AF31B" w14:textId="77777777">
      <w:pPr>
        <w:tabs>
          <w:tab w:val="left" w:pos="708"/>
        </w:tabs>
      </w:pPr>
    </w:p>
    <w:p w:rsidR="00C730B4" w:rsidP="00C730B4" w14:paraId="6A1D16D7" w14:textId="77777777">
      <w:pPr>
        <w:pStyle w:val="TxBrp4"/>
        <w:tabs>
          <w:tab w:val="left" w:pos="708"/>
        </w:tabs>
        <w:spacing w:line="283" w:lineRule="exact"/>
        <w:ind w:left="709"/>
        <w:outlineLvl w:val="0"/>
      </w:pPr>
      <w:r>
        <w:t>b.</w:t>
      </w:r>
      <w:r>
        <w:tab/>
      </w:r>
      <w:r>
        <w:rPr>
          <w:u w:val="single"/>
        </w:rPr>
        <w:t>Estimate of wage cost to respondents</w:t>
      </w:r>
      <w:r>
        <w:t>:</w:t>
      </w:r>
    </w:p>
    <w:p w:rsidR="00C730B4" w:rsidP="00C730B4" w14:paraId="7902339B" w14:textId="77777777">
      <w:pPr>
        <w:pStyle w:val="TxBrp5"/>
        <w:tabs>
          <w:tab w:val="clear" w:pos="204"/>
          <w:tab w:val="left" w:pos="708"/>
        </w:tabs>
        <w:spacing w:line="283" w:lineRule="exact"/>
      </w:pPr>
    </w:p>
    <w:p w:rsidR="001F6EB2" w:rsidP="006E3334" w14:paraId="26B420DF" w14:textId="77777777">
      <w:pPr>
        <w:ind w:left="720"/>
      </w:pPr>
    </w:p>
    <w:p w:rsidR="001F156D" w:rsidP="006E3334" w14:paraId="5E4C8F4A" w14:textId="00BA475F">
      <w:pPr>
        <w:ind w:left="720"/>
      </w:pPr>
      <w:r>
        <w:t>H</w:t>
      </w:r>
      <w:r w:rsidR="001F6EB2">
        <w:t xml:space="preserve">ourly rates </w:t>
      </w:r>
      <w:r>
        <w:t>are</w:t>
      </w:r>
      <w:r w:rsidR="00332C44">
        <w:t xml:space="preserve"> $</w:t>
      </w:r>
      <w:r w:rsidRPr="00332C44" w:rsidR="00332C44">
        <w:t>45.38</w:t>
      </w:r>
      <w:r w:rsidR="00332C44">
        <w:t>/</w:t>
      </w:r>
      <w:r w:rsidRPr="00332C44" w:rsidR="00332C44">
        <w:t>hour worked</w:t>
      </w:r>
      <w:r w:rsidR="00332C44">
        <w:t xml:space="preserve"> for private industry workers</w:t>
      </w:r>
      <w:r>
        <w:t xml:space="preserve"> </w:t>
      </w:r>
      <w:r w:rsidR="00332C44">
        <w:t xml:space="preserve">and </w:t>
      </w:r>
      <w:r w:rsidRPr="00051D78" w:rsidR="00051D78">
        <w:t>$64.00</w:t>
      </w:r>
      <w:r w:rsidR="00051D78">
        <w:t xml:space="preserve">/hour for </w:t>
      </w:r>
      <w:r w:rsidRPr="00051D78" w:rsidR="00051D78">
        <w:t>state and local government workers</w:t>
      </w:r>
      <w:r w:rsidR="00051D78">
        <w:t>. Hourly rates are</w:t>
      </w:r>
      <w:r w:rsidRPr="00051D78" w:rsidR="00051D78">
        <w:t xml:space="preserve"> </w:t>
      </w:r>
      <w:r>
        <w:t xml:space="preserve">based </w:t>
      </w:r>
      <w:r w:rsidR="00051D78">
        <w:t>on</w:t>
      </w:r>
      <w:r>
        <w:t xml:space="preserve"> the</w:t>
      </w:r>
      <w:r w:rsidRPr="009147D4" w:rsidR="00C730B4">
        <w:t xml:space="preserve"> Bureau of Labor Statistics</w:t>
      </w:r>
      <w:r w:rsidR="00D37495">
        <w:t xml:space="preserve"> </w:t>
      </w:r>
      <w:hyperlink r:id="rId5" w:history="1">
        <w:r w:rsidRPr="008654B7" w:rsidR="00C730B4">
          <w:rPr>
            <w:rStyle w:val="Hyperlink"/>
          </w:rPr>
          <w:t>http://www.bls.gov/oes/current/naics4_999200.htm</w:t>
        </w:r>
      </w:hyperlink>
      <w:hyperlink w:history="1"/>
      <w:r>
        <w:t>.</w:t>
      </w:r>
    </w:p>
    <w:p w:rsidR="001F156D" w:rsidP="006E3334" w14:paraId="447CDB99" w14:textId="77777777">
      <w:pPr>
        <w:ind w:left="720"/>
      </w:pPr>
    </w:p>
    <w:p w:rsidR="0045543E" w:rsidP="00051D78" w14:paraId="0B1D87A6" w14:textId="140A917A">
      <w:pPr>
        <w:ind w:left="720"/>
      </w:pPr>
      <w:r>
        <w:t>OSMRE</w:t>
      </w:r>
      <w:r w:rsidRPr="00307E0E">
        <w:t xml:space="preserve"> </w:t>
      </w:r>
      <w:r>
        <w:t>uses a 1.6</w:t>
      </w:r>
      <w:r>
        <w:t>2</w:t>
      </w:r>
      <w:r>
        <w:t xml:space="preserve"> </w:t>
      </w:r>
      <w:r w:rsidRPr="00307E0E">
        <w:t xml:space="preserve">multiplier for </w:t>
      </w:r>
      <w:r>
        <w:t>State</w:t>
      </w:r>
      <w:r w:rsidRPr="00307E0E">
        <w:t xml:space="preserve"> workers </w:t>
      </w:r>
      <w:r>
        <w:t>and 1.4</w:t>
      </w:r>
      <w:r>
        <w:t>2</w:t>
      </w:r>
      <w:r>
        <w:t xml:space="preserve"> for industry p</w:t>
      </w:r>
      <w:r w:rsidRPr="009147D4">
        <w:t xml:space="preserve">er </w:t>
      </w:r>
      <w:r w:rsidRPr="001F6EB2">
        <w:t xml:space="preserve">BLS news release </w:t>
      </w:r>
      <w:r w:rsidRPr="005B63B6">
        <w:t>USDL-24-0335, March 14, 2025</w:t>
      </w:r>
      <w:r w:rsidRPr="001F6EB2">
        <w:t xml:space="preserve">, Employer Costs for Employee Compensation – March </w:t>
      </w:r>
      <w:r>
        <w:t>2025</w:t>
      </w:r>
      <w:r w:rsidRPr="001F6EB2">
        <w:t xml:space="preserve"> (</w:t>
      </w:r>
      <w:hyperlink r:id="rId6" w:history="1">
        <w:r w:rsidRPr="001F6EB2">
          <w:rPr>
            <w:rStyle w:val="Hyperlink"/>
          </w:rPr>
          <w:t>http://www.bls.gov/news.release/pdf/ecec.pdf</w:t>
        </w:r>
      </w:hyperlink>
      <w:r w:rsidRPr="001F6EB2">
        <w:t>).</w:t>
      </w:r>
      <w:hyperlink w:history="1"/>
    </w:p>
    <w:p w:rsidR="00436B6F" w:rsidP="006E3334" w14:paraId="3A530A63" w14:textId="77777777">
      <w:pPr>
        <w:ind w:left="720"/>
      </w:pPr>
    </w:p>
    <w:p w:rsidR="00436B6F" w:rsidRPr="00630204" w:rsidP="006E3334" w14:paraId="1E75ECC5" w14:textId="2D486725">
      <w:pPr>
        <w:ind w:left="720"/>
        <w:rPr>
          <w:b/>
          <w:bCs/>
        </w:rPr>
      </w:pPr>
      <w:r w:rsidRPr="00630204">
        <w:rPr>
          <w:b/>
          <w:bCs/>
        </w:rPr>
        <w:t xml:space="preserve">Private </w:t>
      </w:r>
      <w:r w:rsidRPr="00630204" w:rsidR="00E7070B">
        <w:rPr>
          <w:b/>
          <w:bCs/>
        </w:rPr>
        <w:t xml:space="preserve">Industry </w:t>
      </w:r>
    </w:p>
    <w:p w:rsidR="00E7070B" w:rsidP="006E3334" w14:paraId="2F08CF67" w14:textId="77777777">
      <w:pPr>
        <w:ind w:left="720"/>
      </w:pPr>
    </w:p>
    <w:p w:rsidR="00361F62" w:rsidP="006E3334" w14:paraId="6633ECB5" w14:textId="75E9B911">
      <w:pPr>
        <w:ind w:left="720"/>
      </w:pPr>
      <w:r>
        <w:t>OSMRE</w:t>
      </w:r>
      <w:r w:rsidRPr="00307E0E">
        <w:t xml:space="preserve"> </w:t>
      </w:r>
      <w:r>
        <w:t xml:space="preserve">uses a </w:t>
      </w:r>
      <w:r w:rsidR="001F156D">
        <w:t>rate</w:t>
      </w:r>
      <w:r w:rsidR="001848C8">
        <w:t xml:space="preserve"> of </w:t>
      </w:r>
      <w:r w:rsidRPr="00727561" w:rsidR="00C02E86">
        <w:rPr>
          <w:b/>
          <w:bCs/>
        </w:rPr>
        <w:t>$</w:t>
      </w:r>
      <w:r w:rsidRPr="00727561" w:rsidR="00C02E86">
        <w:rPr>
          <w:b/>
          <w:bCs/>
        </w:rPr>
        <w:t>45.38</w:t>
      </w:r>
      <w:r w:rsidR="00DF4DB9">
        <w:rPr>
          <w:b/>
          <w:bCs/>
        </w:rPr>
        <w:t>/</w:t>
      </w:r>
      <w:r w:rsidRPr="00C02E86" w:rsidR="00C02E86">
        <w:t>hour worked</w:t>
      </w:r>
      <w:r w:rsidR="00727561">
        <w:t xml:space="preserve"> </w:t>
      </w:r>
      <w:r w:rsidRPr="00727561" w:rsidR="00727561">
        <w:t>for private industry workers</w:t>
      </w:r>
      <w:r w:rsidR="00B32BE0">
        <w:t xml:space="preserve">. </w:t>
      </w:r>
      <w:r w:rsidR="00DF4DB9">
        <w:t xml:space="preserve">The wage cost compensation for the industry is </w:t>
      </w:r>
      <w:r w:rsidRPr="00DF4DB9" w:rsidR="00DF4DB9">
        <w:rPr>
          <w:b/>
          <w:bCs/>
        </w:rPr>
        <w:t>$</w:t>
      </w:r>
      <w:r w:rsidRPr="00DF4DB9" w:rsidR="00DF4DB9">
        <w:rPr>
          <w:b/>
          <w:bCs/>
        </w:rPr>
        <w:t>64.4</w:t>
      </w:r>
      <w:r w:rsidRPr="00DF4DB9" w:rsidR="00DF4DB9">
        <w:rPr>
          <w:b/>
          <w:bCs/>
        </w:rPr>
        <w:t>4</w:t>
      </w:r>
      <w:r w:rsidR="00176688">
        <w:t xml:space="preserve">/hour </w:t>
      </w:r>
      <w:r w:rsidR="002E0F33">
        <w:t>(</w:t>
      </w:r>
      <w:r w:rsidR="00FC11B1">
        <w:t>$</w:t>
      </w:r>
      <w:r w:rsidR="00E70DD1">
        <w:t>45</w:t>
      </w:r>
      <w:r w:rsidR="00FC11B1">
        <w:t>.38</w:t>
      </w:r>
      <w:r w:rsidR="003625FC">
        <w:t>/hour</w:t>
      </w:r>
      <w:r w:rsidR="00FC11B1">
        <w:t xml:space="preserve"> x 1.42</w:t>
      </w:r>
      <w:r w:rsidR="002E0F33">
        <w:t>)</w:t>
      </w:r>
      <w:r w:rsidR="00DF4DB9">
        <w:t xml:space="preserve">. </w:t>
      </w:r>
      <w:r w:rsidR="008D3112">
        <w:t xml:space="preserve">Attorneys </w:t>
      </w:r>
      <w:r w:rsidR="00B734FD">
        <w:t>from the</w:t>
      </w:r>
      <w:r w:rsidR="008D3112">
        <w:t xml:space="preserve"> private industry </w:t>
      </w:r>
      <w:r w:rsidR="00B734FD">
        <w:t>were used for the request</w:t>
      </w:r>
      <w:r w:rsidR="00AB0D32">
        <w:t>.</w:t>
      </w:r>
      <w:r w:rsidR="00B100DD">
        <w:t xml:space="preserve"> </w:t>
      </w:r>
      <w:r w:rsidRPr="00B100DD" w:rsidR="00B100DD">
        <w:t xml:space="preserve">Therefore, </w:t>
      </w:r>
      <w:r w:rsidR="003625FC">
        <w:t xml:space="preserve">the </w:t>
      </w:r>
      <w:r w:rsidRPr="00B100DD" w:rsidR="00B100DD">
        <w:t xml:space="preserve">wage cost to the respondent to prepare the request amounts to </w:t>
      </w:r>
      <w:r w:rsidRPr="00DB6842" w:rsidR="00B100DD">
        <w:rPr>
          <w:b/>
          <w:bCs/>
        </w:rPr>
        <w:t>$</w:t>
      </w:r>
      <w:r w:rsidRPr="00DB6842" w:rsidR="00DB6842">
        <w:rPr>
          <w:b/>
          <w:bCs/>
        </w:rPr>
        <w:t>3,222</w:t>
      </w:r>
      <w:r w:rsidR="003625FC">
        <w:t xml:space="preserve">/hour </w:t>
      </w:r>
      <w:r w:rsidRPr="00B100DD" w:rsidR="00B100DD">
        <w:t>($</w:t>
      </w:r>
      <w:r w:rsidRPr="00DB6842" w:rsidR="00B734FD">
        <w:t>64.44</w:t>
      </w:r>
      <w:r w:rsidRPr="00B100DD" w:rsidR="00B100DD">
        <w:t>/hour x 50 hours).  Similarly, for notices of intent</w:t>
      </w:r>
      <w:r w:rsidR="003625FC">
        <w:t>,</w:t>
      </w:r>
      <w:r w:rsidRPr="00B100DD" w:rsidR="00B100DD">
        <w:t xml:space="preserve"> the cost to respondents to prepare and submit the total number of annual requests would be </w:t>
      </w:r>
      <w:r w:rsidRPr="00C203A3" w:rsidR="00B53562">
        <w:rPr>
          <w:b/>
          <w:bCs/>
        </w:rPr>
        <w:t>$</w:t>
      </w:r>
      <w:r w:rsidRPr="00B53562" w:rsidR="00B53562">
        <w:rPr>
          <w:b/>
          <w:bCs/>
        </w:rPr>
        <w:t>773.28</w:t>
      </w:r>
      <w:r w:rsidR="00682147">
        <w:t xml:space="preserve">/hour </w:t>
      </w:r>
      <w:r w:rsidRPr="00B100DD" w:rsidR="00B100DD">
        <w:t>($</w:t>
      </w:r>
      <w:r w:rsidRPr="00DF4DB9" w:rsidR="00DB6842">
        <w:rPr>
          <w:b/>
          <w:bCs/>
        </w:rPr>
        <w:t>64.44</w:t>
      </w:r>
      <w:r w:rsidRPr="00B100DD" w:rsidR="00B100DD">
        <w:t>/hour x 4 hours per request x 3 notices per year</w:t>
      </w:r>
      <w:r w:rsidR="00B100DD">
        <w:t>.</w:t>
      </w:r>
    </w:p>
    <w:p w:rsidR="00361F62" w:rsidP="006E3334" w14:paraId="11CA20EF" w14:textId="77777777">
      <w:pPr>
        <w:ind w:left="720"/>
      </w:pPr>
    </w:p>
    <w:p w:rsidR="0045543E" w:rsidP="006E3334" w14:paraId="4949C9AD" w14:textId="32A293FF">
      <w:pPr>
        <w:ind w:left="720"/>
        <w:rPr>
          <w:b/>
          <w:bCs/>
        </w:rPr>
      </w:pPr>
      <w:r w:rsidRPr="00630204">
        <w:rPr>
          <w:b/>
          <w:bCs/>
        </w:rPr>
        <w:t>S</w:t>
      </w:r>
      <w:r w:rsidRPr="00630204">
        <w:rPr>
          <w:b/>
          <w:bCs/>
        </w:rPr>
        <w:t xml:space="preserve">tate and </w:t>
      </w:r>
      <w:r w:rsidRPr="00630204">
        <w:rPr>
          <w:b/>
          <w:bCs/>
        </w:rPr>
        <w:t>L</w:t>
      </w:r>
      <w:r w:rsidRPr="00630204">
        <w:rPr>
          <w:b/>
          <w:bCs/>
        </w:rPr>
        <w:t xml:space="preserve">ocal </w:t>
      </w:r>
      <w:r w:rsidRPr="00630204">
        <w:rPr>
          <w:b/>
          <w:bCs/>
        </w:rPr>
        <w:t>G</w:t>
      </w:r>
      <w:r w:rsidRPr="00630204">
        <w:rPr>
          <w:b/>
          <w:bCs/>
        </w:rPr>
        <w:t>overnment</w:t>
      </w:r>
    </w:p>
    <w:p w:rsidR="00630204" w:rsidP="00630204" w14:paraId="22FB2B91" w14:textId="77777777">
      <w:pPr>
        <w:ind w:left="720"/>
      </w:pPr>
    </w:p>
    <w:p w:rsidR="006E3334" w:rsidRPr="00307E0E" w:rsidP="00561418" w14:paraId="6DC1DA18" w14:textId="006904BC">
      <w:pPr>
        <w:ind w:left="720"/>
      </w:pPr>
      <w:r>
        <w:t>OSMRE</w:t>
      </w:r>
      <w:r w:rsidRPr="00307E0E">
        <w:t xml:space="preserve"> </w:t>
      </w:r>
      <w:r>
        <w:t xml:space="preserve">uses a rate of </w:t>
      </w:r>
      <w:r w:rsidRPr="00727561">
        <w:rPr>
          <w:b/>
          <w:bCs/>
        </w:rPr>
        <w:t>$</w:t>
      </w:r>
      <w:r w:rsidRPr="000628DC" w:rsidR="000628DC">
        <w:rPr>
          <w:b/>
          <w:bCs/>
        </w:rPr>
        <w:t>64.00</w:t>
      </w:r>
      <w:r>
        <w:rPr>
          <w:b/>
          <w:bCs/>
        </w:rPr>
        <w:t>/</w:t>
      </w:r>
      <w:r w:rsidRPr="00C02E86">
        <w:t>hour worked</w:t>
      </w:r>
      <w:r>
        <w:t xml:space="preserve"> </w:t>
      </w:r>
      <w:r w:rsidRPr="00727561">
        <w:t xml:space="preserve">for </w:t>
      </w:r>
      <w:r w:rsidRPr="000628DC" w:rsidR="000628DC">
        <w:t>state and local government</w:t>
      </w:r>
      <w:r w:rsidRPr="00727561">
        <w:t xml:space="preserve"> workers</w:t>
      </w:r>
      <w:r>
        <w:t xml:space="preserve">. The wage cost compensation for the industry is </w:t>
      </w:r>
      <w:r w:rsidRPr="00DF4DB9">
        <w:rPr>
          <w:b/>
          <w:bCs/>
        </w:rPr>
        <w:t>$</w:t>
      </w:r>
      <w:r w:rsidR="00CF2922">
        <w:rPr>
          <w:b/>
          <w:bCs/>
        </w:rPr>
        <w:t>103.68</w:t>
      </w:r>
      <w:r>
        <w:t>/hour ($</w:t>
      </w:r>
      <w:r w:rsidR="000628DC">
        <w:t>64.00</w:t>
      </w:r>
      <w:r w:rsidR="003625FC">
        <w:t>/hour</w:t>
      </w:r>
      <w:r w:rsidR="00A72025">
        <w:t xml:space="preserve"> </w:t>
      </w:r>
      <w:r>
        <w:t>x 1.</w:t>
      </w:r>
      <w:r w:rsidR="000628DC">
        <w:t>6</w:t>
      </w:r>
      <w:r>
        <w:t>2). Attorneys are private industry workers.</w:t>
      </w:r>
      <w:r w:rsidR="00D71D5F">
        <w:t xml:space="preserve"> M</w:t>
      </w:r>
      <w:r w:rsidR="00D71D5F">
        <w:t>ining engineer</w:t>
      </w:r>
      <w:r w:rsidR="00D71D5F">
        <w:t xml:space="preserve">s are </w:t>
      </w:r>
      <w:r w:rsidRPr="000628DC" w:rsidR="00D71D5F">
        <w:t>state and local government</w:t>
      </w:r>
      <w:r w:rsidRPr="00727561" w:rsidR="00D71D5F">
        <w:t xml:space="preserve"> workers</w:t>
      </w:r>
      <w:r w:rsidR="00D71D5F">
        <w:t>.</w:t>
      </w:r>
    </w:p>
    <w:p w:rsidR="00561418" w:rsidP="006E3334" w14:paraId="611B1DE0" w14:textId="77777777">
      <w:pPr>
        <w:tabs>
          <w:tab w:val="left" w:pos="708"/>
        </w:tabs>
      </w:pPr>
    </w:p>
    <w:p w:rsidR="00D67551" w:rsidRPr="000A683C" w:rsidP="00D67551" w14:paraId="785ED423" w14:textId="76C676C2">
      <w:pPr>
        <w:ind w:left="720"/>
      </w:pPr>
      <w:r>
        <w:t xml:space="preserve">Total wage cost amounts to </w:t>
      </w:r>
      <w:r w:rsidRPr="0045543E">
        <w:rPr>
          <w:b/>
          <w:bCs/>
        </w:rPr>
        <w:t>$</w:t>
      </w:r>
      <w:r w:rsidRPr="00545A28" w:rsidR="00545A28">
        <w:rPr>
          <w:b/>
          <w:bCs/>
        </w:rPr>
        <w:t>4</w:t>
      </w:r>
      <w:r w:rsidR="00545A28">
        <w:rPr>
          <w:b/>
          <w:bCs/>
        </w:rPr>
        <w:t>,</w:t>
      </w:r>
      <w:r w:rsidRPr="00545A28" w:rsidR="00545A28">
        <w:rPr>
          <w:b/>
          <w:bCs/>
        </w:rPr>
        <w:t>098.96</w:t>
      </w:r>
      <w:r w:rsidR="00545A28">
        <w:rPr>
          <w:b/>
          <w:bCs/>
        </w:rPr>
        <w:t xml:space="preserve"> </w:t>
      </w:r>
      <w:r w:rsidRPr="000D629A" w:rsidR="000D629A">
        <w:t>($</w:t>
      </w:r>
      <w:r w:rsidRPr="003866F1" w:rsidR="003866F1">
        <w:t>103.68</w:t>
      </w:r>
      <w:r w:rsidR="003866F1">
        <w:t xml:space="preserve"> </w:t>
      </w:r>
      <w:r w:rsidRPr="000D629A" w:rsidR="000D629A">
        <w:t>+ $</w:t>
      </w:r>
      <w:r w:rsidRPr="00545A28" w:rsidR="00545A28">
        <w:t>3</w:t>
      </w:r>
      <w:r w:rsidR="00545A28">
        <w:t>,</w:t>
      </w:r>
      <w:r w:rsidRPr="00545A28" w:rsidR="00545A28">
        <w:t>222</w:t>
      </w:r>
      <w:r w:rsidR="00545A28">
        <w:t>.00</w:t>
      </w:r>
      <w:r w:rsidRPr="000D629A" w:rsidR="000D629A">
        <w:t>+ $</w:t>
      </w:r>
      <w:r w:rsidRPr="00545A28" w:rsidR="00545A28">
        <w:t>773.28</w:t>
      </w:r>
      <w:r w:rsidRPr="000D629A" w:rsidR="000D629A">
        <w:t>)</w:t>
      </w:r>
      <w:r w:rsidRPr="000D629A">
        <w:t>.</w:t>
      </w:r>
    </w:p>
    <w:p w:rsidR="000D629A" w:rsidRPr="00AF2E26" w:rsidP="00D67551" w14:paraId="55B2B49D" w14:textId="77777777">
      <w:pPr>
        <w:ind w:left="720"/>
      </w:pPr>
      <w:r>
        <w:br/>
      </w:r>
    </w:p>
    <w:tbl>
      <w:tblPr>
        <w:tblW w:w="7600" w:type="dxa"/>
        <w:jc w:val="center"/>
        <w:tblLook w:val="04A0"/>
      </w:tblPr>
      <w:tblGrid>
        <w:gridCol w:w="960"/>
        <w:gridCol w:w="1900"/>
        <w:gridCol w:w="1000"/>
        <w:gridCol w:w="1480"/>
        <w:gridCol w:w="960"/>
        <w:gridCol w:w="1300"/>
      </w:tblGrid>
      <w:tr w14:paraId="677AFDF3" w14:textId="77777777" w:rsidTr="00561418">
        <w:tblPrEx>
          <w:tblW w:w="7600" w:type="dxa"/>
          <w:jc w:val="center"/>
          <w:tblLook w:val="04A0"/>
        </w:tblPrEx>
        <w:trPr>
          <w:trHeight w:val="950"/>
          <w:jc w:val="center"/>
        </w:trPr>
        <w:tc>
          <w:tcPr>
            <w:tcW w:w="960" w:type="dxa"/>
            <w:tcBorders>
              <w:top w:val="double" w:sz="6" w:space="0" w:color="auto"/>
              <w:left w:val="double" w:sz="6" w:space="0" w:color="auto"/>
              <w:bottom w:val="single" w:sz="8" w:space="0" w:color="auto"/>
              <w:right w:val="single" w:sz="4" w:space="0" w:color="auto"/>
            </w:tcBorders>
            <w:shd w:val="clear" w:color="000000" w:fill="FFFFFF"/>
            <w:noWrap/>
            <w:vAlign w:val="bottom"/>
            <w:hideMark/>
          </w:tcPr>
          <w:p w:rsidR="000D629A" w:rsidRPr="000D629A" w:rsidP="000D629A" w14:paraId="43C7C2DA" w14:textId="77777777">
            <w:pPr>
              <w:widowControl/>
              <w:autoSpaceDE/>
              <w:autoSpaceDN/>
              <w:adjustRightInd/>
              <w:rPr>
                <w:color w:val="000000"/>
              </w:rPr>
            </w:pPr>
            <w:r w:rsidRPr="000D629A">
              <w:rPr>
                <w:color w:val="000000"/>
              </w:rPr>
              <w:t>Section</w:t>
            </w:r>
          </w:p>
        </w:tc>
        <w:tc>
          <w:tcPr>
            <w:tcW w:w="1900" w:type="dxa"/>
            <w:tcBorders>
              <w:top w:val="double" w:sz="6" w:space="0" w:color="auto"/>
              <w:left w:val="nil"/>
              <w:bottom w:val="single" w:sz="8" w:space="0" w:color="auto"/>
              <w:right w:val="nil"/>
            </w:tcBorders>
            <w:shd w:val="clear" w:color="000000" w:fill="FFFFFF"/>
            <w:noWrap/>
            <w:vAlign w:val="bottom"/>
            <w:hideMark/>
          </w:tcPr>
          <w:p w:rsidR="000D629A" w:rsidRPr="000D629A" w:rsidP="000D629A" w14:paraId="618AFA89" w14:textId="77777777">
            <w:pPr>
              <w:widowControl/>
              <w:autoSpaceDE/>
              <w:autoSpaceDN/>
              <w:adjustRightInd/>
              <w:rPr>
                <w:color w:val="000000"/>
              </w:rPr>
            </w:pPr>
            <w:r w:rsidRPr="000D629A">
              <w:rPr>
                <w:color w:val="000000"/>
              </w:rPr>
              <w:t xml:space="preserve">Occupation </w:t>
            </w:r>
          </w:p>
        </w:tc>
        <w:tc>
          <w:tcPr>
            <w:tcW w:w="1000" w:type="dxa"/>
            <w:tcBorders>
              <w:top w:val="double" w:sz="6" w:space="0" w:color="auto"/>
              <w:left w:val="nil"/>
              <w:bottom w:val="single" w:sz="8" w:space="0" w:color="auto"/>
              <w:right w:val="nil"/>
            </w:tcBorders>
            <w:shd w:val="clear" w:color="000000" w:fill="FFFFFF"/>
            <w:vAlign w:val="bottom"/>
            <w:hideMark/>
          </w:tcPr>
          <w:p w:rsidR="000D629A" w:rsidRPr="000D629A" w:rsidP="000D629A" w14:paraId="2BBA55B4" w14:textId="77777777">
            <w:pPr>
              <w:widowControl/>
              <w:autoSpaceDE/>
              <w:autoSpaceDN/>
              <w:adjustRightInd/>
              <w:jc w:val="center"/>
              <w:rPr>
                <w:color w:val="000000"/>
              </w:rPr>
            </w:pPr>
            <w:r w:rsidRPr="000D629A">
              <w:rPr>
                <w:color w:val="000000"/>
              </w:rPr>
              <w:t>BLS Hourly Rate $</w:t>
            </w:r>
          </w:p>
        </w:tc>
        <w:tc>
          <w:tcPr>
            <w:tcW w:w="1480" w:type="dxa"/>
            <w:tcBorders>
              <w:top w:val="double" w:sz="6" w:space="0" w:color="auto"/>
              <w:left w:val="nil"/>
              <w:bottom w:val="single" w:sz="8" w:space="0" w:color="auto"/>
              <w:right w:val="nil"/>
            </w:tcBorders>
            <w:shd w:val="clear" w:color="000000" w:fill="FFFFFF"/>
            <w:vAlign w:val="bottom"/>
            <w:hideMark/>
          </w:tcPr>
          <w:p w:rsidR="000D629A" w:rsidRPr="000D629A" w:rsidP="000D629A" w14:paraId="26769E81" w14:textId="77777777">
            <w:pPr>
              <w:widowControl/>
              <w:autoSpaceDE/>
              <w:autoSpaceDN/>
              <w:adjustRightInd/>
              <w:jc w:val="center"/>
              <w:rPr>
                <w:color w:val="000000"/>
              </w:rPr>
            </w:pPr>
            <w:r w:rsidRPr="000D629A">
              <w:rPr>
                <w:color w:val="000000"/>
              </w:rPr>
              <w:t>Wage rate with benefit $</w:t>
            </w:r>
          </w:p>
        </w:tc>
        <w:tc>
          <w:tcPr>
            <w:tcW w:w="960" w:type="dxa"/>
            <w:tcBorders>
              <w:top w:val="double" w:sz="6" w:space="0" w:color="auto"/>
              <w:left w:val="nil"/>
              <w:bottom w:val="single" w:sz="8" w:space="0" w:color="auto"/>
              <w:right w:val="nil"/>
            </w:tcBorders>
            <w:shd w:val="clear" w:color="000000" w:fill="FFFFFF"/>
            <w:noWrap/>
            <w:vAlign w:val="bottom"/>
            <w:hideMark/>
          </w:tcPr>
          <w:p w:rsidR="000D629A" w:rsidRPr="000D629A" w:rsidP="000D629A" w14:paraId="2FAB729C" w14:textId="77777777">
            <w:pPr>
              <w:widowControl/>
              <w:autoSpaceDE/>
              <w:autoSpaceDN/>
              <w:adjustRightInd/>
              <w:jc w:val="center"/>
              <w:rPr>
                <w:color w:val="000000"/>
              </w:rPr>
            </w:pPr>
            <w:r w:rsidRPr="000D629A">
              <w:rPr>
                <w:color w:val="000000"/>
              </w:rPr>
              <w:t>Hours</w:t>
            </w:r>
          </w:p>
        </w:tc>
        <w:tc>
          <w:tcPr>
            <w:tcW w:w="1300" w:type="dxa"/>
            <w:tcBorders>
              <w:top w:val="double" w:sz="6" w:space="0" w:color="auto"/>
              <w:left w:val="nil"/>
              <w:bottom w:val="single" w:sz="8" w:space="0" w:color="auto"/>
              <w:right w:val="double" w:sz="6" w:space="0" w:color="auto"/>
            </w:tcBorders>
            <w:shd w:val="clear" w:color="000000" w:fill="FFFFFF"/>
            <w:noWrap/>
            <w:vAlign w:val="bottom"/>
            <w:hideMark/>
          </w:tcPr>
          <w:p w:rsidR="000D629A" w:rsidRPr="000D629A" w:rsidP="000D629A" w14:paraId="5F58A9E7" w14:textId="77777777">
            <w:pPr>
              <w:widowControl/>
              <w:autoSpaceDE/>
              <w:autoSpaceDN/>
              <w:adjustRightInd/>
              <w:jc w:val="center"/>
              <w:rPr>
                <w:color w:val="000000"/>
              </w:rPr>
            </w:pPr>
            <w:r w:rsidRPr="000D629A">
              <w:rPr>
                <w:color w:val="000000"/>
              </w:rPr>
              <w:t>Wage cost $</w:t>
            </w:r>
          </w:p>
        </w:tc>
      </w:tr>
      <w:tr w14:paraId="18446442" w14:textId="77777777" w:rsidTr="00561418">
        <w:tblPrEx>
          <w:tblW w:w="7600" w:type="dxa"/>
          <w:jc w:val="center"/>
          <w:tblLook w:val="04A0"/>
        </w:tblPrEx>
        <w:trPr>
          <w:trHeight w:val="310"/>
          <w:jc w:val="center"/>
        </w:trPr>
        <w:tc>
          <w:tcPr>
            <w:tcW w:w="960" w:type="dxa"/>
            <w:tcBorders>
              <w:top w:val="nil"/>
              <w:left w:val="double" w:sz="6" w:space="0" w:color="auto"/>
              <w:bottom w:val="nil"/>
              <w:right w:val="single" w:sz="4" w:space="0" w:color="auto"/>
            </w:tcBorders>
            <w:shd w:val="clear" w:color="000000" w:fill="FFFFFF"/>
            <w:noWrap/>
            <w:vAlign w:val="bottom"/>
            <w:hideMark/>
          </w:tcPr>
          <w:p w:rsidR="008A1611" w:rsidRPr="000D629A" w:rsidP="008A1611" w14:paraId="746D36DB" w14:textId="77777777">
            <w:pPr>
              <w:widowControl/>
              <w:autoSpaceDE/>
              <w:autoSpaceDN/>
              <w:adjustRightInd/>
              <w:jc w:val="right"/>
              <w:rPr>
                <w:color w:val="000000"/>
              </w:rPr>
            </w:pPr>
            <w:r w:rsidRPr="000D629A">
              <w:rPr>
                <w:color w:val="000000"/>
              </w:rPr>
              <w:t>700.11</w:t>
            </w:r>
          </w:p>
        </w:tc>
        <w:tc>
          <w:tcPr>
            <w:tcW w:w="1900" w:type="dxa"/>
            <w:tcBorders>
              <w:top w:val="nil"/>
              <w:left w:val="nil"/>
              <w:bottom w:val="single" w:sz="4" w:space="0" w:color="auto"/>
              <w:right w:val="single" w:sz="4" w:space="0" w:color="auto"/>
            </w:tcBorders>
            <w:shd w:val="clear" w:color="000000" w:fill="FFFFFF"/>
            <w:noWrap/>
            <w:vAlign w:val="bottom"/>
            <w:hideMark/>
          </w:tcPr>
          <w:p w:rsidR="008A1611" w:rsidRPr="000D629A" w:rsidP="008A1611" w14:paraId="1CDE58C3" w14:textId="77777777">
            <w:pPr>
              <w:widowControl/>
              <w:autoSpaceDE/>
              <w:autoSpaceDN/>
              <w:adjustRightInd/>
              <w:rPr>
                <w:color w:val="000000"/>
              </w:rPr>
            </w:pPr>
            <w:r w:rsidRPr="000D629A">
              <w:rPr>
                <w:color w:val="000000"/>
              </w:rPr>
              <w:t>Mining engineer</w:t>
            </w:r>
          </w:p>
        </w:tc>
        <w:tc>
          <w:tcPr>
            <w:tcW w:w="1000" w:type="dxa"/>
            <w:tcBorders>
              <w:top w:val="nil"/>
              <w:left w:val="nil"/>
              <w:bottom w:val="single" w:sz="4" w:space="0" w:color="auto"/>
              <w:right w:val="single" w:sz="4" w:space="0" w:color="auto"/>
            </w:tcBorders>
            <w:shd w:val="clear" w:color="auto" w:fill="auto"/>
            <w:noWrap/>
            <w:vAlign w:val="center"/>
            <w:hideMark/>
          </w:tcPr>
          <w:p w:rsidR="008A1611" w:rsidRPr="003866F1" w:rsidP="008A1611" w14:paraId="18FFE538" w14:textId="6AFC027D">
            <w:pPr>
              <w:widowControl/>
              <w:autoSpaceDE/>
              <w:autoSpaceDN/>
              <w:adjustRightInd/>
              <w:jc w:val="center"/>
              <w:rPr>
                <w:color w:val="000000"/>
              </w:rPr>
            </w:pPr>
            <w:r w:rsidRPr="003866F1">
              <w:rPr>
                <w:color w:val="000000"/>
              </w:rPr>
              <w:t>$</w:t>
            </w:r>
            <w:r w:rsidRPr="003866F1">
              <w:rPr>
                <w:color w:val="000000"/>
              </w:rPr>
              <w:t>64</w:t>
            </w:r>
            <w:r w:rsidRPr="003866F1">
              <w:rPr>
                <w:color w:val="000000"/>
              </w:rPr>
              <w:t>.00</w:t>
            </w:r>
          </w:p>
        </w:tc>
        <w:tc>
          <w:tcPr>
            <w:tcW w:w="1480" w:type="dxa"/>
            <w:tcBorders>
              <w:top w:val="nil"/>
              <w:left w:val="nil"/>
              <w:bottom w:val="single" w:sz="4" w:space="0" w:color="auto"/>
              <w:right w:val="single" w:sz="4" w:space="0" w:color="auto"/>
            </w:tcBorders>
            <w:shd w:val="clear" w:color="000000" w:fill="FFFFFF"/>
            <w:noWrap/>
            <w:vAlign w:val="center"/>
            <w:hideMark/>
          </w:tcPr>
          <w:p w:rsidR="008A1611" w:rsidRPr="003866F1" w:rsidP="008A1611" w14:paraId="2C09478C" w14:textId="0073AE2A">
            <w:pPr>
              <w:widowControl/>
              <w:autoSpaceDE/>
              <w:autoSpaceDN/>
              <w:adjustRightInd/>
              <w:jc w:val="center"/>
              <w:rPr>
                <w:color w:val="000000"/>
              </w:rPr>
            </w:pPr>
            <w:r w:rsidRPr="003866F1">
              <w:rPr>
                <w:color w:val="000000"/>
              </w:rPr>
              <w:t>$</w:t>
            </w:r>
            <w:r w:rsidRPr="003866F1">
              <w:rPr>
                <w:color w:val="000000"/>
              </w:rPr>
              <w:t>103.68</w:t>
            </w:r>
          </w:p>
        </w:tc>
        <w:tc>
          <w:tcPr>
            <w:tcW w:w="960" w:type="dxa"/>
            <w:tcBorders>
              <w:top w:val="nil"/>
              <w:left w:val="nil"/>
              <w:bottom w:val="single" w:sz="4" w:space="0" w:color="auto"/>
              <w:right w:val="single" w:sz="4" w:space="0" w:color="auto"/>
            </w:tcBorders>
            <w:shd w:val="clear" w:color="000000" w:fill="FFFFFF"/>
            <w:noWrap/>
            <w:vAlign w:val="center"/>
            <w:hideMark/>
          </w:tcPr>
          <w:p w:rsidR="008A1611" w:rsidRPr="003866F1" w:rsidP="008A1611" w14:paraId="7B0A9428" w14:textId="1987F4E6">
            <w:pPr>
              <w:widowControl/>
              <w:autoSpaceDE/>
              <w:autoSpaceDN/>
              <w:adjustRightInd/>
              <w:jc w:val="center"/>
              <w:rPr>
                <w:color w:val="000000"/>
              </w:rPr>
            </w:pPr>
            <w:r w:rsidRPr="003866F1">
              <w:rPr>
                <w:color w:val="000000"/>
              </w:rPr>
              <w:t>1</w:t>
            </w:r>
          </w:p>
        </w:tc>
        <w:tc>
          <w:tcPr>
            <w:tcW w:w="1300" w:type="dxa"/>
            <w:tcBorders>
              <w:top w:val="nil"/>
              <w:left w:val="nil"/>
              <w:bottom w:val="single" w:sz="4" w:space="0" w:color="auto"/>
              <w:right w:val="double" w:sz="6" w:space="0" w:color="auto"/>
            </w:tcBorders>
            <w:shd w:val="clear" w:color="000000" w:fill="FFFFFF"/>
            <w:noWrap/>
            <w:vAlign w:val="center"/>
            <w:hideMark/>
          </w:tcPr>
          <w:p w:rsidR="008A1611" w:rsidRPr="003866F1" w:rsidP="008A1611" w14:paraId="5FE2BB9D" w14:textId="1EEAD116">
            <w:pPr>
              <w:widowControl/>
              <w:autoSpaceDE/>
              <w:autoSpaceDN/>
              <w:adjustRightInd/>
              <w:jc w:val="center"/>
              <w:rPr>
                <w:color w:val="000000"/>
              </w:rPr>
            </w:pPr>
            <w:r w:rsidRPr="003866F1">
              <w:rPr>
                <w:color w:val="000000"/>
              </w:rPr>
              <w:t>$</w:t>
            </w:r>
            <w:r w:rsidRPr="003866F1">
              <w:rPr>
                <w:color w:val="000000"/>
              </w:rPr>
              <w:t>103.68</w:t>
            </w:r>
          </w:p>
        </w:tc>
      </w:tr>
      <w:tr w14:paraId="7CD895DD" w14:textId="77777777" w:rsidTr="00561418">
        <w:tblPrEx>
          <w:tblW w:w="7600" w:type="dxa"/>
          <w:jc w:val="center"/>
          <w:tblLook w:val="04A0"/>
        </w:tblPrEx>
        <w:trPr>
          <w:trHeight w:val="310"/>
          <w:jc w:val="center"/>
        </w:trPr>
        <w:tc>
          <w:tcPr>
            <w:tcW w:w="960" w:type="dxa"/>
            <w:tcBorders>
              <w:top w:val="nil"/>
              <w:left w:val="double" w:sz="6" w:space="0" w:color="auto"/>
              <w:bottom w:val="nil"/>
              <w:right w:val="single" w:sz="4" w:space="0" w:color="auto"/>
            </w:tcBorders>
            <w:shd w:val="clear" w:color="000000" w:fill="FFFFFF"/>
            <w:noWrap/>
            <w:vAlign w:val="bottom"/>
            <w:hideMark/>
          </w:tcPr>
          <w:p w:rsidR="008A1611" w:rsidRPr="000D629A" w:rsidP="008A1611" w14:paraId="12C6F2E0" w14:textId="77777777">
            <w:pPr>
              <w:widowControl/>
              <w:autoSpaceDE/>
              <w:autoSpaceDN/>
              <w:adjustRightInd/>
              <w:jc w:val="right"/>
              <w:rPr>
                <w:color w:val="000000"/>
              </w:rPr>
            </w:pPr>
            <w:r w:rsidRPr="000D629A">
              <w:rPr>
                <w:color w:val="000000"/>
              </w:rPr>
              <w:t>700.12</w:t>
            </w:r>
          </w:p>
        </w:tc>
        <w:tc>
          <w:tcPr>
            <w:tcW w:w="1900" w:type="dxa"/>
            <w:tcBorders>
              <w:top w:val="nil"/>
              <w:left w:val="nil"/>
              <w:bottom w:val="single" w:sz="4" w:space="0" w:color="auto"/>
              <w:right w:val="single" w:sz="4" w:space="0" w:color="auto"/>
            </w:tcBorders>
            <w:shd w:val="clear" w:color="000000" w:fill="FFFFFF"/>
            <w:noWrap/>
            <w:vAlign w:val="bottom"/>
            <w:hideMark/>
          </w:tcPr>
          <w:p w:rsidR="008A1611" w:rsidRPr="000D629A" w:rsidP="008A1611" w14:paraId="75602602" w14:textId="77777777">
            <w:pPr>
              <w:widowControl/>
              <w:autoSpaceDE/>
              <w:autoSpaceDN/>
              <w:adjustRightInd/>
              <w:rPr>
                <w:color w:val="000000"/>
              </w:rPr>
            </w:pPr>
            <w:r w:rsidRPr="000D629A">
              <w:rPr>
                <w:color w:val="000000"/>
              </w:rPr>
              <w:t>Attorney</w:t>
            </w:r>
          </w:p>
        </w:tc>
        <w:tc>
          <w:tcPr>
            <w:tcW w:w="1000" w:type="dxa"/>
            <w:tcBorders>
              <w:top w:val="nil"/>
              <w:left w:val="nil"/>
              <w:bottom w:val="single" w:sz="4" w:space="0" w:color="auto"/>
              <w:right w:val="single" w:sz="4" w:space="0" w:color="auto"/>
            </w:tcBorders>
            <w:shd w:val="clear" w:color="000000" w:fill="FFFFFF"/>
            <w:noWrap/>
            <w:vAlign w:val="center"/>
            <w:hideMark/>
          </w:tcPr>
          <w:p w:rsidR="008A1611" w:rsidRPr="003866F1" w:rsidP="008A1611" w14:paraId="049F0222" w14:textId="43526CFF">
            <w:pPr>
              <w:widowControl/>
              <w:autoSpaceDE/>
              <w:autoSpaceDN/>
              <w:adjustRightInd/>
              <w:jc w:val="center"/>
              <w:rPr>
                <w:color w:val="000000"/>
              </w:rPr>
            </w:pPr>
            <w:r w:rsidRPr="003866F1">
              <w:rPr>
                <w:color w:val="000000"/>
              </w:rPr>
              <w:t>$</w:t>
            </w:r>
            <w:r w:rsidRPr="003866F1">
              <w:rPr>
                <w:color w:val="000000"/>
              </w:rPr>
              <w:t>45.38</w:t>
            </w:r>
          </w:p>
        </w:tc>
        <w:tc>
          <w:tcPr>
            <w:tcW w:w="1480" w:type="dxa"/>
            <w:tcBorders>
              <w:top w:val="nil"/>
              <w:left w:val="nil"/>
              <w:bottom w:val="single" w:sz="4" w:space="0" w:color="auto"/>
              <w:right w:val="single" w:sz="4" w:space="0" w:color="auto"/>
            </w:tcBorders>
            <w:shd w:val="clear" w:color="000000" w:fill="FFFFFF"/>
            <w:noWrap/>
            <w:vAlign w:val="bottom"/>
            <w:hideMark/>
          </w:tcPr>
          <w:p w:rsidR="008A1611" w:rsidRPr="003866F1" w:rsidP="008A1611" w14:paraId="632178F0" w14:textId="42AEF9B1">
            <w:pPr>
              <w:widowControl/>
              <w:autoSpaceDE/>
              <w:autoSpaceDN/>
              <w:adjustRightInd/>
              <w:jc w:val="center"/>
              <w:rPr>
                <w:color w:val="000000"/>
              </w:rPr>
            </w:pPr>
            <w:r w:rsidRPr="003866F1">
              <w:rPr>
                <w:color w:val="000000"/>
              </w:rPr>
              <w:t>$</w:t>
            </w:r>
            <w:r w:rsidRPr="003866F1">
              <w:rPr>
                <w:color w:val="000000"/>
              </w:rPr>
              <w:t>64.44</w:t>
            </w:r>
          </w:p>
        </w:tc>
        <w:tc>
          <w:tcPr>
            <w:tcW w:w="960" w:type="dxa"/>
            <w:tcBorders>
              <w:top w:val="nil"/>
              <w:left w:val="nil"/>
              <w:bottom w:val="single" w:sz="4" w:space="0" w:color="auto"/>
              <w:right w:val="single" w:sz="4" w:space="0" w:color="auto"/>
            </w:tcBorders>
            <w:shd w:val="clear" w:color="000000" w:fill="FFFFFF"/>
            <w:noWrap/>
            <w:vAlign w:val="center"/>
            <w:hideMark/>
          </w:tcPr>
          <w:p w:rsidR="008A1611" w:rsidRPr="003866F1" w:rsidP="008A1611" w14:paraId="16297DEF" w14:textId="5FC7FCB9">
            <w:pPr>
              <w:widowControl/>
              <w:autoSpaceDE/>
              <w:autoSpaceDN/>
              <w:adjustRightInd/>
              <w:jc w:val="center"/>
              <w:rPr>
                <w:color w:val="000000"/>
              </w:rPr>
            </w:pPr>
            <w:r w:rsidRPr="003866F1">
              <w:rPr>
                <w:color w:val="000000"/>
              </w:rPr>
              <w:t>50</w:t>
            </w:r>
          </w:p>
        </w:tc>
        <w:tc>
          <w:tcPr>
            <w:tcW w:w="1300" w:type="dxa"/>
            <w:tcBorders>
              <w:top w:val="nil"/>
              <w:left w:val="nil"/>
              <w:bottom w:val="single" w:sz="4" w:space="0" w:color="auto"/>
              <w:right w:val="double" w:sz="6" w:space="0" w:color="auto"/>
            </w:tcBorders>
            <w:shd w:val="clear" w:color="000000" w:fill="FFFFFF"/>
            <w:noWrap/>
            <w:vAlign w:val="center"/>
            <w:hideMark/>
          </w:tcPr>
          <w:p w:rsidR="008A1611" w:rsidRPr="003866F1" w:rsidP="008A1611" w14:paraId="50D0FF22" w14:textId="7B6A7124">
            <w:pPr>
              <w:widowControl/>
              <w:autoSpaceDE/>
              <w:autoSpaceDN/>
              <w:adjustRightInd/>
              <w:jc w:val="center"/>
              <w:rPr>
                <w:color w:val="000000"/>
              </w:rPr>
            </w:pPr>
            <w:r w:rsidRPr="003866F1">
              <w:rPr>
                <w:color w:val="000000"/>
              </w:rPr>
              <w:t>$</w:t>
            </w:r>
            <w:r w:rsidRPr="003866F1">
              <w:rPr>
                <w:color w:val="000000"/>
              </w:rPr>
              <w:t>3</w:t>
            </w:r>
            <w:r w:rsidRPr="003866F1">
              <w:rPr>
                <w:color w:val="000000"/>
              </w:rPr>
              <w:t>,</w:t>
            </w:r>
            <w:r w:rsidRPr="003866F1">
              <w:rPr>
                <w:color w:val="000000"/>
              </w:rPr>
              <w:t>222</w:t>
            </w:r>
            <w:r w:rsidRPr="003866F1">
              <w:rPr>
                <w:color w:val="000000"/>
              </w:rPr>
              <w:t>.00</w:t>
            </w:r>
          </w:p>
        </w:tc>
      </w:tr>
      <w:tr w14:paraId="4B31E0A4" w14:textId="77777777" w:rsidTr="00561418">
        <w:tblPrEx>
          <w:tblW w:w="7600" w:type="dxa"/>
          <w:jc w:val="center"/>
          <w:tblLook w:val="04A0"/>
        </w:tblPrEx>
        <w:trPr>
          <w:trHeight w:val="310"/>
          <w:jc w:val="center"/>
        </w:trPr>
        <w:tc>
          <w:tcPr>
            <w:tcW w:w="960" w:type="dxa"/>
            <w:tcBorders>
              <w:top w:val="nil"/>
              <w:left w:val="double" w:sz="6" w:space="0" w:color="auto"/>
              <w:bottom w:val="nil"/>
              <w:right w:val="single" w:sz="4" w:space="0" w:color="auto"/>
            </w:tcBorders>
            <w:shd w:val="clear" w:color="000000" w:fill="FFFFFF"/>
            <w:noWrap/>
            <w:vAlign w:val="bottom"/>
            <w:hideMark/>
          </w:tcPr>
          <w:p w:rsidR="008A1611" w:rsidRPr="000D629A" w:rsidP="008A1611" w14:paraId="1BFA2950" w14:textId="77777777">
            <w:pPr>
              <w:widowControl/>
              <w:autoSpaceDE/>
              <w:autoSpaceDN/>
              <w:adjustRightInd/>
              <w:jc w:val="right"/>
              <w:rPr>
                <w:color w:val="000000"/>
              </w:rPr>
            </w:pPr>
            <w:r w:rsidRPr="000D629A">
              <w:rPr>
                <w:color w:val="000000"/>
              </w:rPr>
              <w:t>700.13</w:t>
            </w:r>
          </w:p>
        </w:tc>
        <w:tc>
          <w:tcPr>
            <w:tcW w:w="1900" w:type="dxa"/>
            <w:tcBorders>
              <w:top w:val="nil"/>
              <w:left w:val="nil"/>
              <w:bottom w:val="single" w:sz="4" w:space="0" w:color="auto"/>
              <w:right w:val="single" w:sz="4" w:space="0" w:color="auto"/>
            </w:tcBorders>
            <w:shd w:val="clear" w:color="000000" w:fill="FFFFFF"/>
            <w:noWrap/>
            <w:vAlign w:val="bottom"/>
            <w:hideMark/>
          </w:tcPr>
          <w:p w:rsidR="008A1611" w:rsidRPr="000D629A" w:rsidP="008A1611" w14:paraId="670F966F" w14:textId="77777777">
            <w:pPr>
              <w:widowControl/>
              <w:autoSpaceDE/>
              <w:autoSpaceDN/>
              <w:adjustRightInd/>
              <w:rPr>
                <w:color w:val="000000"/>
              </w:rPr>
            </w:pPr>
            <w:r w:rsidRPr="000D629A">
              <w:rPr>
                <w:color w:val="000000"/>
              </w:rPr>
              <w:t>Attorney</w:t>
            </w:r>
          </w:p>
        </w:tc>
        <w:tc>
          <w:tcPr>
            <w:tcW w:w="1000" w:type="dxa"/>
            <w:tcBorders>
              <w:top w:val="nil"/>
              <w:left w:val="nil"/>
              <w:bottom w:val="nil"/>
              <w:right w:val="single" w:sz="4" w:space="0" w:color="auto"/>
            </w:tcBorders>
            <w:shd w:val="clear" w:color="000000" w:fill="FFFFFF"/>
            <w:noWrap/>
            <w:vAlign w:val="center"/>
            <w:hideMark/>
          </w:tcPr>
          <w:p w:rsidR="008A1611" w:rsidRPr="003866F1" w:rsidP="008A1611" w14:paraId="5C0B1F40" w14:textId="4C2C46B5">
            <w:pPr>
              <w:widowControl/>
              <w:autoSpaceDE/>
              <w:autoSpaceDN/>
              <w:adjustRightInd/>
              <w:jc w:val="center"/>
              <w:rPr>
                <w:color w:val="000000"/>
              </w:rPr>
            </w:pPr>
            <w:r w:rsidRPr="003866F1">
              <w:rPr>
                <w:color w:val="000000"/>
              </w:rPr>
              <w:t>$</w:t>
            </w:r>
            <w:r w:rsidRPr="003866F1">
              <w:rPr>
                <w:color w:val="000000"/>
              </w:rPr>
              <w:t>45.38</w:t>
            </w:r>
          </w:p>
        </w:tc>
        <w:tc>
          <w:tcPr>
            <w:tcW w:w="1480" w:type="dxa"/>
            <w:tcBorders>
              <w:top w:val="nil"/>
              <w:left w:val="nil"/>
              <w:bottom w:val="single" w:sz="4" w:space="0" w:color="auto"/>
              <w:right w:val="single" w:sz="4" w:space="0" w:color="auto"/>
            </w:tcBorders>
            <w:shd w:val="clear" w:color="000000" w:fill="FFFFFF"/>
            <w:noWrap/>
            <w:vAlign w:val="bottom"/>
            <w:hideMark/>
          </w:tcPr>
          <w:p w:rsidR="008A1611" w:rsidRPr="003866F1" w:rsidP="008A1611" w14:paraId="31BACEEA" w14:textId="7DE7DA4F">
            <w:pPr>
              <w:widowControl/>
              <w:autoSpaceDE/>
              <w:autoSpaceDN/>
              <w:adjustRightInd/>
              <w:jc w:val="center"/>
              <w:rPr>
                <w:color w:val="000000"/>
              </w:rPr>
            </w:pPr>
            <w:r w:rsidRPr="003866F1">
              <w:rPr>
                <w:color w:val="000000"/>
              </w:rPr>
              <w:t>$</w:t>
            </w:r>
            <w:r w:rsidRPr="003866F1">
              <w:rPr>
                <w:color w:val="000000"/>
              </w:rPr>
              <w:t>64.44</w:t>
            </w:r>
          </w:p>
        </w:tc>
        <w:tc>
          <w:tcPr>
            <w:tcW w:w="960" w:type="dxa"/>
            <w:tcBorders>
              <w:top w:val="nil"/>
              <w:left w:val="nil"/>
              <w:bottom w:val="nil"/>
              <w:right w:val="single" w:sz="4" w:space="0" w:color="auto"/>
            </w:tcBorders>
            <w:shd w:val="clear" w:color="000000" w:fill="FFFFFF"/>
            <w:noWrap/>
            <w:vAlign w:val="center"/>
            <w:hideMark/>
          </w:tcPr>
          <w:p w:rsidR="008A1611" w:rsidRPr="003866F1" w:rsidP="008A1611" w14:paraId="66A0B9BA" w14:textId="11345C2A">
            <w:pPr>
              <w:widowControl/>
              <w:autoSpaceDE/>
              <w:autoSpaceDN/>
              <w:adjustRightInd/>
              <w:jc w:val="center"/>
              <w:rPr>
                <w:color w:val="000000"/>
              </w:rPr>
            </w:pPr>
            <w:r w:rsidRPr="003866F1">
              <w:rPr>
                <w:color w:val="000000"/>
              </w:rPr>
              <w:t>12</w:t>
            </w:r>
          </w:p>
        </w:tc>
        <w:tc>
          <w:tcPr>
            <w:tcW w:w="1300" w:type="dxa"/>
            <w:tcBorders>
              <w:top w:val="nil"/>
              <w:left w:val="nil"/>
              <w:bottom w:val="single" w:sz="4" w:space="0" w:color="auto"/>
              <w:right w:val="double" w:sz="6" w:space="0" w:color="auto"/>
            </w:tcBorders>
            <w:shd w:val="clear" w:color="000000" w:fill="FFFFFF"/>
            <w:noWrap/>
            <w:vAlign w:val="center"/>
            <w:hideMark/>
          </w:tcPr>
          <w:p w:rsidR="008A1611" w:rsidRPr="003866F1" w:rsidP="008A1611" w14:paraId="3F0202CA" w14:textId="61230CE3">
            <w:pPr>
              <w:widowControl/>
              <w:autoSpaceDE/>
              <w:autoSpaceDN/>
              <w:adjustRightInd/>
              <w:jc w:val="center"/>
              <w:rPr>
                <w:color w:val="000000"/>
              </w:rPr>
            </w:pPr>
            <w:r w:rsidRPr="003866F1">
              <w:rPr>
                <w:color w:val="000000"/>
              </w:rPr>
              <w:t>$</w:t>
            </w:r>
            <w:r w:rsidRPr="003866F1">
              <w:rPr>
                <w:color w:val="000000"/>
              </w:rPr>
              <w:t>773.28</w:t>
            </w:r>
          </w:p>
        </w:tc>
      </w:tr>
      <w:tr w14:paraId="13B4BEBE" w14:textId="77777777" w:rsidTr="00561418">
        <w:tblPrEx>
          <w:tblW w:w="7600" w:type="dxa"/>
          <w:jc w:val="center"/>
          <w:tblLook w:val="04A0"/>
        </w:tblPrEx>
        <w:trPr>
          <w:trHeight w:val="320"/>
          <w:jc w:val="center"/>
        </w:trPr>
        <w:tc>
          <w:tcPr>
            <w:tcW w:w="960" w:type="dxa"/>
            <w:tcBorders>
              <w:top w:val="single" w:sz="4" w:space="0" w:color="auto"/>
              <w:left w:val="double" w:sz="6" w:space="0" w:color="auto"/>
              <w:bottom w:val="double" w:sz="6" w:space="0" w:color="auto"/>
              <w:right w:val="single" w:sz="4" w:space="0" w:color="auto"/>
            </w:tcBorders>
            <w:shd w:val="clear" w:color="000000" w:fill="FFFFFF"/>
            <w:noWrap/>
            <w:vAlign w:val="bottom"/>
            <w:hideMark/>
          </w:tcPr>
          <w:p w:rsidR="008A1611" w:rsidRPr="000D629A" w:rsidP="008A1611" w14:paraId="5383C493" w14:textId="77777777">
            <w:pPr>
              <w:widowControl/>
              <w:autoSpaceDE/>
              <w:autoSpaceDN/>
              <w:adjustRightInd/>
              <w:rPr>
                <w:color w:val="000000"/>
              </w:rPr>
            </w:pPr>
            <w:r w:rsidRPr="000D629A">
              <w:rPr>
                <w:color w:val="000000"/>
              </w:rPr>
              <w:t>All</w:t>
            </w:r>
          </w:p>
        </w:tc>
        <w:tc>
          <w:tcPr>
            <w:tcW w:w="1900" w:type="dxa"/>
            <w:tcBorders>
              <w:top w:val="nil"/>
              <w:left w:val="nil"/>
              <w:bottom w:val="double" w:sz="6" w:space="0" w:color="auto"/>
              <w:right w:val="nil"/>
            </w:tcBorders>
            <w:shd w:val="clear" w:color="000000" w:fill="BFBFBF"/>
            <w:noWrap/>
            <w:vAlign w:val="bottom"/>
            <w:hideMark/>
          </w:tcPr>
          <w:p w:rsidR="008A1611" w:rsidRPr="000D629A" w:rsidP="008A1611" w14:paraId="011922CF" w14:textId="77777777">
            <w:pPr>
              <w:widowControl/>
              <w:autoSpaceDE/>
              <w:autoSpaceDN/>
              <w:adjustRightInd/>
              <w:rPr>
                <w:rFonts w:ascii="Calibri" w:hAnsi="Calibri" w:cs="Calibri"/>
                <w:color w:val="000000"/>
                <w:sz w:val="22"/>
                <w:szCs w:val="22"/>
              </w:rPr>
            </w:pPr>
            <w:r w:rsidRPr="000D629A">
              <w:rPr>
                <w:rFonts w:ascii="Calibri" w:hAnsi="Calibri" w:cs="Calibri"/>
                <w:color w:val="000000"/>
                <w:sz w:val="22"/>
                <w:szCs w:val="22"/>
              </w:rPr>
              <w:t> </w:t>
            </w:r>
          </w:p>
        </w:tc>
        <w:tc>
          <w:tcPr>
            <w:tcW w:w="1000" w:type="dxa"/>
            <w:tcBorders>
              <w:top w:val="single" w:sz="4" w:space="0" w:color="auto"/>
              <w:left w:val="single" w:sz="4" w:space="0" w:color="auto"/>
              <w:bottom w:val="double" w:sz="6" w:space="0" w:color="auto"/>
              <w:right w:val="single" w:sz="4" w:space="0" w:color="auto"/>
            </w:tcBorders>
            <w:shd w:val="clear" w:color="000000" w:fill="BFBFBF"/>
            <w:noWrap/>
            <w:vAlign w:val="center"/>
            <w:hideMark/>
          </w:tcPr>
          <w:p w:rsidR="008A1611" w:rsidRPr="003866F1" w:rsidP="008A1611" w14:paraId="3C5905CA" w14:textId="22730A18">
            <w:pPr>
              <w:widowControl/>
              <w:autoSpaceDE/>
              <w:autoSpaceDN/>
              <w:adjustRightInd/>
              <w:jc w:val="center"/>
              <w:rPr>
                <w:color w:val="000000"/>
              </w:rPr>
            </w:pPr>
            <w:r w:rsidRPr="003866F1">
              <w:rPr>
                <w:color w:val="000000"/>
              </w:rPr>
              <w:t> </w:t>
            </w:r>
          </w:p>
        </w:tc>
        <w:tc>
          <w:tcPr>
            <w:tcW w:w="1480" w:type="dxa"/>
            <w:tcBorders>
              <w:top w:val="nil"/>
              <w:left w:val="nil"/>
              <w:bottom w:val="double" w:sz="6" w:space="0" w:color="auto"/>
              <w:right w:val="single" w:sz="4" w:space="0" w:color="auto"/>
            </w:tcBorders>
            <w:shd w:val="clear" w:color="000000" w:fill="FFFFFF"/>
            <w:noWrap/>
            <w:vAlign w:val="center"/>
            <w:hideMark/>
          </w:tcPr>
          <w:p w:rsidR="008A1611" w:rsidRPr="003866F1" w:rsidP="008A1611" w14:paraId="3E3FDEC4" w14:textId="59A15FF3">
            <w:pPr>
              <w:widowControl/>
              <w:autoSpaceDE/>
              <w:autoSpaceDN/>
              <w:adjustRightInd/>
              <w:jc w:val="center"/>
              <w:rPr>
                <w:color w:val="000000"/>
              </w:rPr>
            </w:pPr>
            <w:r w:rsidRPr="003866F1">
              <w:rPr>
                <w:color w:val="000000"/>
              </w:rPr>
              <w:t>$</w:t>
            </w:r>
            <w:r w:rsidRPr="003866F1">
              <w:rPr>
                <w:color w:val="000000"/>
              </w:rPr>
              <w:t>232.56</w:t>
            </w:r>
          </w:p>
        </w:tc>
        <w:tc>
          <w:tcPr>
            <w:tcW w:w="960" w:type="dxa"/>
            <w:tcBorders>
              <w:top w:val="single" w:sz="4" w:space="0" w:color="auto"/>
              <w:left w:val="nil"/>
              <w:bottom w:val="double" w:sz="6" w:space="0" w:color="auto"/>
              <w:right w:val="single" w:sz="4" w:space="0" w:color="auto"/>
            </w:tcBorders>
            <w:shd w:val="clear" w:color="000000" w:fill="FFFFFF"/>
            <w:noWrap/>
            <w:vAlign w:val="center"/>
            <w:hideMark/>
          </w:tcPr>
          <w:p w:rsidR="008A1611" w:rsidRPr="003866F1" w:rsidP="008A1611" w14:paraId="3351D5FA" w14:textId="0B1DF37C">
            <w:pPr>
              <w:widowControl/>
              <w:autoSpaceDE/>
              <w:autoSpaceDN/>
              <w:adjustRightInd/>
              <w:jc w:val="center"/>
              <w:rPr>
                <w:color w:val="000000"/>
              </w:rPr>
            </w:pPr>
            <w:r w:rsidRPr="003866F1">
              <w:rPr>
                <w:color w:val="000000"/>
              </w:rPr>
              <w:t>63</w:t>
            </w:r>
          </w:p>
        </w:tc>
        <w:tc>
          <w:tcPr>
            <w:tcW w:w="1300" w:type="dxa"/>
            <w:tcBorders>
              <w:top w:val="nil"/>
              <w:left w:val="nil"/>
              <w:bottom w:val="double" w:sz="6" w:space="0" w:color="auto"/>
              <w:right w:val="double" w:sz="6" w:space="0" w:color="auto"/>
            </w:tcBorders>
            <w:shd w:val="clear" w:color="000000" w:fill="FFFFFF"/>
            <w:noWrap/>
            <w:vAlign w:val="center"/>
            <w:hideMark/>
          </w:tcPr>
          <w:p w:rsidR="008A1611" w:rsidRPr="003866F1" w:rsidP="008A1611" w14:paraId="658AAA50" w14:textId="086DD445">
            <w:pPr>
              <w:widowControl/>
              <w:autoSpaceDE/>
              <w:autoSpaceDN/>
              <w:adjustRightInd/>
              <w:jc w:val="center"/>
              <w:rPr>
                <w:color w:val="000000"/>
              </w:rPr>
            </w:pPr>
            <w:r w:rsidRPr="003866F1">
              <w:rPr>
                <w:color w:val="000000"/>
              </w:rPr>
              <w:t>$</w:t>
            </w:r>
            <w:r w:rsidRPr="003866F1">
              <w:rPr>
                <w:color w:val="000000"/>
              </w:rPr>
              <w:t>4</w:t>
            </w:r>
            <w:r w:rsidRPr="003866F1">
              <w:rPr>
                <w:color w:val="000000"/>
              </w:rPr>
              <w:t>,</w:t>
            </w:r>
            <w:r w:rsidRPr="003866F1">
              <w:rPr>
                <w:color w:val="000000"/>
              </w:rPr>
              <w:t>098.96</w:t>
            </w:r>
          </w:p>
        </w:tc>
      </w:tr>
    </w:tbl>
    <w:p w:rsidR="00C730B4" w:rsidRPr="00AF2E26" w:rsidP="00D67551" w14:paraId="6E0D7B95" w14:textId="0C0C7A0B">
      <w:pPr>
        <w:ind w:left="720"/>
      </w:pPr>
    </w:p>
    <w:p w:rsidR="0063456F" w:rsidRPr="00072AA0" w:rsidP="0063456F" w14:paraId="5D87BAE4" w14:textId="164AF8B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3B19A5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61FD758A" w14:textId="56854F5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rsidR="0063456F" w:rsidRPr="00072AA0" w:rsidP="0063456F" w14:paraId="53930FF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3456F" w:rsidRPr="00072AA0" w:rsidP="0063456F" w14:paraId="4BD75E1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55302" w:rsidP="0063456F" w14:paraId="55F5E3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55302" w:rsidP="0063456F" w14:paraId="7D190D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D55302" w:rsidP="00DA6AF3" w14:paraId="290BE159" w14:textId="77777777">
      <w:pPr>
        <w:pStyle w:val="TxBrp8"/>
        <w:tabs>
          <w:tab w:val="clear" w:pos="708"/>
        </w:tabs>
        <w:spacing w:line="419" w:lineRule="exact"/>
        <w:ind w:left="1" w:firstLine="708"/>
        <w:rPr>
          <w:u w:val="single"/>
        </w:rPr>
      </w:pPr>
      <w:r>
        <w:rPr>
          <w:u w:val="single"/>
        </w:rPr>
        <w:t>Estimated Annual Non-Wage Cost Burden to Respondents</w:t>
      </w:r>
    </w:p>
    <w:p w:rsidR="00D55302" w:rsidP="009C2FB7" w14:paraId="2396DC9B" w14:textId="405C9016">
      <w:pPr>
        <w:pStyle w:val="TxBrp2"/>
        <w:spacing w:line="283" w:lineRule="exact"/>
        <w:ind w:left="709"/>
      </w:pPr>
      <w:r>
        <w:tab/>
      </w:r>
      <w:r w:rsidR="004A6575">
        <w:t>There are no costs incurred beyond the hourly wage costs or minimal postage costs.</w:t>
      </w:r>
      <w:r>
        <w:t xml:space="preserve"> </w:t>
      </w:r>
      <w:r>
        <w:t>All associated inspection time is found at 30 CFR 840.11.</w:t>
      </w:r>
    </w:p>
    <w:p w:rsidR="0063456F" w:rsidRPr="00072AA0" w:rsidP="0063456F" w14:paraId="60090E4C" w14:textId="04F0133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95DFD" w:rsidP="00F95DFD" w14:paraId="546D3D5A" w14:textId="77777777">
      <w:pPr>
        <w:pStyle w:val="TxBrp2"/>
        <w:spacing w:line="283" w:lineRule="exact"/>
        <w:ind w:left="709"/>
      </w:pPr>
      <w:r>
        <w:rPr>
          <w:i/>
        </w:rPr>
        <w:br/>
      </w:r>
      <w:r>
        <w:rPr>
          <w:u w:val="single"/>
        </w:rPr>
        <w:t>Estimate of Cost to the Federal Government</w:t>
      </w:r>
    </w:p>
    <w:p w:rsidR="00A937C3" w:rsidP="00F95DFD" w14:paraId="720D4F48" w14:textId="0AD902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937C3" w:rsidP="00F95DFD" w14:paraId="1C0BDC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41D39" w:rsidP="00F95DFD" w14:paraId="775C0024" w14:textId="39D6C5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F3009">
        <w:t xml:space="preserve">Federal employee pay tables </w:t>
      </w:r>
      <w:r>
        <w:t xml:space="preserve">are based on </w:t>
      </w:r>
      <w:r w:rsidRPr="00FF3009">
        <w:t xml:space="preserve">the Office of Personnel Management’s website at </w:t>
      </w:r>
      <w:hyperlink r:id="rId7" w:history="1">
        <w:r w:rsidRPr="00477EE8" w:rsidR="00AF0D82">
          <w:rPr>
            <w:rStyle w:val="Hyperlink"/>
          </w:rPr>
          <w:t>https://www.opm.gov/policy-data-oversight/pay-leave/salaries-wages/salary-tables/pdf/2025/RUS.pdf</w:t>
        </w:r>
      </w:hyperlink>
      <w:r w:rsidR="00AF0D82">
        <w:t xml:space="preserve">.  </w:t>
      </w:r>
      <w:r w:rsidRPr="00FF3009">
        <w:t xml:space="preserve">  </w:t>
      </w:r>
    </w:p>
    <w:p w:rsidR="00F41D39" w:rsidP="00F95DFD" w14:paraId="4FA145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D97B3F" w:rsidP="00F95DFD" w14:paraId="2A78A5A6" w14:textId="6A596B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OSMRE</w:t>
      </w:r>
      <w:r w:rsidR="00164C96">
        <w:t>’s</w:t>
      </w:r>
      <w:r>
        <w:t xml:space="preserve"> </w:t>
      </w:r>
      <w:r w:rsidR="00164C96">
        <w:t xml:space="preserve">own </w:t>
      </w:r>
      <w:r>
        <w:t xml:space="preserve">staff work we estimate work </w:t>
      </w:r>
      <w:r w:rsidR="00164C96">
        <w:t xml:space="preserve">is </w:t>
      </w:r>
      <w:r>
        <w:t xml:space="preserve">be carried out on average at </w:t>
      </w:r>
      <w:r w:rsidR="00164C96">
        <w:t xml:space="preserve">a </w:t>
      </w:r>
      <w:r w:rsidRPr="00307E0E">
        <w:t>GS</w:t>
      </w:r>
      <w:r w:rsidR="00164C96">
        <w:t>-</w:t>
      </w:r>
      <w:r w:rsidRPr="00307E0E">
        <w:t>1</w:t>
      </w:r>
      <w:r>
        <w:t>3</w:t>
      </w:r>
      <w:r w:rsidRPr="00307E0E">
        <w:t xml:space="preserve"> step</w:t>
      </w:r>
      <w:r>
        <w:t>-5</w:t>
      </w:r>
      <w:r w:rsidRPr="00307E0E">
        <w:t xml:space="preserve"> </w:t>
      </w:r>
      <w:r>
        <w:t xml:space="preserve">level using </w:t>
      </w:r>
      <w:r w:rsidR="00164C96">
        <w:t>the 202</w:t>
      </w:r>
      <w:r w:rsidR="003E2143">
        <w:t>5</w:t>
      </w:r>
      <w:r w:rsidR="00164C96">
        <w:t xml:space="preserve"> </w:t>
      </w:r>
      <w:r>
        <w:t xml:space="preserve">base rate of </w:t>
      </w:r>
      <w:r w:rsidRPr="003866F1" w:rsidR="00E82F7B">
        <w:rPr>
          <w:color w:val="000000"/>
        </w:rPr>
        <w:t>773.28</w:t>
      </w:r>
      <w:r>
        <w:t xml:space="preserve">/hour.  </w:t>
      </w:r>
      <w:r w:rsidR="00A937C3">
        <w:t xml:space="preserve">We adopt </w:t>
      </w:r>
      <w:r>
        <w:t xml:space="preserve">the </w:t>
      </w:r>
      <w:r w:rsidR="00A937C3">
        <w:t xml:space="preserve">benefit factor of 1.6 for Federal benefits </w:t>
      </w:r>
      <w:r w:rsidRPr="00D7362B" w:rsidR="00A937C3">
        <w:t xml:space="preserve">based on BLS news release </w:t>
      </w:r>
      <w:r w:rsidRPr="00B87E27" w:rsidR="00B87E27">
        <w:t>USDL-25-0958</w:t>
      </w:r>
      <w:r w:rsidRPr="00D7362B" w:rsidR="00A937C3">
        <w:t>, dated June 1</w:t>
      </w:r>
      <w:r w:rsidR="00B87E27">
        <w:t>3</w:t>
      </w:r>
      <w:r w:rsidRPr="00D7362B" w:rsidR="00A937C3">
        <w:t>, 202</w:t>
      </w:r>
      <w:r w:rsidR="00B87E27">
        <w:t>5</w:t>
      </w:r>
      <w:r w:rsidRPr="00D7362B" w:rsidR="00A937C3">
        <w:t>, Employer Costs for Employee Compensation – March 202</w:t>
      </w:r>
      <w:r w:rsidR="00EC7522">
        <w:t>5</w:t>
      </w:r>
      <w:r w:rsidRPr="00D7362B" w:rsidR="00A937C3">
        <w:t xml:space="preserve"> (</w:t>
      </w:r>
      <w:hyperlink r:id="rId6" w:history="1">
        <w:r w:rsidRPr="00D7362B" w:rsidR="00A937C3">
          <w:rPr>
            <w:rStyle w:val="Hyperlink"/>
          </w:rPr>
          <w:t>http://w</w:t>
        </w:r>
        <w:r w:rsidRPr="00D7362B" w:rsidR="00A937C3">
          <w:rPr>
            <w:rStyle w:val="Hyperlink"/>
          </w:rPr>
          <w:t>ww.bls.gov/news.release/pdf/ecec.pdf</w:t>
        </w:r>
      </w:hyperlink>
      <w:r w:rsidRPr="00D7362B" w:rsidR="00A937C3">
        <w:t xml:space="preserve">). </w:t>
      </w:r>
      <w:r w:rsidRPr="00D7362B" w:rsidR="00A937C3">
        <w:br/>
      </w:r>
    </w:p>
    <w:p w:rsidR="00A937C3" w:rsidP="00F95DFD" w14:paraId="0F6D2A7E" w14:textId="41A7FF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A0002">
        <w:t xml:space="preserve">Federal wage cost is estimated at </w:t>
      </w:r>
      <w:r w:rsidRPr="00E82F7B">
        <w:rPr>
          <w:b/>
          <w:bCs/>
        </w:rPr>
        <w:t>$92.71</w:t>
      </w:r>
      <w:r w:rsidR="00E82F7B">
        <w:t>/</w:t>
      </w:r>
      <w:r w:rsidRPr="00DA0002">
        <w:t>hour ($57.23 per hour x 1.62), plus including benefits</w:t>
      </w:r>
      <w:r>
        <w:t xml:space="preserve">. </w:t>
      </w:r>
      <w:r>
        <w:br/>
      </w:r>
    </w:p>
    <w:p w:rsidR="00F41D39" w:rsidP="00F41D39" w14:paraId="760C2225" w14:textId="4C948A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rFonts w:cs="Arial"/>
        </w:rPr>
        <w:t xml:space="preserve">There is no established frequency for conducting oversight reviews of State compliance with the requirements of 30 CFR 700.11.  If we were to conduct a special study of this topic in two State programs every four years, that review would require an average of 40 hours per State, or 80 hours every four years, or </w:t>
      </w:r>
      <w:r w:rsidR="00164C96">
        <w:rPr>
          <w:rFonts w:cs="Arial"/>
        </w:rPr>
        <w:t xml:space="preserve">an average of </w:t>
      </w:r>
      <w:r>
        <w:rPr>
          <w:rFonts w:cs="Arial"/>
        </w:rPr>
        <w:t xml:space="preserve">20 hours annually.  </w:t>
      </w:r>
    </w:p>
    <w:p w:rsidR="00F95DFD" w:rsidRPr="007045FA" w:rsidP="00F95DFD" w14:paraId="6AAC0AAA" w14:textId="52F9D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color w:val="000000"/>
          <w:lang w:val="en"/>
        </w:rPr>
        <w:t xml:space="preserve">Therefore, </w:t>
      </w:r>
      <w:r>
        <w:t>20 hours annually x $</w:t>
      </w:r>
      <w:r w:rsidRPr="00D97B3F" w:rsidR="00D97B3F">
        <w:t>92.7</w:t>
      </w:r>
      <w:r w:rsidR="008B0A30">
        <w:t>1</w:t>
      </w:r>
      <w:r w:rsidR="00D97B3F">
        <w:t>/</w:t>
      </w:r>
      <w:r>
        <w:t xml:space="preserve">hour = </w:t>
      </w:r>
      <w:r w:rsidRPr="00605AD2">
        <w:rPr>
          <w:b/>
          <w:bCs/>
        </w:rPr>
        <w:t>$1,</w:t>
      </w:r>
      <w:r w:rsidR="008B0A30">
        <w:rPr>
          <w:b/>
          <w:bCs/>
        </w:rPr>
        <w:t>854.20</w:t>
      </w:r>
      <w:r>
        <w:t>.</w:t>
      </w:r>
    </w:p>
    <w:p w:rsidR="000073FD" w:rsidRPr="00397FBB" w:rsidP="00397FBB" w14:paraId="34C9DED8" w14:textId="611AC310">
      <w:pPr>
        <w:pStyle w:val="TxBrp2"/>
        <w:spacing w:line="240" w:lineRule="auto"/>
        <w:ind w:left="709"/>
      </w:pPr>
      <w:r>
        <w:rPr>
          <w:i/>
        </w:rPr>
        <w:br/>
      </w:r>
      <w:r>
        <w:t>Our regulatory program staff responsible for responding to petition</w:t>
      </w:r>
      <w:r w:rsidR="00164C96">
        <w:t>s</w:t>
      </w:r>
      <w:r>
        <w:t xml:space="preserve"> for rulemaking  estimate it takes OSMRE staff 140 hours to review a petition for rulemaking and to prepare a written response to accept or reject the petitioner request.  This includes forming a team comprised of a representative from each of the three regions, as well as a team leader from OSMRE headquarters.</w:t>
      </w:r>
      <w:r w:rsidR="00164C96">
        <w:t xml:space="preserve"> </w:t>
      </w:r>
      <w:r>
        <w:t>The cost to the Federal government would be 140 hours</w:t>
      </w:r>
      <w:r w:rsidRPr="00935A78">
        <w:t xml:space="preserve"> x $</w:t>
      </w:r>
      <w:r w:rsidRPr="008B0A30" w:rsidR="008B0A30">
        <w:t>92.71</w:t>
      </w:r>
      <w:r w:rsidR="005677A7">
        <w:t>/</w:t>
      </w:r>
      <w:r>
        <w:t xml:space="preserve">hour = </w:t>
      </w:r>
      <w:r w:rsidRPr="00935A78">
        <w:t>$</w:t>
      </w:r>
      <w:r w:rsidR="0038059E">
        <w:rPr>
          <w:b/>
          <w:bCs/>
        </w:rPr>
        <w:t>12,979.40</w:t>
      </w:r>
      <w:r w:rsidRPr="00397FBB">
        <w:t>.</w:t>
      </w:r>
    </w:p>
    <w:p w:rsidR="00164C96" w:rsidP="00397FBB" w14:paraId="12B979B3" w14:textId="3D727879">
      <w:pPr>
        <w:ind w:left="720" w:hanging="720"/>
      </w:pPr>
      <w:r>
        <w:rPr>
          <w:i/>
        </w:rPr>
        <w:br/>
      </w:r>
      <w:r>
        <w:t>I</w:t>
      </w:r>
      <w:r w:rsidR="000073FD">
        <w:t xml:space="preserve">t would require a program specialist from one of OSMRE’s regional offices and/or a field office a combined total of 2 hours to review </w:t>
      </w:r>
      <w:r w:rsidR="00397FBB">
        <w:t xml:space="preserve">NOIs </w:t>
      </w:r>
      <w:r w:rsidR="000073FD">
        <w:t xml:space="preserve">and forward it to the appropriate office.  The cost to the Federal government would be </w:t>
      </w:r>
      <w:r w:rsidRPr="00397FBB" w:rsidR="00397FBB">
        <w:rPr>
          <w:b/>
          <w:bCs/>
        </w:rPr>
        <w:t>$</w:t>
      </w:r>
      <w:r w:rsidR="006C22F9">
        <w:rPr>
          <w:b/>
          <w:bCs/>
        </w:rPr>
        <w:t>556.26</w:t>
      </w:r>
      <w:r w:rsidR="00397FBB">
        <w:t xml:space="preserve"> (</w:t>
      </w:r>
      <w:r w:rsidR="000073FD">
        <w:t>2 hours</w:t>
      </w:r>
      <w:r w:rsidRPr="00935A78" w:rsidR="000073FD">
        <w:t xml:space="preserve"> x </w:t>
      </w:r>
      <w:r w:rsidR="00397FBB">
        <w:t xml:space="preserve">3 notices/year x </w:t>
      </w:r>
      <w:r w:rsidRPr="00935A78" w:rsidR="000073FD">
        <w:t>$</w:t>
      </w:r>
      <w:r w:rsidRPr="008B0A30" w:rsidR="005677A7">
        <w:t xml:space="preserve">92.71 </w:t>
      </w:r>
      <w:r w:rsidR="000073FD">
        <w:t>per hour annually</w:t>
      </w:r>
      <w:r w:rsidR="00397FBB">
        <w:t>).</w:t>
      </w:r>
      <w:r w:rsidR="000073FD">
        <w:t xml:space="preserve"> </w:t>
      </w:r>
      <w:r>
        <w:br/>
      </w:r>
      <w:r>
        <w:br/>
      </w:r>
    </w:p>
    <w:tbl>
      <w:tblPr>
        <w:tblW w:w="7040" w:type="dxa"/>
        <w:tblInd w:w="1147" w:type="dxa"/>
        <w:tblLook w:val="04A0"/>
      </w:tblPr>
      <w:tblGrid>
        <w:gridCol w:w="2480"/>
        <w:gridCol w:w="2420"/>
        <w:gridCol w:w="2140"/>
      </w:tblGrid>
      <w:tr w14:paraId="40EA234D" w14:textId="77777777" w:rsidTr="00164C96">
        <w:tblPrEx>
          <w:tblW w:w="7040" w:type="dxa"/>
          <w:tblInd w:w="1147" w:type="dxa"/>
          <w:tblLook w:val="04A0"/>
        </w:tblPrEx>
        <w:trPr>
          <w:trHeight w:val="620"/>
        </w:trPr>
        <w:tc>
          <w:tcPr>
            <w:tcW w:w="7040" w:type="dxa"/>
            <w:gridSpan w:val="3"/>
            <w:tcBorders>
              <w:top w:val="double" w:sz="6" w:space="0" w:color="auto"/>
              <w:left w:val="double" w:sz="6" w:space="0" w:color="auto"/>
              <w:bottom w:val="single" w:sz="8" w:space="0" w:color="auto"/>
              <w:right w:val="double" w:sz="6" w:space="0" w:color="000000"/>
            </w:tcBorders>
            <w:shd w:val="clear" w:color="auto" w:fill="auto"/>
            <w:vAlign w:val="center"/>
            <w:hideMark/>
          </w:tcPr>
          <w:p w:rsidR="00164C96" w:rsidRPr="00164C96" w:rsidP="00164C96" w14:paraId="707E8611" w14:textId="77777777">
            <w:pPr>
              <w:widowControl/>
              <w:autoSpaceDE/>
              <w:autoSpaceDN/>
              <w:adjustRightInd/>
              <w:jc w:val="center"/>
              <w:rPr>
                <w:color w:val="000000"/>
              </w:rPr>
            </w:pPr>
            <w:r w:rsidRPr="00164C96">
              <w:rPr>
                <w:color w:val="000000"/>
              </w:rPr>
              <w:t>FEDERAL COST BURDEN SUMMARY FOR 30 CFR 700</w:t>
            </w:r>
          </w:p>
        </w:tc>
      </w:tr>
      <w:tr w14:paraId="7B79F12E" w14:textId="77777777" w:rsidTr="00164C96">
        <w:tblPrEx>
          <w:tblW w:w="7040" w:type="dxa"/>
          <w:tblInd w:w="1147" w:type="dxa"/>
          <w:tblLook w:val="04A0"/>
        </w:tblPrEx>
        <w:trPr>
          <w:trHeight w:val="630"/>
        </w:trPr>
        <w:tc>
          <w:tcPr>
            <w:tcW w:w="2480" w:type="dxa"/>
            <w:tcBorders>
              <w:top w:val="nil"/>
              <w:left w:val="double" w:sz="6" w:space="0" w:color="auto"/>
              <w:bottom w:val="single" w:sz="8" w:space="0" w:color="auto"/>
              <w:right w:val="single" w:sz="8" w:space="0" w:color="auto"/>
            </w:tcBorders>
            <w:shd w:val="clear" w:color="auto" w:fill="auto"/>
            <w:vAlign w:val="bottom"/>
            <w:hideMark/>
          </w:tcPr>
          <w:p w:rsidR="00164C96" w:rsidRPr="00164C96" w:rsidP="00164C96" w14:paraId="715914D1" w14:textId="77777777">
            <w:pPr>
              <w:widowControl/>
              <w:autoSpaceDE/>
              <w:autoSpaceDN/>
              <w:adjustRightInd/>
              <w:jc w:val="center"/>
              <w:rPr>
                <w:color w:val="000000"/>
              </w:rPr>
            </w:pPr>
            <w:r w:rsidRPr="00164C96">
              <w:rPr>
                <w:color w:val="000000"/>
              </w:rPr>
              <w:t>Section</w:t>
            </w:r>
          </w:p>
        </w:tc>
        <w:tc>
          <w:tcPr>
            <w:tcW w:w="2420" w:type="dxa"/>
            <w:tcBorders>
              <w:top w:val="nil"/>
              <w:left w:val="nil"/>
              <w:bottom w:val="single" w:sz="8" w:space="0" w:color="auto"/>
              <w:right w:val="single" w:sz="8" w:space="0" w:color="auto"/>
            </w:tcBorders>
            <w:shd w:val="clear" w:color="auto" w:fill="auto"/>
            <w:vAlign w:val="bottom"/>
            <w:hideMark/>
          </w:tcPr>
          <w:p w:rsidR="00164C96" w:rsidRPr="00164C96" w:rsidP="00164C96" w14:paraId="01807996" w14:textId="77777777">
            <w:pPr>
              <w:widowControl/>
              <w:autoSpaceDE/>
              <w:autoSpaceDN/>
              <w:adjustRightInd/>
              <w:jc w:val="center"/>
              <w:rPr>
                <w:color w:val="000000"/>
              </w:rPr>
            </w:pPr>
            <w:r w:rsidRPr="00164C96">
              <w:rPr>
                <w:color w:val="000000"/>
              </w:rPr>
              <w:t>Federal Hours</w:t>
            </w:r>
          </w:p>
        </w:tc>
        <w:tc>
          <w:tcPr>
            <w:tcW w:w="2140" w:type="dxa"/>
            <w:tcBorders>
              <w:top w:val="nil"/>
              <w:left w:val="nil"/>
              <w:bottom w:val="single" w:sz="8" w:space="0" w:color="auto"/>
              <w:right w:val="double" w:sz="6" w:space="0" w:color="auto"/>
            </w:tcBorders>
            <w:shd w:val="clear" w:color="auto" w:fill="auto"/>
            <w:vAlign w:val="bottom"/>
            <w:hideMark/>
          </w:tcPr>
          <w:p w:rsidR="00164C96" w:rsidRPr="00164C96" w:rsidP="00164C96" w14:paraId="38C51315" w14:textId="1E4DB5A8">
            <w:pPr>
              <w:widowControl/>
              <w:autoSpaceDE/>
              <w:autoSpaceDN/>
              <w:adjustRightInd/>
              <w:jc w:val="center"/>
              <w:rPr>
                <w:color w:val="000000"/>
              </w:rPr>
            </w:pPr>
            <w:r w:rsidRPr="00164C96">
              <w:rPr>
                <w:color w:val="000000"/>
              </w:rPr>
              <w:t>Federal wage $ cost @ $</w:t>
            </w:r>
            <w:r w:rsidRPr="006C22F9" w:rsidR="006C22F9">
              <w:rPr>
                <w:color w:val="000000"/>
              </w:rPr>
              <w:t>92.71</w:t>
            </w:r>
            <w:r w:rsidRPr="00164C96">
              <w:rPr>
                <w:color w:val="000000"/>
              </w:rPr>
              <w:t>/hour</w:t>
            </w:r>
          </w:p>
        </w:tc>
      </w:tr>
      <w:tr w14:paraId="4E94CF3D" w14:textId="77777777" w:rsidTr="00323A83">
        <w:tblPrEx>
          <w:tblW w:w="7040" w:type="dxa"/>
          <w:tblInd w:w="1147" w:type="dxa"/>
          <w:tblLook w:val="04A0"/>
        </w:tblPrEx>
        <w:trPr>
          <w:trHeight w:val="320"/>
        </w:trPr>
        <w:tc>
          <w:tcPr>
            <w:tcW w:w="2480" w:type="dxa"/>
            <w:tcBorders>
              <w:top w:val="nil"/>
              <w:left w:val="double" w:sz="6" w:space="0" w:color="auto"/>
              <w:bottom w:val="single" w:sz="8" w:space="0" w:color="auto"/>
              <w:right w:val="single" w:sz="8" w:space="0" w:color="auto"/>
            </w:tcBorders>
            <w:shd w:val="clear" w:color="auto" w:fill="auto"/>
            <w:vAlign w:val="center"/>
            <w:hideMark/>
          </w:tcPr>
          <w:p w:rsidR="001C1A33" w:rsidRPr="00164C96" w:rsidP="001C1A33" w14:paraId="1026743D" w14:textId="77777777">
            <w:pPr>
              <w:widowControl/>
              <w:autoSpaceDE/>
              <w:autoSpaceDN/>
              <w:adjustRightInd/>
              <w:jc w:val="center"/>
              <w:rPr>
                <w:color w:val="000000"/>
              </w:rPr>
            </w:pPr>
            <w:r w:rsidRPr="00164C96">
              <w:rPr>
                <w:color w:val="000000"/>
              </w:rPr>
              <w:t>700.11</w:t>
            </w:r>
          </w:p>
        </w:tc>
        <w:tc>
          <w:tcPr>
            <w:tcW w:w="2420" w:type="dxa"/>
            <w:tcBorders>
              <w:top w:val="nil"/>
              <w:left w:val="nil"/>
              <w:bottom w:val="single" w:sz="8" w:space="0" w:color="auto"/>
              <w:right w:val="single" w:sz="8" w:space="0" w:color="auto"/>
            </w:tcBorders>
            <w:shd w:val="clear" w:color="auto" w:fill="auto"/>
            <w:hideMark/>
          </w:tcPr>
          <w:p w:rsidR="001C1A33" w:rsidRPr="00164C96" w:rsidP="001C1A33" w14:paraId="2E460BD2" w14:textId="04933B82">
            <w:pPr>
              <w:widowControl/>
              <w:autoSpaceDE/>
              <w:autoSpaceDN/>
              <w:adjustRightInd/>
              <w:jc w:val="center"/>
              <w:rPr>
                <w:color w:val="000000"/>
              </w:rPr>
            </w:pPr>
            <w:r w:rsidRPr="0055631A">
              <w:t>20</w:t>
            </w:r>
          </w:p>
        </w:tc>
        <w:tc>
          <w:tcPr>
            <w:tcW w:w="2140" w:type="dxa"/>
            <w:tcBorders>
              <w:top w:val="nil"/>
              <w:left w:val="nil"/>
              <w:bottom w:val="single" w:sz="8" w:space="0" w:color="auto"/>
              <w:right w:val="double" w:sz="6" w:space="0" w:color="auto"/>
            </w:tcBorders>
            <w:shd w:val="clear" w:color="auto" w:fill="auto"/>
            <w:hideMark/>
          </w:tcPr>
          <w:p w:rsidR="001C1A33" w:rsidRPr="00164C96" w:rsidP="001C1A33" w14:paraId="504051F4" w14:textId="5E305127">
            <w:pPr>
              <w:widowControl/>
              <w:autoSpaceDE/>
              <w:autoSpaceDN/>
              <w:adjustRightInd/>
              <w:jc w:val="center"/>
              <w:rPr>
                <w:color w:val="000000"/>
              </w:rPr>
            </w:pPr>
            <w:r w:rsidRPr="0016448A">
              <w:t xml:space="preserve"> $1,854.20 </w:t>
            </w:r>
          </w:p>
        </w:tc>
      </w:tr>
      <w:tr w14:paraId="064E2C88" w14:textId="77777777" w:rsidTr="00323A83">
        <w:tblPrEx>
          <w:tblW w:w="7040" w:type="dxa"/>
          <w:tblInd w:w="1147" w:type="dxa"/>
          <w:tblLook w:val="04A0"/>
        </w:tblPrEx>
        <w:trPr>
          <w:trHeight w:val="320"/>
        </w:trPr>
        <w:tc>
          <w:tcPr>
            <w:tcW w:w="2480" w:type="dxa"/>
            <w:tcBorders>
              <w:top w:val="nil"/>
              <w:left w:val="double" w:sz="6" w:space="0" w:color="auto"/>
              <w:bottom w:val="single" w:sz="8" w:space="0" w:color="auto"/>
              <w:right w:val="single" w:sz="8" w:space="0" w:color="auto"/>
            </w:tcBorders>
            <w:shd w:val="clear" w:color="auto" w:fill="auto"/>
            <w:vAlign w:val="center"/>
            <w:hideMark/>
          </w:tcPr>
          <w:p w:rsidR="001C1A33" w:rsidRPr="00164C96" w:rsidP="001C1A33" w14:paraId="3DDF2995" w14:textId="77777777">
            <w:pPr>
              <w:widowControl/>
              <w:autoSpaceDE/>
              <w:autoSpaceDN/>
              <w:adjustRightInd/>
              <w:jc w:val="center"/>
              <w:rPr>
                <w:color w:val="000000"/>
              </w:rPr>
            </w:pPr>
            <w:r w:rsidRPr="00164C96">
              <w:rPr>
                <w:color w:val="000000"/>
              </w:rPr>
              <w:t>700.12</w:t>
            </w:r>
          </w:p>
        </w:tc>
        <w:tc>
          <w:tcPr>
            <w:tcW w:w="2420" w:type="dxa"/>
            <w:tcBorders>
              <w:top w:val="nil"/>
              <w:left w:val="nil"/>
              <w:bottom w:val="single" w:sz="8" w:space="0" w:color="auto"/>
              <w:right w:val="single" w:sz="8" w:space="0" w:color="auto"/>
            </w:tcBorders>
            <w:shd w:val="clear" w:color="auto" w:fill="auto"/>
            <w:hideMark/>
          </w:tcPr>
          <w:p w:rsidR="001C1A33" w:rsidRPr="00164C96" w:rsidP="001C1A33" w14:paraId="354B0B7A" w14:textId="20679541">
            <w:pPr>
              <w:widowControl/>
              <w:autoSpaceDE/>
              <w:autoSpaceDN/>
              <w:adjustRightInd/>
              <w:jc w:val="center"/>
              <w:rPr>
                <w:color w:val="000000"/>
              </w:rPr>
            </w:pPr>
            <w:r w:rsidRPr="0055631A">
              <w:t>140</w:t>
            </w:r>
          </w:p>
        </w:tc>
        <w:tc>
          <w:tcPr>
            <w:tcW w:w="2140" w:type="dxa"/>
            <w:tcBorders>
              <w:top w:val="nil"/>
              <w:left w:val="nil"/>
              <w:bottom w:val="single" w:sz="8" w:space="0" w:color="auto"/>
              <w:right w:val="double" w:sz="6" w:space="0" w:color="auto"/>
            </w:tcBorders>
            <w:shd w:val="clear" w:color="auto" w:fill="auto"/>
            <w:hideMark/>
          </w:tcPr>
          <w:p w:rsidR="001C1A33" w:rsidRPr="00164C96" w:rsidP="001C1A33" w14:paraId="1B0412B3" w14:textId="470E953E">
            <w:pPr>
              <w:widowControl/>
              <w:autoSpaceDE/>
              <w:autoSpaceDN/>
              <w:adjustRightInd/>
              <w:jc w:val="center"/>
              <w:rPr>
                <w:color w:val="000000"/>
              </w:rPr>
            </w:pPr>
            <w:r w:rsidRPr="0016448A">
              <w:t xml:space="preserve"> $12,979.40 </w:t>
            </w:r>
          </w:p>
        </w:tc>
      </w:tr>
      <w:tr w14:paraId="464E60A8" w14:textId="77777777" w:rsidTr="00323A83">
        <w:tblPrEx>
          <w:tblW w:w="7040" w:type="dxa"/>
          <w:tblInd w:w="1147" w:type="dxa"/>
          <w:tblLook w:val="04A0"/>
        </w:tblPrEx>
        <w:trPr>
          <w:trHeight w:val="320"/>
        </w:trPr>
        <w:tc>
          <w:tcPr>
            <w:tcW w:w="2480" w:type="dxa"/>
            <w:tcBorders>
              <w:top w:val="nil"/>
              <w:left w:val="double" w:sz="6" w:space="0" w:color="auto"/>
              <w:bottom w:val="single" w:sz="8" w:space="0" w:color="auto"/>
              <w:right w:val="single" w:sz="8" w:space="0" w:color="auto"/>
            </w:tcBorders>
            <w:shd w:val="clear" w:color="auto" w:fill="auto"/>
            <w:vAlign w:val="center"/>
            <w:hideMark/>
          </w:tcPr>
          <w:p w:rsidR="001C1A33" w:rsidRPr="00164C96" w:rsidP="001C1A33" w14:paraId="000F062C" w14:textId="77777777">
            <w:pPr>
              <w:widowControl/>
              <w:autoSpaceDE/>
              <w:autoSpaceDN/>
              <w:adjustRightInd/>
              <w:jc w:val="center"/>
              <w:rPr>
                <w:color w:val="000000"/>
              </w:rPr>
            </w:pPr>
            <w:r w:rsidRPr="00164C96">
              <w:rPr>
                <w:color w:val="000000"/>
              </w:rPr>
              <w:t>700.13</w:t>
            </w:r>
          </w:p>
        </w:tc>
        <w:tc>
          <w:tcPr>
            <w:tcW w:w="2420" w:type="dxa"/>
            <w:tcBorders>
              <w:top w:val="nil"/>
              <w:left w:val="nil"/>
              <w:bottom w:val="single" w:sz="8" w:space="0" w:color="auto"/>
              <w:right w:val="single" w:sz="8" w:space="0" w:color="auto"/>
            </w:tcBorders>
            <w:shd w:val="clear" w:color="auto" w:fill="auto"/>
            <w:hideMark/>
          </w:tcPr>
          <w:p w:rsidR="001C1A33" w:rsidRPr="00164C96" w:rsidP="001C1A33" w14:paraId="5B6C7244" w14:textId="48BF4F28">
            <w:pPr>
              <w:widowControl/>
              <w:autoSpaceDE/>
              <w:autoSpaceDN/>
              <w:adjustRightInd/>
              <w:jc w:val="center"/>
              <w:rPr>
                <w:color w:val="000000"/>
              </w:rPr>
            </w:pPr>
            <w:r w:rsidRPr="0055631A">
              <w:t>6</w:t>
            </w:r>
          </w:p>
        </w:tc>
        <w:tc>
          <w:tcPr>
            <w:tcW w:w="2140" w:type="dxa"/>
            <w:tcBorders>
              <w:top w:val="nil"/>
              <w:left w:val="nil"/>
              <w:bottom w:val="single" w:sz="8" w:space="0" w:color="auto"/>
              <w:right w:val="double" w:sz="6" w:space="0" w:color="auto"/>
            </w:tcBorders>
            <w:shd w:val="clear" w:color="auto" w:fill="auto"/>
            <w:hideMark/>
          </w:tcPr>
          <w:p w:rsidR="001C1A33" w:rsidRPr="00164C96" w:rsidP="001C1A33" w14:paraId="6A6881F4" w14:textId="7450D9B2">
            <w:pPr>
              <w:widowControl/>
              <w:autoSpaceDE/>
              <w:autoSpaceDN/>
              <w:adjustRightInd/>
              <w:jc w:val="center"/>
              <w:rPr>
                <w:color w:val="000000"/>
              </w:rPr>
            </w:pPr>
            <w:r w:rsidRPr="0016448A">
              <w:t xml:space="preserve"> $556.26 </w:t>
            </w:r>
          </w:p>
        </w:tc>
      </w:tr>
      <w:tr w14:paraId="6CF9D319" w14:textId="77777777" w:rsidTr="00323A83">
        <w:tblPrEx>
          <w:tblW w:w="7040" w:type="dxa"/>
          <w:tblInd w:w="1147" w:type="dxa"/>
          <w:tblLook w:val="04A0"/>
        </w:tblPrEx>
        <w:trPr>
          <w:trHeight w:val="320"/>
        </w:trPr>
        <w:tc>
          <w:tcPr>
            <w:tcW w:w="2480" w:type="dxa"/>
            <w:tcBorders>
              <w:top w:val="nil"/>
              <w:left w:val="double" w:sz="6" w:space="0" w:color="auto"/>
              <w:bottom w:val="double" w:sz="6" w:space="0" w:color="auto"/>
              <w:right w:val="single" w:sz="8" w:space="0" w:color="auto"/>
            </w:tcBorders>
            <w:shd w:val="clear" w:color="auto" w:fill="auto"/>
            <w:vAlign w:val="center"/>
            <w:hideMark/>
          </w:tcPr>
          <w:p w:rsidR="001C1A33" w:rsidRPr="00164C96" w:rsidP="001C1A33" w14:paraId="47DEDFE7" w14:textId="77777777">
            <w:pPr>
              <w:widowControl/>
              <w:autoSpaceDE/>
              <w:autoSpaceDN/>
              <w:adjustRightInd/>
              <w:jc w:val="center"/>
              <w:rPr>
                <w:color w:val="000000"/>
              </w:rPr>
            </w:pPr>
            <w:r w:rsidRPr="00164C96">
              <w:rPr>
                <w:color w:val="000000"/>
              </w:rPr>
              <w:t>All</w:t>
            </w:r>
          </w:p>
        </w:tc>
        <w:tc>
          <w:tcPr>
            <w:tcW w:w="2420" w:type="dxa"/>
            <w:tcBorders>
              <w:top w:val="nil"/>
              <w:left w:val="nil"/>
              <w:bottom w:val="double" w:sz="6" w:space="0" w:color="auto"/>
              <w:right w:val="single" w:sz="8" w:space="0" w:color="auto"/>
            </w:tcBorders>
            <w:shd w:val="clear" w:color="auto" w:fill="auto"/>
            <w:hideMark/>
          </w:tcPr>
          <w:p w:rsidR="001C1A33" w:rsidRPr="00164C96" w:rsidP="001C1A33" w14:paraId="4C4076B6" w14:textId="1FE9ECB7">
            <w:pPr>
              <w:widowControl/>
              <w:autoSpaceDE/>
              <w:autoSpaceDN/>
              <w:adjustRightInd/>
              <w:jc w:val="center"/>
              <w:rPr>
                <w:color w:val="000000"/>
              </w:rPr>
            </w:pPr>
            <w:r w:rsidRPr="0055631A">
              <w:t>166</w:t>
            </w:r>
          </w:p>
        </w:tc>
        <w:tc>
          <w:tcPr>
            <w:tcW w:w="2140" w:type="dxa"/>
            <w:tcBorders>
              <w:top w:val="nil"/>
              <w:left w:val="nil"/>
              <w:bottom w:val="double" w:sz="6" w:space="0" w:color="auto"/>
              <w:right w:val="double" w:sz="6" w:space="0" w:color="auto"/>
            </w:tcBorders>
            <w:shd w:val="clear" w:color="auto" w:fill="auto"/>
            <w:hideMark/>
          </w:tcPr>
          <w:p w:rsidR="001C1A33" w:rsidRPr="00164C96" w:rsidP="001C1A33" w14:paraId="6016FD21" w14:textId="46D4B323">
            <w:pPr>
              <w:widowControl/>
              <w:autoSpaceDE/>
              <w:autoSpaceDN/>
              <w:adjustRightInd/>
              <w:jc w:val="center"/>
              <w:rPr>
                <w:color w:val="000000"/>
              </w:rPr>
            </w:pPr>
            <w:r w:rsidRPr="0016448A">
              <w:t xml:space="preserve"> $15,389.86 </w:t>
            </w:r>
          </w:p>
        </w:tc>
      </w:tr>
    </w:tbl>
    <w:p w:rsidR="000073FD" w:rsidRPr="00935A78" w:rsidP="000073FD" w14:paraId="735F0BD9" w14:textId="65A554F7">
      <w:pPr>
        <w:ind w:left="720"/>
      </w:pPr>
      <w:r>
        <w:br/>
      </w:r>
      <w:r>
        <w:br/>
      </w:r>
      <w:r>
        <w:br/>
      </w:r>
      <w:r>
        <w:br/>
      </w:r>
      <w:r>
        <w:br/>
      </w:r>
      <w:r>
        <w:br/>
      </w:r>
      <w:r>
        <w:br/>
      </w:r>
      <w:r>
        <w:br/>
      </w:r>
      <w:r>
        <w:br/>
      </w:r>
      <w:r>
        <w:br/>
      </w:r>
      <w:r>
        <w:br/>
      </w:r>
      <w:r>
        <w:br/>
      </w:r>
      <w:r>
        <w:br/>
      </w:r>
    </w:p>
    <w:p w:rsidR="0063456F" w:rsidRPr="00072AA0" w:rsidP="0063456F" w14:paraId="56766DD2" w14:textId="2056686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p>
    <w:p w:rsidR="0063456F" w:rsidRPr="00072AA0" w:rsidP="0063456F" w14:paraId="186006EE" w14:textId="7D1CB90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r w:rsidR="009E21F9">
        <w:rPr>
          <w:i/>
        </w:rPr>
        <w:br/>
      </w:r>
      <w:r w:rsidR="009E21F9">
        <w:rPr>
          <w:i/>
        </w:rPr>
        <w:br/>
      </w:r>
      <w:r w:rsidR="000349C6">
        <w:t xml:space="preserve">This information collection request will not adjust the burden currently approved by OMB.  </w:t>
      </w:r>
    </w:p>
    <w:p w:rsidR="0063456F" w:rsidRPr="00072AA0" w:rsidP="0063456F" w14:paraId="36F692A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P="0063456F" w14:paraId="5F89D678" w14:textId="51F477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9E21F9">
        <w:rPr>
          <w:i/>
        </w:rPr>
        <w:br/>
      </w:r>
      <w:r w:rsidR="009E21F9">
        <w:rPr>
          <w:i/>
        </w:rPr>
        <w:br/>
      </w:r>
      <w:r w:rsidR="009E21F9">
        <w:t>There are no plans for publication of this information.</w:t>
      </w:r>
      <w:r w:rsidR="009E21F9">
        <w:rPr>
          <w:i/>
        </w:rPr>
        <w:br/>
      </w:r>
      <w:r w:rsidR="009E21F9">
        <w:rPr>
          <w:i/>
        </w:rPr>
        <w:br/>
      </w:r>
    </w:p>
    <w:p w:rsidR="0063456F" w:rsidRPr="00072AA0" w:rsidP="0063456F" w14:paraId="45F5A9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0063456F" w:rsidRPr="00072AA0" w:rsidP="0063456F" w14:paraId="7C75D4D7" w14:textId="2A99378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r>
        <w:t>The OMB approval information is displayed at 30 CFR 700.10.</w:t>
      </w:r>
      <w:r>
        <w:rPr>
          <w:i/>
        </w:rPr>
        <w:br/>
      </w:r>
      <w:r>
        <w:rPr>
          <w:i/>
        </w:rPr>
        <w:br/>
      </w:r>
    </w:p>
    <w:p w:rsidR="0063456F" w:rsidRPr="00072AA0" w:rsidP="0063456F" w14:paraId="4F7347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63456F" w:rsidRPr="00072AA0" w:rsidP="0063456F" w14:paraId="149540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36B96" w:rsidP="00494D0E" w14:paraId="30D12BB9" w14:textId="344890B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There are no exemptions to the </w:t>
      </w:r>
      <w:r w:rsidRPr="00072AA0">
        <w:rPr>
          <w:i/>
        </w:rPr>
        <w:t>"Certification for Paperwork Reduction Act Submissions."</w:t>
      </w:r>
    </w:p>
    <w:sectPr w:rsidSect="00741371">
      <w:footerReference w:type="even" r:id="rId8"/>
      <w:footerReference w:type="default" r:id="rId9"/>
      <w:type w:val="continuous"/>
      <w:pgSz w:w="12240" w:h="15840"/>
      <w:pgMar w:top="1440" w:right="1440" w:bottom="1440" w:left="1440" w:header="720" w:footer="518"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65C" w:rsidP="003747F0" w14:paraId="3DD96F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65C" w14:paraId="5985CC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65C" w:rsidP="003747F0" w14:paraId="4EC4D1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61765C" w:rsidP="003747F0" w14:paraId="6FA31A09" w14:textId="77777777">
    <w:pPr>
      <w:pStyle w:val="Footer"/>
      <w:rPr>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1">
    <w:nsid w:val="072414DA"/>
    <w:multiLevelType w:val="hybridMultilevel"/>
    <w:tmpl w:val="A40CEE7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C954D3"/>
    <w:multiLevelType w:val="multilevel"/>
    <w:tmpl w:val="CE8A3B02"/>
    <w:lvl w:ilvl="0">
      <w:start w:val="0"/>
      <w:numFmt w:val="decimal"/>
      <w:lvlText w:val="%1.0"/>
      <w:lvlJc w:val="left"/>
      <w:pPr>
        <w:tabs>
          <w:tab w:val="num" w:pos="2145"/>
        </w:tabs>
        <w:ind w:left="2145" w:hanging="360"/>
      </w:pPr>
      <w:rPr>
        <w:rFonts w:hint="default"/>
        <w:u w:val="single"/>
      </w:rPr>
    </w:lvl>
    <w:lvl w:ilvl="1">
      <w:start w:val="1"/>
      <w:numFmt w:val="decimal"/>
      <w:lvlText w:val="%1.%2"/>
      <w:lvlJc w:val="left"/>
      <w:pPr>
        <w:tabs>
          <w:tab w:val="num" w:pos="2865"/>
        </w:tabs>
        <w:ind w:left="2865" w:hanging="360"/>
      </w:pPr>
      <w:rPr>
        <w:rFonts w:hint="default"/>
        <w:u w:val="single"/>
      </w:rPr>
    </w:lvl>
    <w:lvl w:ilvl="2">
      <w:start w:val="1"/>
      <w:numFmt w:val="decimal"/>
      <w:lvlText w:val="%1.%2.%3"/>
      <w:lvlJc w:val="left"/>
      <w:pPr>
        <w:tabs>
          <w:tab w:val="num" w:pos="3945"/>
        </w:tabs>
        <w:ind w:left="3945" w:hanging="720"/>
      </w:pPr>
      <w:rPr>
        <w:rFonts w:hint="default"/>
        <w:u w:val="single"/>
      </w:rPr>
    </w:lvl>
    <w:lvl w:ilvl="3">
      <w:start w:val="1"/>
      <w:numFmt w:val="decimal"/>
      <w:lvlText w:val="%1.%2.%3.%4"/>
      <w:lvlJc w:val="left"/>
      <w:pPr>
        <w:tabs>
          <w:tab w:val="num" w:pos="4665"/>
        </w:tabs>
        <w:ind w:left="4665" w:hanging="720"/>
      </w:pPr>
      <w:rPr>
        <w:rFonts w:hint="default"/>
        <w:u w:val="single"/>
      </w:rPr>
    </w:lvl>
    <w:lvl w:ilvl="4">
      <w:start w:val="1"/>
      <w:numFmt w:val="decimal"/>
      <w:lvlText w:val="%1.%2.%3.%4.%5"/>
      <w:lvlJc w:val="left"/>
      <w:pPr>
        <w:tabs>
          <w:tab w:val="num" w:pos="5745"/>
        </w:tabs>
        <w:ind w:left="5745" w:hanging="1080"/>
      </w:pPr>
      <w:rPr>
        <w:rFonts w:hint="default"/>
        <w:u w:val="single"/>
      </w:rPr>
    </w:lvl>
    <w:lvl w:ilvl="5">
      <w:start w:val="1"/>
      <w:numFmt w:val="decimal"/>
      <w:lvlText w:val="%1.%2.%3.%4.%5.%6"/>
      <w:lvlJc w:val="left"/>
      <w:pPr>
        <w:tabs>
          <w:tab w:val="num" w:pos="6465"/>
        </w:tabs>
        <w:ind w:left="6465" w:hanging="1080"/>
      </w:pPr>
      <w:rPr>
        <w:rFonts w:hint="default"/>
        <w:u w:val="single"/>
      </w:rPr>
    </w:lvl>
    <w:lvl w:ilvl="6">
      <w:start w:val="1"/>
      <w:numFmt w:val="decimal"/>
      <w:lvlText w:val="%1.%2.%3.%4.%5.%6.%7"/>
      <w:lvlJc w:val="left"/>
      <w:pPr>
        <w:tabs>
          <w:tab w:val="num" w:pos="7545"/>
        </w:tabs>
        <w:ind w:left="7545" w:hanging="1440"/>
      </w:pPr>
      <w:rPr>
        <w:rFonts w:hint="default"/>
        <w:u w:val="single"/>
      </w:rPr>
    </w:lvl>
    <w:lvl w:ilvl="7">
      <w:start w:val="1"/>
      <w:numFmt w:val="decimal"/>
      <w:lvlText w:val="%1.%2.%3.%4.%5.%6.%7.%8"/>
      <w:lvlJc w:val="left"/>
      <w:pPr>
        <w:tabs>
          <w:tab w:val="num" w:pos="8265"/>
        </w:tabs>
        <w:ind w:left="8265" w:hanging="1440"/>
      </w:pPr>
      <w:rPr>
        <w:rFonts w:hint="default"/>
        <w:u w:val="single"/>
      </w:rPr>
    </w:lvl>
    <w:lvl w:ilvl="8">
      <w:start w:val="1"/>
      <w:numFmt w:val="decimal"/>
      <w:lvlText w:val="%1.%2.%3.%4.%5.%6.%7.%8.%9"/>
      <w:lvlJc w:val="left"/>
      <w:pPr>
        <w:tabs>
          <w:tab w:val="num" w:pos="9345"/>
        </w:tabs>
        <w:ind w:left="9345" w:hanging="1800"/>
      </w:pPr>
      <w:rPr>
        <w:rFonts w:hint="default"/>
        <w:u w:val="single"/>
      </w:rPr>
    </w:lvl>
  </w:abstractNum>
  <w:abstractNum w:abstractNumId="3">
    <w:nsid w:val="08403F64"/>
    <w:multiLevelType w:val="hybridMultilevel"/>
    <w:tmpl w:val="0002C3C2"/>
    <w:lvl w:ilvl="0">
      <w:start w:val="1"/>
      <w:numFmt w:val="lowerLetter"/>
      <w:lvlText w:val="%1."/>
      <w:lvlJc w:val="left"/>
      <w:pPr>
        <w:tabs>
          <w:tab w:val="num" w:pos="1442"/>
        </w:tabs>
        <w:ind w:left="1442" w:hanging="735"/>
      </w:pPr>
      <w:rPr>
        <w:rFonts w:hint="default"/>
      </w:rPr>
    </w:lvl>
    <w:lvl w:ilvl="1">
      <w:start w:val="1"/>
      <w:numFmt w:val="lowerLetter"/>
      <w:lvlText w:val="%2."/>
      <w:lvlJc w:val="left"/>
      <w:pPr>
        <w:tabs>
          <w:tab w:val="num" w:pos="1787"/>
        </w:tabs>
        <w:ind w:left="1787" w:hanging="360"/>
      </w:pPr>
    </w:lvl>
    <w:lvl w:ilvl="2">
      <w:start w:val="1"/>
      <w:numFmt w:val="lowerRoman"/>
      <w:lvlText w:val="%3."/>
      <w:lvlJc w:val="right"/>
      <w:pPr>
        <w:tabs>
          <w:tab w:val="num" w:pos="2507"/>
        </w:tabs>
        <w:ind w:left="2507" w:hanging="180"/>
      </w:pPr>
    </w:lvl>
    <w:lvl w:ilvl="3">
      <w:start w:val="1"/>
      <w:numFmt w:val="decimal"/>
      <w:lvlText w:val="%4."/>
      <w:lvlJc w:val="left"/>
      <w:pPr>
        <w:tabs>
          <w:tab w:val="num" w:pos="3227"/>
        </w:tabs>
        <w:ind w:left="3227" w:hanging="360"/>
      </w:pPr>
    </w:lvl>
    <w:lvl w:ilvl="4">
      <w:start w:val="1"/>
      <w:numFmt w:val="lowerLetter"/>
      <w:lvlText w:val="%5."/>
      <w:lvlJc w:val="left"/>
      <w:pPr>
        <w:tabs>
          <w:tab w:val="num" w:pos="3947"/>
        </w:tabs>
        <w:ind w:left="3947" w:hanging="360"/>
      </w:pPr>
    </w:lvl>
    <w:lvl w:ilvl="5">
      <w:start w:val="1"/>
      <w:numFmt w:val="lowerRoman"/>
      <w:lvlText w:val="%6."/>
      <w:lvlJc w:val="right"/>
      <w:pPr>
        <w:tabs>
          <w:tab w:val="num" w:pos="4667"/>
        </w:tabs>
        <w:ind w:left="4667" w:hanging="180"/>
      </w:pPr>
    </w:lvl>
    <w:lvl w:ilvl="6">
      <w:start w:val="1"/>
      <w:numFmt w:val="decimal"/>
      <w:lvlText w:val="%7."/>
      <w:lvlJc w:val="left"/>
      <w:pPr>
        <w:tabs>
          <w:tab w:val="num" w:pos="5387"/>
        </w:tabs>
        <w:ind w:left="5387" w:hanging="360"/>
      </w:pPr>
    </w:lvl>
    <w:lvl w:ilvl="7">
      <w:start w:val="1"/>
      <w:numFmt w:val="lowerLetter"/>
      <w:lvlText w:val="%8."/>
      <w:lvlJc w:val="left"/>
      <w:pPr>
        <w:tabs>
          <w:tab w:val="num" w:pos="6107"/>
        </w:tabs>
        <w:ind w:left="6107" w:hanging="360"/>
      </w:pPr>
    </w:lvl>
    <w:lvl w:ilvl="8">
      <w:start w:val="1"/>
      <w:numFmt w:val="lowerRoman"/>
      <w:lvlText w:val="%9."/>
      <w:lvlJc w:val="right"/>
      <w:pPr>
        <w:tabs>
          <w:tab w:val="num" w:pos="6827"/>
        </w:tabs>
        <w:ind w:left="6827" w:hanging="180"/>
      </w:pPr>
    </w:lvl>
  </w:abstractNum>
  <w:abstractNum w:abstractNumId="4">
    <w:nsid w:val="10D6242E"/>
    <w:multiLevelType w:val="hybridMultilevel"/>
    <w:tmpl w:val="107243A2"/>
    <w:lvl w:ilvl="0">
      <w:start w:val="10"/>
      <w:numFmt w:val="bullet"/>
      <w:lvlText w:val="-"/>
      <w:lvlJc w:val="left"/>
      <w:pPr>
        <w:tabs>
          <w:tab w:val="num" w:pos="1795"/>
        </w:tabs>
        <w:ind w:left="1795" w:hanging="360"/>
      </w:pPr>
      <w:rPr>
        <w:rFonts w:ascii="Arial" w:eastAsia="Times New Roman" w:hAnsi="Arial" w:hint="default"/>
      </w:rPr>
    </w:lvl>
    <w:lvl w:ilvl="1">
      <w:start w:val="1"/>
      <w:numFmt w:val="bullet"/>
      <w:lvlText w:val="o"/>
      <w:lvlJc w:val="left"/>
      <w:pPr>
        <w:tabs>
          <w:tab w:val="num" w:pos="2515"/>
        </w:tabs>
        <w:ind w:left="2515" w:hanging="360"/>
      </w:pPr>
      <w:rPr>
        <w:rFonts w:ascii="Courier New" w:hAnsi="Courier New" w:cs="Courier New" w:hint="default"/>
      </w:rPr>
    </w:lvl>
    <w:lvl w:ilvl="2">
      <w:start w:val="1"/>
      <w:numFmt w:val="bullet"/>
      <w:lvlText w:val=""/>
      <w:lvlJc w:val="left"/>
      <w:pPr>
        <w:tabs>
          <w:tab w:val="num" w:pos="3235"/>
        </w:tabs>
        <w:ind w:left="3235" w:hanging="360"/>
      </w:pPr>
      <w:rPr>
        <w:rFonts w:ascii="Wingdings" w:hAnsi="Wingdings" w:cs="Times New Roman" w:hint="default"/>
      </w:rPr>
    </w:lvl>
    <w:lvl w:ilvl="3">
      <w:start w:val="1"/>
      <w:numFmt w:val="bullet"/>
      <w:lvlText w:val=""/>
      <w:lvlJc w:val="left"/>
      <w:pPr>
        <w:tabs>
          <w:tab w:val="num" w:pos="3955"/>
        </w:tabs>
        <w:ind w:left="3955" w:hanging="360"/>
      </w:pPr>
      <w:rPr>
        <w:rFonts w:ascii="Symbol" w:hAnsi="Symbol" w:cs="Times New Roman" w:hint="default"/>
      </w:rPr>
    </w:lvl>
    <w:lvl w:ilvl="4">
      <w:start w:val="1"/>
      <w:numFmt w:val="bullet"/>
      <w:lvlText w:val="o"/>
      <w:lvlJc w:val="left"/>
      <w:pPr>
        <w:tabs>
          <w:tab w:val="num" w:pos="4675"/>
        </w:tabs>
        <w:ind w:left="4675" w:hanging="360"/>
      </w:pPr>
      <w:rPr>
        <w:rFonts w:ascii="Courier New" w:hAnsi="Courier New" w:cs="Courier New" w:hint="default"/>
      </w:rPr>
    </w:lvl>
    <w:lvl w:ilvl="5">
      <w:start w:val="1"/>
      <w:numFmt w:val="bullet"/>
      <w:lvlText w:val=""/>
      <w:lvlJc w:val="left"/>
      <w:pPr>
        <w:tabs>
          <w:tab w:val="num" w:pos="5395"/>
        </w:tabs>
        <w:ind w:left="5395" w:hanging="360"/>
      </w:pPr>
      <w:rPr>
        <w:rFonts w:ascii="Wingdings" w:hAnsi="Wingdings" w:cs="Times New Roman" w:hint="default"/>
      </w:rPr>
    </w:lvl>
    <w:lvl w:ilvl="6">
      <w:start w:val="1"/>
      <w:numFmt w:val="bullet"/>
      <w:lvlText w:val=""/>
      <w:lvlJc w:val="left"/>
      <w:pPr>
        <w:tabs>
          <w:tab w:val="num" w:pos="6115"/>
        </w:tabs>
        <w:ind w:left="6115" w:hanging="360"/>
      </w:pPr>
      <w:rPr>
        <w:rFonts w:ascii="Symbol" w:hAnsi="Symbol" w:cs="Times New Roman" w:hint="default"/>
      </w:rPr>
    </w:lvl>
    <w:lvl w:ilvl="7">
      <w:start w:val="1"/>
      <w:numFmt w:val="bullet"/>
      <w:lvlText w:val="o"/>
      <w:lvlJc w:val="left"/>
      <w:pPr>
        <w:tabs>
          <w:tab w:val="num" w:pos="6835"/>
        </w:tabs>
        <w:ind w:left="6835" w:hanging="360"/>
      </w:pPr>
      <w:rPr>
        <w:rFonts w:ascii="Courier New" w:hAnsi="Courier New" w:cs="Courier New" w:hint="default"/>
      </w:rPr>
    </w:lvl>
    <w:lvl w:ilvl="8">
      <w:start w:val="1"/>
      <w:numFmt w:val="bullet"/>
      <w:lvlText w:val=""/>
      <w:lvlJc w:val="left"/>
      <w:pPr>
        <w:tabs>
          <w:tab w:val="num" w:pos="7555"/>
        </w:tabs>
        <w:ind w:left="7555" w:hanging="360"/>
      </w:pPr>
      <w:rPr>
        <w:rFonts w:ascii="Wingdings" w:hAnsi="Wingdings" w:cs="Times New Roman" w:hint="default"/>
      </w:rPr>
    </w:lvl>
  </w:abstractNum>
  <w:abstractNum w:abstractNumId="5">
    <w:nsid w:val="117E3359"/>
    <w:multiLevelType w:val="hybridMultilevel"/>
    <w:tmpl w:val="EFE247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B5BE6"/>
    <w:multiLevelType w:val="hybridMultilevel"/>
    <w:tmpl w:val="1B6AFC42"/>
    <w:lvl w:ilvl="0">
      <w:start w:val="13"/>
      <w:numFmt w:val="decimal"/>
      <w:lvlText w:val="%1."/>
      <w:lvlJc w:val="left"/>
      <w:pPr>
        <w:tabs>
          <w:tab w:val="num" w:pos="706"/>
        </w:tabs>
        <w:ind w:left="706" w:hanging="705"/>
      </w:pPr>
      <w:rPr>
        <w:rFonts w:hint="default"/>
        <w:u w:val="none"/>
      </w:rPr>
    </w:lvl>
    <w:lvl w:ilvl="1">
      <w:start w:val="1"/>
      <w:numFmt w:val="lowerLetter"/>
      <w:lvlText w:val="%2."/>
      <w:lvlJc w:val="left"/>
      <w:pPr>
        <w:tabs>
          <w:tab w:val="num" w:pos="1081"/>
        </w:tabs>
        <w:ind w:left="1081" w:hanging="360"/>
      </w:pPr>
    </w:lvl>
    <w:lvl w:ilvl="2">
      <w:start w:val="1"/>
      <w:numFmt w:val="lowerRoman"/>
      <w:lvlText w:val="%3."/>
      <w:lvlJc w:val="righ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righ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right"/>
      <w:pPr>
        <w:tabs>
          <w:tab w:val="num" w:pos="6121"/>
        </w:tabs>
        <w:ind w:left="6121" w:hanging="180"/>
      </w:pPr>
    </w:lvl>
  </w:abstractNum>
  <w:abstractNum w:abstractNumId="7">
    <w:nsid w:val="328F5BAF"/>
    <w:multiLevelType w:val="hybridMultilevel"/>
    <w:tmpl w:val="4036D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F77D6F"/>
    <w:multiLevelType w:val="hybridMultilevel"/>
    <w:tmpl w:val="BF908A52"/>
    <w:lvl w:ilvl="0">
      <w:start w:val="8"/>
      <w:numFmt w:val="decimal"/>
      <w:lvlText w:val="%1."/>
      <w:lvlJc w:val="left"/>
      <w:pPr>
        <w:tabs>
          <w:tab w:val="num" w:pos="450"/>
        </w:tabs>
        <w:ind w:left="450" w:hanging="360"/>
      </w:pPr>
      <w:rPr>
        <w:rFonts w:hint="default"/>
      </w:rPr>
    </w:lvl>
    <w:lvl w:ilvl="1">
      <w:start w:val="1"/>
      <w:numFmt w:val="lowerLetter"/>
      <w:lvlText w:val="%2."/>
      <w:lvlJc w:val="left"/>
      <w:pPr>
        <w:tabs>
          <w:tab w:val="num" w:pos="1081"/>
        </w:tabs>
        <w:ind w:left="1081" w:hanging="360"/>
      </w:pPr>
    </w:lvl>
    <w:lvl w:ilvl="2">
      <w:start w:val="1"/>
      <w:numFmt w:val="lowerRoman"/>
      <w:lvlText w:val="%3."/>
      <w:lvlJc w:val="righ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righ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right"/>
      <w:pPr>
        <w:tabs>
          <w:tab w:val="num" w:pos="6121"/>
        </w:tabs>
        <w:ind w:left="6121" w:hanging="180"/>
      </w:pPr>
    </w:lvl>
  </w:abstractNum>
  <w:abstractNum w:abstractNumId="9">
    <w:nsid w:val="6C664DF5"/>
    <w:multiLevelType w:val="hybridMultilevel"/>
    <w:tmpl w:val="4B7E7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D22768E"/>
    <w:multiLevelType w:val="hybridMultilevel"/>
    <w:tmpl w:val="A0B0FE14"/>
    <w:lvl w:ilvl="0">
      <w:start w:val="2"/>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ECF51D1"/>
    <w:multiLevelType w:val="hybridMultilevel"/>
    <w:tmpl w:val="1B141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941D8E"/>
    <w:multiLevelType w:val="hybridMultilevel"/>
    <w:tmpl w:val="64544DAA"/>
    <w:lvl w:ilvl="0">
      <w:start w:val="1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FAA01C1"/>
    <w:multiLevelType w:val="hybridMultilevel"/>
    <w:tmpl w:val="715A1228"/>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21472347">
    <w:abstractNumId w:val="12"/>
  </w:num>
  <w:num w:numId="2" w16cid:durableId="1004089594">
    <w:abstractNumId w:val="9"/>
  </w:num>
  <w:num w:numId="3" w16cid:durableId="1839080469">
    <w:abstractNumId w:val="13"/>
  </w:num>
  <w:num w:numId="4" w16cid:durableId="716664209">
    <w:abstractNumId w:val="1"/>
  </w:num>
  <w:num w:numId="5" w16cid:durableId="498428740">
    <w:abstractNumId w:val="6"/>
  </w:num>
  <w:num w:numId="6" w16cid:durableId="291596869">
    <w:abstractNumId w:val="4"/>
  </w:num>
  <w:num w:numId="7" w16cid:durableId="88739224">
    <w:abstractNumId w:val="2"/>
  </w:num>
  <w:num w:numId="8" w16cid:durableId="1481389031">
    <w:abstractNumId w:val="3"/>
  </w:num>
  <w:num w:numId="9" w16cid:durableId="1954895589">
    <w:abstractNumId w:val="8"/>
  </w:num>
  <w:num w:numId="10" w16cid:durableId="1477650857">
    <w:abstractNumId w:val="10"/>
  </w:num>
  <w:num w:numId="11" w16cid:durableId="386806634">
    <w:abstractNumId w:val="0"/>
  </w:num>
  <w:num w:numId="12" w16cid:durableId="717050832">
    <w:abstractNumId w:val="11"/>
  </w:num>
  <w:num w:numId="13" w16cid:durableId="871039700">
    <w:abstractNumId w:val="5"/>
  </w:num>
  <w:num w:numId="14" w16cid:durableId="1767649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72"/>
    <w:rsid w:val="00001933"/>
    <w:rsid w:val="00001C94"/>
    <w:rsid w:val="000073FD"/>
    <w:rsid w:val="00010830"/>
    <w:rsid w:val="00017E15"/>
    <w:rsid w:val="000262BA"/>
    <w:rsid w:val="000349C6"/>
    <w:rsid w:val="00036D5A"/>
    <w:rsid w:val="000416C6"/>
    <w:rsid w:val="00051CB0"/>
    <w:rsid w:val="00051D78"/>
    <w:rsid w:val="00057F64"/>
    <w:rsid w:val="00060DC0"/>
    <w:rsid w:val="000628DC"/>
    <w:rsid w:val="00067E83"/>
    <w:rsid w:val="00072AA0"/>
    <w:rsid w:val="00076E74"/>
    <w:rsid w:val="000851AE"/>
    <w:rsid w:val="00096C49"/>
    <w:rsid w:val="000A3796"/>
    <w:rsid w:val="000A683C"/>
    <w:rsid w:val="000B200F"/>
    <w:rsid w:val="000B25C3"/>
    <w:rsid w:val="000B3FD1"/>
    <w:rsid w:val="000B5501"/>
    <w:rsid w:val="000C7F97"/>
    <w:rsid w:val="000D0949"/>
    <w:rsid w:val="000D0F2F"/>
    <w:rsid w:val="000D629A"/>
    <w:rsid w:val="000E6F48"/>
    <w:rsid w:val="000E7C23"/>
    <w:rsid w:val="00103584"/>
    <w:rsid w:val="00105454"/>
    <w:rsid w:val="00113AE5"/>
    <w:rsid w:val="00115C92"/>
    <w:rsid w:val="00134B48"/>
    <w:rsid w:val="00141690"/>
    <w:rsid w:val="001439D6"/>
    <w:rsid w:val="00144923"/>
    <w:rsid w:val="001452E3"/>
    <w:rsid w:val="0015332A"/>
    <w:rsid w:val="001550E3"/>
    <w:rsid w:val="00156716"/>
    <w:rsid w:val="0016448A"/>
    <w:rsid w:val="00164C96"/>
    <w:rsid w:val="00167A50"/>
    <w:rsid w:val="00172081"/>
    <w:rsid w:val="00176688"/>
    <w:rsid w:val="00177353"/>
    <w:rsid w:val="00180F32"/>
    <w:rsid w:val="001841F3"/>
    <w:rsid w:val="001848C8"/>
    <w:rsid w:val="00187F26"/>
    <w:rsid w:val="001917E3"/>
    <w:rsid w:val="00197565"/>
    <w:rsid w:val="001A323A"/>
    <w:rsid w:val="001C1A33"/>
    <w:rsid w:val="001D7052"/>
    <w:rsid w:val="001D771E"/>
    <w:rsid w:val="001E603B"/>
    <w:rsid w:val="001F156D"/>
    <w:rsid w:val="001F6EB2"/>
    <w:rsid w:val="00205751"/>
    <w:rsid w:val="00206A29"/>
    <w:rsid w:val="002135C1"/>
    <w:rsid w:val="00214BB3"/>
    <w:rsid w:val="00220A3F"/>
    <w:rsid w:val="00232498"/>
    <w:rsid w:val="00235983"/>
    <w:rsid w:val="00235C5C"/>
    <w:rsid w:val="00235E47"/>
    <w:rsid w:val="00243333"/>
    <w:rsid w:val="002434C3"/>
    <w:rsid w:val="00243941"/>
    <w:rsid w:val="00245004"/>
    <w:rsid w:val="00250282"/>
    <w:rsid w:val="00252F6F"/>
    <w:rsid w:val="00253586"/>
    <w:rsid w:val="0027337A"/>
    <w:rsid w:val="00274252"/>
    <w:rsid w:val="00285252"/>
    <w:rsid w:val="00286D99"/>
    <w:rsid w:val="00291CF2"/>
    <w:rsid w:val="00295A78"/>
    <w:rsid w:val="002A1F80"/>
    <w:rsid w:val="002A7DE1"/>
    <w:rsid w:val="002B3E2D"/>
    <w:rsid w:val="002B7218"/>
    <w:rsid w:val="002C32DF"/>
    <w:rsid w:val="002C3322"/>
    <w:rsid w:val="002D4E0C"/>
    <w:rsid w:val="002E0F33"/>
    <w:rsid w:val="002E2CF0"/>
    <w:rsid w:val="002E349F"/>
    <w:rsid w:val="002E6035"/>
    <w:rsid w:val="002E63E9"/>
    <w:rsid w:val="002F0389"/>
    <w:rsid w:val="002F72B9"/>
    <w:rsid w:val="00301243"/>
    <w:rsid w:val="00301929"/>
    <w:rsid w:val="00302B3D"/>
    <w:rsid w:val="00307E0E"/>
    <w:rsid w:val="003134D9"/>
    <w:rsid w:val="00313E05"/>
    <w:rsid w:val="00317CD7"/>
    <w:rsid w:val="00332C44"/>
    <w:rsid w:val="003363CE"/>
    <w:rsid w:val="003409F4"/>
    <w:rsid w:val="003443BE"/>
    <w:rsid w:val="00347944"/>
    <w:rsid w:val="003524CA"/>
    <w:rsid w:val="00354FE4"/>
    <w:rsid w:val="0035711F"/>
    <w:rsid w:val="00361F62"/>
    <w:rsid w:val="003625FC"/>
    <w:rsid w:val="00362C20"/>
    <w:rsid w:val="003656B7"/>
    <w:rsid w:val="00366C0A"/>
    <w:rsid w:val="00366F4E"/>
    <w:rsid w:val="003747F0"/>
    <w:rsid w:val="003766A4"/>
    <w:rsid w:val="0038059E"/>
    <w:rsid w:val="00380862"/>
    <w:rsid w:val="003840D9"/>
    <w:rsid w:val="003866F1"/>
    <w:rsid w:val="00395065"/>
    <w:rsid w:val="0039635C"/>
    <w:rsid w:val="00396AC7"/>
    <w:rsid w:val="00397FBB"/>
    <w:rsid w:val="003A1A64"/>
    <w:rsid w:val="003A5A1A"/>
    <w:rsid w:val="003A6820"/>
    <w:rsid w:val="003A6B0D"/>
    <w:rsid w:val="003A6F74"/>
    <w:rsid w:val="003B03AA"/>
    <w:rsid w:val="003B1CF1"/>
    <w:rsid w:val="003B7423"/>
    <w:rsid w:val="003C1078"/>
    <w:rsid w:val="003C3324"/>
    <w:rsid w:val="003D3F74"/>
    <w:rsid w:val="003D4165"/>
    <w:rsid w:val="003E2143"/>
    <w:rsid w:val="003E4BDA"/>
    <w:rsid w:val="003F0748"/>
    <w:rsid w:val="003F481C"/>
    <w:rsid w:val="003F60C9"/>
    <w:rsid w:val="00401C55"/>
    <w:rsid w:val="00402914"/>
    <w:rsid w:val="00406649"/>
    <w:rsid w:val="0040703C"/>
    <w:rsid w:val="00410759"/>
    <w:rsid w:val="00411170"/>
    <w:rsid w:val="00422AE4"/>
    <w:rsid w:val="00433E5F"/>
    <w:rsid w:val="00433F7C"/>
    <w:rsid w:val="00434ACC"/>
    <w:rsid w:val="00436B6F"/>
    <w:rsid w:val="00443193"/>
    <w:rsid w:val="00454E46"/>
    <w:rsid w:val="0045543E"/>
    <w:rsid w:val="00472CBC"/>
    <w:rsid w:val="00477EE8"/>
    <w:rsid w:val="00482DA6"/>
    <w:rsid w:val="00483FA3"/>
    <w:rsid w:val="0048692C"/>
    <w:rsid w:val="00494D0E"/>
    <w:rsid w:val="0049539D"/>
    <w:rsid w:val="004A46F0"/>
    <w:rsid w:val="004A6470"/>
    <w:rsid w:val="004A6575"/>
    <w:rsid w:val="004B2B47"/>
    <w:rsid w:val="004B3DE5"/>
    <w:rsid w:val="004B3E83"/>
    <w:rsid w:val="004C344D"/>
    <w:rsid w:val="004C547E"/>
    <w:rsid w:val="004D683D"/>
    <w:rsid w:val="004E1170"/>
    <w:rsid w:val="004F7DCC"/>
    <w:rsid w:val="00501248"/>
    <w:rsid w:val="00502C88"/>
    <w:rsid w:val="005078D4"/>
    <w:rsid w:val="00512C44"/>
    <w:rsid w:val="00515ED9"/>
    <w:rsid w:val="00517357"/>
    <w:rsid w:val="00517874"/>
    <w:rsid w:val="005201A2"/>
    <w:rsid w:val="00523D76"/>
    <w:rsid w:val="00525BD9"/>
    <w:rsid w:val="00525BE2"/>
    <w:rsid w:val="00530C3B"/>
    <w:rsid w:val="005332D1"/>
    <w:rsid w:val="00537848"/>
    <w:rsid w:val="00543D82"/>
    <w:rsid w:val="00545A28"/>
    <w:rsid w:val="005462C2"/>
    <w:rsid w:val="0055196A"/>
    <w:rsid w:val="00552FB9"/>
    <w:rsid w:val="0055631A"/>
    <w:rsid w:val="00561418"/>
    <w:rsid w:val="00564B92"/>
    <w:rsid w:val="005677A7"/>
    <w:rsid w:val="005734E2"/>
    <w:rsid w:val="00574848"/>
    <w:rsid w:val="00577519"/>
    <w:rsid w:val="00577907"/>
    <w:rsid w:val="005940A5"/>
    <w:rsid w:val="005A5F0F"/>
    <w:rsid w:val="005B63B6"/>
    <w:rsid w:val="005C191F"/>
    <w:rsid w:val="005C73C3"/>
    <w:rsid w:val="005C7895"/>
    <w:rsid w:val="005D21A6"/>
    <w:rsid w:val="005D2C04"/>
    <w:rsid w:val="005D479E"/>
    <w:rsid w:val="005E5FDE"/>
    <w:rsid w:val="005E6290"/>
    <w:rsid w:val="005E7FF6"/>
    <w:rsid w:val="005F4793"/>
    <w:rsid w:val="006003DB"/>
    <w:rsid w:val="00604553"/>
    <w:rsid w:val="00605348"/>
    <w:rsid w:val="00605AD2"/>
    <w:rsid w:val="006103C9"/>
    <w:rsid w:val="0061152A"/>
    <w:rsid w:val="006143AA"/>
    <w:rsid w:val="0061765C"/>
    <w:rsid w:val="00617C95"/>
    <w:rsid w:val="00617F73"/>
    <w:rsid w:val="00620DF1"/>
    <w:rsid w:val="00624364"/>
    <w:rsid w:val="00630204"/>
    <w:rsid w:val="00633D88"/>
    <w:rsid w:val="00633E6E"/>
    <w:rsid w:val="0063456F"/>
    <w:rsid w:val="00634E31"/>
    <w:rsid w:val="00635696"/>
    <w:rsid w:val="00645C4A"/>
    <w:rsid w:val="00646363"/>
    <w:rsid w:val="00654EB3"/>
    <w:rsid w:val="00656401"/>
    <w:rsid w:val="00667B92"/>
    <w:rsid w:val="006759CD"/>
    <w:rsid w:val="00682147"/>
    <w:rsid w:val="00684A3A"/>
    <w:rsid w:val="00686F50"/>
    <w:rsid w:val="00691713"/>
    <w:rsid w:val="00695521"/>
    <w:rsid w:val="006A4795"/>
    <w:rsid w:val="006A4F5D"/>
    <w:rsid w:val="006B73F5"/>
    <w:rsid w:val="006C01D9"/>
    <w:rsid w:val="006C22F9"/>
    <w:rsid w:val="006C5094"/>
    <w:rsid w:val="006C60A2"/>
    <w:rsid w:val="006C7FD4"/>
    <w:rsid w:val="006D5119"/>
    <w:rsid w:val="006E3334"/>
    <w:rsid w:val="006E3505"/>
    <w:rsid w:val="006F7387"/>
    <w:rsid w:val="00702239"/>
    <w:rsid w:val="00702E46"/>
    <w:rsid w:val="00703965"/>
    <w:rsid w:val="007045FA"/>
    <w:rsid w:val="007061D7"/>
    <w:rsid w:val="00706741"/>
    <w:rsid w:val="00710639"/>
    <w:rsid w:val="00712D9B"/>
    <w:rsid w:val="00713069"/>
    <w:rsid w:val="00723B04"/>
    <w:rsid w:val="00727561"/>
    <w:rsid w:val="007309CE"/>
    <w:rsid w:val="007326DE"/>
    <w:rsid w:val="00735C2E"/>
    <w:rsid w:val="0073603D"/>
    <w:rsid w:val="00741371"/>
    <w:rsid w:val="00750AA6"/>
    <w:rsid w:val="007543B9"/>
    <w:rsid w:val="00756DD2"/>
    <w:rsid w:val="007671A1"/>
    <w:rsid w:val="00771AE6"/>
    <w:rsid w:val="00773597"/>
    <w:rsid w:val="00776A55"/>
    <w:rsid w:val="00776E27"/>
    <w:rsid w:val="007820C0"/>
    <w:rsid w:val="00787DE4"/>
    <w:rsid w:val="00792145"/>
    <w:rsid w:val="007943CE"/>
    <w:rsid w:val="00795FE5"/>
    <w:rsid w:val="007A2BC7"/>
    <w:rsid w:val="007A4E47"/>
    <w:rsid w:val="007A6AA1"/>
    <w:rsid w:val="007B2FAE"/>
    <w:rsid w:val="007B32E1"/>
    <w:rsid w:val="007B3D37"/>
    <w:rsid w:val="007B4981"/>
    <w:rsid w:val="007D0471"/>
    <w:rsid w:val="007D2B68"/>
    <w:rsid w:val="007D646A"/>
    <w:rsid w:val="007E37D9"/>
    <w:rsid w:val="007F39F3"/>
    <w:rsid w:val="008002F0"/>
    <w:rsid w:val="00801A3C"/>
    <w:rsid w:val="00810878"/>
    <w:rsid w:val="008112CA"/>
    <w:rsid w:val="00814A81"/>
    <w:rsid w:val="008158D4"/>
    <w:rsid w:val="008166BD"/>
    <w:rsid w:val="0082447F"/>
    <w:rsid w:val="008262ED"/>
    <w:rsid w:val="008358EF"/>
    <w:rsid w:val="00836732"/>
    <w:rsid w:val="00840F0F"/>
    <w:rsid w:val="00843E09"/>
    <w:rsid w:val="00846FE5"/>
    <w:rsid w:val="00847812"/>
    <w:rsid w:val="0085033E"/>
    <w:rsid w:val="00850DA3"/>
    <w:rsid w:val="00860318"/>
    <w:rsid w:val="008654B7"/>
    <w:rsid w:val="0087445B"/>
    <w:rsid w:val="0087699D"/>
    <w:rsid w:val="0088344B"/>
    <w:rsid w:val="0088410E"/>
    <w:rsid w:val="00884896"/>
    <w:rsid w:val="00884D58"/>
    <w:rsid w:val="008A1611"/>
    <w:rsid w:val="008A25FE"/>
    <w:rsid w:val="008A700F"/>
    <w:rsid w:val="008B0A30"/>
    <w:rsid w:val="008B2E8D"/>
    <w:rsid w:val="008B61DB"/>
    <w:rsid w:val="008C13F2"/>
    <w:rsid w:val="008C1825"/>
    <w:rsid w:val="008C226F"/>
    <w:rsid w:val="008C7E99"/>
    <w:rsid w:val="008D3112"/>
    <w:rsid w:val="008D34F5"/>
    <w:rsid w:val="008E04F0"/>
    <w:rsid w:val="008E1DDE"/>
    <w:rsid w:val="008F1611"/>
    <w:rsid w:val="008F2713"/>
    <w:rsid w:val="008F4F1A"/>
    <w:rsid w:val="008F72AB"/>
    <w:rsid w:val="009110A8"/>
    <w:rsid w:val="0091284C"/>
    <w:rsid w:val="009147D4"/>
    <w:rsid w:val="00917B53"/>
    <w:rsid w:val="0092373E"/>
    <w:rsid w:val="00935A78"/>
    <w:rsid w:val="00945F0A"/>
    <w:rsid w:val="00946AEF"/>
    <w:rsid w:val="00950978"/>
    <w:rsid w:val="009632D2"/>
    <w:rsid w:val="00967B10"/>
    <w:rsid w:val="00976EFA"/>
    <w:rsid w:val="009806E9"/>
    <w:rsid w:val="00991DF3"/>
    <w:rsid w:val="00995218"/>
    <w:rsid w:val="00996A0C"/>
    <w:rsid w:val="009A197A"/>
    <w:rsid w:val="009A471A"/>
    <w:rsid w:val="009B0164"/>
    <w:rsid w:val="009B0E57"/>
    <w:rsid w:val="009B2F14"/>
    <w:rsid w:val="009C0350"/>
    <w:rsid w:val="009C2FB7"/>
    <w:rsid w:val="009C4E65"/>
    <w:rsid w:val="009C6A6D"/>
    <w:rsid w:val="009D13C9"/>
    <w:rsid w:val="009D420F"/>
    <w:rsid w:val="009E0D48"/>
    <w:rsid w:val="009E21F9"/>
    <w:rsid w:val="009F7409"/>
    <w:rsid w:val="009F7C95"/>
    <w:rsid w:val="00A01F34"/>
    <w:rsid w:val="00A06BB7"/>
    <w:rsid w:val="00A118A6"/>
    <w:rsid w:val="00A160C2"/>
    <w:rsid w:val="00A16840"/>
    <w:rsid w:val="00A235C1"/>
    <w:rsid w:val="00A25388"/>
    <w:rsid w:val="00A30D44"/>
    <w:rsid w:val="00A41505"/>
    <w:rsid w:val="00A544B0"/>
    <w:rsid w:val="00A63685"/>
    <w:rsid w:val="00A64B9C"/>
    <w:rsid w:val="00A668F5"/>
    <w:rsid w:val="00A72025"/>
    <w:rsid w:val="00A740B3"/>
    <w:rsid w:val="00A74C60"/>
    <w:rsid w:val="00A828C0"/>
    <w:rsid w:val="00A82B2B"/>
    <w:rsid w:val="00A8462C"/>
    <w:rsid w:val="00A9176F"/>
    <w:rsid w:val="00A9303D"/>
    <w:rsid w:val="00A937C3"/>
    <w:rsid w:val="00A94568"/>
    <w:rsid w:val="00A950E3"/>
    <w:rsid w:val="00A974B4"/>
    <w:rsid w:val="00AA0ABE"/>
    <w:rsid w:val="00AA2CAE"/>
    <w:rsid w:val="00AB0D32"/>
    <w:rsid w:val="00AB3C06"/>
    <w:rsid w:val="00AE7C37"/>
    <w:rsid w:val="00AF0D82"/>
    <w:rsid w:val="00AF2E26"/>
    <w:rsid w:val="00AF3513"/>
    <w:rsid w:val="00AF656A"/>
    <w:rsid w:val="00B00896"/>
    <w:rsid w:val="00B053EF"/>
    <w:rsid w:val="00B100DD"/>
    <w:rsid w:val="00B119E4"/>
    <w:rsid w:val="00B20B75"/>
    <w:rsid w:val="00B20BB0"/>
    <w:rsid w:val="00B2244A"/>
    <w:rsid w:val="00B233D9"/>
    <w:rsid w:val="00B30AB0"/>
    <w:rsid w:val="00B32BE0"/>
    <w:rsid w:val="00B32C9A"/>
    <w:rsid w:val="00B36B96"/>
    <w:rsid w:val="00B43FDD"/>
    <w:rsid w:val="00B52C04"/>
    <w:rsid w:val="00B53562"/>
    <w:rsid w:val="00B5614D"/>
    <w:rsid w:val="00B60801"/>
    <w:rsid w:val="00B734FD"/>
    <w:rsid w:val="00B81716"/>
    <w:rsid w:val="00B81FC0"/>
    <w:rsid w:val="00B87E27"/>
    <w:rsid w:val="00B90AC7"/>
    <w:rsid w:val="00B9305D"/>
    <w:rsid w:val="00BA5536"/>
    <w:rsid w:val="00BA64ED"/>
    <w:rsid w:val="00BB3AAA"/>
    <w:rsid w:val="00BC02F2"/>
    <w:rsid w:val="00BE1FC3"/>
    <w:rsid w:val="00BE746E"/>
    <w:rsid w:val="00BF027F"/>
    <w:rsid w:val="00BF06EC"/>
    <w:rsid w:val="00BF1A66"/>
    <w:rsid w:val="00BF457D"/>
    <w:rsid w:val="00BF6558"/>
    <w:rsid w:val="00BF68B1"/>
    <w:rsid w:val="00C0159D"/>
    <w:rsid w:val="00C02E86"/>
    <w:rsid w:val="00C11E32"/>
    <w:rsid w:val="00C203A3"/>
    <w:rsid w:val="00C20AE7"/>
    <w:rsid w:val="00C21DFD"/>
    <w:rsid w:val="00C22DA8"/>
    <w:rsid w:val="00C279A3"/>
    <w:rsid w:val="00C27A4F"/>
    <w:rsid w:val="00C330CD"/>
    <w:rsid w:val="00C33814"/>
    <w:rsid w:val="00C40F69"/>
    <w:rsid w:val="00C41703"/>
    <w:rsid w:val="00C426E3"/>
    <w:rsid w:val="00C52FDC"/>
    <w:rsid w:val="00C54F72"/>
    <w:rsid w:val="00C566DB"/>
    <w:rsid w:val="00C57212"/>
    <w:rsid w:val="00C6252A"/>
    <w:rsid w:val="00C62E45"/>
    <w:rsid w:val="00C67366"/>
    <w:rsid w:val="00C730B4"/>
    <w:rsid w:val="00C762ED"/>
    <w:rsid w:val="00C80144"/>
    <w:rsid w:val="00C84E66"/>
    <w:rsid w:val="00C96396"/>
    <w:rsid w:val="00C96E87"/>
    <w:rsid w:val="00CA03FE"/>
    <w:rsid w:val="00CA4528"/>
    <w:rsid w:val="00CB6A7D"/>
    <w:rsid w:val="00CC21C9"/>
    <w:rsid w:val="00CC4201"/>
    <w:rsid w:val="00CD2E64"/>
    <w:rsid w:val="00CD664C"/>
    <w:rsid w:val="00CD70A0"/>
    <w:rsid w:val="00CE04EE"/>
    <w:rsid w:val="00CF2370"/>
    <w:rsid w:val="00CF2922"/>
    <w:rsid w:val="00CF320F"/>
    <w:rsid w:val="00CF3C93"/>
    <w:rsid w:val="00CF40F8"/>
    <w:rsid w:val="00CF437A"/>
    <w:rsid w:val="00CF7234"/>
    <w:rsid w:val="00D0008E"/>
    <w:rsid w:val="00D01145"/>
    <w:rsid w:val="00D029B6"/>
    <w:rsid w:val="00D03815"/>
    <w:rsid w:val="00D37495"/>
    <w:rsid w:val="00D41FCB"/>
    <w:rsid w:val="00D477CD"/>
    <w:rsid w:val="00D55302"/>
    <w:rsid w:val="00D60ADB"/>
    <w:rsid w:val="00D611F2"/>
    <w:rsid w:val="00D67551"/>
    <w:rsid w:val="00D71D5F"/>
    <w:rsid w:val="00D7362B"/>
    <w:rsid w:val="00D73EFF"/>
    <w:rsid w:val="00D752ED"/>
    <w:rsid w:val="00D75A64"/>
    <w:rsid w:val="00D77370"/>
    <w:rsid w:val="00D83649"/>
    <w:rsid w:val="00D85ACB"/>
    <w:rsid w:val="00D91CB3"/>
    <w:rsid w:val="00D97B3F"/>
    <w:rsid w:val="00DA0002"/>
    <w:rsid w:val="00DA111E"/>
    <w:rsid w:val="00DA4BCE"/>
    <w:rsid w:val="00DA5331"/>
    <w:rsid w:val="00DA5580"/>
    <w:rsid w:val="00DA6AF3"/>
    <w:rsid w:val="00DB49E4"/>
    <w:rsid w:val="00DB6842"/>
    <w:rsid w:val="00DB793E"/>
    <w:rsid w:val="00DC1857"/>
    <w:rsid w:val="00DE15FA"/>
    <w:rsid w:val="00DE5EAA"/>
    <w:rsid w:val="00DE5F61"/>
    <w:rsid w:val="00DE603F"/>
    <w:rsid w:val="00DF4DB9"/>
    <w:rsid w:val="00E11E78"/>
    <w:rsid w:val="00E14F6D"/>
    <w:rsid w:val="00E17AE9"/>
    <w:rsid w:val="00E21F2B"/>
    <w:rsid w:val="00E2535C"/>
    <w:rsid w:val="00E25722"/>
    <w:rsid w:val="00E530A8"/>
    <w:rsid w:val="00E53820"/>
    <w:rsid w:val="00E54A70"/>
    <w:rsid w:val="00E66D90"/>
    <w:rsid w:val="00E7070B"/>
    <w:rsid w:val="00E70DD1"/>
    <w:rsid w:val="00E70E10"/>
    <w:rsid w:val="00E7463B"/>
    <w:rsid w:val="00E75DD6"/>
    <w:rsid w:val="00E82F7B"/>
    <w:rsid w:val="00E83FCE"/>
    <w:rsid w:val="00E85F79"/>
    <w:rsid w:val="00EB3105"/>
    <w:rsid w:val="00EB50A0"/>
    <w:rsid w:val="00EC0E12"/>
    <w:rsid w:val="00EC4E4C"/>
    <w:rsid w:val="00EC7522"/>
    <w:rsid w:val="00EF104A"/>
    <w:rsid w:val="00EF20A2"/>
    <w:rsid w:val="00F018BC"/>
    <w:rsid w:val="00F05C6A"/>
    <w:rsid w:val="00F07089"/>
    <w:rsid w:val="00F1179B"/>
    <w:rsid w:val="00F17987"/>
    <w:rsid w:val="00F22FCE"/>
    <w:rsid w:val="00F249CA"/>
    <w:rsid w:val="00F30318"/>
    <w:rsid w:val="00F348FE"/>
    <w:rsid w:val="00F34F63"/>
    <w:rsid w:val="00F371B7"/>
    <w:rsid w:val="00F41D39"/>
    <w:rsid w:val="00F57E67"/>
    <w:rsid w:val="00F64708"/>
    <w:rsid w:val="00F64A92"/>
    <w:rsid w:val="00F77D9E"/>
    <w:rsid w:val="00F77F91"/>
    <w:rsid w:val="00F95DFD"/>
    <w:rsid w:val="00F96247"/>
    <w:rsid w:val="00F96977"/>
    <w:rsid w:val="00F97EE5"/>
    <w:rsid w:val="00FA0B44"/>
    <w:rsid w:val="00FA3E30"/>
    <w:rsid w:val="00FB34B8"/>
    <w:rsid w:val="00FB5AF1"/>
    <w:rsid w:val="00FC11B1"/>
    <w:rsid w:val="00FC32E0"/>
    <w:rsid w:val="00FD197A"/>
    <w:rsid w:val="00FD44C3"/>
    <w:rsid w:val="00FD6D38"/>
    <w:rsid w:val="00FF3009"/>
    <w:rsid w:val="00FF6082"/>
    <w:rsid w:val="00FF60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617E1C"/>
  <w15:docId w15:val="{FB7ADF0B-0D62-4DDB-AA8C-06A6C125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0204"/>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D0008E"/>
    <w:pPr>
      <w:spacing w:line="240" w:lineRule="atLeast"/>
      <w:jc w:val="center"/>
    </w:pPr>
  </w:style>
  <w:style w:type="paragraph" w:customStyle="1" w:styleId="TxBrp2">
    <w:name w:val="TxBr_p2"/>
    <w:basedOn w:val="Normal"/>
    <w:rsid w:val="00D0008E"/>
    <w:pPr>
      <w:tabs>
        <w:tab w:val="left" w:pos="708"/>
      </w:tabs>
      <w:spacing w:line="283" w:lineRule="atLeast"/>
      <w:ind w:left="407" w:hanging="708"/>
    </w:pPr>
  </w:style>
  <w:style w:type="paragraph" w:customStyle="1" w:styleId="TxBrp3">
    <w:name w:val="TxBr_p3"/>
    <w:basedOn w:val="Normal"/>
    <w:rsid w:val="00D0008E"/>
    <w:pPr>
      <w:spacing w:line="283" w:lineRule="atLeast"/>
      <w:ind w:left="407" w:hanging="708"/>
    </w:pPr>
  </w:style>
  <w:style w:type="paragraph" w:customStyle="1" w:styleId="TxBrp4">
    <w:name w:val="TxBr_p4"/>
    <w:basedOn w:val="Normal"/>
    <w:rsid w:val="00D0008E"/>
    <w:pPr>
      <w:spacing w:line="283" w:lineRule="atLeast"/>
      <w:ind w:left="407"/>
    </w:pPr>
  </w:style>
  <w:style w:type="paragraph" w:customStyle="1" w:styleId="TxBrp5">
    <w:name w:val="TxBr_p5"/>
    <w:basedOn w:val="Normal"/>
    <w:rsid w:val="00D0008E"/>
    <w:pPr>
      <w:tabs>
        <w:tab w:val="left" w:pos="204"/>
      </w:tabs>
      <w:spacing w:line="240" w:lineRule="atLeast"/>
    </w:pPr>
  </w:style>
  <w:style w:type="paragraph" w:customStyle="1" w:styleId="TxBrt6">
    <w:name w:val="TxBr_t6"/>
    <w:basedOn w:val="Normal"/>
    <w:rsid w:val="00D0008E"/>
    <w:pPr>
      <w:spacing w:line="578" w:lineRule="atLeast"/>
    </w:pPr>
  </w:style>
  <w:style w:type="paragraph" w:customStyle="1" w:styleId="TxBrp7">
    <w:name w:val="TxBr_p7"/>
    <w:basedOn w:val="Normal"/>
    <w:rsid w:val="00D0008E"/>
    <w:pPr>
      <w:tabs>
        <w:tab w:val="left" w:pos="731"/>
      </w:tabs>
      <w:spacing w:line="240" w:lineRule="atLeast"/>
      <w:ind w:left="384"/>
    </w:pPr>
  </w:style>
  <w:style w:type="paragraph" w:customStyle="1" w:styleId="TxBrp8">
    <w:name w:val="TxBr_p8"/>
    <w:basedOn w:val="Normal"/>
    <w:rsid w:val="00D0008E"/>
    <w:pPr>
      <w:tabs>
        <w:tab w:val="left" w:pos="708"/>
      </w:tabs>
      <w:spacing w:line="419" w:lineRule="atLeast"/>
      <w:ind w:left="407" w:hanging="708"/>
    </w:pPr>
  </w:style>
  <w:style w:type="paragraph" w:customStyle="1" w:styleId="TxBrp9">
    <w:name w:val="TxBr_p9"/>
    <w:basedOn w:val="Normal"/>
    <w:rsid w:val="00D0008E"/>
    <w:pPr>
      <w:tabs>
        <w:tab w:val="left" w:pos="1434"/>
      </w:tabs>
      <w:spacing w:line="240" w:lineRule="atLeast"/>
      <w:ind w:left="1435" w:hanging="726"/>
    </w:pPr>
  </w:style>
  <w:style w:type="paragraph" w:customStyle="1" w:styleId="TxBrc10">
    <w:name w:val="TxBr_c10"/>
    <w:basedOn w:val="Normal"/>
    <w:rsid w:val="00D0008E"/>
    <w:pPr>
      <w:spacing w:line="240" w:lineRule="atLeast"/>
      <w:jc w:val="center"/>
    </w:pPr>
  </w:style>
  <w:style w:type="paragraph" w:customStyle="1" w:styleId="TxBrp11">
    <w:name w:val="TxBr_p11"/>
    <w:basedOn w:val="Normal"/>
    <w:rsid w:val="00D0008E"/>
    <w:pPr>
      <w:tabs>
        <w:tab w:val="left" w:pos="1434"/>
        <w:tab w:val="left" w:pos="1791"/>
      </w:tabs>
      <w:spacing w:line="283" w:lineRule="atLeast"/>
      <w:ind w:left="1792" w:hanging="357"/>
    </w:pPr>
  </w:style>
  <w:style w:type="paragraph" w:customStyle="1" w:styleId="TxBrp12">
    <w:name w:val="TxBr_p12"/>
    <w:basedOn w:val="Normal"/>
    <w:rsid w:val="00D0008E"/>
    <w:pPr>
      <w:tabs>
        <w:tab w:val="left" w:pos="1791"/>
      </w:tabs>
      <w:spacing w:line="240" w:lineRule="atLeast"/>
      <w:ind w:left="676"/>
    </w:pPr>
  </w:style>
  <w:style w:type="paragraph" w:customStyle="1" w:styleId="TxBrp13">
    <w:name w:val="TxBr_p13"/>
    <w:basedOn w:val="Normal"/>
    <w:rsid w:val="00D0008E"/>
    <w:pPr>
      <w:tabs>
        <w:tab w:val="left" w:pos="204"/>
      </w:tabs>
      <w:spacing w:line="240" w:lineRule="atLeast"/>
    </w:pPr>
  </w:style>
  <w:style w:type="paragraph" w:customStyle="1" w:styleId="TxBrc14">
    <w:name w:val="TxBr_c14"/>
    <w:basedOn w:val="Normal"/>
    <w:rsid w:val="00D0008E"/>
    <w:pPr>
      <w:spacing w:line="240" w:lineRule="atLeast"/>
      <w:jc w:val="center"/>
    </w:pPr>
  </w:style>
  <w:style w:type="paragraph" w:customStyle="1" w:styleId="TxBrp15">
    <w:name w:val="TxBr_p15"/>
    <w:basedOn w:val="Normal"/>
    <w:rsid w:val="00D0008E"/>
    <w:pPr>
      <w:tabs>
        <w:tab w:val="left" w:pos="685"/>
      </w:tabs>
      <w:spacing w:line="240" w:lineRule="atLeast"/>
      <w:ind w:left="430"/>
    </w:pPr>
  </w:style>
  <w:style w:type="paragraph" w:customStyle="1" w:styleId="TxBrp16">
    <w:name w:val="TxBr_p16"/>
    <w:basedOn w:val="Normal"/>
    <w:rsid w:val="00D0008E"/>
    <w:pPr>
      <w:tabs>
        <w:tab w:val="left" w:pos="884"/>
      </w:tabs>
      <w:spacing w:line="277" w:lineRule="atLeast"/>
      <w:ind w:left="231"/>
    </w:pPr>
  </w:style>
  <w:style w:type="paragraph" w:customStyle="1" w:styleId="TxBrp17">
    <w:name w:val="TxBr_p17"/>
    <w:basedOn w:val="Normal"/>
    <w:rsid w:val="00D0008E"/>
    <w:pPr>
      <w:tabs>
        <w:tab w:val="left" w:pos="294"/>
      </w:tabs>
      <w:spacing w:line="283" w:lineRule="atLeast"/>
      <w:ind w:left="821" w:hanging="294"/>
    </w:pPr>
  </w:style>
  <w:style w:type="paragraph" w:customStyle="1" w:styleId="TxBrp18">
    <w:name w:val="TxBr_p18"/>
    <w:basedOn w:val="Normal"/>
    <w:rsid w:val="00D0008E"/>
    <w:pPr>
      <w:tabs>
        <w:tab w:val="left" w:pos="1502"/>
      </w:tabs>
      <w:spacing w:line="277" w:lineRule="atLeast"/>
      <w:ind w:left="387" w:hanging="1502"/>
    </w:pPr>
  </w:style>
  <w:style w:type="paragraph" w:customStyle="1" w:styleId="TxBrp19">
    <w:name w:val="TxBr_p19"/>
    <w:basedOn w:val="Normal"/>
    <w:rsid w:val="00D0008E"/>
    <w:pPr>
      <w:spacing w:line="277" w:lineRule="atLeast"/>
    </w:pPr>
  </w:style>
  <w:style w:type="paragraph" w:customStyle="1" w:styleId="TxBrp20">
    <w:name w:val="TxBr_p20"/>
    <w:basedOn w:val="Normal"/>
    <w:rsid w:val="00D0008E"/>
    <w:pPr>
      <w:tabs>
        <w:tab w:val="left" w:pos="3781"/>
      </w:tabs>
      <w:spacing w:line="240" w:lineRule="atLeast"/>
      <w:ind w:left="2666"/>
    </w:pPr>
  </w:style>
  <w:style w:type="paragraph" w:customStyle="1" w:styleId="TxBrc21">
    <w:name w:val="TxBr_c21"/>
    <w:basedOn w:val="Normal"/>
    <w:rsid w:val="00D0008E"/>
    <w:pPr>
      <w:spacing w:line="240" w:lineRule="atLeast"/>
      <w:jc w:val="center"/>
    </w:pPr>
  </w:style>
  <w:style w:type="paragraph" w:customStyle="1" w:styleId="TxBrc22">
    <w:name w:val="TxBr_c22"/>
    <w:basedOn w:val="Normal"/>
    <w:rsid w:val="00D0008E"/>
    <w:pPr>
      <w:spacing w:line="240" w:lineRule="atLeast"/>
      <w:jc w:val="center"/>
    </w:pPr>
  </w:style>
  <w:style w:type="paragraph" w:customStyle="1" w:styleId="TxBrc23">
    <w:name w:val="TxBr_c23"/>
    <w:basedOn w:val="Normal"/>
    <w:rsid w:val="00D0008E"/>
    <w:pPr>
      <w:spacing w:line="240" w:lineRule="atLeast"/>
      <w:jc w:val="center"/>
    </w:pPr>
  </w:style>
  <w:style w:type="paragraph" w:customStyle="1" w:styleId="TxBrc24">
    <w:name w:val="TxBr_c24"/>
    <w:basedOn w:val="Normal"/>
    <w:rsid w:val="00D0008E"/>
    <w:pPr>
      <w:spacing w:line="240" w:lineRule="atLeast"/>
      <w:jc w:val="center"/>
    </w:pPr>
  </w:style>
  <w:style w:type="paragraph" w:customStyle="1" w:styleId="TxBrp25">
    <w:name w:val="TxBr_p25"/>
    <w:basedOn w:val="Normal"/>
    <w:rsid w:val="00D0008E"/>
    <w:pPr>
      <w:tabs>
        <w:tab w:val="left" w:pos="204"/>
      </w:tabs>
      <w:spacing w:line="240" w:lineRule="atLeast"/>
    </w:pPr>
  </w:style>
  <w:style w:type="paragraph" w:customStyle="1" w:styleId="TxBrc26">
    <w:name w:val="TxBr_c26"/>
    <w:basedOn w:val="Normal"/>
    <w:rsid w:val="00D0008E"/>
    <w:pPr>
      <w:spacing w:line="240" w:lineRule="atLeast"/>
      <w:jc w:val="center"/>
    </w:pPr>
  </w:style>
  <w:style w:type="paragraph" w:customStyle="1" w:styleId="TxBrc27">
    <w:name w:val="TxBr_c27"/>
    <w:basedOn w:val="Normal"/>
    <w:rsid w:val="00D0008E"/>
    <w:pPr>
      <w:spacing w:line="240" w:lineRule="atLeast"/>
      <w:jc w:val="center"/>
    </w:pPr>
  </w:style>
  <w:style w:type="paragraph" w:customStyle="1" w:styleId="TxBrc7">
    <w:name w:val="TxBr_c7"/>
    <w:basedOn w:val="Normal"/>
    <w:rsid w:val="00D0008E"/>
    <w:pPr>
      <w:spacing w:line="240" w:lineRule="atLeast"/>
      <w:jc w:val="center"/>
    </w:pPr>
  </w:style>
  <w:style w:type="paragraph" w:customStyle="1" w:styleId="TxBrt10">
    <w:name w:val="TxBr_t10"/>
    <w:basedOn w:val="Normal"/>
    <w:rsid w:val="00D0008E"/>
    <w:pPr>
      <w:spacing w:line="566" w:lineRule="atLeast"/>
    </w:pPr>
  </w:style>
  <w:style w:type="paragraph" w:styleId="BodyTextIndent">
    <w:name w:val="Body Text Indent"/>
    <w:basedOn w:val="Normal"/>
    <w:rsid w:val="00D0008E"/>
    <w:pPr>
      <w:tabs>
        <w:tab w:val="left" w:pos="708"/>
        <w:tab w:val="left" w:pos="1428"/>
      </w:tabs>
      <w:ind w:left="708"/>
    </w:pPr>
  </w:style>
  <w:style w:type="paragraph" w:styleId="BodyTextIndent2">
    <w:name w:val="Body Text Indent 2"/>
    <w:basedOn w:val="Normal"/>
    <w:rsid w:val="000E6F48"/>
    <w:pPr>
      <w:spacing w:after="120" w:line="480" w:lineRule="auto"/>
      <w:ind w:left="360"/>
    </w:pPr>
  </w:style>
  <w:style w:type="paragraph" w:styleId="Footer">
    <w:name w:val="footer"/>
    <w:basedOn w:val="Normal"/>
    <w:rsid w:val="000A3796"/>
    <w:pPr>
      <w:tabs>
        <w:tab w:val="center" w:pos="4320"/>
        <w:tab w:val="right" w:pos="8640"/>
      </w:tabs>
    </w:pPr>
  </w:style>
  <w:style w:type="character" w:styleId="PageNumber">
    <w:name w:val="page number"/>
    <w:basedOn w:val="DefaultParagraphFont"/>
    <w:rsid w:val="000A3796"/>
  </w:style>
  <w:style w:type="paragraph" w:styleId="Header">
    <w:name w:val="header"/>
    <w:basedOn w:val="Normal"/>
    <w:rsid w:val="000A3796"/>
    <w:pPr>
      <w:tabs>
        <w:tab w:val="center" w:pos="4320"/>
        <w:tab w:val="right" w:pos="8640"/>
      </w:tabs>
    </w:pPr>
  </w:style>
  <w:style w:type="paragraph" w:styleId="BalloonText">
    <w:name w:val="Balloon Text"/>
    <w:basedOn w:val="Normal"/>
    <w:semiHidden/>
    <w:rsid w:val="003747F0"/>
    <w:rPr>
      <w:rFonts w:ascii="Tahoma" w:hAnsi="Tahoma" w:cs="Tahoma"/>
      <w:sz w:val="16"/>
      <w:szCs w:val="16"/>
    </w:rPr>
  </w:style>
  <w:style w:type="paragraph" w:styleId="DocumentMap">
    <w:name w:val="Document Map"/>
    <w:basedOn w:val="Normal"/>
    <w:semiHidden/>
    <w:rsid w:val="00AE7C37"/>
    <w:pPr>
      <w:shd w:val="clear" w:color="auto" w:fill="000080"/>
    </w:pPr>
    <w:rPr>
      <w:rFonts w:ascii="Tahoma" w:hAnsi="Tahoma" w:cs="Tahoma"/>
      <w:sz w:val="20"/>
      <w:szCs w:val="20"/>
    </w:rPr>
  </w:style>
  <w:style w:type="character" w:styleId="Hyperlink">
    <w:name w:val="Hyperlink"/>
    <w:uiPriority w:val="99"/>
    <w:rsid w:val="00D029B6"/>
    <w:rPr>
      <w:color w:val="0000FF"/>
      <w:u w:val="single"/>
    </w:rPr>
  </w:style>
  <w:style w:type="character" w:styleId="FollowedHyperlink">
    <w:name w:val="FollowedHyperlink"/>
    <w:rsid w:val="00167A50"/>
    <w:rPr>
      <w:color w:val="800080"/>
      <w:u w:val="single"/>
    </w:rPr>
  </w:style>
  <w:style w:type="character" w:styleId="CommentReference">
    <w:name w:val="annotation reference"/>
    <w:rsid w:val="003D4165"/>
    <w:rPr>
      <w:sz w:val="16"/>
      <w:szCs w:val="16"/>
    </w:rPr>
  </w:style>
  <w:style w:type="paragraph" w:styleId="CommentText">
    <w:name w:val="annotation text"/>
    <w:basedOn w:val="Normal"/>
    <w:link w:val="CommentTextChar"/>
    <w:rsid w:val="003D4165"/>
    <w:rPr>
      <w:sz w:val="20"/>
      <w:szCs w:val="20"/>
    </w:rPr>
  </w:style>
  <w:style w:type="character" w:customStyle="1" w:styleId="CommentTextChar">
    <w:name w:val="Comment Text Char"/>
    <w:basedOn w:val="DefaultParagraphFont"/>
    <w:link w:val="CommentText"/>
    <w:rsid w:val="003D4165"/>
  </w:style>
  <w:style w:type="paragraph" w:styleId="CommentSubject">
    <w:name w:val="annotation subject"/>
    <w:basedOn w:val="CommentText"/>
    <w:next w:val="CommentText"/>
    <w:link w:val="CommentSubjectChar"/>
    <w:rsid w:val="003D4165"/>
    <w:rPr>
      <w:b/>
      <w:bCs/>
    </w:rPr>
  </w:style>
  <w:style w:type="character" w:customStyle="1" w:styleId="CommentSubjectChar">
    <w:name w:val="Comment Subject Char"/>
    <w:link w:val="CommentSubject"/>
    <w:rsid w:val="003D4165"/>
    <w:rPr>
      <w:b/>
      <w:bCs/>
    </w:rPr>
  </w:style>
  <w:style w:type="table" w:styleId="TableGrid">
    <w:name w:val="Table Grid"/>
    <w:basedOn w:val="TableNormal"/>
    <w:rsid w:val="00BE746E"/>
    <w:pPr>
      <w:numPr>
        <w:numId w:val="11"/>
      </w:numPr>
      <w:tabs>
        <w:tab w:val="clear" w:pos="1440"/>
      </w:tabs>
      <w:autoSpaceDE w:val="0"/>
      <w:autoSpaceDN w:val="0"/>
      <w:adjustRightInd w:val="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96A"/>
    <w:rPr>
      <w:sz w:val="24"/>
      <w:szCs w:val="24"/>
    </w:rPr>
  </w:style>
  <w:style w:type="character" w:styleId="UnresolvedMention">
    <w:name w:val="Unresolved Mention"/>
    <w:basedOn w:val="DefaultParagraphFont"/>
    <w:uiPriority w:val="99"/>
    <w:semiHidden/>
    <w:unhideWhenUsed/>
    <w:rsid w:val="000A6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999200.htm" TargetMode="External" /><Relationship Id="rId6" Type="http://schemas.openxmlformats.org/officeDocument/2006/relationships/hyperlink" Target="http://www.bls.gov/news.release/pdf/ecec.pdf" TargetMode="External" /><Relationship Id="rId7" Type="http://schemas.openxmlformats.org/officeDocument/2006/relationships/hyperlink" Target="https://www.opm.gov/policy-data-oversight/pay-leave/salaries-wages/salary-tables/pdf/2025/RUS.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D860-5097-4B50-AD7B-98346732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3635</Words>
  <Characters>20285</Characters>
  <Application>Microsoft Office Word</Application>
  <DocSecurity>0</DocSecurity>
  <Lines>533</Lines>
  <Paragraphs>172</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Department Of Interior</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Office of Surface Mining</dc:creator>
  <cp:lastModifiedBy>Frankel, William L</cp:lastModifiedBy>
  <cp:revision>94</cp:revision>
  <cp:lastPrinted>2018-05-31T14:25:00Z</cp:lastPrinted>
  <dcterms:created xsi:type="dcterms:W3CDTF">2025-06-18T15:44:00Z</dcterms:created>
  <dcterms:modified xsi:type="dcterms:W3CDTF">2025-07-23T20:41:00Z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1c83e97a-707b-41d9-b878-0b6bcec4e3ef</vt:lpwstr>
  </property>
</Properties>
</file>