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0C077E97">
      <w:pPr>
        <w:widowControl/>
        <w:tabs>
          <w:tab w:val="left" w:pos="720"/>
        </w:tabs>
        <w:ind w:left="720" w:hanging="1440"/>
        <w:jc w:val="center"/>
        <w:rPr>
          <w:rFonts w:ascii="Times New Roman" w:hAnsi="Times New Roman"/>
          <w:b/>
          <w:bCs/>
        </w:rPr>
      </w:pPr>
    </w:p>
    <w:p w:rsidR="00E71D83" w:rsidP="00116CD5" w14:paraId="003BE602"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E86973" w:rsidRPr="00871CA6" w:rsidP="00E86973" w14:paraId="60089450" w14:textId="79C53D80">
      <w:pPr>
        <w:widowControl/>
        <w:jc w:val="center"/>
        <w:rPr>
          <w:rFonts w:ascii="Times New Roman" w:hAnsi="Times New Roman"/>
          <w:b/>
          <w:bCs/>
        </w:rPr>
      </w:pPr>
      <w:r>
        <w:rPr>
          <w:rFonts w:ascii="Times New Roman" w:hAnsi="Times New Roman"/>
          <w:b/>
          <w:bCs/>
        </w:rPr>
        <w:t>EQUITABLE SHARING AGREEMENT AND CERTIFICATION</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3969AF" w:rsidRPr="003969AF" w:rsidP="0096615D" w14:paraId="34DA8E5F" w14:textId="30E8BAF8">
      <w:pPr>
        <w:widowControl/>
        <w:numPr>
          <w:ilvl w:val="1"/>
          <w:numId w:val="16"/>
        </w:numPr>
        <w:tabs>
          <w:tab w:val="clear" w:pos="1440"/>
        </w:tabs>
        <w:autoSpaceDE/>
        <w:autoSpaceDN/>
        <w:adjustRightInd/>
        <w:ind w:left="360"/>
        <w:rPr>
          <w:rFonts w:ascii="Times New Roman" w:hAnsi="Times New Roman"/>
        </w:rPr>
      </w:pPr>
      <w:r w:rsidRPr="003969AF">
        <w:rPr>
          <w:rFonts w:ascii="Times New Roman" w:hAnsi="Times New Roman"/>
        </w:rPr>
        <w:t xml:space="preserve">Federal law authorizes the Attorney General to share federally forfeited property with participating state and local law enforcement agencies.  The exercise of this authority is discretionary.  The Attorney General is required by statute to “assure that any property transferred to a State or local law enforcement agency . . . will serve to encourage further cooperation between the recipient State or local agency and Federal law enforcement agencies.”  21 U.S.C. § 881(e)(3).  The Money Laundering and Asset Recovery Section (MLARS) ensures such cooperation by requiring that all such “equitably shared” funds be used only for law enforcement purposes and not be distributed to other governmental agencies by the recipient law enforcement agencies.  By requiring that law enforcement agencies participating in the Equitable Sharing Program (Program) file an Equitable Sharing Agreement and Certification (ESAC) form, MLARS ensures reporting and guideline compliance as set forth in the </w:t>
      </w:r>
      <w:r w:rsidRPr="003969AF">
        <w:rPr>
          <w:rFonts w:ascii="Times New Roman" w:hAnsi="Times New Roman"/>
          <w:i/>
        </w:rPr>
        <w:t>Guide to Equitable Sharing for State, Local, and Tribal Law Enforcement</w:t>
      </w:r>
      <w:r w:rsidRPr="003969AF">
        <w:rPr>
          <w:rFonts w:ascii="Times New Roman" w:hAnsi="Times New Roman"/>
        </w:rPr>
        <w:t xml:space="preserve"> (</w:t>
      </w:r>
      <w:r w:rsidR="0096615D">
        <w:rPr>
          <w:rFonts w:ascii="Times New Roman" w:hAnsi="Times New Roman"/>
        </w:rPr>
        <w:t>March 2024</w:t>
      </w:r>
      <w:r w:rsidRPr="003969AF">
        <w:rPr>
          <w:rFonts w:ascii="Times New Roman" w:hAnsi="Times New Roman"/>
        </w:rPr>
        <w:t>).  The ESAC also contains information regarding Department of the Treasury (Treasury) equitable sharing funds.  Data collected on the ESAC is shared with Treasury to ensure Treasury is compliant with its statutory obligations.</w:t>
      </w:r>
    </w:p>
    <w:p w:rsidR="0096615D" w:rsidP="00690F56" w14:paraId="664FC9B4" w14:textId="77777777">
      <w:pPr>
        <w:widowControl/>
        <w:rPr>
          <w:rFonts w:ascii="Times New Roman" w:hAnsi="Times New Roman"/>
          <w:b/>
          <w:bCs/>
        </w:rPr>
      </w:pPr>
    </w:p>
    <w:p w:rsidR="0096615D" w:rsidRPr="0096615D" w:rsidP="0096615D" w14:paraId="0B8F51E4" w14:textId="74F4B061">
      <w:pPr>
        <w:widowControl/>
        <w:numPr>
          <w:ilvl w:val="1"/>
          <w:numId w:val="16"/>
        </w:numPr>
        <w:tabs>
          <w:tab w:val="num" w:pos="1080"/>
          <w:tab w:val="clear" w:pos="1440"/>
        </w:tabs>
        <w:autoSpaceDE/>
        <w:autoSpaceDN/>
        <w:adjustRightInd/>
        <w:ind w:left="360"/>
        <w:rPr>
          <w:rFonts w:ascii="Times New Roman" w:hAnsi="Times New Roman"/>
        </w:rPr>
      </w:pPr>
      <w:r w:rsidRPr="0096615D">
        <w:rPr>
          <w:rFonts w:ascii="Times New Roman" w:hAnsi="Times New Roman"/>
          <w:b/>
          <w:bCs/>
        </w:rPr>
        <w:t xml:space="preserve"> </w:t>
      </w:r>
      <w:r w:rsidRPr="0096615D">
        <w:rPr>
          <w:rFonts w:ascii="Times New Roman" w:hAnsi="Times New Roman"/>
        </w:rPr>
        <w:t>MLARS uses the records to track compliance with the requirements of the Program.  Periodically, the DOJ Office of Inspector General will request copies of submissions to assist in the completion of its duties as well.</w:t>
      </w:r>
    </w:p>
    <w:p w:rsidR="00690F56" w:rsidRPr="00802A30" w:rsidP="0096615D" w14:paraId="6EBE63D5" w14:textId="471C3816">
      <w:pPr>
        <w:widowControl/>
        <w:tabs>
          <w:tab w:val="num" w:pos="1080"/>
        </w:tabs>
        <w:rPr>
          <w:rFonts w:ascii="Times New Roman" w:hAnsi="Times New Roman"/>
        </w:rPr>
      </w:pPr>
    </w:p>
    <w:p w:rsidR="00802A30" w:rsidRPr="00A47DA7" w:rsidP="0096615D" w14:paraId="34E41BA0" w14:textId="77777777">
      <w:pPr>
        <w:widowControl/>
        <w:tabs>
          <w:tab w:val="num" w:pos="1080"/>
        </w:tabs>
        <w:ind w:left="360"/>
        <w:rPr>
          <w:rFonts w:ascii="Times New Roman" w:hAnsi="Times New Roman"/>
          <w:u w:val="single"/>
        </w:rPr>
      </w:pPr>
    </w:p>
    <w:p w:rsidR="0096615D" w:rsidP="0096615D" w14:paraId="19BDFC78" w14:textId="3E1C35F0">
      <w:pPr>
        <w:widowControl/>
        <w:numPr>
          <w:ilvl w:val="1"/>
          <w:numId w:val="16"/>
        </w:numPr>
        <w:tabs>
          <w:tab w:val="num" w:pos="1080"/>
          <w:tab w:val="clear" w:pos="1440"/>
        </w:tabs>
        <w:autoSpaceDE/>
        <w:autoSpaceDN/>
        <w:adjustRightInd/>
        <w:ind w:left="360"/>
        <w:rPr>
          <w:rFonts w:ascii="Times New Roman" w:hAnsi="Times New Roman"/>
        </w:rPr>
      </w:pPr>
      <w:r w:rsidRPr="00D110B3">
        <w:rPr>
          <w:rFonts w:ascii="Times New Roman" w:hAnsi="Times New Roman"/>
        </w:rPr>
        <w:t xml:space="preserve">The current data collection is completed by the participating agencies via a secure, online portal.  This portal permits agencies to login and submit the ESAC form and attest to the required certifications directly in the system. </w:t>
      </w:r>
    </w:p>
    <w:p w:rsidR="00F31223" w:rsidP="00F31223" w14:paraId="490D4D1B" w14:textId="77777777">
      <w:pPr>
        <w:widowControl/>
        <w:autoSpaceDE/>
        <w:autoSpaceDN/>
        <w:adjustRightInd/>
        <w:rPr>
          <w:rFonts w:ascii="Times New Roman" w:hAnsi="Times New Roman"/>
        </w:rPr>
      </w:pP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6615D" w:rsidRPr="0096615D" w:rsidP="0096615D" w14:paraId="305BEB60" w14:textId="73849FAD">
      <w:pPr>
        <w:pStyle w:val="ListParagraph"/>
        <w:widowControl/>
        <w:numPr>
          <w:ilvl w:val="1"/>
          <w:numId w:val="16"/>
        </w:numPr>
        <w:tabs>
          <w:tab w:val="clear" w:pos="1440"/>
        </w:tabs>
        <w:autoSpaceDE/>
        <w:autoSpaceDN/>
        <w:adjustRightInd/>
        <w:ind w:left="360"/>
        <w:rPr>
          <w:rFonts w:ascii="Times New Roman" w:hAnsi="Times New Roman"/>
        </w:rPr>
      </w:pPr>
      <w:r w:rsidRPr="0096615D">
        <w:rPr>
          <w:rFonts w:ascii="Times New Roman" w:hAnsi="Times New Roman"/>
        </w:rPr>
        <w:t>The ESAC requires information regarding the receipt and expenditure of Program funds from the participating agency.  Accordingly, it seeks information that is exclusively in the hands of the participating agency and no similar information is available.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RPr="00B67629" w:rsidP="00B67629" w14:paraId="7B476245" w14:textId="227CCB2C">
      <w:pPr>
        <w:pStyle w:val="ListParagraph"/>
        <w:widowControl/>
        <w:numPr>
          <w:ilvl w:val="1"/>
          <w:numId w:val="16"/>
        </w:numPr>
        <w:tabs>
          <w:tab w:val="left" w:pos="-360"/>
          <w:tab w:val="left" w:pos="0"/>
          <w:tab w:val="left" w:pos="360"/>
          <w:tab w:val="num" w:pos="1080"/>
          <w:tab w:val="clear" w:pos="14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r w:rsidRPr="00B67629">
        <w:rPr>
          <w:rFonts w:ascii="Times New Roman" w:hAnsi="Times New Roman"/>
        </w:rPr>
        <w:t>There is no significant impact on small business or other private entities.</w:t>
      </w:r>
    </w:p>
    <w:p w:rsidR="005622FE" w:rsidRPr="00B67629" w:rsidP="00B67629" w14:paraId="6F57386F" w14:textId="77777777">
      <w:pPr>
        <w:widowControl/>
        <w:tabs>
          <w:tab w:val="left" w:pos="-360"/>
          <w:tab w:val="left" w:pos="0"/>
          <w:tab w:val="left" w:pos="360"/>
          <w:tab w:val="num"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p>
    <w:p w:rsidR="00B67629" w:rsidRPr="00B67629" w:rsidP="00B67629" w14:paraId="2CA713AE" w14:textId="65386E4F">
      <w:pPr>
        <w:pStyle w:val="ListParagraph"/>
        <w:widowControl/>
        <w:numPr>
          <w:ilvl w:val="1"/>
          <w:numId w:val="16"/>
        </w:numPr>
        <w:tabs>
          <w:tab w:val="num" w:pos="1080"/>
          <w:tab w:val="clear" w:pos="1440"/>
        </w:tabs>
        <w:autoSpaceDE/>
        <w:autoSpaceDN/>
        <w:adjustRightInd/>
        <w:ind w:left="360"/>
        <w:rPr>
          <w:rFonts w:ascii="Times New Roman" w:hAnsi="Times New Roman"/>
        </w:rPr>
      </w:pPr>
      <w:r w:rsidRPr="00B67629">
        <w:rPr>
          <w:rFonts w:ascii="Times New Roman" w:hAnsi="Times New Roman"/>
        </w:rPr>
        <w:t>Less frequent collection of this information would make identifying misuse of Program funds more difficult and would make correction of such errors more expensive.</w:t>
      </w:r>
    </w:p>
    <w:p w:rsidR="00690F56" w:rsidP="00690F56" w14:paraId="5F528885" w14:textId="20AABC0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CD6779" w:rsidP="00CD6779" w14:paraId="4498B60F" w14:textId="4E9DE057">
      <w:pPr>
        <w:pStyle w:val="ListParagraph"/>
        <w:widowControl/>
        <w:numPr>
          <w:ilvl w:val="1"/>
          <w:numId w:val="16"/>
        </w:numPr>
        <w:tabs>
          <w:tab w:val="left" w:pos="-360"/>
          <w:tab w:val="left" w:pos="0"/>
          <w:tab w:val="left" w:pos="360"/>
          <w:tab w:val="left" w:pos="540"/>
          <w:tab w:val="num" w:pos="1260"/>
          <w:tab w:val="clear" w:pos="14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r w:rsidRPr="00CD6779">
        <w:rPr>
          <w:rFonts w:ascii="Times New Roman" w:hAnsi="Times New Roman"/>
        </w:rPr>
        <w:t>There are no special circumstances</w:t>
      </w:r>
      <w:r w:rsidRPr="00CD6779" w:rsidR="003E15A0">
        <w:rPr>
          <w:rFonts w:ascii="Times New Roman" w:hAnsi="Times New Roman"/>
        </w:rPr>
        <w:t>.</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6779" w:rsidRPr="00CD6779" w:rsidP="00CD6779" w14:paraId="3EF5AB78" w14:textId="2E7C7860">
      <w:pPr>
        <w:pStyle w:val="ListParagraph"/>
        <w:widowControl/>
        <w:numPr>
          <w:ilvl w:val="1"/>
          <w:numId w:val="16"/>
        </w:numPr>
        <w:tabs>
          <w:tab w:val="num" w:pos="1080"/>
          <w:tab w:val="clear" w:pos="1440"/>
        </w:tabs>
        <w:autoSpaceDE/>
        <w:autoSpaceDN/>
        <w:adjustRightInd/>
        <w:ind w:left="360"/>
        <w:rPr>
          <w:rFonts w:ascii="Times New Roman" w:hAnsi="Times New Roman"/>
        </w:rPr>
      </w:pPr>
      <w:r w:rsidRPr="00CD6779">
        <w:rPr>
          <w:rFonts w:ascii="Times New Roman" w:hAnsi="Times New Roman"/>
        </w:rPr>
        <w:t>60 day</w:t>
      </w:r>
      <w:r w:rsidRPr="00CD6779">
        <w:rPr>
          <w:rFonts w:ascii="Times New Roman" w:hAnsi="Times New Roman"/>
        </w:rPr>
        <w:t xml:space="preserve"> notice was published in the Federal Register on page XXX on XXX, and the 30 day notice was published on page XXX on XXX.  No comments were received.</w:t>
      </w:r>
    </w:p>
    <w:p w:rsidR="00CD6779" w:rsidRPr="00CD6779" w:rsidP="00CD6779" w14:paraId="71BFF0E9" w14:textId="77777777">
      <w:pPr>
        <w:pStyle w:val="ListParagraph"/>
        <w:rPr>
          <w:rFonts w:ascii="Times New Roman" w:hAnsi="Times New Roman"/>
        </w:rPr>
      </w:pPr>
    </w:p>
    <w:p w:rsidR="00CD6779" w:rsidRPr="00CD6779" w:rsidP="00CD6779" w14:paraId="6B89FE12" w14:textId="77777777">
      <w:pPr>
        <w:ind w:left="360"/>
        <w:rPr>
          <w:rFonts w:ascii="Times New Roman" w:hAnsi="Times New Roman"/>
        </w:rPr>
      </w:pPr>
      <w:r w:rsidRPr="00CD6779">
        <w:rPr>
          <w:rFonts w:ascii="Times New Roman" w:hAnsi="Times New Roman"/>
        </w:rPr>
        <w:t xml:space="preserve">MLARS routinely attends law enforcement conferences and regularly gives presentations about equitable sharing.  These conferences present an opportunity to discuss, both formally and informally, the collection of this information.   </w:t>
      </w:r>
    </w:p>
    <w:p w:rsidR="00DA7DC9" w:rsidRPr="00A47DA7" w:rsidP="0060114B" w14:paraId="0C933CDF" w14:textId="77777777">
      <w:pPr>
        <w:widowControl/>
        <w:autoSpaceDE/>
        <w:autoSpaceDN/>
        <w:adjustRightInd/>
        <w:rPr>
          <w:rFonts w:ascii="Times New Roman" w:eastAsia="Calibri" w:hAnsi="Times New Roman"/>
        </w:rPr>
      </w:pPr>
    </w:p>
    <w:p w:rsidR="00262716" w:rsidRPr="00CD6779" w:rsidP="00CD6779" w14:paraId="47C3F7E4" w14:textId="6527837C">
      <w:pPr>
        <w:pStyle w:val="ListParagraph"/>
        <w:widowControl/>
        <w:numPr>
          <w:ilvl w:val="1"/>
          <w:numId w:val="16"/>
        </w:numPr>
        <w:tabs>
          <w:tab w:val="left" w:pos="-360"/>
          <w:tab w:val="left" w:pos="0"/>
          <w:tab w:val="left" w:pos="360"/>
          <w:tab w:val="left" w:pos="540"/>
          <w:tab w:val="num" w:pos="1260"/>
          <w:tab w:val="clear" w:pos="14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
          <w:bCs/>
        </w:rPr>
      </w:pPr>
      <w:r w:rsidRPr="00CD6779">
        <w:rPr>
          <w:rFonts w:ascii="Times New Roman" w:hAnsi="Times New Roman"/>
        </w:rPr>
        <w:t>No government funds will be used as payment or for gifts to respondents</w:t>
      </w:r>
      <w:r w:rsidRPr="00CD6779">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28D9" w:rsidP="00BF525D" w14:paraId="306AC335" w14:textId="04F98E91">
      <w:pPr>
        <w:pStyle w:val="ListParagraph"/>
        <w:widowControl/>
        <w:numPr>
          <w:ilvl w:val="1"/>
          <w:numId w:val="16"/>
        </w:numPr>
        <w:tabs>
          <w:tab w:val="left" w:pos="-360"/>
          <w:tab w:val="left" w:pos="0"/>
          <w:tab w:val="left" w:pos="360"/>
          <w:tab w:val="left" w:pos="540"/>
          <w:tab w:val="num" w:pos="1170"/>
          <w:tab w:val="clear" w:pos="1440"/>
          <w:tab w:val="left" w:pos="180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ind w:left="360"/>
        <w:rPr>
          <w:rFonts w:ascii="Times New Roman" w:hAnsi="Times New Roman"/>
        </w:rPr>
      </w:pPr>
      <w:r w:rsidRPr="00517A56">
        <w:rPr>
          <w:rFonts w:ascii="Times New Roman" w:hAnsi="Times New Roman"/>
        </w:rPr>
        <w:t>No assurance of confidentiality is provided to the respondents.  These records are available to the public</w:t>
      </w:r>
      <w:r w:rsidRPr="00517A56" w:rsidR="00087EEF">
        <w:rPr>
          <w:rFonts w:ascii="Times New Roman" w:hAnsi="Times New Roman"/>
        </w:rPr>
        <w:t xml:space="preserve"> at </w:t>
      </w:r>
      <w:hyperlink r:id="rId8" w:history="1">
        <w:r w:rsidRPr="00517A56" w:rsidR="00087EEF">
          <w:rPr>
            <w:rStyle w:val="Hyperlink"/>
            <w:rFonts w:ascii="Times New Roman" w:hAnsi="Times New Roman"/>
          </w:rPr>
          <w:t>https://www.justice.gov/afp/freedom-information-act-foia</w:t>
        </w:r>
      </w:hyperlink>
      <w:r w:rsidRPr="00517A56" w:rsidR="00087EEF">
        <w:rPr>
          <w:rFonts w:ascii="Times New Roman" w:hAnsi="Times New Roman"/>
        </w:rPr>
        <w:t>. The website provides ESAC data</w:t>
      </w:r>
      <w:r w:rsidRPr="00517A56" w:rsidR="00517A56">
        <w:rPr>
          <w:rFonts w:ascii="Times New Roman" w:hAnsi="Times New Roman"/>
        </w:rPr>
        <w:t xml:space="preserve"> as well as descriptive information which explains what data </w:t>
      </w:r>
      <w:r w:rsidR="00517A56">
        <w:rPr>
          <w:rFonts w:ascii="Times New Roman" w:hAnsi="Times New Roman"/>
        </w:rPr>
        <w:t>fields are</w:t>
      </w:r>
      <w:r w:rsidRPr="00517A56" w:rsidR="00517A56">
        <w:rPr>
          <w:rFonts w:ascii="Times New Roman" w:hAnsi="Times New Roman"/>
        </w:rPr>
        <w:t xml:space="preserve"> provided and what data </w:t>
      </w:r>
      <w:r w:rsidR="00517A56">
        <w:rPr>
          <w:rFonts w:ascii="Times New Roman" w:hAnsi="Times New Roman"/>
        </w:rPr>
        <w:t>fields are</w:t>
      </w:r>
      <w:r w:rsidRPr="00517A56" w:rsidR="00517A56">
        <w:rPr>
          <w:rFonts w:ascii="Times New Roman" w:hAnsi="Times New Roman"/>
        </w:rPr>
        <w:t xml:space="preserve"> redacted to protect PII. </w:t>
      </w:r>
    </w:p>
    <w:p w:rsidR="00517A56" w:rsidRPr="00517A56" w:rsidP="00517A56" w14:paraId="14025039" w14:textId="77777777">
      <w:pPr>
        <w:pStyle w:val="ListParagraph"/>
        <w:rPr>
          <w:rFonts w:ascii="Times New Roman" w:hAnsi="Times New Roman"/>
        </w:rPr>
      </w:pPr>
    </w:p>
    <w:p w:rsidR="00517A56" w:rsidRPr="00517A56" w:rsidP="00517A56" w14:paraId="61ABB9C3" w14:textId="77777777">
      <w:pPr>
        <w:pStyle w:val="ListParagraph"/>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ind w:left="360"/>
        <w:rPr>
          <w:rFonts w:ascii="Times New Roman" w:hAnsi="Times New Roman"/>
        </w:rPr>
      </w:pPr>
    </w:p>
    <w:p w:rsidR="00690F56" w:rsidRPr="00CD6779" w:rsidP="00CD6779" w14:paraId="3F71900A" w14:textId="6AC035CB">
      <w:pPr>
        <w:pStyle w:val="ListParagraph"/>
        <w:widowControl/>
        <w:numPr>
          <w:ilvl w:val="1"/>
          <w:numId w:val="16"/>
        </w:numPr>
        <w:tabs>
          <w:tab w:val="left" w:pos="-360"/>
          <w:tab w:val="left" w:pos="0"/>
          <w:tab w:val="left" w:pos="360"/>
          <w:tab w:val="left" w:pos="540"/>
          <w:tab w:val="num" w:pos="1350"/>
          <w:tab w:val="clear" w:pos="14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r w:rsidRPr="00CD6779">
        <w:rPr>
          <w:rFonts w:ascii="Times New Roman" w:hAnsi="Times New Roman"/>
        </w:rPr>
        <w:t>No records of a sensitive nature are maintained.</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203D9" w:rsidRPr="00D80D06" w:rsidP="00D203D9" w14:paraId="73A858A8" w14:textId="14C1A505">
      <w:pPr>
        <w:pStyle w:val="ListParagraph"/>
        <w:widowControl/>
        <w:numPr>
          <w:ilvl w:val="1"/>
          <w:numId w:val="16"/>
        </w:numPr>
        <w:tabs>
          <w:tab w:val="left" w:pos="450"/>
          <w:tab w:val="left" w:pos="1350"/>
          <w:tab w:val="clear" w:pos="1440"/>
        </w:tabs>
        <w:autoSpaceDE/>
        <w:autoSpaceDN/>
        <w:adjustRightInd/>
        <w:ind w:left="360"/>
      </w:pPr>
      <w:r w:rsidRPr="00D203D9">
        <w:rPr>
          <w:rFonts w:ascii="Times New Roman" w:hAnsi="Times New Roman"/>
        </w:rPr>
        <w:t>There are approximately 6,000 respondents for this information collection. The respondent will respond one time annually.  The total number of responses is 6,</w:t>
      </w:r>
      <w:r>
        <w:rPr>
          <w:rFonts w:ascii="Times New Roman" w:hAnsi="Times New Roman"/>
        </w:rPr>
        <w:t>000</w:t>
      </w:r>
      <w:r w:rsidRPr="00D203D9">
        <w:rPr>
          <w:rFonts w:ascii="Times New Roman" w:hAnsi="Times New Roman"/>
        </w:rPr>
        <w:t>.  It is estimated that it take</w:t>
      </w:r>
      <w:r w:rsidR="00712EA3">
        <w:rPr>
          <w:rFonts w:ascii="Times New Roman" w:hAnsi="Times New Roman"/>
        </w:rPr>
        <w:t>s</w:t>
      </w:r>
      <w:r w:rsidRPr="00D203D9">
        <w:rPr>
          <w:rFonts w:ascii="Times New Roman" w:hAnsi="Times New Roman"/>
        </w:rPr>
        <w:t xml:space="preserve"> 30 minutes per year to enter the information.  The total burden associated with this collection is 3,</w:t>
      </w:r>
      <w:r>
        <w:rPr>
          <w:rFonts w:ascii="Times New Roman" w:hAnsi="Times New Roman"/>
        </w:rPr>
        <w:t>000</w:t>
      </w:r>
      <w:r w:rsidRPr="00D203D9">
        <w:rPr>
          <w:rFonts w:ascii="Times New Roman" w:hAnsi="Times New Roman"/>
        </w:rPr>
        <w:t xml:space="preserve"> hours.</w:t>
      </w:r>
    </w:p>
    <w:p w:rsidR="00690F56" w:rsidRPr="00D53DEB" w:rsidP="00690F56" w14:paraId="39124B7D" w14:textId="1C5E153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10460" w:type="dxa"/>
        <w:tblLook w:val="04A0"/>
      </w:tblPr>
      <w:tblGrid>
        <w:gridCol w:w="1830"/>
        <w:gridCol w:w="1415"/>
        <w:gridCol w:w="1219"/>
        <w:gridCol w:w="1182"/>
        <w:gridCol w:w="1097"/>
        <w:gridCol w:w="950"/>
        <w:gridCol w:w="1438"/>
        <w:gridCol w:w="1329"/>
      </w:tblGrid>
      <w:tr w14:paraId="4AA59B92" w14:textId="77777777" w:rsidTr="00C0069F">
        <w:tblPrEx>
          <w:tblW w:w="10460" w:type="dxa"/>
          <w:tblLook w:val="04A0"/>
        </w:tblPrEx>
        <w:tc>
          <w:tcPr>
            <w:tcW w:w="1830" w:type="dxa"/>
            <w:shd w:val="clear" w:color="auto" w:fill="ADB9CA" w:themeFill="text2" w:themeFillTint="66"/>
          </w:tcPr>
          <w:p w:rsidR="003908B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3908B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3908B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3908B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3908B9"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3908B9"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1438" w:type="dxa"/>
            <w:shd w:val="clear" w:color="auto" w:fill="ADB9CA" w:themeFill="text2" w:themeFillTint="66"/>
          </w:tcPr>
          <w:p w:rsidR="003908B9" w:rsidRPr="008F47CB" w:rsidP="008C6A87" w14:paraId="66A83D48" w14:textId="77777777">
            <w:pPr>
              <w:rPr>
                <w:rFonts w:ascii="Times New Roman" w:hAnsi="Times New Roman"/>
                <w:b/>
                <w:sz w:val="22"/>
                <w:szCs w:val="22"/>
              </w:rPr>
            </w:pPr>
            <w:r w:rsidRPr="008F47CB">
              <w:rPr>
                <w:rFonts w:ascii="Times New Roman" w:hAnsi="Times New Roman"/>
                <w:b/>
                <w:sz w:val="22"/>
                <w:szCs w:val="22"/>
              </w:rPr>
              <w:t>Hourly Rate</w:t>
            </w:r>
            <w:r>
              <w:rPr>
                <w:rFonts w:ascii="Times New Roman" w:hAnsi="Times New Roman"/>
                <w:b/>
                <w:sz w:val="22"/>
                <w:szCs w:val="22"/>
              </w:rPr>
              <w:t>*</w:t>
            </w:r>
          </w:p>
        </w:tc>
        <w:tc>
          <w:tcPr>
            <w:tcW w:w="1329" w:type="dxa"/>
            <w:shd w:val="clear" w:color="auto" w:fill="ADB9CA" w:themeFill="text2" w:themeFillTint="66"/>
          </w:tcPr>
          <w:p w:rsidR="003908B9" w:rsidRPr="008F47CB" w:rsidP="008C6A87"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C0069F">
        <w:tblPrEx>
          <w:tblW w:w="10460" w:type="dxa"/>
          <w:tblLook w:val="04A0"/>
        </w:tblPrEx>
        <w:tc>
          <w:tcPr>
            <w:tcW w:w="1830" w:type="dxa"/>
            <w:vAlign w:val="bottom"/>
          </w:tcPr>
          <w:p w:rsidR="003908B9" w:rsidRPr="008F47CB" w:rsidP="008C6A87" w14:paraId="4E4E0FA6" w14:textId="6E225916">
            <w:pPr>
              <w:jc w:val="right"/>
              <w:rPr>
                <w:rFonts w:ascii="Times New Roman" w:hAnsi="Times New Roman"/>
                <w:sz w:val="22"/>
                <w:szCs w:val="22"/>
              </w:rPr>
            </w:pPr>
            <w:r>
              <w:rPr>
                <w:rFonts w:ascii="Times New Roman" w:hAnsi="Times New Roman"/>
                <w:sz w:val="22"/>
                <w:szCs w:val="22"/>
              </w:rPr>
              <w:t>Name of collection instrument</w:t>
            </w:r>
            <w:r w:rsidR="00D203D9">
              <w:rPr>
                <w:rFonts w:ascii="Times New Roman" w:hAnsi="Times New Roman"/>
                <w:sz w:val="22"/>
                <w:szCs w:val="22"/>
              </w:rPr>
              <w:t>: ESAC</w:t>
            </w:r>
          </w:p>
        </w:tc>
        <w:tc>
          <w:tcPr>
            <w:tcW w:w="1415" w:type="dxa"/>
            <w:vAlign w:val="bottom"/>
          </w:tcPr>
          <w:p w:rsidR="003908B9" w:rsidRPr="008F47CB" w:rsidP="008C6A87" w14:paraId="23BB2474" w14:textId="2C2BB2FF">
            <w:pPr>
              <w:jc w:val="right"/>
              <w:rPr>
                <w:rFonts w:ascii="Times New Roman" w:hAnsi="Times New Roman"/>
                <w:sz w:val="22"/>
                <w:szCs w:val="22"/>
              </w:rPr>
            </w:pPr>
            <w:r>
              <w:rPr>
                <w:rFonts w:ascii="Times New Roman" w:hAnsi="Times New Roman"/>
                <w:sz w:val="22"/>
                <w:szCs w:val="22"/>
              </w:rPr>
              <w:t>6,000</w:t>
            </w:r>
          </w:p>
        </w:tc>
        <w:tc>
          <w:tcPr>
            <w:tcW w:w="1219" w:type="dxa"/>
            <w:vAlign w:val="bottom"/>
          </w:tcPr>
          <w:p w:rsidR="003908B9" w:rsidRPr="008F47CB" w:rsidP="008C6A87" w14:paraId="5D72451D" w14:textId="2626FAFD">
            <w:pPr>
              <w:jc w:val="right"/>
              <w:rPr>
                <w:rFonts w:ascii="Times New Roman" w:hAnsi="Times New Roman"/>
                <w:sz w:val="22"/>
                <w:szCs w:val="22"/>
              </w:rPr>
            </w:pPr>
            <w:r>
              <w:rPr>
                <w:rFonts w:ascii="Times New Roman" w:hAnsi="Times New Roman"/>
                <w:sz w:val="22"/>
                <w:szCs w:val="22"/>
              </w:rPr>
              <w:t>1</w:t>
            </w:r>
          </w:p>
        </w:tc>
        <w:tc>
          <w:tcPr>
            <w:tcW w:w="1182" w:type="dxa"/>
            <w:vAlign w:val="bottom"/>
          </w:tcPr>
          <w:p w:rsidR="003908B9" w:rsidRPr="008F47CB" w:rsidP="008C6A87" w14:paraId="03D2549D" w14:textId="7D5787C3">
            <w:pPr>
              <w:jc w:val="right"/>
              <w:rPr>
                <w:rFonts w:ascii="Times New Roman" w:hAnsi="Times New Roman"/>
                <w:sz w:val="22"/>
                <w:szCs w:val="22"/>
              </w:rPr>
            </w:pPr>
            <w:r>
              <w:rPr>
                <w:rFonts w:ascii="Times New Roman" w:hAnsi="Times New Roman"/>
                <w:sz w:val="22"/>
                <w:szCs w:val="22"/>
              </w:rPr>
              <w:t>6,000</w:t>
            </w:r>
          </w:p>
        </w:tc>
        <w:tc>
          <w:tcPr>
            <w:tcW w:w="1097" w:type="dxa"/>
            <w:vAlign w:val="bottom"/>
          </w:tcPr>
          <w:p w:rsidR="003908B9" w:rsidRPr="008F47CB" w:rsidP="008C6A87" w14:paraId="3704ADCE" w14:textId="4784757C">
            <w:pPr>
              <w:jc w:val="right"/>
              <w:rPr>
                <w:rFonts w:ascii="Times New Roman" w:hAnsi="Times New Roman"/>
                <w:sz w:val="22"/>
                <w:szCs w:val="22"/>
              </w:rPr>
            </w:pPr>
            <w:r>
              <w:rPr>
                <w:rFonts w:ascii="Times New Roman" w:hAnsi="Times New Roman"/>
                <w:sz w:val="22"/>
                <w:szCs w:val="22"/>
              </w:rPr>
              <w:t xml:space="preserve">30 </w:t>
            </w:r>
            <w:r w:rsidR="000114C0">
              <w:rPr>
                <w:rFonts w:ascii="Times New Roman" w:hAnsi="Times New Roman"/>
                <w:sz w:val="22"/>
                <w:szCs w:val="22"/>
              </w:rPr>
              <w:t>min</w:t>
            </w:r>
          </w:p>
        </w:tc>
        <w:tc>
          <w:tcPr>
            <w:tcW w:w="950" w:type="dxa"/>
            <w:vAlign w:val="bottom"/>
          </w:tcPr>
          <w:p w:rsidR="003908B9" w:rsidRPr="008F47CB" w:rsidP="008C6A87" w14:paraId="498C761A" w14:textId="022C7DA8">
            <w:pPr>
              <w:jc w:val="right"/>
              <w:rPr>
                <w:rFonts w:ascii="Times New Roman" w:hAnsi="Times New Roman"/>
                <w:sz w:val="22"/>
                <w:szCs w:val="22"/>
              </w:rPr>
            </w:pPr>
            <w:r>
              <w:rPr>
                <w:rFonts w:ascii="Times New Roman" w:hAnsi="Times New Roman"/>
                <w:sz w:val="22"/>
                <w:szCs w:val="22"/>
              </w:rPr>
              <w:t>3,000</w:t>
            </w:r>
            <w:r w:rsidR="00C04C0E">
              <w:rPr>
                <w:rFonts w:ascii="Times New Roman" w:hAnsi="Times New Roman"/>
                <w:sz w:val="22"/>
                <w:szCs w:val="22"/>
              </w:rPr>
              <w:t xml:space="preserve"> hrs.</w:t>
            </w:r>
          </w:p>
        </w:tc>
        <w:tc>
          <w:tcPr>
            <w:tcW w:w="1438" w:type="dxa"/>
            <w:vAlign w:val="bottom"/>
          </w:tcPr>
          <w:p w:rsidR="003908B9" w:rsidRPr="008F47CB" w:rsidP="008C6A87" w14:paraId="2C9B9B1D" w14:textId="3C996C18">
            <w:pPr>
              <w:jc w:val="right"/>
              <w:rPr>
                <w:rFonts w:ascii="Times New Roman" w:hAnsi="Times New Roman"/>
                <w:sz w:val="22"/>
                <w:szCs w:val="22"/>
              </w:rPr>
            </w:pPr>
            <w:r>
              <w:rPr>
                <w:rFonts w:ascii="Times New Roman" w:hAnsi="Times New Roman"/>
                <w:sz w:val="22"/>
                <w:szCs w:val="22"/>
              </w:rPr>
              <w:t>N/A</w:t>
            </w:r>
          </w:p>
        </w:tc>
        <w:tc>
          <w:tcPr>
            <w:tcW w:w="1329" w:type="dxa"/>
            <w:vAlign w:val="bottom"/>
          </w:tcPr>
          <w:p w:rsidR="003908B9" w:rsidRPr="008F47CB" w:rsidP="008C6A87" w14:paraId="689A6EF1" w14:textId="1CD746BF">
            <w:pPr>
              <w:jc w:val="right"/>
              <w:rPr>
                <w:rFonts w:ascii="Times New Roman" w:hAnsi="Times New Roman"/>
                <w:sz w:val="22"/>
                <w:szCs w:val="22"/>
              </w:rPr>
            </w:pPr>
            <w:r>
              <w:rPr>
                <w:rFonts w:ascii="Times New Roman" w:hAnsi="Times New Roman"/>
                <w:sz w:val="22"/>
                <w:szCs w:val="22"/>
              </w:rPr>
              <w:t>N/A</w:t>
            </w:r>
          </w:p>
        </w:tc>
      </w:tr>
      <w:tr w14:paraId="7117E8A9" w14:textId="77777777" w:rsidTr="00C0069F">
        <w:tblPrEx>
          <w:tblW w:w="10460" w:type="dxa"/>
          <w:tblLook w:val="04A0"/>
        </w:tblPrEx>
        <w:tc>
          <w:tcPr>
            <w:tcW w:w="1830" w:type="dxa"/>
            <w:vAlign w:val="bottom"/>
          </w:tcPr>
          <w:p w:rsidR="003908B9" w:rsidRPr="008F47CB" w:rsidP="008C6A87" w14:paraId="7B495C05" w14:textId="1E5C0B79">
            <w:pPr>
              <w:jc w:val="right"/>
              <w:rPr>
                <w:rFonts w:ascii="Times New Roman" w:hAnsi="Times New Roman"/>
                <w:sz w:val="22"/>
                <w:szCs w:val="22"/>
              </w:rPr>
            </w:pPr>
          </w:p>
        </w:tc>
        <w:tc>
          <w:tcPr>
            <w:tcW w:w="1415" w:type="dxa"/>
            <w:vAlign w:val="bottom"/>
          </w:tcPr>
          <w:p w:rsidR="003908B9" w:rsidRPr="008F47CB" w:rsidP="008C6A87" w14:paraId="485C3037" w14:textId="77777777">
            <w:pPr>
              <w:jc w:val="right"/>
              <w:rPr>
                <w:rFonts w:ascii="Times New Roman" w:hAnsi="Times New Roman"/>
                <w:sz w:val="22"/>
                <w:szCs w:val="22"/>
              </w:rPr>
            </w:pPr>
          </w:p>
        </w:tc>
        <w:tc>
          <w:tcPr>
            <w:tcW w:w="1219" w:type="dxa"/>
            <w:vAlign w:val="bottom"/>
          </w:tcPr>
          <w:p w:rsidR="003908B9" w:rsidRPr="008F47CB" w:rsidP="008C6A87" w14:paraId="13B28653" w14:textId="77777777">
            <w:pPr>
              <w:jc w:val="right"/>
              <w:rPr>
                <w:rFonts w:ascii="Times New Roman" w:hAnsi="Times New Roman"/>
                <w:sz w:val="22"/>
                <w:szCs w:val="22"/>
              </w:rPr>
            </w:pPr>
          </w:p>
        </w:tc>
        <w:tc>
          <w:tcPr>
            <w:tcW w:w="1182" w:type="dxa"/>
            <w:vAlign w:val="bottom"/>
          </w:tcPr>
          <w:p w:rsidR="003908B9" w:rsidRPr="008F47CB" w:rsidP="008C6A87" w14:paraId="42D7D78C" w14:textId="77777777">
            <w:pPr>
              <w:jc w:val="right"/>
              <w:rPr>
                <w:rFonts w:ascii="Times New Roman" w:hAnsi="Times New Roman"/>
                <w:sz w:val="22"/>
                <w:szCs w:val="22"/>
              </w:rPr>
            </w:pPr>
          </w:p>
        </w:tc>
        <w:tc>
          <w:tcPr>
            <w:tcW w:w="1097" w:type="dxa"/>
            <w:vAlign w:val="bottom"/>
          </w:tcPr>
          <w:p w:rsidR="003908B9" w:rsidRPr="008F47CB" w:rsidP="008C6A87" w14:paraId="6D74F4F1" w14:textId="77777777">
            <w:pPr>
              <w:jc w:val="right"/>
              <w:rPr>
                <w:rFonts w:ascii="Times New Roman" w:hAnsi="Times New Roman"/>
                <w:sz w:val="22"/>
                <w:szCs w:val="22"/>
              </w:rPr>
            </w:pPr>
          </w:p>
        </w:tc>
        <w:tc>
          <w:tcPr>
            <w:tcW w:w="950" w:type="dxa"/>
            <w:vAlign w:val="bottom"/>
          </w:tcPr>
          <w:p w:rsidR="003908B9" w:rsidRPr="008F47CB" w:rsidP="008C6A87" w14:paraId="3AE5AEA6" w14:textId="77777777">
            <w:pPr>
              <w:jc w:val="right"/>
              <w:rPr>
                <w:rFonts w:ascii="Times New Roman" w:hAnsi="Times New Roman"/>
                <w:sz w:val="22"/>
                <w:szCs w:val="22"/>
              </w:rPr>
            </w:pPr>
          </w:p>
        </w:tc>
        <w:tc>
          <w:tcPr>
            <w:tcW w:w="1438" w:type="dxa"/>
            <w:vAlign w:val="bottom"/>
          </w:tcPr>
          <w:p w:rsidR="003908B9" w:rsidRPr="008F47CB" w:rsidP="008C6A87" w14:paraId="1869DBC4" w14:textId="77777777">
            <w:pPr>
              <w:jc w:val="right"/>
              <w:rPr>
                <w:rFonts w:ascii="Times New Roman" w:hAnsi="Times New Roman"/>
                <w:sz w:val="22"/>
                <w:szCs w:val="22"/>
              </w:rPr>
            </w:pPr>
          </w:p>
        </w:tc>
        <w:tc>
          <w:tcPr>
            <w:tcW w:w="1329" w:type="dxa"/>
            <w:vAlign w:val="bottom"/>
          </w:tcPr>
          <w:p w:rsidR="003908B9" w:rsidRPr="008F47CB" w:rsidP="008C6A87" w14:paraId="3020B04B" w14:textId="77777777">
            <w:pPr>
              <w:jc w:val="right"/>
              <w:rPr>
                <w:rFonts w:ascii="Times New Roman" w:hAnsi="Times New Roman"/>
                <w:sz w:val="22"/>
                <w:szCs w:val="22"/>
              </w:rPr>
            </w:pPr>
          </w:p>
        </w:tc>
      </w:tr>
      <w:tr w14:paraId="578B68EB" w14:textId="77777777" w:rsidTr="00C0069F">
        <w:tblPrEx>
          <w:tblW w:w="10460" w:type="dxa"/>
          <w:tblLook w:val="04A0"/>
        </w:tblPrEx>
        <w:tc>
          <w:tcPr>
            <w:tcW w:w="1830" w:type="dxa"/>
          </w:tcPr>
          <w:p w:rsidR="00501A15"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501A15" w:rsidRPr="008F47CB" w:rsidP="00501A15" w14:paraId="32AB6B8A" w14:textId="15AF6B5C">
            <w:pPr>
              <w:jc w:val="right"/>
              <w:rPr>
                <w:rFonts w:ascii="Times New Roman" w:hAnsi="Times New Roman"/>
                <w:b/>
                <w:i/>
                <w:sz w:val="22"/>
                <w:szCs w:val="22"/>
              </w:rPr>
            </w:pPr>
            <w:r>
              <w:rPr>
                <w:rFonts w:ascii="Times New Roman" w:hAnsi="Times New Roman"/>
                <w:b/>
                <w:i/>
                <w:sz w:val="22"/>
                <w:szCs w:val="22"/>
              </w:rPr>
              <w:t>6,000</w:t>
            </w:r>
          </w:p>
        </w:tc>
        <w:tc>
          <w:tcPr>
            <w:tcW w:w="1219" w:type="dxa"/>
            <w:vAlign w:val="bottom"/>
          </w:tcPr>
          <w:p w:rsidR="00501A15" w:rsidRPr="008F47CB" w:rsidP="00627B1F" w14:paraId="75495CB4" w14:textId="05B6633F">
            <w:pPr>
              <w:jc w:val="center"/>
              <w:rPr>
                <w:rFonts w:ascii="Times New Roman" w:hAnsi="Times New Roman"/>
                <w:b/>
                <w:i/>
                <w:sz w:val="22"/>
                <w:szCs w:val="22"/>
              </w:rPr>
            </w:pPr>
            <w:r>
              <w:rPr>
                <w:rFonts w:ascii="Times New Roman" w:hAnsi="Times New Roman"/>
                <w:b/>
                <w:i/>
                <w:sz w:val="22"/>
                <w:szCs w:val="22"/>
              </w:rPr>
              <w:t>1</w:t>
            </w:r>
          </w:p>
        </w:tc>
        <w:tc>
          <w:tcPr>
            <w:tcW w:w="1182" w:type="dxa"/>
            <w:vAlign w:val="bottom"/>
          </w:tcPr>
          <w:p w:rsidR="00501A15" w:rsidRPr="008F47CB" w:rsidP="00501A15" w14:paraId="1A7661D9" w14:textId="26258DC4">
            <w:pPr>
              <w:jc w:val="right"/>
              <w:rPr>
                <w:rFonts w:ascii="Times New Roman" w:hAnsi="Times New Roman"/>
                <w:b/>
                <w:i/>
                <w:sz w:val="22"/>
                <w:szCs w:val="22"/>
              </w:rPr>
            </w:pPr>
            <w:r>
              <w:rPr>
                <w:rFonts w:ascii="Times New Roman" w:hAnsi="Times New Roman"/>
                <w:b/>
                <w:i/>
                <w:sz w:val="22"/>
                <w:szCs w:val="22"/>
              </w:rPr>
              <w:t>6,000</w:t>
            </w:r>
          </w:p>
        </w:tc>
        <w:tc>
          <w:tcPr>
            <w:tcW w:w="1097" w:type="dxa"/>
            <w:vAlign w:val="bottom"/>
          </w:tcPr>
          <w:p w:rsidR="00501A15" w:rsidRPr="008F47CB" w:rsidP="00501A15" w14:paraId="4A94906E" w14:textId="0CA76EB0">
            <w:pPr>
              <w:jc w:val="right"/>
              <w:rPr>
                <w:rFonts w:ascii="Times New Roman" w:hAnsi="Times New Roman"/>
                <w:b/>
                <w:i/>
                <w:sz w:val="22"/>
                <w:szCs w:val="22"/>
              </w:rPr>
            </w:pPr>
            <w:r>
              <w:rPr>
                <w:rFonts w:ascii="Times New Roman" w:hAnsi="Times New Roman"/>
                <w:b/>
                <w:i/>
                <w:sz w:val="22"/>
                <w:szCs w:val="22"/>
              </w:rPr>
              <w:t>30 min</w:t>
            </w:r>
          </w:p>
        </w:tc>
        <w:tc>
          <w:tcPr>
            <w:tcW w:w="950" w:type="dxa"/>
            <w:vAlign w:val="bottom"/>
          </w:tcPr>
          <w:p w:rsidR="00501A15" w:rsidRPr="008F47CB" w:rsidP="00501A15" w14:paraId="4075BA8E" w14:textId="1940D7AF">
            <w:pPr>
              <w:jc w:val="right"/>
              <w:rPr>
                <w:rFonts w:ascii="Times New Roman" w:hAnsi="Times New Roman"/>
                <w:b/>
                <w:i/>
                <w:sz w:val="22"/>
                <w:szCs w:val="22"/>
              </w:rPr>
            </w:pPr>
            <w:r>
              <w:rPr>
                <w:rFonts w:ascii="Times New Roman" w:hAnsi="Times New Roman"/>
                <w:b/>
                <w:i/>
                <w:sz w:val="22"/>
                <w:szCs w:val="22"/>
              </w:rPr>
              <w:t>3,000 hrs.</w:t>
            </w:r>
          </w:p>
        </w:tc>
        <w:tc>
          <w:tcPr>
            <w:tcW w:w="1438" w:type="dxa"/>
            <w:vAlign w:val="bottom"/>
          </w:tcPr>
          <w:p w:rsidR="00501A15" w:rsidRPr="008F47CB" w:rsidP="00501A15" w14:paraId="7F82B751" w14:textId="1B3C248A">
            <w:pPr>
              <w:jc w:val="right"/>
              <w:rPr>
                <w:rFonts w:ascii="Times New Roman" w:hAnsi="Times New Roman"/>
                <w:b/>
                <w:i/>
                <w:sz w:val="22"/>
                <w:szCs w:val="22"/>
              </w:rPr>
            </w:pPr>
            <w:r>
              <w:rPr>
                <w:rFonts w:ascii="Times New Roman" w:hAnsi="Times New Roman"/>
                <w:b/>
                <w:i/>
                <w:sz w:val="22"/>
                <w:szCs w:val="22"/>
              </w:rPr>
              <w:t>N/A</w:t>
            </w:r>
          </w:p>
        </w:tc>
        <w:tc>
          <w:tcPr>
            <w:tcW w:w="1329" w:type="dxa"/>
            <w:vAlign w:val="bottom"/>
          </w:tcPr>
          <w:p w:rsidR="00501A15" w:rsidRPr="008F47CB" w:rsidP="00501A15" w14:paraId="54BFA78B" w14:textId="5D7FBCB3">
            <w:pPr>
              <w:jc w:val="right"/>
              <w:rPr>
                <w:rFonts w:ascii="Times New Roman" w:hAnsi="Times New Roman"/>
                <w:b/>
                <w:i/>
                <w:sz w:val="22"/>
                <w:szCs w:val="22"/>
              </w:rPr>
            </w:pPr>
            <w:r>
              <w:rPr>
                <w:rFonts w:ascii="Times New Roman" w:hAnsi="Times New Roman"/>
                <w:b/>
                <w:i/>
                <w:sz w:val="22"/>
                <w:szCs w:val="22"/>
              </w:rPr>
              <w:t>N/A</w:t>
            </w:r>
          </w:p>
        </w:tc>
      </w:tr>
    </w:tbl>
    <w:p w:rsidR="00D472BE" w:rsidP="00E60FB0" w14:paraId="1758C1F3" w14:textId="7C90956B">
      <w:pPr>
        <w:widowControl/>
        <w:autoSpaceDE/>
        <w:autoSpaceDN/>
        <w:adjustRightInd/>
        <w:rPr>
          <w:rFonts w:ascii="Times New Roman" w:hAnsi="Times New Roman"/>
          <w:highlight w:val="yellow"/>
        </w:rPr>
      </w:pPr>
    </w:p>
    <w:p w:rsidR="00EE2223" w:rsidRPr="00EE2223" w:rsidP="00E60FB0" w14:paraId="51C113BE" w14:textId="4093117F">
      <w:pPr>
        <w:widowControl/>
        <w:autoSpaceDE/>
        <w:autoSpaceDN/>
        <w:adjustRightInd/>
        <w:rPr>
          <w:rFonts w:ascii="Times New Roman" w:hAnsi="Times New Roman"/>
          <w:i/>
          <w:iCs/>
        </w:rPr>
      </w:pPr>
      <w:r w:rsidRPr="00EE2223">
        <w:rPr>
          <w:rFonts w:ascii="Times New Roman" w:hAnsi="Times New Roman"/>
          <w:i/>
          <w:iCs/>
        </w:rPr>
        <w:t>Hourly rate source citation</w:t>
      </w:r>
      <w:r w:rsidR="002E6F9C">
        <w:rPr>
          <w:rFonts w:ascii="Times New Roman" w:hAnsi="Times New Roman"/>
          <w:i/>
          <w:iCs/>
        </w:rPr>
        <w:t xml:space="preserve"> or you may enter a footnote</w:t>
      </w:r>
      <w:r w:rsidRPr="00EE2223">
        <w:rPr>
          <w:rFonts w:ascii="Times New Roman" w:hAnsi="Times New Roman"/>
          <w:i/>
          <w:iCs/>
        </w:rPr>
        <w:t xml:space="preserve">: </w:t>
      </w:r>
    </w:p>
    <w:p w:rsidR="00EE2223" w:rsidRPr="00EE2223" w:rsidP="00E60FB0" w14:paraId="73540948" w14:textId="77777777">
      <w:pPr>
        <w:widowControl/>
        <w:autoSpaceDE/>
        <w:autoSpaceDN/>
        <w:adjustRightInd/>
        <w:rPr>
          <w:rFonts w:ascii="Times New Roman" w:hAnsi="Times New Roman"/>
          <w:i/>
          <w:iCs/>
          <w:highlight w:val="yellow"/>
        </w:rPr>
      </w:pPr>
    </w:p>
    <w:p w:rsidR="00D203D9" w:rsidRPr="00D203D9" w:rsidP="00D203D9" w14:paraId="3ED640BA" w14:textId="5D96D7B1">
      <w:pPr>
        <w:pStyle w:val="ListParagraph"/>
        <w:widowControl/>
        <w:numPr>
          <w:ilvl w:val="1"/>
          <w:numId w:val="16"/>
        </w:numPr>
        <w:tabs>
          <w:tab w:val="num" w:pos="1170"/>
          <w:tab w:val="clear" w:pos="1440"/>
        </w:tabs>
        <w:autoSpaceDE/>
        <w:autoSpaceDN/>
        <w:adjustRightInd/>
        <w:ind w:left="360"/>
        <w:rPr>
          <w:rFonts w:ascii="Times New Roman" w:hAnsi="Times New Roman"/>
        </w:rPr>
      </w:pPr>
      <w:r w:rsidRPr="00D203D9">
        <w:rPr>
          <w:rFonts w:ascii="Times New Roman" w:hAnsi="Times New Roman"/>
        </w:rPr>
        <w:t>There is no new cost or annual cost associated with this collection.  It is anticipated that each respondent already has the necessary equipment and personnel to respond.</w:t>
      </w:r>
    </w:p>
    <w:p w:rsidR="00CD215D" w:rsidRPr="00D53DEB" w:rsidP="00CD215D" w14:paraId="4F65FC61" w14:textId="3C7E03E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8B3128" w:rsidRPr="00F4518C" w:rsidP="00690F56" w14:paraId="3BDD7FFB" w14:textId="19B1551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203D9" w:rsidP="00690F56" w14:paraId="697B43F9" w14:textId="4F7E6E3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203D9">
        <w:rPr>
          <w:rFonts w:ascii="Times New Roman" w:hAnsi="Times New Roman"/>
        </w:rPr>
        <w:t xml:space="preserve">14. </w:t>
      </w:r>
      <w:r w:rsidRPr="00D203D9" w:rsidR="00D203D9">
        <w:rPr>
          <w:rFonts w:ascii="Times New Roman" w:hAnsi="Times New Roman"/>
        </w:rPr>
        <w:t>There is no cost to the federal government</w:t>
      </w:r>
    </w:p>
    <w:p w:rsidR="00F96885" w:rsidRPr="00D203D9" w:rsidP="00690F56" w14:paraId="1A15C4F0" w14:textId="55606AF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203D9">
        <w:rPr>
          <w:rFonts w:ascii="Times New Roman" w:hAnsi="Times New Roman"/>
        </w:rPr>
        <w:t xml:space="preserve"> </w:t>
      </w:r>
    </w:p>
    <w:p w:rsidR="00690F56" w:rsidRPr="00D203D9" w:rsidP="00690F56" w14:paraId="0BCEB47E" w14:textId="7342666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r w:rsidRPr="00D203D9">
        <w:rPr>
          <w:rFonts w:ascii="Times New Roman" w:hAnsi="Times New Roman"/>
        </w:rPr>
        <w:t>15.</w:t>
      </w:r>
      <w:r w:rsidRPr="00D203D9">
        <w:rPr>
          <w:rFonts w:ascii="Times New Roman" w:hAnsi="Times New Roman"/>
        </w:rPr>
        <w:tab/>
      </w:r>
      <w:r w:rsidRPr="00D203D9" w:rsidR="00D203D9">
        <w:rPr>
          <w:rFonts w:ascii="Times New Roman" w:hAnsi="Times New Roman"/>
        </w:rPr>
        <w:t>Not applicable.</w:t>
      </w:r>
    </w:p>
    <w:p w:rsidR="00983CA7" w:rsidRPr="00712EA3"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712EA3" w:rsidP="00690F56" w14:paraId="4E4F3DC5" w14:textId="7F12403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12EA3">
        <w:rPr>
          <w:rFonts w:ascii="Times New Roman" w:hAnsi="Times New Roman"/>
        </w:rPr>
        <w:t>1</w:t>
      </w:r>
      <w:r w:rsidRPr="00712EA3" w:rsidR="00882AB5">
        <w:rPr>
          <w:rFonts w:ascii="Times New Roman" w:hAnsi="Times New Roman"/>
        </w:rPr>
        <w:t xml:space="preserve">6. </w:t>
      </w:r>
      <w:r w:rsidRPr="00712EA3" w:rsidR="00712EA3">
        <w:rPr>
          <w:rFonts w:ascii="Times New Roman" w:hAnsi="Times New Roman"/>
        </w:rPr>
        <w:t xml:space="preserve">The result of this information collection will not be published. </w:t>
      </w:r>
    </w:p>
    <w:p w:rsidR="00690F56" w:rsidRPr="00712EA3"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712EA3" w:rsidP="0014601E" w14:paraId="3D60B41E" w14:textId="0D9835D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12EA3">
        <w:rPr>
          <w:rFonts w:ascii="Times New Roman" w:hAnsi="Times New Roman"/>
        </w:rPr>
        <w:t xml:space="preserve">17.  </w:t>
      </w:r>
      <w:r w:rsidRPr="00712EA3" w:rsidR="001C39F6">
        <w:rPr>
          <w:rFonts w:ascii="Times New Roman" w:hAnsi="Times New Roman"/>
        </w:rPr>
        <w:t xml:space="preserve">We are requesting no exemption. </w:t>
      </w:r>
    </w:p>
    <w:p w:rsidR="009B6955" w:rsidRPr="00712EA3"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09495F5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12EA3">
        <w:rPr>
          <w:rFonts w:ascii="Times New Roman" w:hAnsi="Times New Roman"/>
        </w:rPr>
        <w:t>18.</w:t>
      </w:r>
      <w:r w:rsidRPr="00D53DEB">
        <w:rPr>
          <w:rFonts w:ascii="Times New Roman" w:hAnsi="Times New Roman"/>
          <w:b/>
        </w:rPr>
        <w:t xml:space="preserve">  </w:t>
      </w: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316B3F81">
      <w:pPr>
        <w:rPr>
          <w:rFonts w:ascii="Times New Roman" w:hAnsi="Times New Roman"/>
        </w:rPr>
      </w:pPr>
      <w:r>
        <w:rPr>
          <w:rFonts w:ascii="Times New Roman" w:hAnsi="Times New Roman"/>
        </w:rPr>
        <w:t>This collection</w:t>
      </w:r>
      <w:r w:rsidR="00CC1B60">
        <w:rPr>
          <w:rFonts w:ascii="Times New Roman" w:hAnsi="Times New Roman"/>
        </w:rPr>
        <w:t xml:space="preserve"> does not</w:t>
      </w:r>
      <w:r>
        <w:rPr>
          <w:rFonts w:ascii="Times New Roman" w:hAnsi="Times New Roman"/>
        </w:rPr>
        <w:t xml:space="preserve"> contain statistical data.</w:t>
      </w:r>
    </w:p>
    <w:sectPr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1574BA82">
    <w:pPr>
      <w:pStyle w:val="Header"/>
      <w:rPr>
        <w:rFonts w:ascii="Times New Roman" w:hAnsi="Times New Roman"/>
        <w:bCs/>
        <w:sz w:val="20"/>
        <w:szCs w:val="20"/>
      </w:rPr>
    </w:pPr>
    <w:r>
      <w:rPr>
        <w:rFonts w:ascii="Times New Roman" w:hAnsi="Times New Roman"/>
        <w:bCs/>
        <w:sz w:val="20"/>
        <w:szCs w:val="20"/>
      </w:rPr>
      <w:t>[COLLECTION TITLE]</w:t>
    </w:r>
  </w:p>
  <w:p w:rsidR="00EC0B43" w14:paraId="52F50703" w14:textId="2260296A">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996A5D">
      <w:rPr>
        <w:rFonts w:ascii="Times New Roman" w:hAnsi="Times New Roman"/>
        <w:sz w:val="20"/>
        <w:szCs w:val="20"/>
      </w:rPr>
      <w:t>XXXX-XXXX</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00996A5D">
      <w:rPr>
        <w:rFonts w:ascii="Times New Roman" w:hAnsi="Times New Roman"/>
        <w:sz w:val="20"/>
        <w:szCs w:val="20"/>
      </w:rPr>
      <w:t>XX/XX/XXXX</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53229D"/>
    <w:multiLevelType w:val="hybridMultilevel"/>
    <w:tmpl w:val="510C9968"/>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3A8137A"/>
    <w:multiLevelType w:val="hybridMultilevel"/>
    <w:tmpl w:val="AFC00DF6"/>
    <w:lvl w:ilvl="0">
      <w:start w:val="1"/>
      <w:numFmt w:val="decimal"/>
      <w:lvlText w:val="%1."/>
      <w:lvlJc w:val="left"/>
      <w:pPr>
        <w:tabs>
          <w:tab w:val="num" w:pos="1440"/>
        </w:tabs>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6A94F00"/>
    <w:multiLevelType w:val="hybridMultilevel"/>
    <w:tmpl w:val="E96EDAE8"/>
    <w:lvl w:ilvl="0">
      <w:start w:val="1"/>
      <w:numFmt w:val="decimal"/>
      <w:lvlText w:val="%1."/>
      <w:lvlJc w:val="left"/>
      <w:pPr>
        <w:tabs>
          <w:tab w:val="num" w:pos="1440"/>
        </w:tabs>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4">
    <w:nsid w:val="68CB0CE7"/>
    <w:multiLevelType w:val="hybridMultilevel"/>
    <w:tmpl w:val="94A629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F7F3885"/>
    <w:multiLevelType w:val="hybridMultilevel"/>
    <w:tmpl w:val="FE48C49C"/>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5377FA"/>
    <w:multiLevelType w:val="hybridMultilevel"/>
    <w:tmpl w:val="596CEAF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44427F9"/>
    <w:multiLevelType w:val="hybridMultilevel"/>
    <w:tmpl w:val="7360B6BE"/>
    <w:lvl w:ilvl="0">
      <w:start w:val="1"/>
      <w:numFmt w:val="decimal"/>
      <w:lvlText w:val="%1."/>
      <w:lvlJc w:val="left"/>
      <w:pPr>
        <w:tabs>
          <w:tab w:val="num" w:pos="1440"/>
        </w:tabs>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FA36055"/>
    <w:multiLevelType w:val="hybridMultilevel"/>
    <w:tmpl w:val="E000E82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12"/>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4"/>
  </w:num>
  <w:num w:numId="9" w16cid:durableId="312102842">
    <w:abstractNumId w:val="1"/>
  </w:num>
  <w:num w:numId="10" w16cid:durableId="1376466984">
    <w:abstractNumId w:val="13"/>
  </w:num>
  <w:num w:numId="11" w16cid:durableId="1904831391">
    <w:abstractNumId w:val="7"/>
  </w:num>
  <w:num w:numId="12" w16cid:durableId="1478107046">
    <w:abstractNumId w:val="9"/>
  </w:num>
  <w:num w:numId="13" w16cid:durableId="1542084800">
    <w:abstractNumId w:val="5"/>
  </w:num>
  <w:num w:numId="14" w16cid:durableId="136800702">
    <w:abstractNumId w:val="16"/>
  </w:num>
  <w:num w:numId="15" w16cid:durableId="1217090383">
    <w:abstractNumId w:val="8"/>
  </w:num>
  <w:num w:numId="16" w16cid:durableId="1040521305">
    <w:abstractNumId w:val="17"/>
  </w:num>
  <w:num w:numId="17" w16cid:durableId="220872650">
    <w:abstractNumId w:val="15"/>
  </w:num>
  <w:num w:numId="18" w16cid:durableId="491069978">
    <w:abstractNumId w:val="19"/>
  </w:num>
  <w:num w:numId="19" w16cid:durableId="773524461">
    <w:abstractNumId w:val="6"/>
  </w:num>
  <w:num w:numId="20" w16cid:durableId="1133981734">
    <w:abstractNumId w:val="11"/>
  </w:num>
  <w:num w:numId="21" w16cid:durableId="1760832270">
    <w:abstractNumId w:val="18"/>
  </w:num>
  <w:num w:numId="22" w16cid:durableId="828138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1CDA"/>
    <w:rsid w:val="000133FD"/>
    <w:rsid w:val="00014158"/>
    <w:rsid w:val="00020F69"/>
    <w:rsid w:val="00022303"/>
    <w:rsid w:val="0003073D"/>
    <w:rsid w:val="0004107F"/>
    <w:rsid w:val="00042CBD"/>
    <w:rsid w:val="00052174"/>
    <w:rsid w:val="00061F6C"/>
    <w:rsid w:val="00064E28"/>
    <w:rsid w:val="000655CC"/>
    <w:rsid w:val="0007383F"/>
    <w:rsid w:val="00087EEF"/>
    <w:rsid w:val="00094A5E"/>
    <w:rsid w:val="00095C30"/>
    <w:rsid w:val="00097C15"/>
    <w:rsid w:val="000A7853"/>
    <w:rsid w:val="000B0391"/>
    <w:rsid w:val="000B4875"/>
    <w:rsid w:val="000B5071"/>
    <w:rsid w:val="000B6FB6"/>
    <w:rsid w:val="000C257C"/>
    <w:rsid w:val="000C3A92"/>
    <w:rsid w:val="000C74FB"/>
    <w:rsid w:val="000D7F95"/>
    <w:rsid w:val="000E1C64"/>
    <w:rsid w:val="000F6836"/>
    <w:rsid w:val="001040D4"/>
    <w:rsid w:val="001078BB"/>
    <w:rsid w:val="00116CD5"/>
    <w:rsid w:val="00117CA5"/>
    <w:rsid w:val="00133C47"/>
    <w:rsid w:val="00133E3D"/>
    <w:rsid w:val="001376D3"/>
    <w:rsid w:val="0014556E"/>
    <w:rsid w:val="0014601E"/>
    <w:rsid w:val="00146F1C"/>
    <w:rsid w:val="0015322B"/>
    <w:rsid w:val="0015365E"/>
    <w:rsid w:val="00157A90"/>
    <w:rsid w:val="00167AD4"/>
    <w:rsid w:val="00180E5A"/>
    <w:rsid w:val="00192711"/>
    <w:rsid w:val="001A47D9"/>
    <w:rsid w:val="001B4BB9"/>
    <w:rsid w:val="001C17A4"/>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203C9"/>
    <w:rsid w:val="00234341"/>
    <w:rsid w:val="00237691"/>
    <w:rsid w:val="00242CA0"/>
    <w:rsid w:val="00243432"/>
    <w:rsid w:val="0024438F"/>
    <w:rsid w:val="00247146"/>
    <w:rsid w:val="002517E4"/>
    <w:rsid w:val="0025791B"/>
    <w:rsid w:val="00262716"/>
    <w:rsid w:val="00273D58"/>
    <w:rsid w:val="00277C1F"/>
    <w:rsid w:val="002866AD"/>
    <w:rsid w:val="00286BE3"/>
    <w:rsid w:val="00287ACB"/>
    <w:rsid w:val="00287B7D"/>
    <w:rsid w:val="0029135D"/>
    <w:rsid w:val="00292951"/>
    <w:rsid w:val="00293CD1"/>
    <w:rsid w:val="002A3962"/>
    <w:rsid w:val="002A5972"/>
    <w:rsid w:val="002A6FB5"/>
    <w:rsid w:val="002C5AE9"/>
    <w:rsid w:val="002E238B"/>
    <w:rsid w:val="002E4200"/>
    <w:rsid w:val="002E6DF9"/>
    <w:rsid w:val="002E6F9C"/>
    <w:rsid w:val="002F3BB8"/>
    <w:rsid w:val="00304132"/>
    <w:rsid w:val="00304EAD"/>
    <w:rsid w:val="00312124"/>
    <w:rsid w:val="00313820"/>
    <w:rsid w:val="00313AC0"/>
    <w:rsid w:val="00322087"/>
    <w:rsid w:val="00322C1B"/>
    <w:rsid w:val="0032649A"/>
    <w:rsid w:val="00332F98"/>
    <w:rsid w:val="0033578D"/>
    <w:rsid w:val="003430A6"/>
    <w:rsid w:val="003448FC"/>
    <w:rsid w:val="003513AD"/>
    <w:rsid w:val="003548D8"/>
    <w:rsid w:val="00363CC2"/>
    <w:rsid w:val="00370C9A"/>
    <w:rsid w:val="00371EEC"/>
    <w:rsid w:val="003876F3"/>
    <w:rsid w:val="00390426"/>
    <w:rsid w:val="003908B9"/>
    <w:rsid w:val="00394AEB"/>
    <w:rsid w:val="003969AF"/>
    <w:rsid w:val="003A2E23"/>
    <w:rsid w:val="003A4476"/>
    <w:rsid w:val="003A6353"/>
    <w:rsid w:val="003B2F28"/>
    <w:rsid w:val="003B5882"/>
    <w:rsid w:val="003C13C6"/>
    <w:rsid w:val="003C6DA9"/>
    <w:rsid w:val="003D5958"/>
    <w:rsid w:val="003D6AC7"/>
    <w:rsid w:val="003E15A0"/>
    <w:rsid w:val="003E49A6"/>
    <w:rsid w:val="003E5E34"/>
    <w:rsid w:val="003E6021"/>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773C"/>
    <w:rsid w:val="00461B8A"/>
    <w:rsid w:val="004672B5"/>
    <w:rsid w:val="00483B13"/>
    <w:rsid w:val="004844D1"/>
    <w:rsid w:val="0048559D"/>
    <w:rsid w:val="0049001D"/>
    <w:rsid w:val="00494A93"/>
    <w:rsid w:val="00494D75"/>
    <w:rsid w:val="004A1763"/>
    <w:rsid w:val="004B1E83"/>
    <w:rsid w:val="004D1C78"/>
    <w:rsid w:val="004D441E"/>
    <w:rsid w:val="004D46D1"/>
    <w:rsid w:val="004E1D9E"/>
    <w:rsid w:val="004E5B39"/>
    <w:rsid w:val="00501A15"/>
    <w:rsid w:val="005164DC"/>
    <w:rsid w:val="00517A56"/>
    <w:rsid w:val="005203D5"/>
    <w:rsid w:val="00522B8D"/>
    <w:rsid w:val="0052585C"/>
    <w:rsid w:val="00530EBD"/>
    <w:rsid w:val="00532A8C"/>
    <w:rsid w:val="005413BB"/>
    <w:rsid w:val="00544BA8"/>
    <w:rsid w:val="005622FE"/>
    <w:rsid w:val="005623AC"/>
    <w:rsid w:val="00567912"/>
    <w:rsid w:val="00570098"/>
    <w:rsid w:val="005805E7"/>
    <w:rsid w:val="005825A4"/>
    <w:rsid w:val="00583F5D"/>
    <w:rsid w:val="0058424C"/>
    <w:rsid w:val="00584F8D"/>
    <w:rsid w:val="005A0350"/>
    <w:rsid w:val="005A23DC"/>
    <w:rsid w:val="005A7D9E"/>
    <w:rsid w:val="005B2697"/>
    <w:rsid w:val="005B5990"/>
    <w:rsid w:val="005C6147"/>
    <w:rsid w:val="005D5F8C"/>
    <w:rsid w:val="005E5148"/>
    <w:rsid w:val="0060114B"/>
    <w:rsid w:val="00603D4A"/>
    <w:rsid w:val="00607AC5"/>
    <w:rsid w:val="00611DE2"/>
    <w:rsid w:val="00614A1C"/>
    <w:rsid w:val="006227B3"/>
    <w:rsid w:val="00627B1F"/>
    <w:rsid w:val="00627F63"/>
    <w:rsid w:val="00642220"/>
    <w:rsid w:val="00645FBC"/>
    <w:rsid w:val="0065148D"/>
    <w:rsid w:val="00652ED1"/>
    <w:rsid w:val="006626FF"/>
    <w:rsid w:val="006650A8"/>
    <w:rsid w:val="0067772C"/>
    <w:rsid w:val="00683A96"/>
    <w:rsid w:val="00685435"/>
    <w:rsid w:val="00687746"/>
    <w:rsid w:val="00690F56"/>
    <w:rsid w:val="006A4637"/>
    <w:rsid w:val="006C2FC8"/>
    <w:rsid w:val="006C39F8"/>
    <w:rsid w:val="006E1A08"/>
    <w:rsid w:val="006E4433"/>
    <w:rsid w:val="006E54FE"/>
    <w:rsid w:val="006E604F"/>
    <w:rsid w:val="006E63C6"/>
    <w:rsid w:val="006F2132"/>
    <w:rsid w:val="006F66F9"/>
    <w:rsid w:val="006F6E13"/>
    <w:rsid w:val="007010C5"/>
    <w:rsid w:val="007011F1"/>
    <w:rsid w:val="007127A1"/>
    <w:rsid w:val="00712EA3"/>
    <w:rsid w:val="00713ACE"/>
    <w:rsid w:val="00715F82"/>
    <w:rsid w:val="0071749C"/>
    <w:rsid w:val="00721E05"/>
    <w:rsid w:val="00740667"/>
    <w:rsid w:val="00740A99"/>
    <w:rsid w:val="007412B6"/>
    <w:rsid w:val="00741BF4"/>
    <w:rsid w:val="00753389"/>
    <w:rsid w:val="00755761"/>
    <w:rsid w:val="00761C1F"/>
    <w:rsid w:val="007636EC"/>
    <w:rsid w:val="00767D37"/>
    <w:rsid w:val="00774503"/>
    <w:rsid w:val="007754A0"/>
    <w:rsid w:val="00777CD2"/>
    <w:rsid w:val="00780272"/>
    <w:rsid w:val="0078038F"/>
    <w:rsid w:val="0078153B"/>
    <w:rsid w:val="00785FE9"/>
    <w:rsid w:val="00786E04"/>
    <w:rsid w:val="007A7F79"/>
    <w:rsid w:val="007C124D"/>
    <w:rsid w:val="007D46C2"/>
    <w:rsid w:val="007E3065"/>
    <w:rsid w:val="007F3B38"/>
    <w:rsid w:val="007F3C02"/>
    <w:rsid w:val="007F783A"/>
    <w:rsid w:val="00802605"/>
    <w:rsid w:val="00802A30"/>
    <w:rsid w:val="008043E5"/>
    <w:rsid w:val="00804A1A"/>
    <w:rsid w:val="0081073D"/>
    <w:rsid w:val="00813CC0"/>
    <w:rsid w:val="008323ED"/>
    <w:rsid w:val="00832EBB"/>
    <w:rsid w:val="00835955"/>
    <w:rsid w:val="00846701"/>
    <w:rsid w:val="008624D5"/>
    <w:rsid w:val="00871CA6"/>
    <w:rsid w:val="00882AB5"/>
    <w:rsid w:val="00882B1D"/>
    <w:rsid w:val="0088672C"/>
    <w:rsid w:val="00895454"/>
    <w:rsid w:val="008A1F0C"/>
    <w:rsid w:val="008A40D1"/>
    <w:rsid w:val="008B3128"/>
    <w:rsid w:val="008B541B"/>
    <w:rsid w:val="008C656B"/>
    <w:rsid w:val="008C6A87"/>
    <w:rsid w:val="008E7879"/>
    <w:rsid w:val="008F47CB"/>
    <w:rsid w:val="00901003"/>
    <w:rsid w:val="0090158E"/>
    <w:rsid w:val="00901EF6"/>
    <w:rsid w:val="0090413E"/>
    <w:rsid w:val="00923B37"/>
    <w:rsid w:val="009271B1"/>
    <w:rsid w:val="0093485F"/>
    <w:rsid w:val="009407FC"/>
    <w:rsid w:val="009441E2"/>
    <w:rsid w:val="00950ED2"/>
    <w:rsid w:val="00963680"/>
    <w:rsid w:val="00964D3F"/>
    <w:rsid w:val="0096615D"/>
    <w:rsid w:val="009700D9"/>
    <w:rsid w:val="00983CA7"/>
    <w:rsid w:val="00985369"/>
    <w:rsid w:val="00985C15"/>
    <w:rsid w:val="00996A5D"/>
    <w:rsid w:val="009A6DCA"/>
    <w:rsid w:val="009B00FD"/>
    <w:rsid w:val="009B38D1"/>
    <w:rsid w:val="009B4116"/>
    <w:rsid w:val="009B689F"/>
    <w:rsid w:val="009B6955"/>
    <w:rsid w:val="009C2A10"/>
    <w:rsid w:val="009D0BBA"/>
    <w:rsid w:val="009D1EA2"/>
    <w:rsid w:val="009E0141"/>
    <w:rsid w:val="009E234B"/>
    <w:rsid w:val="009F52F3"/>
    <w:rsid w:val="00A10441"/>
    <w:rsid w:val="00A15094"/>
    <w:rsid w:val="00A217C3"/>
    <w:rsid w:val="00A21F98"/>
    <w:rsid w:val="00A2391E"/>
    <w:rsid w:val="00A33AAC"/>
    <w:rsid w:val="00A41C21"/>
    <w:rsid w:val="00A47DA7"/>
    <w:rsid w:val="00A52DE7"/>
    <w:rsid w:val="00A55023"/>
    <w:rsid w:val="00A56B86"/>
    <w:rsid w:val="00A632EF"/>
    <w:rsid w:val="00A677E9"/>
    <w:rsid w:val="00A70609"/>
    <w:rsid w:val="00A740AB"/>
    <w:rsid w:val="00A834BF"/>
    <w:rsid w:val="00A90769"/>
    <w:rsid w:val="00A973AA"/>
    <w:rsid w:val="00AA177A"/>
    <w:rsid w:val="00AA418C"/>
    <w:rsid w:val="00AB4DC3"/>
    <w:rsid w:val="00AC775D"/>
    <w:rsid w:val="00AD022F"/>
    <w:rsid w:val="00AD113F"/>
    <w:rsid w:val="00AD75AC"/>
    <w:rsid w:val="00AE0D00"/>
    <w:rsid w:val="00AF2C11"/>
    <w:rsid w:val="00AF3788"/>
    <w:rsid w:val="00AF38B7"/>
    <w:rsid w:val="00AF5262"/>
    <w:rsid w:val="00AF7928"/>
    <w:rsid w:val="00B13844"/>
    <w:rsid w:val="00B26E3E"/>
    <w:rsid w:val="00B35DAD"/>
    <w:rsid w:val="00B417B3"/>
    <w:rsid w:val="00B47443"/>
    <w:rsid w:val="00B5043F"/>
    <w:rsid w:val="00B5377A"/>
    <w:rsid w:val="00B6181C"/>
    <w:rsid w:val="00B64496"/>
    <w:rsid w:val="00B66231"/>
    <w:rsid w:val="00B674DE"/>
    <w:rsid w:val="00B67629"/>
    <w:rsid w:val="00B67A3F"/>
    <w:rsid w:val="00B9439C"/>
    <w:rsid w:val="00B96E43"/>
    <w:rsid w:val="00BA1A79"/>
    <w:rsid w:val="00BA6A42"/>
    <w:rsid w:val="00BA6C9C"/>
    <w:rsid w:val="00BB2AA1"/>
    <w:rsid w:val="00BB3BEF"/>
    <w:rsid w:val="00BC5F22"/>
    <w:rsid w:val="00BD21CA"/>
    <w:rsid w:val="00BD34F2"/>
    <w:rsid w:val="00BF0E96"/>
    <w:rsid w:val="00BF525D"/>
    <w:rsid w:val="00C0069F"/>
    <w:rsid w:val="00C02E4A"/>
    <w:rsid w:val="00C04C0E"/>
    <w:rsid w:val="00C05B4B"/>
    <w:rsid w:val="00C05B88"/>
    <w:rsid w:val="00C05EBE"/>
    <w:rsid w:val="00C07F7F"/>
    <w:rsid w:val="00C12530"/>
    <w:rsid w:val="00C14429"/>
    <w:rsid w:val="00C16FA7"/>
    <w:rsid w:val="00C247D8"/>
    <w:rsid w:val="00C25486"/>
    <w:rsid w:val="00C25E66"/>
    <w:rsid w:val="00C33D1B"/>
    <w:rsid w:val="00C34009"/>
    <w:rsid w:val="00C4763A"/>
    <w:rsid w:val="00C63D1E"/>
    <w:rsid w:val="00C667F3"/>
    <w:rsid w:val="00C712D2"/>
    <w:rsid w:val="00C77B5C"/>
    <w:rsid w:val="00C824C6"/>
    <w:rsid w:val="00C8275F"/>
    <w:rsid w:val="00C87068"/>
    <w:rsid w:val="00C90465"/>
    <w:rsid w:val="00C9162F"/>
    <w:rsid w:val="00CA2F0A"/>
    <w:rsid w:val="00CA652C"/>
    <w:rsid w:val="00CB1ECE"/>
    <w:rsid w:val="00CB3579"/>
    <w:rsid w:val="00CB5C31"/>
    <w:rsid w:val="00CC0731"/>
    <w:rsid w:val="00CC1B60"/>
    <w:rsid w:val="00CC770C"/>
    <w:rsid w:val="00CC7914"/>
    <w:rsid w:val="00CD215D"/>
    <w:rsid w:val="00CD4F92"/>
    <w:rsid w:val="00CD6628"/>
    <w:rsid w:val="00CD6779"/>
    <w:rsid w:val="00CF5EC8"/>
    <w:rsid w:val="00D00B48"/>
    <w:rsid w:val="00D110B3"/>
    <w:rsid w:val="00D203D9"/>
    <w:rsid w:val="00D2331B"/>
    <w:rsid w:val="00D36BB6"/>
    <w:rsid w:val="00D472BE"/>
    <w:rsid w:val="00D53DEB"/>
    <w:rsid w:val="00D57DE8"/>
    <w:rsid w:val="00D709FE"/>
    <w:rsid w:val="00D735B0"/>
    <w:rsid w:val="00D73AAD"/>
    <w:rsid w:val="00D75842"/>
    <w:rsid w:val="00D802D6"/>
    <w:rsid w:val="00D80D06"/>
    <w:rsid w:val="00D86A15"/>
    <w:rsid w:val="00D86FF7"/>
    <w:rsid w:val="00D956B2"/>
    <w:rsid w:val="00DA7DC9"/>
    <w:rsid w:val="00DB7B7C"/>
    <w:rsid w:val="00DD6DF0"/>
    <w:rsid w:val="00E0031C"/>
    <w:rsid w:val="00E0138A"/>
    <w:rsid w:val="00E06430"/>
    <w:rsid w:val="00E13DE5"/>
    <w:rsid w:val="00E163CF"/>
    <w:rsid w:val="00E20D5B"/>
    <w:rsid w:val="00E22463"/>
    <w:rsid w:val="00E23871"/>
    <w:rsid w:val="00E31519"/>
    <w:rsid w:val="00E322E9"/>
    <w:rsid w:val="00E400EA"/>
    <w:rsid w:val="00E46EE5"/>
    <w:rsid w:val="00E57F5E"/>
    <w:rsid w:val="00E60FB0"/>
    <w:rsid w:val="00E614A1"/>
    <w:rsid w:val="00E674A9"/>
    <w:rsid w:val="00E700AD"/>
    <w:rsid w:val="00E71D83"/>
    <w:rsid w:val="00E74ABD"/>
    <w:rsid w:val="00E765F0"/>
    <w:rsid w:val="00E81C88"/>
    <w:rsid w:val="00E829F2"/>
    <w:rsid w:val="00E83023"/>
    <w:rsid w:val="00E83271"/>
    <w:rsid w:val="00E833E4"/>
    <w:rsid w:val="00E86973"/>
    <w:rsid w:val="00E909D5"/>
    <w:rsid w:val="00E92EED"/>
    <w:rsid w:val="00E93A0F"/>
    <w:rsid w:val="00E96323"/>
    <w:rsid w:val="00EA3E66"/>
    <w:rsid w:val="00EA50C8"/>
    <w:rsid w:val="00EC0B43"/>
    <w:rsid w:val="00EC2ADC"/>
    <w:rsid w:val="00EC4383"/>
    <w:rsid w:val="00EC5D7E"/>
    <w:rsid w:val="00ED49C1"/>
    <w:rsid w:val="00EE2223"/>
    <w:rsid w:val="00EF2707"/>
    <w:rsid w:val="00EF70DB"/>
    <w:rsid w:val="00F11AA8"/>
    <w:rsid w:val="00F12F81"/>
    <w:rsid w:val="00F24787"/>
    <w:rsid w:val="00F27223"/>
    <w:rsid w:val="00F31223"/>
    <w:rsid w:val="00F3623C"/>
    <w:rsid w:val="00F41116"/>
    <w:rsid w:val="00F44D20"/>
    <w:rsid w:val="00F4518C"/>
    <w:rsid w:val="00F4529D"/>
    <w:rsid w:val="00F53F09"/>
    <w:rsid w:val="00F56B20"/>
    <w:rsid w:val="00F6219B"/>
    <w:rsid w:val="00F64E0B"/>
    <w:rsid w:val="00F72D66"/>
    <w:rsid w:val="00F8164B"/>
    <w:rsid w:val="00F935EE"/>
    <w:rsid w:val="00F96885"/>
    <w:rsid w:val="00FA3D8C"/>
    <w:rsid w:val="00FB026D"/>
    <w:rsid w:val="00FB587F"/>
    <w:rsid w:val="00FC4E02"/>
    <w:rsid w:val="00FD35DD"/>
    <w:rsid w:val="00FD5326"/>
    <w:rsid w:val="00FF2DF4"/>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justice.gov/afp/freedom-information-act-foia"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926A3B8C1E64B9A44DD998001A852" ma:contentTypeVersion="14" ma:contentTypeDescription="Create a new document." ma:contentTypeScope="" ma:versionID="ff6493104c87a4a799af7e70f3dd9cd7">
  <xsd:schema xmlns:xsd="http://www.w3.org/2001/XMLSchema" xmlns:xs="http://www.w3.org/2001/XMLSchema" xmlns:p="http://schemas.microsoft.com/office/2006/metadata/properties" xmlns:ns2="981d3281-29bf-4baa-ae53-f3776f456ed6" xmlns:ns3="768bdf26-1ffa-46c3-9f11-5cd786606989" targetNamespace="http://schemas.microsoft.com/office/2006/metadata/properties" ma:root="true" ma:fieldsID="f2319cda9f267dfcf45fe76ed2d6cbe5" ns2:_="" ns3:_="">
    <xsd:import namespace="981d3281-29bf-4baa-ae53-f3776f456ed6"/>
    <xsd:import namespace="768bdf26-1ffa-46c3-9f11-5cd786606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Colle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3281-29bf-4baa-ae53-f3776f456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Collection" ma:index="12" nillable="true" ma:displayName="Data Collection" ma:description="IDC-specific data collection process" ma:format="Dropdown" ma:internalName="DataCollection">
      <xsd:simpleType>
        <xsd:restriction base="dms:Choice">
          <xsd:enumeration value="Realized Cost Savings and Avoidance"/>
          <xsd:enumeration value="Laptops &amp; Desktops"/>
          <xsd:enumeration value="Mobile Devices &amp; Services"/>
          <xsd:enumeration value="JMD IT Project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bdf26-1ffa-46c3-9f11-5cd786606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21e3d8-4ecd-4b54-9218-2e57ca641b7a}" ma:internalName="TaxCatchAll" ma:showField="CatchAllData" ma:web="768bdf26-1ffa-46c3-9f11-5cd786606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8bdf26-1ffa-46c3-9f11-5cd786606989" xsi:nil="true"/>
    <lcf76f155ced4ddcb4097134ff3c332f xmlns="981d3281-29bf-4baa-ae53-f3776f456ed6">
      <Terms xmlns="http://schemas.microsoft.com/office/infopath/2007/PartnerControls"/>
    </lcf76f155ced4ddcb4097134ff3c332f>
    <DataCollection xmlns="981d3281-29bf-4baa-ae53-f3776f456ed6" xsi:nil="true"/>
    <SharedWithUsers xmlns="768bdf26-1ffa-46c3-9f11-5cd786606989">
      <UserInfo>
        <DisplayName>Martinez, Catalina (ATJ)</DisplayName>
        <AccountId>196</AccountId>
        <AccountType/>
      </UserInfo>
      <UserInfo>
        <DisplayName>Wu, Nina (ATJ)</DisplayName>
        <AccountId>197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2ECAD-B3F3-405D-94D8-63DD258FF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3281-29bf-4baa-ae53-f3776f456ed6"/>
    <ds:schemaRef ds:uri="768bdf26-1ffa-46c3-9f11-5cd786606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B1B89-1642-4A10-A8CA-0DD02FA54800}">
  <ds:schemaRefs>
    <ds:schemaRef ds:uri="http://schemas.microsoft.com/office/2006/metadata/properties"/>
    <ds:schemaRef ds:uri="http://schemas.microsoft.com/office/infopath/2007/PartnerControls"/>
    <ds:schemaRef ds:uri="768bdf26-1ffa-46c3-9f11-5cd786606989"/>
    <ds:schemaRef ds:uri="981d3281-29bf-4baa-ae53-f3776f456ed6"/>
  </ds:schemaRefs>
</ds:datastoreItem>
</file>

<file path=customXml/itemProps3.xml><?xml version="1.0" encoding="utf-8"?>
<ds:datastoreItem xmlns:ds="http://schemas.openxmlformats.org/officeDocument/2006/customXml" ds:itemID="{9A67B9A8-E27F-432C-9D9F-EBE5E9FB06BC}">
  <ds:schemaRefs>
    <ds:schemaRef ds:uri="http://schemas.microsoft.com/sharepoint/v3/contenttype/forms"/>
  </ds:schemaRefs>
</ds:datastoreItem>
</file>

<file path=customXml/itemProps4.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Arceo, Darwin (JMD)</cp:lastModifiedBy>
  <cp:revision>4</cp:revision>
  <cp:lastPrinted>2020-02-19T15:46:00Z</cp:lastPrinted>
  <dcterms:created xsi:type="dcterms:W3CDTF">2024-11-26T14:22:00Z</dcterms:created>
  <dcterms:modified xsi:type="dcterms:W3CDTF">2024-12-16T16:28:00Z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0x0101003E7926A3B8C1E64B9A44DD998001A852</vt:lpwstr>
  </property>
  <property fmtid="{D5CDD505-2E9C-101B-9397-08002B2CF9AE}" pid="3" name="MediaServiceImageTags">
    <vt:lpwstr/>
  </property>
</Properties>
</file>