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0479" w:rsidRPr="00D92428" w:rsidP="00970479" w14:paraId="363DF124" w14:textId="77777777">
      <w:pPr>
        <w:pStyle w:val="Default"/>
        <w:rPr>
          <w:b/>
          <w:bCs/>
          <w:sz w:val="28"/>
          <w:szCs w:val="28"/>
        </w:rPr>
      </w:pPr>
      <w:r w:rsidRPr="00D92428">
        <w:rPr>
          <w:b/>
          <w:bCs/>
          <w:sz w:val="28"/>
          <w:szCs w:val="28"/>
        </w:rPr>
        <w:t>Attachment B</w:t>
      </w:r>
    </w:p>
    <w:p w:rsidR="001A2929" w:rsidP="001A2929" w14:paraId="280EE0D1" w14:textId="77777777">
      <w:pPr>
        <w:pStyle w:val="Default"/>
        <w:rPr>
          <w:rFonts w:asciiTheme="minorHAnsi" w:hAnsiTheme="minorHAnsi" w:cstheme="minorHAnsi"/>
          <w:b/>
          <w:bCs/>
        </w:rPr>
      </w:pPr>
    </w:p>
    <w:p w:rsidR="00970479" w:rsidRPr="00D92428" w:rsidP="00D92428" w14:paraId="45015A26" w14:textId="424E3C56">
      <w:pPr>
        <w:pStyle w:val="Default"/>
      </w:pPr>
      <w:r w:rsidRPr="00D92428">
        <w:t>OUI proposes updating the ETA 5159 report to include demographic data categories as defined by the ETA 203 report</w:t>
      </w:r>
      <w:r w:rsidRPr="00D92428" w:rsidR="004326E0">
        <w:t xml:space="preserve"> “Characteristics of the Insured Unemployed” under </w:t>
      </w:r>
      <w:r w:rsidRPr="00D92428" w:rsidR="004326E0">
        <w:rPr>
          <w:bCs/>
          <w:color w:val="000000" w:themeColor="text1"/>
        </w:rPr>
        <w:t xml:space="preserve">OMB control number 1205-0009, which implements the latest guidance from </w:t>
      </w:r>
      <w:r w:rsidRPr="00D92428" w:rsidR="004326E0">
        <w:t>the Office of Management and Budget’s (OMB) Revisions to its Statistical Policy Directive No. 15: Standards for Maintaining, Collecting, and Presenting Federal Data on Race and Ethnicity, which became effective on March 29, 2024</w:t>
      </w:r>
      <w:r w:rsidRPr="00D92428">
        <w:t xml:space="preserve">. </w:t>
      </w:r>
    </w:p>
    <w:p w:rsidR="00970479" w:rsidRPr="00D92428" w:rsidP="00D92428" w14:paraId="5FEC3EB1" w14:textId="77777777">
      <w:pPr>
        <w:pStyle w:val="Default"/>
      </w:pPr>
    </w:p>
    <w:p w:rsidR="001A2929" w:rsidRPr="00D92428" w:rsidP="00D92428" w14:paraId="2C4DC0EC" w14:textId="64708922">
      <w:pPr>
        <w:spacing w:after="0" w:line="240" w:lineRule="auto"/>
        <w:rPr>
          <w:rFonts w:ascii="Times New Roman" w:hAnsi="Times New Roman" w:cs="Times New Roman"/>
          <w:sz w:val="24"/>
          <w:szCs w:val="24"/>
        </w:rPr>
      </w:pPr>
      <w:bookmarkStart w:id="0" w:name="_Hlk175923821"/>
      <w:r w:rsidRPr="00D92428">
        <w:rPr>
          <w:rFonts w:ascii="Times New Roman" w:hAnsi="Times New Roman" w:cs="Times New Roman"/>
          <w:sz w:val="24"/>
          <w:szCs w:val="24"/>
        </w:rPr>
        <w:t xml:space="preserve">Disclosing personal demographic information is entirely voluntary by the claimant and cannot be used for the purposes of establishing eligibility for benefits. </w:t>
      </w:r>
      <w:r w:rsidRPr="00D92428">
        <w:rPr>
          <w:rStyle w:val="cf01"/>
          <w:rFonts w:ascii="Times New Roman" w:hAnsi="Times New Roman" w:cs="Times New Roman"/>
          <w:sz w:val="24"/>
          <w:szCs w:val="24"/>
        </w:rPr>
        <w:t xml:space="preserve">The following data elements are self-selected by the claimant on the initial claim application and </w:t>
      </w:r>
      <w:r w:rsidRPr="00D92428" w:rsidR="0014167E">
        <w:rPr>
          <w:rStyle w:val="cf01"/>
          <w:rFonts w:ascii="Times New Roman" w:hAnsi="Times New Roman" w:cs="Times New Roman"/>
          <w:sz w:val="24"/>
          <w:szCs w:val="24"/>
        </w:rPr>
        <w:t>should</w:t>
      </w:r>
      <w:r w:rsidRPr="00D92428">
        <w:rPr>
          <w:rStyle w:val="cf01"/>
          <w:rFonts w:ascii="Times New Roman" w:hAnsi="Times New Roman" w:cs="Times New Roman"/>
          <w:sz w:val="24"/>
          <w:szCs w:val="24"/>
        </w:rPr>
        <w:t xml:space="preserve"> be masked from non-essential state workforce agency staff.  Any other UI required reports that also collect demographic information will use the same definitions established by the ETA 203 report</w:t>
      </w:r>
      <w:r w:rsidRPr="00D92428" w:rsidR="005D3253">
        <w:rPr>
          <w:rStyle w:val="cf01"/>
          <w:rFonts w:ascii="Times New Roman" w:hAnsi="Times New Roman" w:cs="Times New Roman"/>
          <w:sz w:val="24"/>
          <w:szCs w:val="24"/>
        </w:rPr>
        <w:t>.</w:t>
      </w:r>
      <w:bookmarkEnd w:id="0"/>
      <w:r w:rsidRPr="00D92428" w:rsidR="00C233CF">
        <w:rPr>
          <w:rStyle w:val="cf01"/>
          <w:rFonts w:ascii="Times New Roman" w:hAnsi="Times New Roman" w:cs="Times New Roman"/>
          <w:sz w:val="24"/>
          <w:szCs w:val="24"/>
        </w:rPr>
        <w:t xml:space="preserve"> </w:t>
      </w:r>
      <w:r w:rsidRPr="00D92428">
        <w:rPr>
          <w:rFonts w:ascii="Times New Roman" w:hAnsi="Times New Roman" w:cs="Times New Roman"/>
          <w:sz w:val="24"/>
          <w:szCs w:val="24"/>
        </w:rPr>
        <w:t xml:space="preserve">The Information Not Available (INA) option will remain “as is” to capture incidences where claimants leave a question(s) blank. </w:t>
      </w:r>
    </w:p>
    <w:p w:rsidR="001A2929" w:rsidRPr="00D92428" w:rsidP="00D92428" w14:paraId="4368A6C1" w14:textId="77777777">
      <w:pPr>
        <w:pStyle w:val="Default"/>
      </w:pPr>
    </w:p>
    <w:p w:rsidR="001A2929" w:rsidRPr="00D92428" w:rsidP="00D92428" w14:paraId="38CCACDD" w14:textId="0A7FFDFB">
      <w:pPr>
        <w:pStyle w:val="Default"/>
      </w:pPr>
      <w:r w:rsidRPr="00D92428">
        <w:t xml:space="preserve">The proposed new elements for the </w:t>
      </w:r>
      <w:r w:rsidRPr="00D92428" w:rsidR="005D3253">
        <w:t xml:space="preserve">ETA </w:t>
      </w:r>
      <w:r w:rsidRPr="00D92428">
        <w:t xml:space="preserve">5159 report are included here below for convenience. </w:t>
      </w:r>
    </w:p>
    <w:p w:rsidR="00CF278D" w:rsidRPr="00D92428" w:rsidP="00D92428" w14:paraId="7014D9C4" w14:textId="77777777">
      <w:pPr>
        <w:pStyle w:val="Default"/>
      </w:pPr>
    </w:p>
    <w:p w:rsidR="00C233CF" w:rsidRPr="00D92428" w:rsidP="00D92428" w14:paraId="2478C923" w14:textId="763AC4BE">
      <w:pPr>
        <w:pStyle w:val="ListParagraph"/>
        <w:numPr>
          <w:ilvl w:val="0"/>
          <w:numId w:val="7"/>
        </w:numPr>
        <w:spacing w:after="0" w:line="240" w:lineRule="auto"/>
        <w:rPr>
          <w:rFonts w:ascii="Times New Roman" w:hAnsi="Times New Roman" w:cs="Times New Roman"/>
          <w:color w:val="111111"/>
          <w:sz w:val="24"/>
          <w:szCs w:val="24"/>
          <w:u w:val="single"/>
        </w:rPr>
      </w:pPr>
      <w:r w:rsidRPr="00D92428">
        <w:rPr>
          <w:rFonts w:ascii="Times New Roman" w:hAnsi="Times New Roman" w:cs="Times New Roman"/>
          <w:b/>
          <w:bCs/>
          <w:color w:val="111111"/>
          <w:sz w:val="24"/>
          <w:szCs w:val="24"/>
          <w:u w:val="single"/>
        </w:rPr>
        <w:t>Incomplete claim</w:t>
      </w:r>
      <w:r w:rsidRPr="00D92428">
        <w:rPr>
          <w:rFonts w:ascii="Times New Roman" w:hAnsi="Times New Roman" w:cs="Times New Roman"/>
          <w:color w:val="111111"/>
          <w:sz w:val="24"/>
          <w:szCs w:val="24"/>
        </w:rPr>
        <w:t xml:space="preserve">. The number of claimants that have relinquished, either intentionally or unintentionally, the pursuit of an unemployment insurance (or unemployment compensation) claim. The claimant did not complete the initial claim </w:t>
      </w:r>
      <w:r w:rsidRPr="00D92428">
        <w:rPr>
          <w:rFonts w:ascii="Times New Roman" w:hAnsi="Times New Roman" w:cs="Times New Roman"/>
          <w:color w:val="111111"/>
          <w:sz w:val="24"/>
          <w:szCs w:val="24"/>
        </w:rPr>
        <w:t>application</w:t>
      </w:r>
      <w:r w:rsidRPr="00D92428">
        <w:rPr>
          <w:rFonts w:ascii="Times New Roman" w:hAnsi="Times New Roman" w:cs="Times New Roman"/>
          <w:color w:val="111111"/>
          <w:sz w:val="24"/>
          <w:szCs w:val="24"/>
        </w:rPr>
        <w:t xml:space="preserve"> and an official claim is not established.</w:t>
      </w:r>
      <w:r w:rsidRPr="00D92428">
        <w:rPr>
          <w:rFonts w:ascii="Times New Roman" w:hAnsi="Times New Roman" w:cs="Times New Roman"/>
          <w:color w:val="111111"/>
          <w:sz w:val="24"/>
          <w:szCs w:val="24"/>
          <w:u w:val="single"/>
        </w:rPr>
        <w:t xml:space="preserve"> </w:t>
      </w:r>
    </w:p>
    <w:p w:rsidR="00C233CF" w:rsidRPr="00D92428" w:rsidP="00D92428" w14:paraId="5E67DD57" w14:textId="77777777">
      <w:pPr>
        <w:pStyle w:val="ListParagraph"/>
        <w:spacing w:after="0" w:line="240" w:lineRule="auto"/>
        <w:rPr>
          <w:rFonts w:ascii="Times New Roman" w:hAnsi="Times New Roman" w:cs="Times New Roman"/>
          <w:b/>
          <w:bCs/>
          <w:color w:val="111111"/>
          <w:sz w:val="24"/>
          <w:szCs w:val="24"/>
          <w:u w:val="single"/>
        </w:rPr>
      </w:pPr>
    </w:p>
    <w:p w:rsidR="00C233CF" w:rsidRPr="00D92428" w:rsidP="00D92428" w14:paraId="23814621" w14:textId="77777777">
      <w:pPr>
        <w:pStyle w:val="ListParagraph"/>
        <w:numPr>
          <w:ilvl w:val="0"/>
          <w:numId w:val="7"/>
        </w:numPr>
        <w:spacing w:after="0" w:line="240" w:lineRule="auto"/>
        <w:rPr>
          <w:rFonts w:ascii="Times New Roman" w:hAnsi="Times New Roman" w:cs="Times New Roman"/>
          <w:color w:val="111111"/>
          <w:sz w:val="24"/>
          <w:szCs w:val="24"/>
        </w:rPr>
      </w:pPr>
      <w:r w:rsidRPr="00D92428">
        <w:rPr>
          <w:rFonts w:ascii="Times New Roman" w:hAnsi="Times New Roman" w:cs="Times New Roman"/>
          <w:b/>
          <w:bCs/>
          <w:color w:val="111111"/>
          <w:sz w:val="24"/>
          <w:szCs w:val="24"/>
          <w:u w:val="single"/>
        </w:rPr>
        <w:t>Unique Individuals with at least One Week Claimed</w:t>
      </w:r>
      <w:r w:rsidRPr="00D92428">
        <w:rPr>
          <w:rFonts w:ascii="Times New Roman" w:hAnsi="Times New Roman" w:cs="Times New Roman"/>
          <w:color w:val="111111"/>
          <w:sz w:val="24"/>
          <w:szCs w:val="24"/>
        </w:rPr>
        <w:t>.  The total number of unique individuals that filed at least one continued claim during the report month. The count of unique individuals should be determined based on a unique claimant identifier such as a claimant Social Security Number, a claimant ID, or other unique identifier. Individuals should be counted only once regardless of the number of continued claims they filed during the report month, including claimants that filed under multiple benefit years during the same month.</w:t>
      </w:r>
    </w:p>
    <w:p w:rsidR="00C233CF" w:rsidRPr="00D92428" w:rsidP="00D92428" w14:paraId="316C1F01" w14:textId="77777777">
      <w:pPr>
        <w:pStyle w:val="ListParagraph"/>
        <w:spacing w:after="0" w:line="240" w:lineRule="auto"/>
        <w:rPr>
          <w:rFonts w:ascii="Times New Roman" w:hAnsi="Times New Roman" w:cs="Times New Roman"/>
          <w:b/>
          <w:bCs/>
          <w:sz w:val="24"/>
          <w:szCs w:val="24"/>
          <w:u w:val="single"/>
        </w:rPr>
      </w:pPr>
    </w:p>
    <w:p w:rsidR="00C233CF" w:rsidRPr="00D92428" w:rsidP="00D92428" w14:paraId="3E4D0755" w14:textId="35691C72">
      <w:pPr>
        <w:pStyle w:val="ListParagraph"/>
        <w:numPr>
          <w:ilvl w:val="0"/>
          <w:numId w:val="7"/>
        </w:numPr>
        <w:spacing w:after="0" w:line="240" w:lineRule="auto"/>
        <w:rPr>
          <w:rFonts w:ascii="Times New Roman" w:hAnsi="Times New Roman" w:cs="Times New Roman"/>
          <w:b/>
          <w:bCs/>
          <w:color w:val="111111"/>
          <w:sz w:val="24"/>
          <w:szCs w:val="24"/>
          <w:u w:val="single"/>
        </w:rPr>
      </w:pPr>
      <w:r w:rsidRPr="00D92428">
        <w:rPr>
          <w:rFonts w:ascii="Times New Roman" w:hAnsi="Times New Roman" w:cs="Times New Roman"/>
          <w:b/>
          <w:bCs/>
          <w:sz w:val="24"/>
          <w:szCs w:val="24"/>
          <w:u w:val="single"/>
        </w:rPr>
        <w:t>First and Final Payments by Demographics</w:t>
      </w:r>
      <w:r w:rsidRPr="00D92428">
        <w:rPr>
          <w:rFonts w:ascii="Times New Roman" w:hAnsi="Times New Roman" w:cs="Times New Roman"/>
          <w:sz w:val="24"/>
          <w:szCs w:val="24"/>
        </w:rPr>
        <w:t xml:space="preserve">. Information on claimants receiving First Payments and Final Payments by Race or Ethnicity, Sex and/or Gender, and Level of Educational Attainment, will use the same definitions established by the ETA 203 report (OMB Control No. 1205-0009). Disclosing personal demographic information is entirely voluntary by the claimant and cannot be used for the purposes of establishing eligibility for benefits. Refer to the ETA 203 report instructions for specific definitions for these fields and more detailed information on the use of terms for each demographic category. </w:t>
      </w:r>
    </w:p>
    <w:p w:rsidR="00D92428" w:rsidP="00D92428" w14:paraId="2CFDD811" w14:textId="77777777">
      <w:pPr>
        <w:spacing w:after="0" w:line="240" w:lineRule="auto"/>
        <w:ind w:left="720"/>
        <w:jc w:val="both"/>
        <w:rPr>
          <w:rFonts w:ascii="Times New Roman" w:eastAsia="Times New Roman" w:hAnsi="Times New Roman" w:cs="Times New Roman"/>
          <w:sz w:val="24"/>
          <w:szCs w:val="24"/>
          <w:u w:val="single"/>
        </w:rPr>
      </w:pPr>
    </w:p>
    <w:p w:rsidR="00C233CF" w:rsidP="00D92428" w14:paraId="2C1F210C" w14:textId="555DE821">
      <w:pPr>
        <w:spacing w:after="0" w:line="240" w:lineRule="auto"/>
        <w:ind w:left="720"/>
        <w:jc w:val="both"/>
        <w:rPr>
          <w:rFonts w:ascii="Times New Roman" w:eastAsia="Times New Roman" w:hAnsi="Times New Roman" w:cs="Times New Roman"/>
          <w:sz w:val="24"/>
          <w:szCs w:val="24"/>
        </w:rPr>
      </w:pPr>
      <w:r w:rsidRPr="00D92428">
        <w:rPr>
          <w:rFonts w:ascii="Times New Roman" w:eastAsia="Times New Roman" w:hAnsi="Times New Roman" w:cs="Times New Roman"/>
          <w:sz w:val="24"/>
          <w:szCs w:val="24"/>
          <w:u w:val="single"/>
        </w:rPr>
        <w:t>First Payments:</w:t>
      </w:r>
      <w:r w:rsidRPr="00D92428">
        <w:rPr>
          <w:rFonts w:ascii="Times New Roman" w:eastAsia="Times New Roman" w:hAnsi="Times New Roman" w:cs="Times New Roman"/>
          <w:sz w:val="24"/>
          <w:szCs w:val="24"/>
        </w:rPr>
        <w:t xml:space="preserve"> Enter the total number of payments representing first weeks compensated in the benefit year, as reported in Section B and included under items 21, 24, and 25 combined. These counts should be broken out under each of the three demographic categories outlined below. The sum of first payments reported for </w:t>
      </w:r>
      <w:r w:rsidR="00D0197A">
        <w:rPr>
          <w:rFonts w:ascii="Times New Roman" w:eastAsia="Times New Roman" w:hAnsi="Times New Roman" w:cs="Times New Roman"/>
          <w:sz w:val="24"/>
          <w:szCs w:val="24"/>
        </w:rPr>
        <w:t xml:space="preserve">each of </w:t>
      </w:r>
      <w:r w:rsidRPr="00D92428">
        <w:rPr>
          <w:rFonts w:ascii="Times New Roman" w:eastAsia="Times New Roman" w:hAnsi="Times New Roman" w:cs="Times New Roman"/>
          <w:sz w:val="24"/>
          <w:szCs w:val="24"/>
        </w:rPr>
        <w:t xml:space="preserve">the three demographic categories should equal the sum of the figures reported under items 21, 24, </w:t>
      </w:r>
      <w:r w:rsidRPr="00D92428">
        <w:rPr>
          <w:rFonts w:ascii="Times New Roman" w:eastAsia="Times New Roman" w:hAnsi="Times New Roman" w:cs="Times New Roman"/>
          <w:sz w:val="24"/>
          <w:szCs w:val="24"/>
        </w:rPr>
        <w:t>and 25. There is no further breakout of demographic information by regular UI, UCFE, and UCX claimants.</w:t>
      </w:r>
    </w:p>
    <w:p w:rsidR="00D92428" w:rsidRPr="00D92428" w:rsidP="00D92428" w14:paraId="1C1A366E" w14:textId="77777777">
      <w:pPr>
        <w:spacing w:after="0" w:line="240" w:lineRule="auto"/>
        <w:ind w:left="720"/>
        <w:jc w:val="both"/>
        <w:rPr>
          <w:rFonts w:ascii="Times New Roman" w:eastAsia="Times New Roman" w:hAnsi="Times New Roman" w:cs="Times New Roman"/>
          <w:sz w:val="24"/>
          <w:szCs w:val="24"/>
        </w:rPr>
      </w:pPr>
    </w:p>
    <w:p w:rsidR="00C233CF" w:rsidP="00D92428" w14:paraId="6A4EE8E2" w14:textId="233138B5">
      <w:pPr>
        <w:spacing w:after="0" w:line="240" w:lineRule="auto"/>
        <w:ind w:left="720"/>
        <w:jc w:val="both"/>
        <w:rPr>
          <w:rFonts w:ascii="Times New Roman" w:eastAsia="Times New Roman" w:hAnsi="Times New Roman" w:cs="Times New Roman"/>
          <w:sz w:val="24"/>
          <w:szCs w:val="24"/>
        </w:rPr>
      </w:pPr>
      <w:r w:rsidRPr="00D92428">
        <w:rPr>
          <w:rFonts w:ascii="Times New Roman" w:eastAsia="Times New Roman" w:hAnsi="Times New Roman" w:cs="Times New Roman"/>
          <w:sz w:val="24"/>
          <w:szCs w:val="24"/>
          <w:u w:val="single"/>
        </w:rPr>
        <w:t>Final payments</w:t>
      </w:r>
      <w:r w:rsidRPr="00D92428">
        <w:rPr>
          <w:rFonts w:ascii="Times New Roman" w:eastAsia="Times New Roman" w:hAnsi="Times New Roman" w:cs="Times New Roman"/>
          <w:sz w:val="24"/>
          <w:szCs w:val="24"/>
        </w:rPr>
        <w:t xml:space="preserve">: Enter the number of final payments made to claimants as reported in Section B and included under items 26, 27, and 28 above. These amounts should be broken out under each of the three demographic categories outlined below. The sum of final payments reported for </w:t>
      </w:r>
      <w:r w:rsidR="00D0197A">
        <w:rPr>
          <w:rFonts w:ascii="Times New Roman" w:eastAsia="Times New Roman" w:hAnsi="Times New Roman" w:cs="Times New Roman"/>
          <w:sz w:val="24"/>
          <w:szCs w:val="24"/>
        </w:rPr>
        <w:t xml:space="preserve">each of </w:t>
      </w:r>
      <w:r w:rsidRPr="00D92428">
        <w:rPr>
          <w:rFonts w:ascii="Times New Roman" w:eastAsia="Times New Roman" w:hAnsi="Times New Roman" w:cs="Times New Roman"/>
          <w:sz w:val="24"/>
          <w:szCs w:val="24"/>
        </w:rPr>
        <w:t xml:space="preserve">the three demographic categories should equal the sum of the figures reported under items 26, 27, and 28. There is no further breakout of demographic information by regular UI, UCFE, and UCX claimants. </w:t>
      </w:r>
    </w:p>
    <w:p w:rsidR="00D92428" w:rsidRPr="00D92428" w:rsidP="00D92428" w14:paraId="0065D95E" w14:textId="77777777">
      <w:pPr>
        <w:spacing w:after="0" w:line="240" w:lineRule="auto"/>
        <w:ind w:left="720"/>
        <w:jc w:val="both"/>
        <w:rPr>
          <w:rFonts w:ascii="Times New Roman" w:eastAsia="Times New Roman" w:hAnsi="Times New Roman" w:cs="Times New Roman"/>
          <w:sz w:val="24"/>
          <w:szCs w:val="24"/>
        </w:rPr>
      </w:pPr>
    </w:p>
    <w:p w:rsidR="00372010" w:rsidRPr="00D92428" w:rsidP="00D92428" w14:paraId="1EFFEC6E" w14:textId="64EEFB05">
      <w:pPr>
        <w:pStyle w:val="ListParagraph"/>
        <w:numPr>
          <w:ilvl w:val="0"/>
          <w:numId w:val="7"/>
        </w:numPr>
        <w:spacing w:after="0" w:line="240" w:lineRule="auto"/>
        <w:jc w:val="both"/>
        <w:rPr>
          <w:rFonts w:ascii="Times New Roman" w:hAnsi="Times New Roman" w:cs="Times New Roman"/>
          <w:sz w:val="24"/>
          <w:szCs w:val="24"/>
        </w:rPr>
      </w:pPr>
      <w:r w:rsidRPr="00D92428">
        <w:rPr>
          <w:rFonts w:ascii="Times New Roman" w:hAnsi="Times New Roman" w:cs="Times New Roman"/>
          <w:b/>
          <w:bCs/>
          <w:sz w:val="24"/>
          <w:szCs w:val="24"/>
          <w:u w:val="single"/>
        </w:rPr>
        <w:t>Race or Ethnicity</w:t>
      </w:r>
      <w:r w:rsidRPr="00D92428">
        <w:rPr>
          <w:rFonts w:ascii="Times New Roman" w:hAnsi="Times New Roman" w:cs="Times New Roman"/>
          <w:b/>
          <w:bCs/>
          <w:sz w:val="24"/>
          <w:szCs w:val="24"/>
        </w:rPr>
        <w:t>.</w:t>
      </w:r>
      <w:r w:rsidRPr="00D92428">
        <w:rPr>
          <w:rFonts w:ascii="Times New Roman" w:hAnsi="Times New Roman" w:cs="Times New Roman"/>
          <w:sz w:val="24"/>
          <w:szCs w:val="24"/>
        </w:rPr>
        <w:t xml:space="preserve"> </w:t>
      </w:r>
      <w:r w:rsidRPr="00D92428">
        <w:rPr>
          <w:rFonts w:ascii="Times New Roman" w:hAnsi="Times New Roman" w:cs="Times New Roman"/>
          <w:sz w:val="24"/>
          <w:szCs w:val="24"/>
        </w:rPr>
        <w:t>The count of first payments (Line 400) and final payments (Line 401) made to claimants during the report period falling under each category (i.e., American Indian or Alaska Native; Asian; Black or African American; etc.). If state law prohibits identifying race or ethnic group on employment records, or if the claimant does not self-code, this information will have to be recorded as INA in the appropriate category. Please use the comments section to indicate if this unknown data is the result of a state law.</w:t>
      </w:r>
    </w:p>
    <w:p w:rsidR="00C233CF" w:rsidRPr="00D92428" w:rsidP="00D92428" w14:paraId="6FE3C2E4" w14:textId="77777777">
      <w:pPr>
        <w:pStyle w:val="ListParagraph"/>
        <w:spacing w:after="0" w:line="240" w:lineRule="auto"/>
        <w:rPr>
          <w:rFonts w:ascii="Times New Roman" w:hAnsi="Times New Roman" w:cs="Times New Roman"/>
          <w:sz w:val="24"/>
          <w:szCs w:val="24"/>
        </w:rPr>
      </w:pPr>
    </w:p>
    <w:p w:rsidR="00002D10" w:rsidRPr="00D92428" w:rsidP="00D92428" w14:paraId="71FC8D7C" w14:textId="305B0CFD">
      <w:pPr>
        <w:pStyle w:val="pf0"/>
        <w:spacing w:before="0" w:beforeAutospacing="0" w:after="0" w:afterAutospacing="0"/>
        <w:ind w:firstLine="720"/>
        <w:rPr>
          <w:b/>
          <w:bCs/>
        </w:rPr>
      </w:pPr>
      <w:r w:rsidRPr="00D92428">
        <w:rPr>
          <w:b/>
          <w:bCs/>
        </w:rPr>
        <w:t xml:space="preserve">What is your race or ethnicity? Select all that apply </w:t>
      </w:r>
      <w:r w:rsidRPr="00D92428">
        <w:t>or</w:t>
      </w:r>
      <w:r w:rsidRPr="00D92428">
        <w:rPr>
          <w:b/>
          <w:bCs/>
        </w:rPr>
        <w:t xml:space="preserve"> Mark all that apply:</w:t>
      </w:r>
    </w:p>
    <w:p w:rsidR="00002D10" w:rsidRPr="00D92428" w:rsidP="00D92428" w14:paraId="00CCB347" w14:textId="77777777">
      <w:pPr>
        <w:pStyle w:val="pf0"/>
        <w:spacing w:before="0" w:beforeAutospacing="0" w:after="0" w:afterAutospacing="0"/>
      </w:pPr>
    </w:p>
    <w:p w:rsidR="00002D10" w:rsidRPr="00D92428" w:rsidP="00D92428" w14:paraId="48066D8E" w14:textId="77777777">
      <w:pPr>
        <w:autoSpaceDE w:val="0"/>
        <w:autoSpaceDN w:val="0"/>
        <w:adjustRightInd w:val="0"/>
        <w:spacing w:after="0" w:line="240" w:lineRule="auto"/>
        <w:ind w:left="720"/>
        <w:rPr>
          <w:rFonts w:ascii="Times New Roman" w:hAnsi="Times New Roman" w:cs="Times New Roman"/>
          <w:color w:val="212121"/>
          <w:sz w:val="24"/>
          <w:szCs w:val="24"/>
        </w:rPr>
      </w:pPr>
      <w:r w:rsidRPr="00D92428">
        <w:rPr>
          <w:rFonts w:ascii="Times New Roman" w:hAnsi="Times New Roman" w:cs="Times New Roman"/>
          <w:color w:val="212121"/>
          <w:sz w:val="24"/>
          <w:szCs w:val="24"/>
        </w:rPr>
        <w:t xml:space="preserve">American Indian or Alaska Native: </w:t>
      </w:r>
      <w:bookmarkStart w:id="1" w:name="_Hlk164953914"/>
      <w:r w:rsidRPr="00D92428">
        <w:rPr>
          <w:rFonts w:ascii="Times New Roman" w:hAnsi="Times New Roman" w:cs="Times New Roman"/>
          <w:color w:val="212121"/>
          <w:sz w:val="24"/>
          <w:szCs w:val="24"/>
        </w:rPr>
        <w:t>a person having origins in any of the original peoples of North, Central, or South America. Including, for example, Navajo Nation, Blackfeet Tribe, Native Village of the Barrow Inupiat Traditional Government, Nome Eskimo Community, Aztec, Mayan, etc.</w:t>
      </w:r>
      <w:bookmarkEnd w:id="1"/>
    </w:p>
    <w:p w:rsidR="00002D10" w:rsidRPr="00D92428" w:rsidP="00D92428" w14:paraId="39A5B45C"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002D10" w:rsidRPr="00D92428" w:rsidP="00D92428" w14:paraId="2504EF36" w14:textId="77777777">
      <w:pPr>
        <w:autoSpaceDE w:val="0"/>
        <w:autoSpaceDN w:val="0"/>
        <w:adjustRightInd w:val="0"/>
        <w:spacing w:after="0" w:line="240" w:lineRule="auto"/>
        <w:ind w:left="720"/>
        <w:rPr>
          <w:rFonts w:ascii="Times New Roman" w:hAnsi="Times New Roman" w:cs="Times New Roman"/>
          <w:color w:val="212121"/>
          <w:sz w:val="24"/>
          <w:szCs w:val="24"/>
        </w:rPr>
      </w:pPr>
      <w:r w:rsidRPr="00D92428">
        <w:rPr>
          <w:rFonts w:ascii="Times New Roman" w:hAnsi="Times New Roman" w:cs="Times New Roman"/>
          <w:color w:val="212121"/>
          <w:sz w:val="24"/>
          <w:szCs w:val="24"/>
        </w:rPr>
        <w:t>Asian: a person having origins in any of the original peoples of Central or East Asia, and South Asia. Including, for example, Chinese, Asian Indian, Japanese, Korean, Filipino, Vietnamese, etc.</w:t>
      </w:r>
    </w:p>
    <w:p w:rsidR="00002D10" w:rsidRPr="00D92428" w:rsidP="00D92428" w14:paraId="4959B086"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002D10" w:rsidRPr="00D92428" w:rsidP="00D92428" w14:paraId="10D5F094" w14:textId="77777777">
      <w:pPr>
        <w:autoSpaceDE w:val="0"/>
        <w:autoSpaceDN w:val="0"/>
        <w:adjustRightInd w:val="0"/>
        <w:spacing w:after="0" w:line="240" w:lineRule="auto"/>
        <w:ind w:left="720"/>
        <w:rPr>
          <w:rFonts w:ascii="Times New Roman" w:hAnsi="Times New Roman" w:cs="Times New Roman"/>
          <w:color w:val="212121"/>
          <w:sz w:val="24"/>
          <w:szCs w:val="24"/>
        </w:rPr>
      </w:pPr>
      <w:r w:rsidRPr="00D92428">
        <w:rPr>
          <w:rFonts w:ascii="Times New Roman" w:hAnsi="Times New Roman" w:cs="Times New Roman"/>
          <w:color w:val="212121"/>
          <w:sz w:val="24"/>
          <w:szCs w:val="24"/>
        </w:rPr>
        <w:t>Black or African American: a person having origins in any of the Black racial groups of Africa. Including, for example, African American, Jamaican, Haitian, Nigerian, Ethiopian, Somali, etc.</w:t>
      </w:r>
    </w:p>
    <w:p w:rsidR="00002D10" w:rsidRPr="00D92428" w:rsidP="00D92428" w14:paraId="7A7B26D1"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002D10" w:rsidRPr="00D92428" w:rsidP="00D92428" w14:paraId="618D23F3" w14:textId="77777777">
      <w:pPr>
        <w:pStyle w:val="BodyText"/>
        <w:ind w:left="720"/>
        <w:rPr>
          <w:sz w:val="24"/>
          <w:szCs w:val="24"/>
        </w:rPr>
      </w:pPr>
      <w:r w:rsidRPr="00D92428">
        <w:rPr>
          <w:sz w:val="24"/>
          <w:szCs w:val="24"/>
        </w:rPr>
        <w:t xml:space="preserve">Hispanic/Latino(a): a </w:t>
      </w:r>
      <w:r w:rsidRPr="00D92428">
        <w:rPr>
          <w:color w:val="333333"/>
          <w:sz w:val="24"/>
          <w:szCs w:val="24"/>
          <w:shd w:val="clear" w:color="auto" w:fill="FFFFFF"/>
        </w:rPr>
        <w:t xml:space="preserve">person of Cuban, Mexican, Puerto Rican, South or Central American, or other Spanish culture or origin. </w:t>
      </w:r>
      <w:r w:rsidRPr="00D92428">
        <w:rPr>
          <w:color w:val="212121"/>
          <w:sz w:val="24"/>
          <w:szCs w:val="24"/>
        </w:rPr>
        <w:t xml:space="preserve">Including, for example, </w:t>
      </w:r>
      <w:r w:rsidRPr="00D92428">
        <w:rPr>
          <w:color w:val="333333"/>
          <w:sz w:val="24"/>
          <w:szCs w:val="24"/>
          <w:shd w:val="clear" w:color="auto" w:fill="FFFFFF"/>
        </w:rPr>
        <w:t>Dominican, Guatemalan, Colombian, Honduran, Spaniard, Salvadoran, etc.</w:t>
      </w:r>
    </w:p>
    <w:p w:rsidR="00002D10" w:rsidRPr="00D92428" w:rsidP="00D92428" w14:paraId="7EA8FD36"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002D10" w:rsidRPr="00D92428" w:rsidP="00D92428" w14:paraId="0AFC7285" w14:textId="77777777">
      <w:pPr>
        <w:autoSpaceDE w:val="0"/>
        <w:autoSpaceDN w:val="0"/>
        <w:adjustRightInd w:val="0"/>
        <w:spacing w:after="0" w:line="240" w:lineRule="auto"/>
        <w:ind w:left="720"/>
        <w:rPr>
          <w:rFonts w:ascii="Times New Roman" w:hAnsi="Times New Roman" w:cs="Times New Roman"/>
          <w:color w:val="212121"/>
          <w:sz w:val="24"/>
          <w:szCs w:val="24"/>
        </w:rPr>
      </w:pPr>
      <w:r w:rsidRPr="00D92428">
        <w:rPr>
          <w:rFonts w:ascii="Times New Roman" w:hAnsi="Times New Roman" w:cs="Times New Roman"/>
          <w:color w:val="212121"/>
          <w:sz w:val="24"/>
          <w:szCs w:val="24"/>
        </w:rPr>
        <w:t xml:space="preserve">Middle Eastern or North African: a person having origins in any of the original peoples of the Middle East or North Africa. Including, for example, Egypt, Lebanon, Jordan, Syria, Morocco, Algeria, etc. </w:t>
      </w:r>
    </w:p>
    <w:p w:rsidR="00002D10" w:rsidRPr="00D92428" w:rsidP="00D92428" w14:paraId="11C2189C"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002D10" w:rsidRPr="00D92428" w:rsidP="00D92428" w14:paraId="5E36C64D" w14:textId="77777777">
      <w:pPr>
        <w:autoSpaceDE w:val="0"/>
        <w:autoSpaceDN w:val="0"/>
        <w:adjustRightInd w:val="0"/>
        <w:spacing w:after="0" w:line="240" w:lineRule="auto"/>
        <w:ind w:left="720"/>
        <w:rPr>
          <w:rFonts w:ascii="Times New Roman" w:hAnsi="Times New Roman" w:cs="Times New Roman"/>
          <w:color w:val="212121"/>
          <w:sz w:val="24"/>
          <w:szCs w:val="24"/>
        </w:rPr>
      </w:pPr>
      <w:r w:rsidRPr="00D92428">
        <w:rPr>
          <w:rFonts w:ascii="Times New Roman" w:hAnsi="Times New Roman" w:cs="Times New Roman"/>
          <w:color w:val="212121"/>
          <w:sz w:val="24"/>
          <w:szCs w:val="24"/>
        </w:rPr>
        <w:t>Native Hawaiian or Pacific Islander: a person having origins in any of the original peoples of Hawaii, Guam, Samoa, or other Pacific islands. Including, for example, Native Hawaiian, Tongan, Fijian, Samoan, Chamorro, Marshallese, etc.</w:t>
      </w:r>
    </w:p>
    <w:p w:rsidR="00002D10" w:rsidRPr="00D92428" w:rsidP="00D92428" w14:paraId="76626990"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002D10" w:rsidRPr="00D92428" w:rsidP="00D92428" w14:paraId="3878A13D" w14:textId="77777777">
      <w:pPr>
        <w:autoSpaceDE w:val="0"/>
        <w:autoSpaceDN w:val="0"/>
        <w:adjustRightInd w:val="0"/>
        <w:spacing w:after="0" w:line="240" w:lineRule="auto"/>
        <w:ind w:left="720"/>
        <w:rPr>
          <w:rFonts w:ascii="Times New Roman" w:hAnsi="Times New Roman" w:cs="Times New Roman"/>
          <w:color w:val="212121"/>
          <w:sz w:val="24"/>
          <w:szCs w:val="24"/>
        </w:rPr>
      </w:pPr>
      <w:r w:rsidRPr="00D92428">
        <w:rPr>
          <w:rFonts w:ascii="Times New Roman" w:hAnsi="Times New Roman" w:cs="Times New Roman"/>
          <w:color w:val="212121"/>
          <w:sz w:val="24"/>
          <w:szCs w:val="24"/>
        </w:rPr>
        <w:t>White: a person having origins in any of the original peoples of Europe. Including, for example, Ireland, Poland, Germany, France, Italy, Sweden, etc.</w:t>
      </w:r>
    </w:p>
    <w:p w:rsidR="00002D10" w:rsidRPr="00D92428" w:rsidP="00D92428" w14:paraId="39F584D0" w14:textId="77777777">
      <w:pPr>
        <w:autoSpaceDE w:val="0"/>
        <w:autoSpaceDN w:val="0"/>
        <w:adjustRightInd w:val="0"/>
        <w:spacing w:after="0" w:line="240" w:lineRule="auto"/>
        <w:ind w:left="720"/>
        <w:rPr>
          <w:rFonts w:ascii="Times New Roman" w:hAnsi="Times New Roman" w:cs="Times New Roman"/>
          <w:color w:val="212121"/>
          <w:sz w:val="24"/>
          <w:szCs w:val="24"/>
        </w:rPr>
      </w:pPr>
      <w:r w:rsidRPr="00D92428">
        <w:rPr>
          <w:rFonts w:ascii="Times New Roman" w:hAnsi="Times New Roman" w:cs="Times New Roman"/>
          <w:color w:val="212121"/>
          <w:sz w:val="24"/>
          <w:szCs w:val="24"/>
        </w:rPr>
        <w:t>Multiracial/Multiethnic: a person having origins in any of the different racial or ethnic groups as defined in the preceding categories that are aggregated into this report category when respondents select or mark all that apply.</w:t>
      </w:r>
    </w:p>
    <w:p w:rsidR="00002D10" w:rsidRPr="00D92428" w:rsidP="00D92428" w14:paraId="1AF4E360"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C233CF" w:rsidRPr="00D92428" w:rsidP="00D92428" w14:paraId="473B112A" w14:textId="77777777">
      <w:pPr>
        <w:autoSpaceDE w:val="0"/>
        <w:autoSpaceDN w:val="0"/>
        <w:adjustRightInd w:val="0"/>
        <w:spacing w:after="0" w:line="240" w:lineRule="auto"/>
        <w:ind w:left="720"/>
        <w:rPr>
          <w:rFonts w:ascii="Times New Roman" w:hAnsi="Times New Roman" w:cs="Times New Roman"/>
          <w:color w:val="212121"/>
          <w:sz w:val="24"/>
          <w:szCs w:val="24"/>
        </w:rPr>
      </w:pPr>
      <w:r w:rsidRPr="00D92428">
        <w:rPr>
          <w:rFonts w:ascii="Times New Roman" w:hAnsi="Times New Roman" w:cs="Times New Roman"/>
          <w:color w:val="212121"/>
          <w:sz w:val="24"/>
          <w:szCs w:val="24"/>
        </w:rPr>
        <w:t>Information Not Available (INA): Left blank, no answer provided.</w:t>
      </w:r>
    </w:p>
    <w:p w:rsidR="00C233CF" w:rsidRPr="00D92428" w:rsidP="00D92428" w14:paraId="00EED511" w14:textId="77777777">
      <w:pPr>
        <w:autoSpaceDE w:val="0"/>
        <w:autoSpaceDN w:val="0"/>
        <w:adjustRightInd w:val="0"/>
        <w:spacing w:after="0" w:line="240" w:lineRule="auto"/>
        <w:ind w:left="720"/>
        <w:rPr>
          <w:rFonts w:ascii="Times New Roman" w:hAnsi="Times New Roman" w:cs="Times New Roman"/>
          <w:color w:val="212121"/>
          <w:sz w:val="24"/>
          <w:szCs w:val="24"/>
        </w:rPr>
      </w:pPr>
    </w:p>
    <w:p w:rsidR="00C233CF" w:rsidRPr="00D92428" w:rsidP="00D92428" w14:paraId="0666C2AA" w14:textId="0ED76423">
      <w:pPr>
        <w:pStyle w:val="ListParagraph"/>
        <w:numPr>
          <w:ilvl w:val="0"/>
          <w:numId w:val="7"/>
        </w:numPr>
        <w:autoSpaceDE w:val="0"/>
        <w:autoSpaceDN w:val="0"/>
        <w:adjustRightInd w:val="0"/>
        <w:spacing w:after="0" w:line="240" w:lineRule="auto"/>
        <w:ind w:left="90"/>
        <w:rPr>
          <w:rFonts w:ascii="Times New Roman" w:hAnsi="Times New Roman" w:cs="Times New Roman"/>
          <w:color w:val="212121"/>
          <w:sz w:val="24"/>
          <w:szCs w:val="24"/>
        </w:rPr>
      </w:pPr>
      <w:r w:rsidRPr="00D92428">
        <w:rPr>
          <w:rFonts w:ascii="Times New Roman" w:hAnsi="Times New Roman" w:cs="Times New Roman"/>
          <w:b/>
          <w:bCs/>
          <w:sz w:val="24"/>
          <w:szCs w:val="24"/>
          <w:u w:val="single"/>
        </w:rPr>
        <w:t>Sex and/or Gender</w:t>
      </w:r>
      <w:r w:rsidRPr="00D92428">
        <w:rPr>
          <w:rFonts w:ascii="Times New Roman" w:hAnsi="Times New Roman" w:cs="Times New Roman"/>
          <w:b/>
          <w:bCs/>
          <w:sz w:val="24"/>
          <w:szCs w:val="24"/>
        </w:rPr>
        <w:t>.</w:t>
      </w:r>
      <w:r w:rsidRPr="00D92428">
        <w:rPr>
          <w:rFonts w:ascii="Times New Roman" w:hAnsi="Times New Roman" w:cs="Times New Roman"/>
          <w:sz w:val="24"/>
          <w:szCs w:val="24"/>
        </w:rPr>
        <w:t xml:space="preserve"> </w:t>
      </w:r>
      <w:r w:rsidRPr="00D92428" w:rsidR="00372010">
        <w:rPr>
          <w:rFonts w:ascii="Times New Roman" w:eastAsia="Calibri" w:hAnsi="Times New Roman" w:cs="Times New Roman"/>
          <w:sz w:val="24"/>
          <w:szCs w:val="24"/>
        </w:rPr>
        <w:t>The count of first payments (Line 500) and final payments (Line 501) made to claimants during the report period under each category. Sex is a biological category based on reproductive, anatomical, and genetic characteristics. Gender is a person’s sense of being. This identity is not necessarily visible to others. This information is self-selected by the claimant on the initial claim application. “Please select: Male (M), Female (F), or Another Gender Identity/Non-binary (X).” If the claimant does not self-select, this information will be recorded as Information Not Available (INA) in the appropriate category.</w:t>
      </w:r>
    </w:p>
    <w:p w:rsidR="001A2929" w:rsidRPr="00D92428" w:rsidP="00D92428" w14:paraId="3F7B530A" w14:textId="77777777">
      <w:pPr>
        <w:pStyle w:val="Default"/>
      </w:pPr>
    </w:p>
    <w:p w:rsidR="00372010" w:rsidRPr="00D92428" w:rsidP="00D92428" w14:paraId="58F57ABC" w14:textId="782956AC">
      <w:pPr>
        <w:pStyle w:val="ListParagraph"/>
        <w:numPr>
          <w:ilvl w:val="0"/>
          <w:numId w:val="7"/>
        </w:numPr>
        <w:spacing w:after="0" w:line="240" w:lineRule="auto"/>
        <w:ind w:left="90"/>
        <w:rPr>
          <w:rFonts w:ascii="Times New Roman" w:hAnsi="Times New Roman" w:cs="Times New Roman"/>
          <w:sz w:val="24"/>
          <w:szCs w:val="24"/>
        </w:rPr>
      </w:pPr>
      <w:r w:rsidRPr="00D92428">
        <w:rPr>
          <w:rFonts w:ascii="Times New Roman" w:hAnsi="Times New Roman" w:cs="Times New Roman"/>
          <w:b/>
          <w:bCs/>
          <w:sz w:val="24"/>
          <w:szCs w:val="24"/>
          <w:u w:val="single"/>
        </w:rPr>
        <w:t>Level of Educational Attainment</w:t>
      </w:r>
      <w:r w:rsidRPr="00D92428">
        <w:rPr>
          <w:rFonts w:ascii="Times New Roman" w:hAnsi="Times New Roman" w:cs="Times New Roman"/>
          <w:sz w:val="24"/>
          <w:szCs w:val="24"/>
        </w:rPr>
        <w:t xml:space="preserve">. </w:t>
      </w:r>
      <w:r w:rsidRPr="00D92428">
        <w:rPr>
          <w:rFonts w:ascii="Times New Roman" w:hAnsi="Times New Roman" w:cs="Times New Roman"/>
          <w:sz w:val="24"/>
          <w:szCs w:val="24"/>
        </w:rPr>
        <w:t>The count of first payments (Line 600) and final payments (Line 601) made to claimants during the report period based on the claimant reported highest level of educational attainment in each category (i.e., Less than a High School Diploma, High School Diploma or GED, Some College, etc.,).</w:t>
      </w:r>
    </w:p>
    <w:p w:rsidR="001A2929" w:rsidRPr="00D92428" w:rsidP="00D92428" w14:paraId="266EA612" w14:textId="77777777">
      <w:pPr>
        <w:spacing w:after="0" w:line="240" w:lineRule="auto"/>
        <w:rPr>
          <w:rFonts w:ascii="Times New Roman" w:hAnsi="Times New Roman" w:cs="Times New Roman"/>
          <w:sz w:val="24"/>
          <w:szCs w:val="24"/>
        </w:rPr>
      </w:pPr>
    </w:p>
    <w:p w:rsidR="001A2929" w:rsidRPr="00D92428" w:rsidP="00D92428" w14:paraId="7DE5D98D" w14:textId="77777777">
      <w:pPr>
        <w:spacing w:after="0" w:line="240" w:lineRule="auto"/>
        <w:rPr>
          <w:rFonts w:ascii="Times New Roman" w:hAnsi="Times New Roman" w:cs="Times New Roman"/>
          <w:sz w:val="24"/>
          <w:szCs w:val="24"/>
        </w:rPr>
      </w:pPr>
      <w:r w:rsidRPr="00D92428">
        <w:rPr>
          <w:rFonts w:ascii="Times New Roman" w:hAnsi="Times New Roman" w:cs="Times New Roman"/>
          <w:sz w:val="24"/>
          <w:szCs w:val="24"/>
        </w:rPr>
        <w:tab/>
        <w:t>Some high school, no diploma or the equivalent</w:t>
      </w:r>
    </w:p>
    <w:p w:rsidR="001A2929" w:rsidRPr="00D92428" w:rsidP="00D92428" w14:paraId="75D7EE54" w14:textId="77777777">
      <w:pPr>
        <w:spacing w:after="0" w:line="240" w:lineRule="auto"/>
        <w:rPr>
          <w:rFonts w:ascii="Times New Roman" w:hAnsi="Times New Roman" w:cs="Times New Roman"/>
          <w:sz w:val="24"/>
          <w:szCs w:val="24"/>
        </w:rPr>
      </w:pPr>
    </w:p>
    <w:p w:rsidR="001A2929" w:rsidRPr="00D92428" w:rsidP="00D92428" w14:paraId="77DF134F" w14:textId="77777777">
      <w:pPr>
        <w:spacing w:after="0" w:line="240" w:lineRule="auto"/>
        <w:rPr>
          <w:rFonts w:ascii="Times New Roman" w:hAnsi="Times New Roman" w:cs="Times New Roman"/>
          <w:sz w:val="24"/>
          <w:szCs w:val="24"/>
        </w:rPr>
      </w:pPr>
      <w:r w:rsidRPr="00D92428">
        <w:rPr>
          <w:rFonts w:ascii="Times New Roman" w:hAnsi="Times New Roman" w:cs="Times New Roman"/>
          <w:sz w:val="24"/>
          <w:szCs w:val="24"/>
        </w:rPr>
        <w:tab/>
        <w:t>High School Diploma/GED</w:t>
      </w:r>
    </w:p>
    <w:p w:rsidR="001A2929" w:rsidRPr="00D92428" w:rsidP="00D92428" w14:paraId="43F4B536" w14:textId="77777777">
      <w:pPr>
        <w:spacing w:after="0" w:line="240" w:lineRule="auto"/>
        <w:rPr>
          <w:rFonts w:ascii="Times New Roman" w:hAnsi="Times New Roman" w:cs="Times New Roman"/>
          <w:sz w:val="24"/>
          <w:szCs w:val="24"/>
        </w:rPr>
      </w:pPr>
    </w:p>
    <w:p w:rsidR="001A2929" w:rsidRPr="00D92428" w:rsidP="00D92428" w14:paraId="1DD8A7AB" w14:textId="77777777">
      <w:pPr>
        <w:spacing w:after="0" w:line="240" w:lineRule="auto"/>
        <w:rPr>
          <w:rFonts w:ascii="Times New Roman" w:hAnsi="Times New Roman" w:cs="Times New Roman"/>
          <w:sz w:val="24"/>
          <w:szCs w:val="24"/>
        </w:rPr>
      </w:pPr>
      <w:r w:rsidRPr="00D92428">
        <w:rPr>
          <w:rFonts w:ascii="Times New Roman" w:hAnsi="Times New Roman" w:cs="Times New Roman"/>
          <w:sz w:val="24"/>
          <w:szCs w:val="24"/>
        </w:rPr>
        <w:tab/>
        <w:t>Trade/Technical/Vocational School or Certification: Occupational or vocational program</w:t>
      </w:r>
    </w:p>
    <w:p w:rsidR="001A2929" w:rsidRPr="00D92428" w:rsidP="00D92428" w14:paraId="1BA516CD" w14:textId="77777777">
      <w:pPr>
        <w:spacing w:after="0" w:line="240" w:lineRule="auto"/>
        <w:rPr>
          <w:rFonts w:ascii="Times New Roman" w:hAnsi="Times New Roman" w:cs="Times New Roman"/>
          <w:sz w:val="24"/>
          <w:szCs w:val="24"/>
        </w:rPr>
      </w:pPr>
    </w:p>
    <w:p w:rsidR="001A2929" w:rsidRPr="00D92428" w:rsidP="00D92428" w14:paraId="27687B7C" w14:textId="77777777">
      <w:pPr>
        <w:pStyle w:val="Default"/>
        <w:ind w:firstLine="720"/>
      </w:pPr>
      <w:r w:rsidRPr="00D92428">
        <w:t xml:space="preserve">Some college but no degree </w:t>
      </w:r>
    </w:p>
    <w:p w:rsidR="001A2929" w:rsidRPr="00D92428" w:rsidP="00D92428" w14:paraId="6E5602AF" w14:textId="77777777">
      <w:pPr>
        <w:pStyle w:val="Default"/>
        <w:ind w:firstLine="720"/>
      </w:pPr>
    </w:p>
    <w:p w:rsidR="001A2929" w:rsidRPr="00D92428" w:rsidP="00D92428" w14:paraId="74B1EE14" w14:textId="77777777">
      <w:pPr>
        <w:pStyle w:val="Default"/>
        <w:ind w:firstLine="720"/>
      </w:pPr>
      <w:r w:rsidRPr="00D92428">
        <w:t>Associate’s degree – Academic program in college</w:t>
      </w:r>
    </w:p>
    <w:p w:rsidR="001A2929" w:rsidRPr="00D92428" w:rsidP="00D92428" w14:paraId="690774DE" w14:textId="77777777">
      <w:pPr>
        <w:pStyle w:val="Default"/>
        <w:ind w:firstLine="720"/>
      </w:pPr>
    </w:p>
    <w:p w:rsidR="001A2929" w:rsidRPr="00D92428" w:rsidP="00D92428" w14:paraId="5E1B4F60" w14:textId="77777777">
      <w:pPr>
        <w:pStyle w:val="Default"/>
        <w:ind w:firstLine="720"/>
      </w:pPr>
      <w:r w:rsidRPr="00D92428">
        <w:t>Bachelor’s degree – Four-year degree (For example: BA, BS)</w:t>
      </w:r>
    </w:p>
    <w:p w:rsidR="001A2929" w:rsidRPr="00D92428" w:rsidP="00D92428" w14:paraId="58C0F0D6" w14:textId="77777777">
      <w:pPr>
        <w:pStyle w:val="Default"/>
        <w:ind w:firstLine="720"/>
      </w:pPr>
    </w:p>
    <w:p w:rsidR="001A2929" w:rsidRPr="00D92428" w:rsidP="00D92428" w14:paraId="7CE42F36" w14:textId="77777777">
      <w:pPr>
        <w:pStyle w:val="Default"/>
        <w:ind w:firstLine="720"/>
      </w:pPr>
      <w:r w:rsidRPr="00D92428">
        <w:t xml:space="preserve">Master's degree (For example: MA, MS, MSW, MBA) </w:t>
      </w:r>
    </w:p>
    <w:p w:rsidR="001A2929" w:rsidRPr="00D92428" w:rsidP="00D92428" w14:paraId="58F412EB" w14:textId="77777777">
      <w:pPr>
        <w:spacing w:after="0" w:line="240" w:lineRule="auto"/>
        <w:ind w:firstLine="720"/>
        <w:rPr>
          <w:rFonts w:ascii="Times New Roman" w:hAnsi="Times New Roman" w:cs="Times New Roman"/>
          <w:sz w:val="24"/>
          <w:szCs w:val="24"/>
        </w:rPr>
      </w:pPr>
    </w:p>
    <w:p w:rsidR="001A2929" w:rsidRPr="00D92428" w:rsidP="00D92428" w14:paraId="26869538" w14:textId="77777777">
      <w:pPr>
        <w:spacing w:after="0" w:line="240" w:lineRule="auto"/>
        <w:ind w:firstLine="720"/>
        <w:rPr>
          <w:rFonts w:ascii="Times New Roman" w:hAnsi="Times New Roman" w:cs="Times New Roman"/>
          <w:sz w:val="24"/>
          <w:szCs w:val="24"/>
        </w:rPr>
      </w:pPr>
      <w:r w:rsidRPr="00D92428">
        <w:rPr>
          <w:rFonts w:ascii="Times New Roman" w:hAnsi="Times New Roman" w:cs="Times New Roman"/>
          <w:sz w:val="24"/>
          <w:szCs w:val="24"/>
        </w:rPr>
        <w:t>Doctorate/Advanced degree (For example: PhD, MD, DDS, JD)</w:t>
      </w:r>
    </w:p>
    <w:p w:rsidR="008F5D8C" w:rsidRPr="00D92428" w:rsidP="00D92428" w14:paraId="1A6CF155" w14:textId="77777777">
      <w:pPr>
        <w:spacing w:after="0" w:line="240" w:lineRule="auto"/>
        <w:ind w:firstLine="720"/>
        <w:rPr>
          <w:rFonts w:ascii="Times New Roman" w:hAnsi="Times New Roman" w:cs="Times New Roman"/>
          <w:sz w:val="24"/>
          <w:szCs w:val="24"/>
        </w:rPr>
      </w:pPr>
    </w:p>
    <w:p w:rsidR="008F5D8C" w:rsidRPr="00D92428" w:rsidP="00D92428" w14:paraId="06A2D4BB" w14:textId="77777777">
      <w:pPr>
        <w:autoSpaceDE w:val="0"/>
        <w:autoSpaceDN w:val="0"/>
        <w:adjustRightInd w:val="0"/>
        <w:spacing w:after="0" w:line="240" w:lineRule="auto"/>
        <w:ind w:left="720"/>
        <w:rPr>
          <w:rFonts w:ascii="Times New Roman" w:hAnsi="Times New Roman" w:cs="Times New Roman"/>
          <w:color w:val="212121"/>
          <w:sz w:val="24"/>
          <w:szCs w:val="24"/>
        </w:rPr>
      </w:pPr>
      <w:r w:rsidRPr="00D92428">
        <w:rPr>
          <w:rFonts w:ascii="Times New Roman" w:hAnsi="Times New Roman" w:cs="Times New Roman"/>
          <w:color w:val="212121"/>
          <w:sz w:val="24"/>
          <w:szCs w:val="24"/>
        </w:rPr>
        <w:t>Information Not Available (INA): Left blank, no answer provided.</w:t>
      </w:r>
    </w:p>
    <w:p w:rsidR="008F5D8C" w:rsidRPr="00D92428" w:rsidP="00D92428" w14:paraId="5AE7B8A1" w14:textId="77777777">
      <w:pPr>
        <w:spacing w:after="0" w:line="240" w:lineRule="auto"/>
        <w:ind w:firstLine="720"/>
        <w:rPr>
          <w:rFonts w:ascii="Times New Roman" w:hAnsi="Times New Roman" w:cs="Times New Roman"/>
          <w:sz w:val="24"/>
          <w:szCs w:val="24"/>
        </w:rPr>
      </w:pPr>
    </w:p>
    <w:p w:rsidR="001A2929" w:rsidRPr="00D92428" w:rsidP="00D92428" w14:paraId="141742A3" w14:textId="77777777">
      <w:pPr>
        <w:spacing w:after="0" w:line="240" w:lineRule="auto"/>
        <w:ind w:firstLine="72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B02B62"/>
    <w:multiLevelType w:val="hybridMultilevel"/>
    <w:tmpl w:val="0E705C94"/>
    <w:lvl w:ilvl="0">
      <w:start w:val="1"/>
      <w:numFmt w:val="decimal"/>
      <w:lvlText w:val="%1."/>
      <w:lvlJc w:val="left"/>
      <w:pPr>
        <w:ind w:left="450" w:hanging="360"/>
      </w:pPr>
      <w:rPr>
        <w:rFonts w:hint="default"/>
        <w:b w:val="0"/>
        <w:bCs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171235AF"/>
    <w:multiLevelType w:val="hybridMultilevel"/>
    <w:tmpl w:val="266C612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D31099"/>
    <w:multiLevelType w:val="hybridMultilevel"/>
    <w:tmpl w:val="D4F66AA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862631"/>
    <w:multiLevelType w:val="hybridMultilevel"/>
    <w:tmpl w:val="DE4460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CF5A1A"/>
    <w:multiLevelType w:val="hybridMultilevel"/>
    <w:tmpl w:val="D736BC7C"/>
    <w:lvl w:ilvl="0">
      <w:start w:val="2"/>
      <w:numFmt w:val="decimal"/>
      <w:lvlText w:val="%1."/>
      <w:lvlJc w:val="left"/>
      <w:pPr>
        <w:ind w:left="45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nsid w:val="7B8E448B"/>
    <w:multiLevelType w:val="hybridMultilevel"/>
    <w:tmpl w:val="633EAB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8493748">
    <w:abstractNumId w:val="3"/>
  </w:num>
  <w:num w:numId="2" w16cid:durableId="2028020554">
    <w:abstractNumId w:val="1"/>
  </w:num>
  <w:num w:numId="3" w16cid:durableId="1627079077">
    <w:abstractNumId w:val="2"/>
  </w:num>
  <w:num w:numId="4" w16cid:durableId="1533566166">
    <w:abstractNumId w:val="4"/>
  </w:num>
  <w:num w:numId="5" w16cid:durableId="1418746982">
    <w:abstractNumId w:val="6"/>
  </w:num>
  <w:num w:numId="6" w16cid:durableId="454951296">
    <w:abstractNumId w:val="5"/>
  </w:num>
  <w:num w:numId="7" w16cid:durableId="165688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79"/>
    <w:rsid w:val="00002D10"/>
    <w:rsid w:val="0014167E"/>
    <w:rsid w:val="00164DC0"/>
    <w:rsid w:val="001A2929"/>
    <w:rsid w:val="00372010"/>
    <w:rsid w:val="00416F9A"/>
    <w:rsid w:val="0042196E"/>
    <w:rsid w:val="004326E0"/>
    <w:rsid w:val="004A0B7A"/>
    <w:rsid w:val="005403EB"/>
    <w:rsid w:val="005D3253"/>
    <w:rsid w:val="006E20F4"/>
    <w:rsid w:val="0077207C"/>
    <w:rsid w:val="007F5000"/>
    <w:rsid w:val="0082003C"/>
    <w:rsid w:val="008F5D8C"/>
    <w:rsid w:val="00970479"/>
    <w:rsid w:val="009D012A"/>
    <w:rsid w:val="00A33F07"/>
    <w:rsid w:val="00BD70A4"/>
    <w:rsid w:val="00BE3F5D"/>
    <w:rsid w:val="00C233CF"/>
    <w:rsid w:val="00C432B4"/>
    <w:rsid w:val="00CF278D"/>
    <w:rsid w:val="00D0197A"/>
    <w:rsid w:val="00D420EF"/>
    <w:rsid w:val="00D92428"/>
    <w:rsid w:val="00E3420C"/>
    <w:rsid w:val="00E61BB7"/>
    <w:rsid w:val="00EC18C6"/>
    <w:rsid w:val="00FD55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4DC01D"/>
  <w15:chartTrackingRefBased/>
  <w15:docId w15:val="{BF05E9B7-F0DD-48AF-A138-B4A1FEA6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47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047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f01">
    <w:name w:val="cf01"/>
    <w:basedOn w:val="DefaultParagraphFont"/>
    <w:rsid w:val="00970479"/>
    <w:rPr>
      <w:rFonts w:ascii="Segoe UI" w:hAnsi="Segoe UI" w:cs="Segoe UI" w:hint="default"/>
      <w:sz w:val="18"/>
      <w:szCs w:val="18"/>
    </w:rPr>
  </w:style>
  <w:style w:type="paragraph" w:styleId="FootnoteText">
    <w:name w:val="footnote text"/>
    <w:basedOn w:val="Normal"/>
    <w:link w:val="FootnoteTextChar"/>
    <w:uiPriority w:val="99"/>
    <w:semiHidden/>
    <w:unhideWhenUsed/>
    <w:rsid w:val="009704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479"/>
    <w:rPr>
      <w:kern w:val="0"/>
      <w:sz w:val="20"/>
      <w:szCs w:val="20"/>
      <w14:ligatures w14:val="none"/>
    </w:rPr>
  </w:style>
  <w:style w:type="character" w:styleId="FootnoteReference">
    <w:name w:val="footnote reference"/>
    <w:basedOn w:val="DefaultParagraphFont"/>
    <w:uiPriority w:val="99"/>
    <w:semiHidden/>
    <w:unhideWhenUsed/>
    <w:rsid w:val="00970479"/>
    <w:rPr>
      <w:vertAlign w:val="superscript"/>
    </w:rPr>
  </w:style>
  <w:style w:type="character" w:styleId="CommentReference">
    <w:name w:val="annotation reference"/>
    <w:basedOn w:val="DefaultParagraphFont"/>
    <w:uiPriority w:val="99"/>
    <w:semiHidden/>
    <w:unhideWhenUsed/>
    <w:rsid w:val="00970479"/>
    <w:rPr>
      <w:sz w:val="16"/>
      <w:szCs w:val="16"/>
    </w:rPr>
  </w:style>
  <w:style w:type="paragraph" w:styleId="CommentText">
    <w:name w:val="annotation text"/>
    <w:basedOn w:val="Normal"/>
    <w:link w:val="CommentTextChar"/>
    <w:unhideWhenUsed/>
    <w:rsid w:val="00970479"/>
    <w:pPr>
      <w:spacing w:line="240" w:lineRule="auto"/>
    </w:pPr>
    <w:rPr>
      <w:sz w:val="20"/>
      <w:szCs w:val="20"/>
    </w:rPr>
  </w:style>
  <w:style w:type="character" w:customStyle="1" w:styleId="CommentTextChar">
    <w:name w:val="Comment Text Char"/>
    <w:basedOn w:val="DefaultParagraphFont"/>
    <w:link w:val="CommentText"/>
    <w:rsid w:val="00970479"/>
    <w:rPr>
      <w:kern w:val="0"/>
      <w:sz w:val="20"/>
      <w:szCs w:val="20"/>
      <w14:ligatures w14:val="none"/>
    </w:rPr>
  </w:style>
  <w:style w:type="character" w:styleId="Hyperlink">
    <w:name w:val="Hyperlink"/>
    <w:basedOn w:val="DefaultParagraphFont"/>
    <w:uiPriority w:val="99"/>
    <w:unhideWhenUsed/>
    <w:rsid w:val="00970479"/>
    <w:rPr>
      <w:color w:val="0563C1" w:themeColor="hyperlink"/>
      <w:u w:val="single"/>
    </w:rPr>
  </w:style>
  <w:style w:type="paragraph" w:customStyle="1" w:styleId="pf0">
    <w:name w:val="pf0"/>
    <w:basedOn w:val="Normal"/>
    <w:rsid w:val="009704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0479"/>
    <w:pPr>
      <w:ind w:left="720"/>
      <w:contextualSpacing/>
    </w:pPr>
  </w:style>
  <w:style w:type="paragraph" w:styleId="BodyText">
    <w:name w:val="Body Text"/>
    <w:basedOn w:val="Normal"/>
    <w:link w:val="BodyTextChar"/>
    <w:uiPriority w:val="1"/>
    <w:qFormat/>
    <w:rsid w:val="001A292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A2929"/>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CF278D"/>
    <w:rPr>
      <w:b/>
      <w:bCs/>
    </w:rPr>
  </w:style>
  <w:style w:type="paragraph" w:styleId="Revision">
    <w:name w:val="Revision"/>
    <w:hidden/>
    <w:uiPriority w:val="99"/>
    <w:semiHidden/>
    <w:rsid w:val="00EC18C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India D - ETA</dc:creator>
  <cp:lastModifiedBy>Stapleton, Kevin - ETA</cp:lastModifiedBy>
  <cp:revision>5</cp:revision>
  <dcterms:created xsi:type="dcterms:W3CDTF">2024-12-04T17:06:00Z</dcterms:created>
  <dcterms:modified xsi:type="dcterms:W3CDTF">2024-12-04T21:26:00Z</dcterms:modified>
</cp:coreProperties>
</file>