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D8" w:rsidRPr="000C63D8" w:rsidRDefault="000C63D8" w:rsidP="000C63D8">
      <w:pPr>
        <w:shd w:val="clear" w:color="auto" w:fill="FFFFFF"/>
        <w:spacing w:before="300" w:after="150" w:line="240" w:lineRule="auto"/>
        <w:outlineLvl w:val="1"/>
        <w:rPr>
          <w:rFonts w:ascii="inherit" w:eastAsia="Times New Roman" w:hAnsi="inherit" w:cs="Helvetica"/>
          <w:color w:val="333333"/>
          <w:sz w:val="45"/>
          <w:szCs w:val="45"/>
          <w:lang w:val="en"/>
        </w:rPr>
      </w:pPr>
      <w:bookmarkStart w:id="0" w:name="_GoBack"/>
      <w:bookmarkEnd w:id="0"/>
      <w:r w:rsidRPr="000C63D8">
        <w:rPr>
          <w:rFonts w:ascii="inherit" w:eastAsia="Times New Roman" w:hAnsi="inherit" w:cs="Helvetica"/>
          <w:color w:val="333333"/>
          <w:sz w:val="45"/>
          <w:szCs w:val="45"/>
          <w:lang w:val="en"/>
        </w:rPr>
        <w:t>§1913.10   Rules of agency practice and procedure concerning OSHA access to employee medical records.</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(a) General policy.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(b) Scope and application.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recordholder. The OSHA compliance personnel shall not record and take off-site any information from medical records other than documentation of the fact of compliance or non-compliance.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(5) This section does not apply to agency access to, or the use of, personally identifiable employee medical information obtained in the course of litigation.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(6) This section does not apply where a written directive by the Assistant Secretary authorizes appropriately qualified personnel to conduct limited reviews of specific medical information mandated by an occupational safety and health standard, or of specific biological monitoring test results.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w:t>
      </w:r>
      <w:r w:rsidRPr="000C63D8">
        <w:rPr>
          <w:rFonts w:ascii="Helvetica" w:eastAsia="Times New Roman" w:hAnsi="Helvetica" w:cs="Helvetica"/>
          <w:color w:val="333333"/>
          <w:sz w:val="21"/>
          <w:szCs w:val="21"/>
          <w:lang w:val="en"/>
        </w:rPr>
        <w:lastRenderedPageBreak/>
        <w:t xml:space="preserve">involved which militate against disclosure of this kind of information to the public (See, 29 CFR 70.26 and 70a.3).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(c) Responsible persons—(1) Assistant Secretary. The Assistant Secretary of Labor for Occupational Safety and Health (Assistant Secretary) shall be responsible for the overall administration and implementation of the procedures contained in this section, including making final OSHA determinations concerning: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 Access to personally identifiable employee medical information (paragraph (d)), and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 Inter-agency transfer or public disclosure of personally identifiable employee medical information (paragraph (m)).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(2) OSHA Medical Records Officer.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 Making recommendations to the Assistant Secretary as to the approval or denial of written access orders (paragraph (d)),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 Assuring that written access orders meet the requirements of paragraphs (d) (2) and (3) of this section,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(iii) Responding to employee, collective bargaining agent, and employer objections concerning written access orders (paragraph (f)),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(iv) Regulating the use of direct personal identifiers (paragraph (g)),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(v) Regulating internal agency use and security of personally identifiable employee medical information (paragraphs (h) through (j)),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(vi) Assuring that the results of agency analyses of personally identifiable medical information are, where appropriate, communicated to employees (paragraph (k)),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(vii) Preparing an annual report of OSHA's experience under this section (paragraph (l)), and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(viii) Assuring that advance notice is given of intended inter-agency transfers or public disclosures (paragraph (m)).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(3) Principal OSHA Investigator.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hygiene, biostatistics, environmental health, etc.).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(d) Written access orders—(1) Requirement for written access order. Except as provided in paragraph (d)(4) below, each request by an OSHA representative to examine or copy personally identifiable employee medical information contained in a record held by an employer or other recordholder shall be made pursuant to a written access order which has been approved by the Assistant Secretary upon the recommendation of the OSHA Medical Records Officer. If deemed appropriate, a written access order may constitute, or be accompanied by, an administrative subpoena.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(2) Approval criteria for written access order. Before approving a written access order, the Assistant Secretary and the OSHA Medical Records Officer shall determine that: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lastRenderedPageBreak/>
        <w:t xml:space="preserve">(i) The medical information to be examined or copied is relevant to a statutory purpose and there is a need to gain access to this personally identifiable information,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 The personally identifiable medical information to be examined or copied is limited to only that information needed to accomplish the purpose for access, and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(iii) The personnel authorized to review and analyze the personally identifiable medical information are limited to those who have a need for access and have appropriate professional qualifications.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(3) Content of written access order. Each written access order shall state with reasonable particularity: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 The statutory purposes for which access is sought,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 A general description of the kind of employee medical information that will be examined and why there is a need to examine personally identifiable information,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(iii) Whether medical information will be examined on-site, and what type of information will be copied and removed off-site,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(iv) The name, address, and phone number of the Principal OSHA Investigator and the names of any other authorized persons who are expected to review and analyze the medical information.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(v) The name, address, and phone number of the OSHA Medical Records Officer, and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(vi) The anticipated period of time during which OSHA expects to retain the employee medical information in a personally identifiable form.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(4) Special situations. Written access orders need not be obtained to examine or copy personally identifiable employee medical information under the following circumstances: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 Specific written consent.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security requirements of paragraphs (h) through (m) of this section.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(ii) Physician consultations.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(e) Presentation of written access order and notice to employees.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(3) The Principal OSHA Investigator shall indicate that the employer must promptly post a copy of the written access order which does not identify specific employees by direct personal identifier, as well as post its accompanying cover letter (See, 29 CFR 1910.1020(e)(3)(ii)).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(f) Objections concerning a written access order.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recordholder or destroyed. The Principal OSHA Investigator shall assure that such instructions by the OSHA Medical Records Officer are promptly implemented.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(g) Removal of direct personal identifiers.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with their corresponding numerical codes to the OSHA Medical Records Officer. The OSHA Medical Records Officer shall thereafter limit the use and distribution of the list of coded identifiers to those with a need to know its contents.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(h) Internal agency use of personally identifiable employee medical information. (1) The Principal OSHA Investigator shall in each instance of access be primarily responsible for assuring that personally identifiable employee medical information is used and kept secured in accordance with this section.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(5) Whenever practicable, the examination of personally identifiable employee medical information shall be performed on-site with a minimum of medical information taken off-site in a personally identifiable form. </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(i) Security procedures. (1) Agency files containing personally identifiable employee medical information shall be segregated from other agency files. When not in active use, files containing this information shall be kept secured in a locked cabinet or vault.</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(3) The photocopying or other duplication of personally identifiable employee medical information shall be kept to the minimum necessary to accomplish the purposes for which the information was obtained.</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(4) The protective measures established by this section apply to all worksheets, duplicate copies, or other agency documents containing personally identifiable employee medical information.</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(5) Intra-agency transfers of personally identifiable employee medical information shall be by hand delivery, United States mail, or equally protective means. Inter-office mailing channels shall not be used.</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(j) Retention and destruction of records. (1) Consistent with OSHA records disposition programs, personally identifiable employee medical information and lists of coded direct personal identifiers shall be destroyed or returned to the original recordholder when no longer needed for the purposes for which they were obtained.</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(k) Results of an agency analysis using personally identifiable employee medical information.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(l) Annual report. The OSHA Medical Records Officer shall on an annual basis review OSHA's experience under this section during the previous year, and prepare a report to the Assistant Secretary which shall be made available to the public. This report shall discuss:</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(1) The number of written access orders approved and a summary of the purposes for access,</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(2) The nature and disposition of employee, collective bargaining agent, and employer written objections concerning OSHA access to personally identifiable employee medical information, and</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(3) The nature and disposition of requests for inter-agency transfer or public disclosure of personally identifiable employee medical information.</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(m) Inter-agency transfer and public disclosure. (1) Personally identifiable employee medical information shall not be transferred to another agency or office outside of OSHA (other than to the Office of the Solicitor of Labor) or disclosed to the public (other than to the affected employee or the original recordholder) except when required by law or when approved by the Assistant Secretary.</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(i) Needs the requested information in a personally identifiable form for a substantial public health purpose,</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(ii) Will not use the requested information to make individual determinations concerning affected employees which could be to their detriment,</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(iii) Has regulations or established written procedures providing protection for personally identifiable medical information substantially equivalent to that of this section, and</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(iv) Satisfies an exemption to the Privacy Act to the extent that the Privacy Act applies to the requested information (See, 5 U.S.C. 552a(b); 29 CFR 70a.3).</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(3) Upon the approval of the Assistant Secretary, personally identifiable employee medical information may be transferred to:</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(i) The National Institute for Occupational Safety and Health (NIOSH) and</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(ii) The Department of Justice when necessary with respect to a specific action under the Occupational Safety and Health Act.</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(4) The Assistant Secretary shall not approve a request for public disclosure of employee medical information containing direct personal identifiers unless there are compelling circumstances affecting the health or safety of an individual.</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(See, 5 U.S.C. 552(b)(6); 29 CFR 70.26).</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0C63D8" w:rsidRPr="000C63D8" w:rsidRDefault="000C63D8" w:rsidP="000C63D8">
      <w:pPr>
        <w:shd w:val="clear" w:color="auto" w:fill="FFFFFF"/>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[45 FR 35294, May 23, 1980; 45 FR 54334, Aug. 15, 1980, as amended at 71 FR 16674, Apr. 3, 2006] </w:t>
      </w:r>
    </w:p>
    <w:p w:rsidR="000C63D8" w:rsidRPr="000C63D8" w:rsidRDefault="003D3B8B" w:rsidP="000C63D8">
      <w:pPr>
        <w:shd w:val="clear" w:color="auto" w:fill="FFFFFF"/>
        <w:spacing w:line="240" w:lineRule="auto"/>
        <w:rPr>
          <w:rFonts w:ascii="Helvetica" w:eastAsia="Times New Roman" w:hAnsi="Helvetica" w:cs="Helvetica"/>
          <w:color w:val="333333"/>
          <w:sz w:val="21"/>
          <w:szCs w:val="21"/>
          <w:lang w:val="en"/>
        </w:rPr>
      </w:pPr>
      <w:hyperlink r:id="rId5" w:anchor="_top" w:history="1">
        <w:r w:rsidR="000C63D8" w:rsidRPr="000C63D8">
          <w:rPr>
            <w:rFonts w:ascii="Helvetica" w:eastAsia="Times New Roman" w:hAnsi="Helvetica" w:cs="Helvetica"/>
            <w:noProof/>
            <w:color w:val="337AB7"/>
            <w:sz w:val="21"/>
            <w:szCs w:val="21"/>
          </w:rPr>
          <w:drawing>
            <wp:inline distT="0" distB="0" distL="0" distR="0" wp14:anchorId="43EA09D1" wp14:editId="0487624F">
              <wp:extent cx="152400" cy="152400"/>
              <wp:effectExtent l="0" t="0" r="0" b="0"/>
              <wp:docPr id="1" name="Picture 1" descr="return arro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63D8" w:rsidRPr="000C63D8">
          <w:rPr>
            <w:rFonts w:ascii="Helvetica" w:eastAsia="Times New Roman" w:hAnsi="Helvetica" w:cs="Helvetica"/>
            <w:color w:val="337AB7"/>
            <w:sz w:val="21"/>
            <w:szCs w:val="21"/>
            <w:lang w:val="en"/>
          </w:rPr>
          <w:t>Back to Top</w:t>
        </w:r>
      </w:hyperlink>
    </w:p>
    <w:p w:rsidR="000C63D8" w:rsidRPr="000C63D8" w:rsidRDefault="003D3B8B" w:rsidP="000C63D8">
      <w:pPr>
        <w:spacing w:before="300" w:after="300" w:line="240" w:lineRule="auto"/>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pict>
          <v:rect id="_x0000_i1025" style="width:0;height:0" o:hralign="center" o:hrstd="t" o:hr="t" fillcolor="#a0a0a0" stroked="f"/>
        </w:pict>
      </w:r>
    </w:p>
    <w:p w:rsidR="000C63D8" w:rsidRPr="000C63D8" w:rsidRDefault="000C63D8" w:rsidP="000C63D8">
      <w:pPr>
        <w:spacing w:after="150" w:line="240" w:lineRule="auto"/>
        <w:rPr>
          <w:rFonts w:ascii="Helvetica" w:eastAsia="Times New Roman" w:hAnsi="Helvetica" w:cs="Helvetica"/>
          <w:color w:val="333333"/>
          <w:sz w:val="21"/>
          <w:szCs w:val="21"/>
          <w:lang w:val="en"/>
        </w:rPr>
      </w:pPr>
      <w:r w:rsidRPr="000C63D8">
        <w:rPr>
          <w:rFonts w:ascii="Helvetica" w:eastAsia="Times New Roman" w:hAnsi="Helvetica" w:cs="Helvetica"/>
          <w:color w:val="333333"/>
          <w:sz w:val="21"/>
          <w:szCs w:val="21"/>
          <w:lang w:val="en"/>
        </w:rPr>
        <w:t xml:space="preserve">© </w:t>
      </w:r>
      <w:hyperlink r:id="rId8" w:history="1">
        <w:r w:rsidRPr="000C63D8">
          <w:rPr>
            <w:rFonts w:ascii="Helvetica" w:eastAsia="Times New Roman" w:hAnsi="Helvetica" w:cs="Helvetica"/>
            <w:color w:val="337AB7"/>
            <w:sz w:val="21"/>
            <w:szCs w:val="21"/>
            <w:lang w:val="en"/>
          </w:rPr>
          <w:t>e-CFR</w:t>
        </w:r>
      </w:hyperlink>
      <w:r w:rsidRPr="000C63D8">
        <w:rPr>
          <w:rFonts w:ascii="Helvetica" w:eastAsia="Times New Roman" w:hAnsi="Helvetica" w:cs="Helvetica"/>
          <w:color w:val="333333"/>
          <w:sz w:val="21"/>
          <w:szCs w:val="21"/>
          <w:lang w:val="en"/>
        </w:rPr>
        <w:t xml:space="preserve"> 2018</w:t>
      </w:r>
    </w:p>
    <w:p w:rsidR="000C63D8" w:rsidRPr="000C63D8" w:rsidRDefault="003D3B8B" w:rsidP="000C63D8">
      <w:pPr>
        <w:spacing w:after="0" w:line="240" w:lineRule="auto"/>
        <w:rPr>
          <w:rFonts w:ascii="Helvetica" w:eastAsia="Times New Roman" w:hAnsi="Helvetica" w:cs="Helvetica"/>
          <w:color w:val="333333"/>
          <w:sz w:val="21"/>
          <w:szCs w:val="21"/>
          <w:lang w:val="en"/>
        </w:rPr>
      </w:pPr>
      <w:hyperlink r:id="rId9" w:tooltip="US Code" w:history="1">
        <w:r w:rsidR="000C63D8" w:rsidRPr="000C63D8">
          <w:rPr>
            <w:rFonts w:ascii="Helvetica" w:eastAsia="Times New Roman" w:hAnsi="Helvetica" w:cs="Helvetica"/>
            <w:color w:val="337AB7"/>
            <w:sz w:val="18"/>
            <w:szCs w:val="18"/>
            <w:lang w:val="en"/>
          </w:rPr>
          <w:t>USC</w:t>
        </w:r>
      </w:hyperlink>
      <w:r w:rsidR="000C63D8" w:rsidRPr="000C63D8">
        <w:rPr>
          <w:rFonts w:ascii="Helvetica" w:eastAsia="Times New Roman" w:hAnsi="Helvetica" w:cs="Helvetica"/>
          <w:color w:val="333333"/>
          <w:sz w:val="18"/>
          <w:szCs w:val="18"/>
          <w:lang w:val="en"/>
        </w:rPr>
        <w:t xml:space="preserve"> | </w:t>
      </w:r>
      <w:hyperlink r:id="rId10" w:tooltip="Code of Federal Regulations" w:history="1">
        <w:r w:rsidR="000C63D8" w:rsidRPr="000C63D8">
          <w:rPr>
            <w:rFonts w:ascii="Helvetica" w:eastAsia="Times New Roman" w:hAnsi="Helvetica" w:cs="Helvetica"/>
            <w:color w:val="337AB7"/>
            <w:sz w:val="18"/>
            <w:szCs w:val="18"/>
            <w:lang w:val="en"/>
          </w:rPr>
          <w:t>CFR</w:t>
        </w:r>
      </w:hyperlink>
      <w:r w:rsidR="000C63D8" w:rsidRPr="000C63D8">
        <w:rPr>
          <w:rFonts w:ascii="Helvetica" w:eastAsia="Times New Roman" w:hAnsi="Helvetica" w:cs="Helvetica"/>
          <w:color w:val="333333"/>
          <w:sz w:val="18"/>
          <w:szCs w:val="18"/>
          <w:lang w:val="en"/>
        </w:rPr>
        <w:t xml:space="preserve"> | </w:t>
      </w:r>
      <w:hyperlink r:id="rId11" w:tooltip="Electronic Code of Federal Regulations" w:history="1">
        <w:r w:rsidR="000C63D8" w:rsidRPr="000C63D8">
          <w:rPr>
            <w:rFonts w:ascii="Helvetica" w:eastAsia="Times New Roman" w:hAnsi="Helvetica" w:cs="Helvetica"/>
            <w:color w:val="337AB7"/>
            <w:sz w:val="18"/>
            <w:szCs w:val="18"/>
            <w:lang w:val="en"/>
          </w:rPr>
          <w:t>eCFR</w:t>
        </w:r>
      </w:hyperlink>
      <w:r w:rsidR="000C63D8" w:rsidRPr="000C63D8">
        <w:rPr>
          <w:rFonts w:ascii="Helvetica" w:eastAsia="Times New Roman" w:hAnsi="Helvetica" w:cs="Helvetica"/>
          <w:color w:val="333333"/>
          <w:sz w:val="21"/>
          <w:szCs w:val="21"/>
          <w:lang w:val="en"/>
        </w:rPr>
        <w:t xml:space="preserve"> </w:t>
      </w:r>
    </w:p>
    <w:p w:rsidR="00045525" w:rsidRDefault="00045525"/>
    <w:sectPr w:rsidR="00045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D8"/>
    <w:rsid w:val="00045525"/>
    <w:rsid w:val="000C63D8"/>
    <w:rsid w:val="003D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63D8"/>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3D8"/>
    <w:rPr>
      <w:rFonts w:ascii="inherit" w:eastAsia="Times New Roman" w:hAnsi="inherit" w:cs="Times New Roman"/>
      <w:sz w:val="45"/>
      <w:szCs w:val="45"/>
    </w:rPr>
  </w:style>
  <w:style w:type="character" w:styleId="Hyperlink">
    <w:name w:val="Hyperlink"/>
    <w:basedOn w:val="DefaultParagraphFont"/>
    <w:uiPriority w:val="99"/>
    <w:semiHidden/>
    <w:unhideWhenUsed/>
    <w:rsid w:val="000C63D8"/>
    <w:rPr>
      <w:strike w:val="0"/>
      <w:dstrike w:val="0"/>
      <w:color w:val="337AB7"/>
      <w:u w:val="none"/>
      <w:effect w:val="none"/>
      <w:shd w:val="clear" w:color="auto" w:fill="auto"/>
    </w:rPr>
  </w:style>
  <w:style w:type="paragraph" w:styleId="NormalWeb">
    <w:name w:val="Normal (Web)"/>
    <w:basedOn w:val="Normal"/>
    <w:uiPriority w:val="99"/>
    <w:semiHidden/>
    <w:unhideWhenUsed/>
    <w:rsid w:val="000C63D8"/>
    <w:pPr>
      <w:spacing w:after="150" w:line="240" w:lineRule="auto"/>
    </w:pPr>
    <w:rPr>
      <w:rFonts w:ascii="Times New Roman" w:eastAsia="Times New Roman" w:hAnsi="Times New Roman" w:cs="Times New Roman"/>
      <w:sz w:val="24"/>
      <w:szCs w:val="24"/>
    </w:rPr>
  </w:style>
  <w:style w:type="paragraph" w:customStyle="1" w:styleId="cita">
    <w:name w:val="cita"/>
    <w:basedOn w:val="Normal"/>
    <w:rsid w:val="000C63D8"/>
    <w:pPr>
      <w:spacing w:after="150" w:line="240" w:lineRule="auto"/>
    </w:pPr>
    <w:rPr>
      <w:rFonts w:ascii="Times New Roman" w:eastAsia="Times New Roman" w:hAnsi="Times New Roman" w:cs="Times New Roman"/>
      <w:sz w:val="24"/>
      <w:szCs w:val="24"/>
    </w:rPr>
  </w:style>
  <w:style w:type="paragraph" w:customStyle="1" w:styleId="fp">
    <w:name w:val="fp"/>
    <w:basedOn w:val="Normal"/>
    <w:rsid w:val="000C63D8"/>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63D8"/>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3D8"/>
    <w:rPr>
      <w:rFonts w:ascii="inherit" w:eastAsia="Times New Roman" w:hAnsi="inherit" w:cs="Times New Roman"/>
      <w:sz w:val="45"/>
      <w:szCs w:val="45"/>
    </w:rPr>
  </w:style>
  <w:style w:type="character" w:styleId="Hyperlink">
    <w:name w:val="Hyperlink"/>
    <w:basedOn w:val="DefaultParagraphFont"/>
    <w:uiPriority w:val="99"/>
    <w:semiHidden/>
    <w:unhideWhenUsed/>
    <w:rsid w:val="000C63D8"/>
    <w:rPr>
      <w:strike w:val="0"/>
      <w:dstrike w:val="0"/>
      <w:color w:val="337AB7"/>
      <w:u w:val="none"/>
      <w:effect w:val="none"/>
      <w:shd w:val="clear" w:color="auto" w:fill="auto"/>
    </w:rPr>
  </w:style>
  <w:style w:type="paragraph" w:styleId="NormalWeb">
    <w:name w:val="Normal (Web)"/>
    <w:basedOn w:val="Normal"/>
    <w:uiPriority w:val="99"/>
    <w:semiHidden/>
    <w:unhideWhenUsed/>
    <w:rsid w:val="000C63D8"/>
    <w:pPr>
      <w:spacing w:after="150" w:line="240" w:lineRule="auto"/>
    </w:pPr>
    <w:rPr>
      <w:rFonts w:ascii="Times New Roman" w:eastAsia="Times New Roman" w:hAnsi="Times New Roman" w:cs="Times New Roman"/>
      <w:sz w:val="24"/>
      <w:szCs w:val="24"/>
    </w:rPr>
  </w:style>
  <w:style w:type="paragraph" w:customStyle="1" w:styleId="cita">
    <w:name w:val="cita"/>
    <w:basedOn w:val="Normal"/>
    <w:rsid w:val="000C63D8"/>
    <w:pPr>
      <w:spacing w:after="150" w:line="240" w:lineRule="auto"/>
    </w:pPr>
    <w:rPr>
      <w:rFonts w:ascii="Times New Roman" w:eastAsia="Times New Roman" w:hAnsi="Times New Roman" w:cs="Times New Roman"/>
      <w:sz w:val="24"/>
      <w:szCs w:val="24"/>
    </w:rPr>
  </w:style>
  <w:style w:type="paragraph" w:customStyle="1" w:styleId="fp">
    <w:name w:val="fp"/>
    <w:basedOn w:val="Normal"/>
    <w:rsid w:val="000C63D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0109">
      <w:bodyDiv w:val="1"/>
      <w:marLeft w:val="0"/>
      <w:marRight w:val="0"/>
      <w:marTop w:val="0"/>
      <w:marBottom w:val="0"/>
      <w:divBdr>
        <w:top w:val="none" w:sz="0" w:space="0" w:color="auto"/>
        <w:left w:val="none" w:sz="0" w:space="0" w:color="auto"/>
        <w:bottom w:val="none" w:sz="0" w:space="0" w:color="auto"/>
        <w:right w:val="none" w:sz="0" w:space="0" w:color="auto"/>
      </w:divBdr>
      <w:divsChild>
        <w:div w:id="1690109098">
          <w:marLeft w:val="0"/>
          <w:marRight w:val="0"/>
          <w:marTop w:val="0"/>
          <w:marBottom w:val="0"/>
          <w:divBdr>
            <w:top w:val="none" w:sz="0" w:space="0" w:color="auto"/>
            <w:left w:val="none" w:sz="0" w:space="0" w:color="auto"/>
            <w:bottom w:val="none" w:sz="0" w:space="0" w:color="auto"/>
            <w:right w:val="none" w:sz="0" w:space="0" w:color="auto"/>
          </w:divBdr>
          <w:divsChild>
            <w:div w:id="223755414">
              <w:marLeft w:val="0"/>
              <w:marRight w:val="0"/>
              <w:marTop w:val="0"/>
              <w:marBottom w:val="300"/>
              <w:divBdr>
                <w:top w:val="none" w:sz="0" w:space="0" w:color="auto"/>
                <w:left w:val="none" w:sz="0" w:space="0" w:color="auto"/>
                <w:bottom w:val="none" w:sz="0" w:space="0" w:color="auto"/>
                <w:right w:val="none" w:sz="0" w:space="0" w:color="auto"/>
              </w:divBdr>
              <w:divsChild>
                <w:div w:id="478310360">
                  <w:marLeft w:val="0"/>
                  <w:marRight w:val="0"/>
                  <w:marTop w:val="0"/>
                  <w:marBottom w:val="0"/>
                  <w:divBdr>
                    <w:top w:val="none" w:sz="0" w:space="0" w:color="auto"/>
                    <w:left w:val="none" w:sz="0" w:space="0" w:color="auto"/>
                    <w:bottom w:val="none" w:sz="0" w:space="0" w:color="auto"/>
                    <w:right w:val="none" w:sz="0" w:space="0" w:color="auto"/>
                  </w:divBdr>
                </w:div>
                <w:div w:id="1558543783">
                  <w:marLeft w:val="0"/>
                  <w:marRight w:val="0"/>
                  <w:marTop w:val="0"/>
                  <w:marBottom w:val="0"/>
                  <w:divBdr>
                    <w:top w:val="none" w:sz="0" w:space="0" w:color="auto"/>
                    <w:left w:val="none" w:sz="0" w:space="0" w:color="auto"/>
                    <w:bottom w:val="none" w:sz="0" w:space="0" w:color="auto"/>
                    <w:right w:val="none" w:sz="0" w:space="0" w:color="auto"/>
                  </w:divBdr>
                  <w:divsChild>
                    <w:div w:id="17430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1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fr.i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cfr.io/Title-29/pt29.7.1913#_top" TargetMode="External"/><Relationship Id="rId11" Type="http://schemas.openxmlformats.org/officeDocument/2006/relationships/hyperlink" Target="https://ecfr.io/" TargetMode="External"/><Relationship Id="rId5" Type="http://schemas.openxmlformats.org/officeDocument/2006/relationships/hyperlink" Target="https://ecfr.io/Title-29/pt29.7.1913" TargetMode="External"/><Relationship Id="rId10" Type="http://schemas.openxmlformats.org/officeDocument/2006/relationships/hyperlink" Target="https://gov.ecfr.io/" TargetMode="External"/><Relationship Id="rId4" Type="http://schemas.openxmlformats.org/officeDocument/2006/relationships/webSettings" Target="webSettings.xml"/><Relationship Id="rId9" Type="http://schemas.openxmlformats.org/officeDocument/2006/relationships/hyperlink" Target="https://uscode.ecf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2018-07-26T13:34:00Z</dcterms:created>
  <dcterms:modified xsi:type="dcterms:W3CDTF">2018-07-26T13:34:00Z</dcterms:modified>
</cp:coreProperties>
</file>