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8FE" w:rsidP="00565D86" w14:paraId="71C629A0" w14:textId="77777777">
      <w:pPr>
        <w:pStyle w:val="Default"/>
        <w:jc w:val="center"/>
        <w:rPr>
          <w:rFonts w:ascii="Times New Roman" w:hAnsi="Times New Roman" w:cs="Times New Roman"/>
          <w:b/>
          <w:bCs/>
          <w:color w:val="auto"/>
        </w:rPr>
      </w:pPr>
      <w:r w:rsidRPr="0033331D">
        <w:rPr>
          <w:rFonts w:ascii="Times New Roman" w:hAnsi="Times New Roman" w:cs="Times New Roman"/>
          <w:b/>
          <w:bCs/>
          <w:color w:val="auto"/>
        </w:rPr>
        <w:t>Supporting Statement</w:t>
      </w:r>
      <w:r w:rsidRPr="0033331D" w:rsidR="00565D86">
        <w:rPr>
          <w:rFonts w:ascii="Times New Roman" w:hAnsi="Times New Roman" w:cs="Times New Roman"/>
          <w:b/>
          <w:bCs/>
          <w:color w:val="auto"/>
        </w:rPr>
        <w:t xml:space="preserve"> Main fan operation and inspection </w:t>
      </w:r>
    </w:p>
    <w:p w:rsidR="006F38FE" w:rsidP="00565D86" w14:paraId="09C2CFD6" w14:textId="77777777">
      <w:pPr>
        <w:pStyle w:val="Default"/>
        <w:jc w:val="center"/>
        <w:rPr>
          <w:rFonts w:ascii="Times New Roman" w:hAnsi="Times New Roman" w:cs="Times New Roman"/>
          <w:b/>
          <w:bCs/>
          <w:color w:val="auto"/>
        </w:rPr>
      </w:pPr>
      <w:r w:rsidRPr="0033331D">
        <w:rPr>
          <w:rFonts w:ascii="Times New Roman" w:hAnsi="Times New Roman" w:cs="Times New Roman"/>
          <w:b/>
          <w:bCs/>
          <w:color w:val="auto"/>
        </w:rPr>
        <w:t xml:space="preserve">(I-A, II-A, III, and V-A mines) </w:t>
      </w:r>
    </w:p>
    <w:p w:rsidR="003A1C43" w:rsidRPr="0033331D" w:rsidP="00565D86" w14:paraId="2789EBCC" w14:textId="77D3C128">
      <w:pPr>
        <w:pStyle w:val="Default"/>
        <w:jc w:val="center"/>
        <w:rPr>
          <w:rFonts w:ascii="Times New Roman" w:hAnsi="Times New Roman" w:cs="Times New Roman"/>
          <w:b/>
          <w:bCs/>
          <w:color w:val="auto"/>
        </w:rPr>
      </w:pPr>
      <w:r w:rsidRPr="0033331D">
        <w:rPr>
          <w:rFonts w:ascii="Times New Roman" w:hAnsi="Times New Roman" w:cs="Times New Roman"/>
          <w:b/>
          <w:bCs/>
          <w:color w:val="auto"/>
        </w:rPr>
        <w:t>Paperwork Reduction Act</w:t>
      </w:r>
      <w:r w:rsidRPr="0033331D" w:rsidR="00F95DB3">
        <w:rPr>
          <w:rFonts w:ascii="Times New Roman" w:hAnsi="Times New Roman" w:cs="Times New Roman"/>
          <w:b/>
          <w:bCs/>
          <w:color w:val="auto"/>
        </w:rPr>
        <w:t xml:space="preserve"> Submission</w:t>
      </w:r>
    </w:p>
    <w:p w:rsidR="00565D86" w:rsidRPr="0037428D" w:rsidP="00C22D2A" w14:paraId="6E3AE39F" w14:textId="77777777">
      <w:pPr>
        <w:pStyle w:val="Default"/>
        <w:jc w:val="center"/>
        <w:rPr>
          <w:rFonts w:ascii="Times New Roman" w:hAnsi="Times New Roman" w:cs="Times New Roman"/>
          <w:b/>
          <w:bCs/>
          <w:color w:val="auto"/>
        </w:rPr>
      </w:pPr>
    </w:p>
    <w:p w:rsidR="00565D86" w:rsidRPr="0037428D" w:rsidP="00C22D2A" w14:paraId="6C3221D1" w14:textId="77777777">
      <w:pPr>
        <w:pStyle w:val="Default"/>
        <w:jc w:val="center"/>
        <w:rPr>
          <w:rFonts w:ascii="Times New Roman" w:hAnsi="Times New Roman" w:cs="Times New Roman"/>
          <w:b/>
          <w:bCs/>
          <w:color w:val="auto"/>
        </w:rPr>
      </w:pPr>
    </w:p>
    <w:p w:rsidR="00565D86" w:rsidRPr="0037428D" w:rsidP="00565D86" w14:paraId="6B0CCD0D" w14:textId="5F033FBA">
      <w:pPr>
        <w:pStyle w:val="Default"/>
        <w:rPr>
          <w:rFonts w:ascii="Times New Roman" w:hAnsi="Times New Roman" w:cs="Times New Roman"/>
          <w:bCs/>
          <w:color w:val="auto"/>
        </w:rPr>
      </w:pPr>
      <w:r w:rsidRPr="0037428D">
        <w:rPr>
          <w:rFonts w:ascii="Times New Roman" w:hAnsi="Times New Roman" w:cs="Times New Roman"/>
          <w:bCs/>
          <w:color w:val="auto"/>
        </w:rPr>
        <w:t xml:space="preserve">This </w:t>
      </w:r>
      <w:r w:rsidRPr="0037428D" w:rsidR="00F95DB3">
        <w:rPr>
          <w:rFonts w:ascii="Times New Roman" w:hAnsi="Times New Roman" w:cs="Times New Roman"/>
          <w:bCs/>
          <w:color w:val="auto"/>
        </w:rPr>
        <w:t>i</w:t>
      </w:r>
      <w:r w:rsidRPr="0037428D">
        <w:rPr>
          <w:rFonts w:ascii="Times New Roman" w:hAnsi="Times New Roman" w:cs="Times New Roman"/>
          <w:bCs/>
          <w:color w:val="auto"/>
        </w:rPr>
        <w:t xml:space="preserve">nformation </w:t>
      </w:r>
      <w:r w:rsidRPr="0037428D" w:rsidR="00F95DB3">
        <w:rPr>
          <w:rFonts w:ascii="Times New Roman" w:hAnsi="Times New Roman" w:cs="Times New Roman"/>
          <w:bCs/>
          <w:color w:val="auto"/>
        </w:rPr>
        <w:t>c</w:t>
      </w:r>
      <w:r w:rsidRPr="0037428D">
        <w:rPr>
          <w:rFonts w:ascii="Times New Roman" w:hAnsi="Times New Roman" w:cs="Times New Roman"/>
          <w:bCs/>
          <w:color w:val="auto"/>
        </w:rPr>
        <w:t xml:space="preserve">ollection </w:t>
      </w:r>
      <w:r w:rsidRPr="0037428D" w:rsidR="00F95DB3">
        <w:rPr>
          <w:rFonts w:ascii="Times New Roman" w:hAnsi="Times New Roman" w:cs="Times New Roman"/>
          <w:bCs/>
          <w:color w:val="auto"/>
        </w:rPr>
        <w:t>r</w:t>
      </w:r>
      <w:r w:rsidRPr="0037428D">
        <w:rPr>
          <w:rFonts w:ascii="Times New Roman" w:hAnsi="Times New Roman" w:cs="Times New Roman"/>
          <w:bCs/>
          <w:color w:val="auto"/>
        </w:rPr>
        <w:t>equest (ICR) seeks to extend, without change, a currently approved information collection.</w:t>
      </w:r>
    </w:p>
    <w:p w:rsidR="00C22D2A" w:rsidRPr="0037428D" w:rsidP="00565D86" w14:paraId="7127A602" w14:textId="77777777">
      <w:pPr>
        <w:pStyle w:val="Default"/>
        <w:rPr>
          <w:rFonts w:ascii="Times New Roman" w:hAnsi="Times New Roman" w:cs="Times New Roman"/>
          <w:color w:val="auto"/>
        </w:rPr>
      </w:pPr>
    </w:p>
    <w:p w:rsidR="00565D86" w:rsidRPr="0037428D" w14:paraId="6222AA3B" w14:textId="566C6F69">
      <w:pPr>
        <w:pStyle w:val="Default"/>
        <w:rPr>
          <w:rFonts w:ascii="Times New Roman" w:hAnsi="Times New Roman" w:cs="Times New Roman"/>
          <w:b/>
          <w:color w:val="auto"/>
          <w:u w:val="single"/>
        </w:rPr>
      </w:pPr>
      <w:r w:rsidRPr="0037428D">
        <w:rPr>
          <w:rFonts w:ascii="Times New Roman" w:hAnsi="Times New Roman" w:cs="Times New Roman"/>
          <w:b/>
          <w:color w:val="auto"/>
          <w:u w:val="single"/>
        </w:rPr>
        <w:t>OMB Control Number</w:t>
      </w:r>
      <w:r w:rsidRPr="00045114">
        <w:rPr>
          <w:rFonts w:ascii="Times New Roman" w:hAnsi="Times New Roman" w:cs="Times New Roman"/>
          <w:b/>
          <w:bCs/>
          <w:color w:val="auto"/>
        </w:rPr>
        <w:t>:</w:t>
      </w:r>
      <w:r w:rsidRPr="0037428D">
        <w:rPr>
          <w:rFonts w:ascii="Times New Roman" w:hAnsi="Times New Roman" w:cs="Times New Roman"/>
          <w:color w:val="auto"/>
        </w:rPr>
        <w:t xml:space="preserve"> 1219-0030</w:t>
      </w:r>
    </w:p>
    <w:p w:rsidR="00565D86" w:rsidRPr="0037428D" w14:paraId="61DB6B55" w14:textId="77777777">
      <w:pPr>
        <w:pStyle w:val="Default"/>
        <w:rPr>
          <w:rFonts w:ascii="Times New Roman" w:hAnsi="Times New Roman" w:cs="Times New Roman"/>
          <w:b/>
          <w:color w:val="auto"/>
          <w:u w:val="single"/>
        </w:rPr>
      </w:pPr>
    </w:p>
    <w:p w:rsidR="003A1C43" w:rsidRPr="0037428D" w14:paraId="19187DB6" w14:textId="0A647C1C">
      <w:pPr>
        <w:pStyle w:val="Default"/>
        <w:rPr>
          <w:rFonts w:ascii="Times New Roman" w:hAnsi="Times New Roman" w:cs="Times New Roman"/>
          <w:color w:val="auto"/>
        </w:rPr>
      </w:pPr>
      <w:r w:rsidRPr="0037428D">
        <w:rPr>
          <w:rFonts w:ascii="Times New Roman" w:hAnsi="Times New Roman" w:cs="Times New Roman"/>
          <w:b/>
          <w:color w:val="auto"/>
          <w:u w:val="single"/>
        </w:rPr>
        <w:t xml:space="preserve">Information Collection </w:t>
      </w:r>
      <w:r w:rsidRPr="0037428D" w:rsidR="00565D86">
        <w:rPr>
          <w:rFonts w:ascii="Times New Roman" w:hAnsi="Times New Roman" w:cs="Times New Roman"/>
          <w:b/>
          <w:color w:val="auto"/>
          <w:u w:val="single"/>
        </w:rPr>
        <w:t xml:space="preserve">Request </w:t>
      </w:r>
      <w:r w:rsidRPr="0037428D">
        <w:rPr>
          <w:rFonts w:ascii="Times New Roman" w:hAnsi="Times New Roman" w:cs="Times New Roman"/>
          <w:b/>
          <w:color w:val="auto"/>
          <w:u w:val="single"/>
        </w:rPr>
        <w:t>Title</w:t>
      </w:r>
      <w:r w:rsidRPr="0037428D">
        <w:rPr>
          <w:rFonts w:ascii="Times New Roman" w:hAnsi="Times New Roman" w:cs="Times New Roman"/>
          <w:b/>
          <w:color w:val="auto"/>
        </w:rPr>
        <w:t>:</w:t>
      </w:r>
      <w:r w:rsidRPr="0037428D">
        <w:rPr>
          <w:rFonts w:ascii="Times New Roman" w:hAnsi="Times New Roman" w:cs="Times New Roman"/>
          <w:color w:val="auto"/>
        </w:rPr>
        <w:t xml:space="preserve"> </w:t>
      </w:r>
      <w:r w:rsidRPr="0037428D">
        <w:rPr>
          <w:rFonts w:ascii="Times New Roman" w:hAnsi="Times New Roman" w:cs="Times New Roman"/>
          <w:color w:val="auto"/>
        </w:rPr>
        <w:t xml:space="preserve"> </w:t>
      </w:r>
      <w:bookmarkStart w:id="0" w:name="_Hlk170889570"/>
      <w:r w:rsidRPr="0037428D" w:rsidR="000776B0">
        <w:rPr>
          <w:rFonts w:ascii="Times New Roman" w:hAnsi="Times New Roman" w:cs="Times New Roman"/>
          <w:color w:val="auto"/>
        </w:rPr>
        <w:t xml:space="preserve">Main </w:t>
      </w:r>
      <w:r w:rsidRPr="0037428D" w:rsidR="006F38FE">
        <w:rPr>
          <w:rFonts w:ascii="Times New Roman" w:hAnsi="Times New Roman" w:cs="Times New Roman"/>
          <w:color w:val="auto"/>
        </w:rPr>
        <w:t xml:space="preserve">Fan Operation </w:t>
      </w:r>
      <w:r w:rsidRPr="0037428D" w:rsidR="000776B0">
        <w:rPr>
          <w:rFonts w:ascii="Times New Roman" w:hAnsi="Times New Roman" w:cs="Times New Roman"/>
          <w:color w:val="auto"/>
        </w:rPr>
        <w:t xml:space="preserve">and </w:t>
      </w:r>
      <w:r w:rsidR="006F38FE">
        <w:rPr>
          <w:rFonts w:ascii="Times New Roman" w:hAnsi="Times New Roman" w:cs="Times New Roman"/>
          <w:color w:val="auto"/>
        </w:rPr>
        <w:t>I</w:t>
      </w:r>
      <w:r w:rsidRPr="0037428D" w:rsidR="006F38FE">
        <w:rPr>
          <w:rFonts w:ascii="Times New Roman" w:hAnsi="Times New Roman" w:cs="Times New Roman"/>
          <w:color w:val="auto"/>
        </w:rPr>
        <w:t xml:space="preserve">nspection </w:t>
      </w:r>
      <w:r w:rsidRPr="0037428D" w:rsidR="000776B0">
        <w:rPr>
          <w:rFonts w:ascii="Times New Roman" w:hAnsi="Times New Roman" w:cs="Times New Roman"/>
          <w:color w:val="auto"/>
        </w:rPr>
        <w:t xml:space="preserve">(I-A, II-A, III, and V-A </w:t>
      </w:r>
      <w:r w:rsidR="006F38FE">
        <w:rPr>
          <w:rFonts w:ascii="Times New Roman" w:hAnsi="Times New Roman" w:cs="Times New Roman"/>
          <w:color w:val="auto"/>
        </w:rPr>
        <w:t>M</w:t>
      </w:r>
      <w:r w:rsidRPr="0037428D" w:rsidR="000776B0">
        <w:rPr>
          <w:rFonts w:ascii="Times New Roman" w:hAnsi="Times New Roman" w:cs="Times New Roman"/>
          <w:color w:val="auto"/>
        </w:rPr>
        <w:t>ines)</w:t>
      </w:r>
    </w:p>
    <w:bookmarkEnd w:id="0"/>
    <w:p w:rsidR="00C22D2A" w:rsidRPr="0037428D" w14:paraId="5B9B60A5" w14:textId="77777777">
      <w:pPr>
        <w:pStyle w:val="Default"/>
        <w:rPr>
          <w:rFonts w:ascii="Times New Roman" w:hAnsi="Times New Roman" w:cs="Times New Roman"/>
          <w:color w:val="auto"/>
        </w:rPr>
      </w:pPr>
    </w:p>
    <w:p w:rsidR="00565D86" w:rsidRPr="0037428D" w:rsidP="00B26311" w14:paraId="69EA7663" w14:textId="7434EA1F">
      <w:pPr>
        <w:pStyle w:val="Default"/>
        <w:tabs>
          <w:tab w:val="left" w:pos="1440"/>
        </w:tabs>
        <w:ind w:left="3780" w:hanging="3780"/>
        <w:rPr>
          <w:rFonts w:ascii="Times New Roman" w:hAnsi="Times New Roman" w:cs="Times New Roman"/>
          <w:bCs/>
          <w:color w:val="auto"/>
        </w:rPr>
      </w:pPr>
      <w:r w:rsidRPr="0037428D">
        <w:rPr>
          <w:rFonts w:ascii="Times New Roman" w:hAnsi="Times New Roman" w:cs="Times New Roman"/>
          <w:b/>
          <w:color w:val="auto"/>
          <w:u w:val="single"/>
        </w:rPr>
        <w:t>Type of OMB Review:</w:t>
      </w:r>
      <w:r w:rsidRPr="00045114">
        <w:rPr>
          <w:rFonts w:ascii="Times New Roman" w:hAnsi="Times New Roman" w:cs="Times New Roman"/>
          <w:b/>
          <w:color w:val="auto"/>
        </w:rPr>
        <w:t xml:space="preserve"> </w:t>
      </w:r>
      <w:r w:rsidRPr="0037428D">
        <w:rPr>
          <w:rFonts w:ascii="Times New Roman" w:hAnsi="Times New Roman" w:cs="Times New Roman"/>
          <w:bCs/>
          <w:color w:val="auto"/>
        </w:rPr>
        <w:t>Extension</w:t>
      </w:r>
    </w:p>
    <w:p w:rsidR="00565D86" w:rsidRPr="0037428D" w:rsidP="00B26311" w14:paraId="03969367" w14:textId="77777777">
      <w:pPr>
        <w:pStyle w:val="Default"/>
        <w:tabs>
          <w:tab w:val="left" w:pos="1440"/>
        </w:tabs>
        <w:ind w:left="3780" w:hanging="3780"/>
        <w:rPr>
          <w:rFonts w:ascii="Times New Roman" w:hAnsi="Times New Roman" w:cs="Times New Roman"/>
          <w:bCs/>
          <w:color w:val="auto"/>
        </w:rPr>
      </w:pPr>
    </w:p>
    <w:p w:rsidR="00D256A6" w:rsidP="00565D86" w14:paraId="7A713219" w14:textId="77777777">
      <w:pPr>
        <w:pStyle w:val="Default"/>
        <w:tabs>
          <w:tab w:val="left" w:pos="1440"/>
        </w:tabs>
        <w:ind w:left="3780" w:hanging="3780"/>
        <w:rPr>
          <w:rFonts w:ascii="Times New Roman" w:hAnsi="Times New Roman" w:cs="Times New Roman"/>
          <w:b/>
          <w:color w:val="auto"/>
        </w:rPr>
      </w:pPr>
      <w:r w:rsidRPr="0037428D">
        <w:rPr>
          <w:rFonts w:ascii="Times New Roman" w:hAnsi="Times New Roman" w:cs="Times New Roman"/>
          <w:b/>
          <w:color w:val="auto"/>
          <w:u w:val="single"/>
        </w:rPr>
        <w:t>Authority</w:t>
      </w:r>
      <w:r w:rsidRPr="0037428D">
        <w:rPr>
          <w:rFonts w:ascii="Times New Roman" w:hAnsi="Times New Roman" w:cs="Times New Roman"/>
          <w:b/>
          <w:color w:val="auto"/>
        </w:rPr>
        <w:t xml:space="preserve">: </w:t>
      </w:r>
    </w:p>
    <w:p w:rsidR="00D256A6" w:rsidP="00565D86" w14:paraId="43C6BF94" w14:textId="07C6C2D0">
      <w:pPr>
        <w:pStyle w:val="Default"/>
        <w:tabs>
          <w:tab w:val="left" w:pos="1440"/>
        </w:tabs>
        <w:ind w:left="3780" w:hanging="3780"/>
        <w:rPr>
          <w:rFonts w:ascii="Times New Roman" w:hAnsi="Times New Roman" w:cs="Times New Roman"/>
          <w:bCs/>
          <w:color w:val="auto"/>
        </w:rPr>
      </w:pPr>
      <w:r w:rsidRPr="00D256A6">
        <w:rPr>
          <w:rFonts w:ascii="Times New Roman" w:hAnsi="Times New Roman" w:cs="Times New Roman"/>
          <w:bCs/>
          <w:color w:val="auto"/>
        </w:rPr>
        <w:t>Part 57</w:t>
      </w:r>
      <w:r>
        <w:rPr>
          <w:rFonts w:ascii="Times New Roman" w:hAnsi="Times New Roman" w:cs="Times New Roman"/>
          <w:bCs/>
          <w:color w:val="auto"/>
        </w:rPr>
        <w:t xml:space="preserve"> </w:t>
      </w:r>
      <w:r w:rsidRPr="00D256A6">
        <w:rPr>
          <w:rFonts w:ascii="Times New Roman" w:hAnsi="Times New Roman" w:cs="Times New Roman"/>
          <w:bCs/>
          <w:color w:val="auto"/>
        </w:rPr>
        <w:t>Safety and Health Standards—Underground Metal and Nonmetal Mines</w:t>
      </w:r>
    </w:p>
    <w:p w:rsidR="00565D86" w:rsidRPr="0037428D" w:rsidP="00565D86" w14:paraId="21C8EC77" w14:textId="21BF5258">
      <w:pPr>
        <w:pStyle w:val="Default"/>
        <w:tabs>
          <w:tab w:val="left" w:pos="1440"/>
        </w:tabs>
        <w:ind w:left="3780" w:hanging="3780"/>
        <w:rPr>
          <w:rFonts w:ascii="Times New Roman" w:hAnsi="Times New Roman" w:cs="Times New Roman"/>
          <w:bCs/>
          <w:color w:val="auto"/>
        </w:rPr>
      </w:pPr>
      <w:r w:rsidRPr="0037428D">
        <w:rPr>
          <w:rFonts w:ascii="Times New Roman" w:hAnsi="Times New Roman" w:cs="Times New Roman"/>
          <w:bCs/>
          <w:color w:val="auto"/>
        </w:rPr>
        <w:t>Subpart T—Safety Standards for Methane in Metal and Nonmetal Mines</w:t>
      </w:r>
    </w:p>
    <w:p w:rsidR="00565D86" w:rsidRPr="0037428D" w:rsidP="00565D86" w14:paraId="72116193" w14:textId="7F3D5C66">
      <w:pPr>
        <w:pStyle w:val="Default"/>
        <w:tabs>
          <w:tab w:val="left" w:pos="1440"/>
        </w:tabs>
        <w:ind w:left="3780" w:hanging="3780"/>
        <w:rPr>
          <w:rFonts w:ascii="Times New Roman" w:hAnsi="Times New Roman" w:cs="Times New Roman"/>
          <w:color w:val="auto"/>
        </w:rPr>
      </w:pPr>
      <w:r w:rsidRPr="0037428D">
        <w:rPr>
          <w:rFonts w:ascii="Times New Roman" w:hAnsi="Times New Roman" w:cs="Times New Roman"/>
          <w:bCs/>
          <w:color w:val="auto"/>
        </w:rPr>
        <w:t>30 CFR</w:t>
      </w:r>
      <w:r w:rsidRPr="0037428D">
        <w:rPr>
          <w:rFonts w:ascii="Times New Roman" w:hAnsi="Times New Roman" w:cs="Times New Roman"/>
          <w:color w:val="auto"/>
        </w:rPr>
        <w:t xml:space="preserve"> 57.22204</w:t>
      </w:r>
      <w:r w:rsidRPr="0037428D" w:rsidR="002F66D1">
        <w:rPr>
          <w:rFonts w:ascii="Times New Roman" w:hAnsi="Times New Roman" w:cs="Times New Roman"/>
          <w:color w:val="auto"/>
        </w:rPr>
        <w:t xml:space="preserve"> Main fan operation and inspection (I-A, II-A, III, and V-A mines)</w:t>
      </w:r>
    </w:p>
    <w:p w:rsidR="00565D86" w:rsidRPr="0037428D" w:rsidP="00B26311" w14:paraId="30DCC27C" w14:textId="77777777">
      <w:pPr>
        <w:pStyle w:val="Default"/>
        <w:tabs>
          <w:tab w:val="left" w:pos="1440"/>
        </w:tabs>
        <w:ind w:left="3780" w:hanging="3780"/>
        <w:rPr>
          <w:rFonts w:ascii="Times New Roman" w:hAnsi="Times New Roman" w:cs="Times New Roman"/>
          <w:b/>
          <w:color w:val="auto"/>
          <w:u w:val="single"/>
        </w:rPr>
      </w:pPr>
    </w:p>
    <w:p w:rsidR="00B26311" w:rsidRPr="0037428D" w:rsidP="00B26311" w14:paraId="72D77640" w14:textId="11C0E9F9">
      <w:pPr>
        <w:pStyle w:val="Default"/>
        <w:tabs>
          <w:tab w:val="left" w:pos="1440"/>
        </w:tabs>
        <w:ind w:left="3780" w:hanging="3780"/>
        <w:rPr>
          <w:rFonts w:ascii="Times New Roman" w:hAnsi="Times New Roman" w:cs="Times New Roman"/>
          <w:color w:val="auto"/>
        </w:rPr>
      </w:pPr>
      <w:r w:rsidRPr="0037428D">
        <w:rPr>
          <w:rFonts w:ascii="Times New Roman" w:hAnsi="Times New Roman" w:cs="Times New Roman"/>
          <w:b/>
          <w:color w:val="auto"/>
          <w:u w:val="single"/>
        </w:rPr>
        <w:t>Collection Instrument(s)</w:t>
      </w:r>
      <w:r w:rsidRPr="0037428D">
        <w:rPr>
          <w:rFonts w:ascii="Times New Roman" w:hAnsi="Times New Roman" w:cs="Times New Roman"/>
          <w:b/>
          <w:color w:val="auto"/>
        </w:rPr>
        <w:t>:</w:t>
      </w:r>
      <w:r w:rsidRPr="0037428D">
        <w:rPr>
          <w:rFonts w:ascii="Times New Roman" w:hAnsi="Times New Roman" w:cs="Times New Roman"/>
          <w:color w:val="auto"/>
        </w:rPr>
        <w:t xml:space="preserve"> None</w:t>
      </w:r>
    </w:p>
    <w:p w:rsidR="00B26311" w:rsidRPr="0037428D" w:rsidP="00C22D2A" w14:paraId="3A43F547" w14:textId="77777777">
      <w:pPr>
        <w:pStyle w:val="Default"/>
        <w:tabs>
          <w:tab w:val="left" w:pos="1440"/>
        </w:tabs>
        <w:ind w:left="3780" w:hanging="3780"/>
        <w:rPr>
          <w:rFonts w:ascii="Times New Roman" w:hAnsi="Times New Roman" w:cs="Times New Roman"/>
          <w:color w:val="auto"/>
        </w:rPr>
      </w:pPr>
    </w:p>
    <w:p w:rsidR="003A1C43" w:rsidRPr="0037428D" w14:paraId="5C25733E"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EA7B22" w:rsidRPr="0037428D" w:rsidP="00EA7B22" w14:paraId="23C2F22F" w14:textId="77777777">
      <w:pPr>
        <w:pStyle w:val="Default"/>
        <w:rPr>
          <w:rFonts w:ascii="Times New Roman" w:hAnsi="Times New Roman" w:cs="Times New Roman"/>
          <w:b/>
          <w:bCs/>
          <w:color w:val="auto"/>
        </w:rPr>
      </w:pPr>
      <w:r w:rsidRPr="0037428D">
        <w:rPr>
          <w:rFonts w:ascii="Times New Roman" w:hAnsi="Times New Roman" w:cs="Times New Roman"/>
          <w:b/>
          <w:bCs/>
          <w:color w:val="auto"/>
        </w:rPr>
        <w:t>General Instructions</w:t>
      </w:r>
    </w:p>
    <w:p w:rsidR="00EA7B22" w:rsidRPr="0037428D" w:rsidP="00EA7B22" w14:paraId="08D1B4B1" w14:textId="77777777">
      <w:pPr>
        <w:pStyle w:val="Default"/>
        <w:rPr>
          <w:rFonts w:ascii="Times New Roman" w:hAnsi="Times New Roman" w:cs="Times New Roman"/>
          <w:b/>
          <w:bCs/>
          <w:color w:val="auto"/>
        </w:rPr>
      </w:pPr>
    </w:p>
    <w:p w:rsidR="00EA7B22" w:rsidRPr="0037428D" w:rsidP="00EA7B22" w14:paraId="700DA5F1" w14:textId="700EC1EB">
      <w:pPr>
        <w:pStyle w:val="Default"/>
        <w:rPr>
          <w:rFonts w:ascii="Times New Roman" w:hAnsi="Times New Roman" w:cs="Times New Roman"/>
          <w:b/>
          <w:bCs/>
          <w:color w:val="auto"/>
        </w:rPr>
      </w:pPr>
      <w:r w:rsidRPr="0037428D">
        <w:rPr>
          <w:rFonts w:ascii="Times New Roman" w:hAnsi="Times New Roman" w:cs="Times New Roman"/>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EA7B22" w:rsidRPr="0037428D" w:rsidP="00EA7B22" w14:paraId="56A3FEDE" w14:textId="77777777">
      <w:pPr>
        <w:pStyle w:val="Default"/>
        <w:rPr>
          <w:rFonts w:ascii="Times New Roman" w:hAnsi="Times New Roman" w:cs="Times New Roman"/>
          <w:b/>
          <w:bCs/>
          <w:color w:val="auto"/>
        </w:rPr>
      </w:pPr>
    </w:p>
    <w:p w:rsidR="00EA7B22" w:rsidRPr="0037428D" w:rsidP="00EA7B22" w14:paraId="6C756F46" w14:textId="77777777">
      <w:pPr>
        <w:pStyle w:val="Default"/>
        <w:rPr>
          <w:rFonts w:ascii="Times New Roman" w:hAnsi="Times New Roman" w:cs="Times New Roman"/>
          <w:b/>
          <w:bCs/>
          <w:color w:val="auto"/>
        </w:rPr>
      </w:pPr>
      <w:r w:rsidRPr="0037428D">
        <w:rPr>
          <w:rFonts w:ascii="Times New Roman" w:hAnsi="Times New Roman" w:cs="Times New Roman"/>
          <w:b/>
          <w:bCs/>
          <w:color w:val="auto"/>
        </w:rPr>
        <w:t>Specific Instructions</w:t>
      </w:r>
    </w:p>
    <w:p w:rsidR="00EA7B22" w:rsidRPr="0037428D" w:rsidP="00EA7B22" w14:paraId="703ACE75" w14:textId="77777777">
      <w:pPr>
        <w:pStyle w:val="Default"/>
        <w:rPr>
          <w:rFonts w:ascii="Times New Roman" w:hAnsi="Times New Roman" w:cs="Times New Roman"/>
          <w:b/>
          <w:bCs/>
          <w:color w:val="auto"/>
        </w:rPr>
      </w:pPr>
    </w:p>
    <w:p w:rsidR="003A1C43" w:rsidRPr="0037428D" w:rsidP="00EA7B22" w14:paraId="1B0F4C6D" w14:textId="77777777">
      <w:pPr>
        <w:pStyle w:val="Default"/>
        <w:rPr>
          <w:rFonts w:ascii="Times New Roman" w:hAnsi="Times New Roman" w:cs="Times New Roman"/>
          <w:color w:val="auto"/>
        </w:rPr>
      </w:pPr>
      <w:r w:rsidRPr="0037428D">
        <w:rPr>
          <w:rFonts w:ascii="Times New Roman" w:hAnsi="Times New Roman" w:cs="Times New Roman"/>
          <w:b/>
          <w:bCs/>
          <w:color w:val="auto"/>
        </w:rPr>
        <w:t>A.  Justification</w:t>
      </w:r>
      <w:r w:rsidRPr="0037428D">
        <w:rPr>
          <w:rFonts w:ascii="Times New Roman" w:hAnsi="Times New Roman" w:cs="Times New Roman"/>
          <w:color w:val="auto"/>
        </w:rPr>
        <w:t xml:space="preserve"> </w:t>
      </w:r>
    </w:p>
    <w:p w:rsidR="003A1C43" w:rsidRPr="0037428D" w14:paraId="34F3B70F"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C22D2A" w:rsidRPr="0037428D" w:rsidP="00C22D2A" w14:paraId="04C27C8A" w14:textId="77777777">
      <w:pPr>
        <w:pStyle w:val="Default"/>
        <w:rPr>
          <w:rFonts w:ascii="Times New Roman" w:hAnsi="Times New Roman" w:cs="Times New Roman"/>
          <w:b/>
          <w:bCs/>
        </w:rPr>
      </w:pPr>
      <w:r w:rsidRPr="0037428D">
        <w:rPr>
          <w:rFonts w:ascii="Times New Roman" w:hAnsi="Times New Roman" w:cs="Times New Roman"/>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A1C43" w:rsidRPr="0037428D" w14:paraId="3430758D"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F95DB3" w:rsidRPr="0037428D" w:rsidP="00F95DB3" w14:paraId="60241A95" w14:textId="7DF0E422">
      <w:pPr>
        <w:pStyle w:val="Default"/>
        <w:rPr>
          <w:rFonts w:ascii="Times New Roman" w:hAnsi="Times New Roman" w:cs="Times New Roman"/>
          <w:color w:val="auto"/>
        </w:rPr>
      </w:pPr>
      <w:r w:rsidRPr="0037428D">
        <w:rPr>
          <w:rFonts w:ascii="Times New Roman" w:hAnsi="Times New Roman" w:cs="Times New Roman"/>
          <w:color w:val="auto"/>
        </w:rPr>
        <w:t>Section 103(h) of the Federal Mine Safety and Health Act of 1977</w:t>
      </w:r>
      <w:r w:rsidR="006F38FE">
        <w:rPr>
          <w:rFonts w:ascii="Times New Roman" w:hAnsi="Times New Roman" w:cs="Times New Roman"/>
          <w:color w:val="auto"/>
        </w:rPr>
        <w:t xml:space="preserve"> </w:t>
      </w:r>
      <w:r w:rsidRPr="0037428D" w:rsidR="006F38FE">
        <w:rPr>
          <w:rFonts w:ascii="Times New Roman" w:hAnsi="Times New Roman" w:cs="Times New Roman"/>
          <w:color w:val="auto"/>
        </w:rPr>
        <w:t>(Mine Act)</w:t>
      </w:r>
      <w:r w:rsidRPr="0037428D">
        <w:rPr>
          <w:rFonts w:ascii="Times New Roman" w:hAnsi="Times New Roman" w:cs="Times New Roman"/>
          <w:color w:val="auto"/>
        </w:rPr>
        <w:t xml:space="preserve"> as amended</w:t>
      </w:r>
      <w:r w:rsidRPr="007E23D5" w:rsidR="00A830FF">
        <w:rPr>
          <w:rFonts w:ascii="Times New Roman" w:hAnsi="Times New Roman"/>
          <w:bCs/>
        </w:rPr>
        <w:t xml:space="preserve">, 30 </w:t>
      </w:r>
      <w:r w:rsidRPr="007E23D5" w:rsidR="00A830FF">
        <w:rPr>
          <w:rFonts w:ascii="Times New Roman" w:hAnsi="Times New Roman"/>
          <w:bCs/>
        </w:rPr>
        <w:t>U.S.C. 813(h),</w:t>
      </w:r>
      <w:r w:rsidRPr="0037428D">
        <w:rPr>
          <w:rFonts w:ascii="Times New Roman" w:hAnsi="Times New Roman" w:cs="Times New Roman"/>
          <w:color w:val="auto"/>
        </w:rPr>
        <w:t xml:space="preserve"> authorizes the Mine Safety and Health Administration (MSHA) to collect information necessary to carry out its duty in protecting the safety and health of miners. Further, section 101(a) of the Mine Act</w:t>
      </w:r>
      <w:r w:rsidR="00A830FF">
        <w:rPr>
          <w:rFonts w:ascii="Times New Roman" w:hAnsi="Times New Roman" w:cs="Times New Roman"/>
          <w:color w:val="auto"/>
        </w:rPr>
        <w:t xml:space="preserve">, </w:t>
      </w:r>
      <w:r w:rsidRPr="0037428D" w:rsidR="00A830FF">
        <w:rPr>
          <w:rFonts w:ascii="Times New Roman" w:hAnsi="Times New Roman" w:cs="Times New Roman"/>
          <w:color w:val="auto"/>
        </w:rPr>
        <w:t>30 U.S.C. 811(a)</w:t>
      </w:r>
      <w:r w:rsidR="00A830FF">
        <w:rPr>
          <w:rFonts w:ascii="Times New Roman" w:hAnsi="Times New Roman" w:cs="Times New Roman"/>
          <w:color w:val="auto"/>
        </w:rPr>
        <w:t>,</w:t>
      </w:r>
      <w:r w:rsidRPr="0037428D">
        <w:rPr>
          <w:rFonts w:ascii="Times New Roman" w:hAnsi="Times New Roman" w:cs="Times New Roman"/>
          <w:color w:val="auto"/>
        </w:rPr>
        <w:t xml:space="preserve"> authorizes the Secretary of Labor (Secretary) to develop, promulgate, and revise as may be appropriate, improved mandatory health or safety standards for the protection of life and prevention of injuries in coal, metal, and nonmetal mines</w:t>
      </w:r>
      <w:r w:rsidR="005A57B3">
        <w:rPr>
          <w:rFonts w:ascii="Times New Roman" w:hAnsi="Times New Roman" w:cs="Times New Roman"/>
          <w:color w:val="auto"/>
        </w:rPr>
        <w:t>.</w:t>
      </w:r>
    </w:p>
    <w:p w:rsidR="00F95DB3" w:rsidRPr="0037428D" w:rsidP="00F95DB3" w14:paraId="641CB65F" w14:textId="77777777">
      <w:pPr>
        <w:pStyle w:val="Default"/>
        <w:rPr>
          <w:rFonts w:ascii="Times New Roman" w:hAnsi="Times New Roman" w:cs="Times New Roman"/>
          <w:color w:val="auto"/>
        </w:rPr>
      </w:pPr>
    </w:p>
    <w:p w:rsidR="00F95DB3" w:rsidP="00F95DB3" w14:paraId="44E0145E" w14:textId="0188AE6E">
      <w:pPr>
        <w:pStyle w:val="Default"/>
        <w:rPr>
          <w:rFonts w:ascii="Times New Roman" w:hAnsi="Times New Roman" w:cs="Times New Roman"/>
          <w:color w:val="auto"/>
        </w:rPr>
      </w:pPr>
      <w:r w:rsidRPr="0037428D">
        <w:rPr>
          <w:rFonts w:ascii="Times New Roman" w:hAnsi="Times New Roman" w:cs="Times New Roman"/>
          <w:color w:val="auto"/>
        </w:rPr>
        <w:t xml:space="preserve">In order to fulfill the statutory mandates to promote miners’ health and safety, MSHA requires the collection of information </w:t>
      </w:r>
      <w:r w:rsidR="00A95437">
        <w:rPr>
          <w:rFonts w:ascii="Times New Roman" w:hAnsi="Times New Roman" w:cs="Times New Roman"/>
          <w:color w:val="auto"/>
        </w:rPr>
        <w:t xml:space="preserve">under the information request entitled </w:t>
      </w:r>
      <w:r w:rsidRPr="0037428D">
        <w:rPr>
          <w:rFonts w:ascii="Times New Roman" w:hAnsi="Times New Roman" w:cs="Times New Roman"/>
          <w:color w:val="auto"/>
        </w:rPr>
        <w:t xml:space="preserve">Main </w:t>
      </w:r>
      <w:r w:rsidRPr="0037428D" w:rsidR="006F38FE">
        <w:rPr>
          <w:rFonts w:ascii="Times New Roman" w:hAnsi="Times New Roman" w:cs="Times New Roman"/>
          <w:color w:val="auto"/>
        </w:rPr>
        <w:t xml:space="preserve">Fan Operation </w:t>
      </w:r>
      <w:r w:rsidRPr="0037428D">
        <w:rPr>
          <w:rFonts w:ascii="Times New Roman" w:hAnsi="Times New Roman" w:cs="Times New Roman"/>
          <w:color w:val="auto"/>
        </w:rPr>
        <w:t xml:space="preserve">and </w:t>
      </w:r>
      <w:r w:rsidR="006F38FE">
        <w:rPr>
          <w:rFonts w:ascii="Times New Roman" w:hAnsi="Times New Roman" w:cs="Times New Roman"/>
          <w:color w:val="auto"/>
        </w:rPr>
        <w:t>I</w:t>
      </w:r>
      <w:r w:rsidRPr="0037428D">
        <w:rPr>
          <w:rFonts w:ascii="Times New Roman" w:hAnsi="Times New Roman" w:cs="Times New Roman"/>
          <w:color w:val="auto"/>
        </w:rPr>
        <w:t xml:space="preserve">nspection (I-A, II-A, III, and V-A </w:t>
      </w:r>
      <w:r w:rsidR="006F38FE">
        <w:rPr>
          <w:rFonts w:ascii="Times New Roman" w:hAnsi="Times New Roman" w:cs="Times New Roman"/>
          <w:color w:val="auto"/>
        </w:rPr>
        <w:t>M</w:t>
      </w:r>
      <w:r w:rsidRPr="0037428D">
        <w:rPr>
          <w:rFonts w:ascii="Times New Roman" w:hAnsi="Times New Roman" w:cs="Times New Roman"/>
          <w:color w:val="auto"/>
        </w:rPr>
        <w:t xml:space="preserve">ines). </w:t>
      </w:r>
      <w:r w:rsidRPr="00526A8C" w:rsidR="009E4B15">
        <w:rPr>
          <w:rFonts w:ascii="Times New Roman" w:hAnsi="Times New Roman" w:cs="Times New Roman"/>
          <w:color w:val="auto"/>
        </w:rPr>
        <w:t xml:space="preserve">The information collection is intended to ensure </w:t>
      </w:r>
      <w:r w:rsidRPr="0037428D">
        <w:rPr>
          <w:rFonts w:ascii="Times New Roman" w:hAnsi="Times New Roman" w:cs="Times New Roman"/>
          <w:color w:val="auto"/>
        </w:rPr>
        <w:t xml:space="preserve">constant monitoring of mine ventilation and </w:t>
      </w:r>
      <w:r w:rsidR="006F38FE">
        <w:rPr>
          <w:rFonts w:ascii="Times New Roman" w:hAnsi="Times New Roman" w:cs="Times New Roman"/>
          <w:color w:val="auto"/>
        </w:rPr>
        <w:t>to</w:t>
      </w:r>
      <w:r w:rsidRPr="0037428D" w:rsidR="006F38FE">
        <w:rPr>
          <w:rFonts w:ascii="Times New Roman" w:hAnsi="Times New Roman" w:cs="Times New Roman"/>
          <w:color w:val="auto"/>
        </w:rPr>
        <w:t xml:space="preserve"> </w:t>
      </w:r>
      <w:r w:rsidRPr="0037428D">
        <w:rPr>
          <w:rFonts w:ascii="Times New Roman" w:hAnsi="Times New Roman" w:cs="Times New Roman"/>
          <w:color w:val="auto"/>
        </w:rPr>
        <w:t>ensur</w:t>
      </w:r>
      <w:r w:rsidR="006F38FE">
        <w:rPr>
          <w:rFonts w:ascii="Times New Roman" w:hAnsi="Times New Roman" w:cs="Times New Roman"/>
          <w:color w:val="auto"/>
        </w:rPr>
        <w:t>e</w:t>
      </w:r>
      <w:r w:rsidRPr="0037428D">
        <w:rPr>
          <w:rFonts w:ascii="Times New Roman" w:hAnsi="Times New Roman" w:cs="Times New Roman"/>
          <w:color w:val="auto"/>
        </w:rPr>
        <w:t xml:space="preserve"> that unsafe conditions are identified early and corrected.</w:t>
      </w:r>
    </w:p>
    <w:p w:rsidR="009E4B15" w:rsidP="00F95DB3" w14:paraId="6B49A438" w14:textId="77777777">
      <w:pPr>
        <w:pStyle w:val="Default"/>
        <w:rPr>
          <w:rFonts w:ascii="Times New Roman" w:hAnsi="Times New Roman" w:cs="Times New Roman"/>
          <w:color w:val="auto"/>
        </w:rPr>
      </w:pPr>
    </w:p>
    <w:p w:rsidR="009E4B15" w:rsidRPr="00FA77FC" w:rsidP="00FA77FC" w14:paraId="69EFF1CA" w14:textId="29973804">
      <w:pPr>
        <w:pStyle w:val="Default"/>
        <w:numPr>
          <w:ilvl w:val="0"/>
          <w:numId w:val="4"/>
        </w:numPr>
        <w:rPr>
          <w:rFonts w:ascii="Times New Roman" w:hAnsi="Times New Roman" w:cs="Times New Roman"/>
          <w:b/>
          <w:bCs/>
          <w:color w:val="auto"/>
        </w:rPr>
      </w:pPr>
      <w:r>
        <w:rPr>
          <w:rFonts w:ascii="Times New Roman" w:hAnsi="Times New Roman" w:cs="Times New Roman"/>
          <w:b/>
          <w:bCs/>
          <w:color w:val="auto"/>
        </w:rPr>
        <w:t xml:space="preserve">Daily </w:t>
      </w:r>
      <w:r w:rsidRPr="00FA77FC">
        <w:rPr>
          <w:rFonts w:ascii="Times New Roman" w:hAnsi="Times New Roman" w:cs="Times New Roman"/>
          <w:b/>
          <w:bCs/>
          <w:color w:val="auto"/>
        </w:rPr>
        <w:t xml:space="preserve">Main </w:t>
      </w:r>
      <w:r w:rsidRPr="006F38FE" w:rsidR="006F38FE">
        <w:rPr>
          <w:rFonts w:ascii="Times New Roman" w:hAnsi="Times New Roman" w:cs="Times New Roman"/>
          <w:b/>
          <w:bCs/>
          <w:color w:val="auto"/>
        </w:rPr>
        <w:t>Fan Inspection</w:t>
      </w:r>
      <w:r>
        <w:rPr>
          <w:rFonts w:ascii="Times New Roman" w:hAnsi="Times New Roman" w:cs="Times New Roman"/>
          <w:b/>
          <w:bCs/>
          <w:color w:val="auto"/>
        </w:rPr>
        <w:t xml:space="preserve"> and Certification</w:t>
      </w:r>
      <w:r w:rsidRPr="00FA77FC">
        <w:rPr>
          <w:rFonts w:ascii="Times New Roman" w:hAnsi="Times New Roman" w:cs="Times New Roman"/>
          <w:b/>
          <w:bCs/>
          <w:color w:val="auto"/>
        </w:rPr>
        <w:t xml:space="preserve"> (I-A, II-A, III, and V-A mines)</w:t>
      </w:r>
    </w:p>
    <w:p w:rsidR="00EA7B22" w:rsidRPr="0037428D" w14:paraId="0D52A0C6" w14:textId="77777777">
      <w:pPr>
        <w:pStyle w:val="Default"/>
        <w:rPr>
          <w:rFonts w:ascii="Times New Roman" w:hAnsi="Times New Roman" w:cs="Times New Roman"/>
          <w:color w:val="auto"/>
        </w:rPr>
      </w:pPr>
    </w:p>
    <w:p w:rsidR="00045114" w14:paraId="1D4FF0B6" w14:textId="3E4C9B58">
      <w:pPr>
        <w:pStyle w:val="Default"/>
        <w:rPr>
          <w:rFonts w:ascii="Times New Roman" w:hAnsi="Times New Roman" w:cs="Times New Roman"/>
          <w:color w:val="auto"/>
        </w:rPr>
      </w:pPr>
      <w:r>
        <w:rPr>
          <w:rFonts w:ascii="Times New Roman" w:hAnsi="Times New Roman" w:cs="Times New Roman"/>
          <w:color w:val="auto"/>
        </w:rPr>
        <w:t>M</w:t>
      </w:r>
      <w:r w:rsidRPr="0037428D">
        <w:rPr>
          <w:rFonts w:ascii="Times New Roman" w:hAnsi="Times New Roman" w:cs="Times New Roman"/>
          <w:color w:val="auto"/>
        </w:rPr>
        <w:t xml:space="preserve">aintaining proper ventilation is critical to providing miners with </w:t>
      </w:r>
      <w:r>
        <w:rPr>
          <w:rFonts w:ascii="Times New Roman" w:hAnsi="Times New Roman" w:cs="Times New Roman"/>
          <w:color w:val="auto"/>
        </w:rPr>
        <w:t xml:space="preserve">a </w:t>
      </w:r>
      <w:r w:rsidRPr="0037428D">
        <w:rPr>
          <w:rFonts w:ascii="Times New Roman" w:hAnsi="Times New Roman" w:cs="Times New Roman"/>
          <w:color w:val="auto"/>
        </w:rPr>
        <w:t xml:space="preserve">safe </w:t>
      </w:r>
      <w:r>
        <w:rPr>
          <w:rFonts w:ascii="Times New Roman" w:hAnsi="Times New Roman" w:cs="Times New Roman"/>
          <w:color w:val="auto"/>
        </w:rPr>
        <w:t>working environment</w:t>
      </w:r>
      <w:r w:rsidRPr="0037428D">
        <w:rPr>
          <w:rFonts w:ascii="Times New Roman" w:hAnsi="Times New Roman" w:cs="Times New Roman"/>
          <w:color w:val="auto"/>
        </w:rPr>
        <w:t xml:space="preserve">. </w:t>
      </w:r>
      <w:r w:rsidRPr="0037428D" w:rsidR="008605A2">
        <w:rPr>
          <w:rFonts w:ascii="Times New Roman" w:hAnsi="Times New Roman" w:cs="Times New Roman"/>
          <w:color w:val="auto"/>
        </w:rPr>
        <w:t xml:space="preserve">Potentially </w:t>
      </w:r>
      <w:r w:rsidR="006F38FE">
        <w:rPr>
          <w:rFonts w:ascii="Times New Roman" w:hAnsi="Times New Roman" w:cs="Times New Roman"/>
          <w:color w:val="auto"/>
        </w:rPr>
        <w:t>dangerous</w:t>
      </w:r>
      <w:r w:rsidRPr="0037428D" w:rsidR="008605A2">
        <w:rPr>
          <w:rFonts w:ascii="Times New Roman" w:hAnsi="Times New Roman" w:cs="Times New Roman"/>
          <w:color w:val="auto"/>
        </w:rPr>
        <w:t xml:space="preserve"> conditions</w:t>
      </w:r>
      <w:r w:rsidR="009E4B15">
        <w:rPr>
          <w:rFonts w:ascii="Times New Roman" w:hAnsi="Times New Roman" w:cs="Times New Roman"/>
          <w:color w:val="auto"/>
        </w:rPr>
        <w:t xml:space="preserve"> in </w:t>
      </w:r>
      <w:r w:rsidRPr="0037428D" w:rsidR="009E4B15">
        <w:rPr>
          <w:rFonts w:ascii="Times New Roman" w:hAnsi="Times New Roman" w:cs="Times New Roman"/>
          <w:color w:val="auto"/>
        </w:rPr>
        <w:t>underground</w:t>
      </w:r>
      <w:r w:rsidR="009E4B15">
        <w:rPr>
          <w:rFonts w:ascii="Times New Roman" w:hAnsi="Times New Roman" w:cs="Times New Roman"/>
          <w:color w:val="auto"/>
        </w:rPr>
        <w:t xml:space="preserve"> mines due to explosive gases</w:t>
      </w:r>
      <w:r w:rsidRPr="0037428D" w:rsidR="008605A2">
        <w:rPr>
          <w:rFonts w:ascii="Times New Roman" w:hAnsi="Times New Roman" w:cs="Times New Roman"/>
          <w:color w:val="auto"/>
        </w:rPr>
        <w:t xml:space="preserve"> are largely controlled by the main fans. When accumulations of explosive gases, such as methane, are not </w:t>
      </w:r>
      <w:r>
        <w:rPr>
          <w:rFonts w:ascii="Times New Roman" w:hAnsi="Times New Roman" w:cs="Times New Roman"/>
          <w:color w:val="auto"/>
        </w:rPr>
        <w:t xml:space="preserve">quickly </w:t>
      </w:r>
      <w:r w:rsidR="009E4B15">
        <w:rPr>
          <w:rFonts w:ascii="Times New Roman" w:hAnsi="Times New Roman" w:cs="Times New Roman"/>
          <w:color w:val="auto"/>
        </w:rPr>
        <w:t>removed</w:t>
      </w:r>
      <w:r w:rsidRPr="0037428D" w:rsidR="009E4B15">
        <w:rPr>
          <w:rFonts w:ascii="Times New Roman" w:hAnsi="Times New Roman" w:cs="Times New Roman"/>
          <w:color w:val="auto"/>
        </w:rPr>
        <w:t xml:space="preserve"> </w:t>
      </w:r>
      <w:r w:rsidRPr="0037428D" w:rsidR="008605A2">
        <w:rPr>
          <w:rFonts w:ascii="Times New Roman" w:hAnsi="Times New Roman" w:cs="Times New Roman"/>
          <w:color w:val="auto"/>
        </w:rPr>
        <w:t>from the mine by the main fans, the</w:t>
      </w:r>
      <w:r w:rsidR="009E4B15">
        <w:rPr>
          <w:rFonts w:ascii="Times New Roman" w:hAnsi="Times New Roman" w:cs="Times New Roman"/>
          <w:color w:val="auto"/>
        </w:rPr>
        <w:t>y</w:t>
      </w:r>
      <w:r w:rsidRPr="0037428D" w:rsidR="008605A2">
        <w:rPr>
          <w:rFonts w:ascii="Times New Roman" w:hAnsi="Times New Roman" w:cs="Times New Roman"/>
          <w:color w:val="auto"/>
        </w:rPr>
        <w:t xml:space="preserve"> may reasonably be expected to </w:t>
      </w:r>
      <w:r w:rsidR="009E4B15">
        <w:rPr>
          <w:rFonts w:ascii="Times New Roman" w:hAnsi="Times New Roman" w:cs="Times New Roman"/>
          <w:color w:val="auto"/>
        </w:rPr>
        <w:t xml:space="preserve">come in </w:t>
      </w:r>
      <w:r w:rsidRPr="0037428D" w:rsidR="008605A2">
        <w:rPr>
          <w:rFonts w:ascii="Times New Roman" w:hAnsi="Times New Roman" w:cs="Times New Roman"/>
          <w:color w:val="auto"/>
        </w:rPr>
        <w:t>contact</w:t>
      </w:r>
      <w:r w:rsidR="009E4B15">
        <w:rPr>
          <w:rFonts w:ascii="Times New Roman" w:hAnsi="Times New Roman" w:cs="Times New Roman"/>
          <w:color w:val="auto"/>
        </w:rPr>
        <w:t xml:space="preserve"> with</w:t>
      </w:r>
      <w:r w:rsidRPr="0037428D" w:rsidR="008605A2">
        <w:rPr>
          <w:rFonts w:ascii="Times New Roman" w:hAnsi="Times New Roman" w:cs="Times New Roman"/>
          <w:color w:val="auto"/>
        </w:rPr>
        <w:t xml:space="preserve"> an ignition source</w:t>
      </w:r>
      <w:r w:rsidR="006F38FE">
        <w:rPr>
          <w:rFonts w:ascii="Times New Roman" w:hAnsi="Times New Roman" w:cs="Times New Roman"/>
          <w:color w:val="auto"/>
        </w:rPr>
        <w:t xml:space="preserve"> and cause</w:t>
      </w:r>
      <w:r w:rsidR="00AE4E33">
        <w:rPr>
          <w:rFonts w:ascii="Times New Roman" w:hAnsi="Times New Roman" w:cs="Times New Roman"/>
          <w:color w:val="auto"/>
        </w:rPr>
        <w:t xml:space="preserve"> </w:t>
      </w:r>
      <w:r w:rsidR="006F38FE">
        <w:rPr>
          <w:rFonts w:ascii="Times New Roman" w:hAnsi="Times New Roman" w:cs="Times New Roman"/>
          <w:color w:val="auto"/>
        </w:rPr>
        <w:t>explosion</w:t>
      </w:r>
      <w:r w:rsidR="004A0A0A">
        <w:rPr>
          <w:rFonts w:ascii="Times New Roman" w:hAnsi="Times New Roman" w:cs="Times New Roman"/>
          <w:color w:val="auto"/>
        </w:rPr>
        <w:t>s</w:t>
      </w:r>
      <w:r w:rsidRPr="0037428D" w:rsidR="008605A2">
        <w:rPr>
          <w:rFonts w:ascii="Times New Roman" w:hAnsi="Times New Roman" w:cs="Times New Roman"/>
          <w:color w:val="auto"/>
        </w:rPr>
        <w:t xml:space="preserve">. The results of such </w:t>
      </w:r>
      <w:r w:rsidR="00AE4E33">
        <w:rPr>
          <w:rFonts w:ascii="Times New Roman" w:hAnsi="Times New Roman" w:cs="Times New Roman"/>
          <w:color w:val="auto"/>
        </w:rPr>
        <w:t>explosions</w:t>
      </w:r>
      <w:r w:rsidRPr="0037428D" w:rsidR="008605A2">
        <w:rPr>
          <w:rFonts w:ascii="Times New Roman" w:hAnsi="Times New Roman" w:cs="Times New Roman"/>
          <w:color w:val="auto"/>
        </w:rPr>
        <w:t xml:space="preserve"> are </w:t>
      </w:r>
      <w:r w:rsidR="009E4B15">
        <w:rPr>
          <w:rFonts w:ascii="Times New Roman" w:hAnsi="Times New Roman" w:cs="Times New Roman"/>
          <w:color w:val="auto"/>
        </w:rPr>
        <w:t>often</w:t>
      </w:r>
      <w:r w:rsidRPr="0037428D" w:rsidR="009E4B15">
        <w:rPr>
          <w:rFonts w:ascii="Times New Roman" w:hAnsi="Times New Roman" w:cs="Times New Roman"/>
          <w:color w:val="auto"/>
        </w:rPr>
        <w:t xml:space="preserve"> </w:t>
      </w:r>
      <w:r w:rsidR="00567F8D">
        <w:rPr>
          <w:rFonts w:ascii="Times New Roman" w:hAnsi="Times New Roman" w:cs="Times New Roman"/>
          <w:color w:val="auto"/>
        </w:rPr>
        <w:t>severe</w:t>
      </w:r>
      <w:r w:rsidRPr="0037428D" w:rsidR="00567F8D">
        <w:rPr>
          <w:rFonts w:ascii="Times New Roman" w:hAnsi="Times New Roman" w:cs="Times New Roman"/>
          <w:color w:val="auto"/>
        </w:rPr>
        <w:t xml:space="preserve"> and</w:t>
      </w:r>
      <w:r w:rsidR="00AE4E33">
        <w:rPr>
          <w:rFonts w:ascii="Times New Roman" w:hAnsi="Times New Roman" w:cs="Times New Roman"/>
          <w:color w:val="auto"/>
        </w:rPr>
        <w:t xml:space="preserve"> have previously included incidents with</w:t>
      </w:r>
      <w:r w:rsidRPr="0037428D" w:rsidR="008605A2">
        <w:rPr>
          <w:rFonts w:ascii="Times New Roman" w:hAnsi="Times New Roman" w:cs="Times New Roman"/>
          <w:color w:val="auto"/>
        </w:rPr>
        <w:t xml:space="preserve"> multiple fatalities</w:t>
      </w:r>
      <w:r w:rsidR="006F38FE">
        <w:rPr>
          <w:rFonts w:ascii="Times New Roman" w:hAnsi="Times New Roman" w:cs="Times New Roman"/>
          <w:color w:val="auto"/>
        </w:rPr>
        <w:t>.</w:t>
      </w:r>
      <w:r w:rsidRPr="0037428D" w:rsidR="008605A2">
        <w:rPr>
          <w:rFonts w:ascii="Times New Roman" w:hAnsi="Times New Roman" w:cs="Times New Roman"/>
          <w:color w:val="auto"/>
        </w:rPr>
        <w:t xml:space="preserve"> </w:t>
      </w:r>
    </w:p>
    <w:p w:rsidR="00045114" w14:paraId="59E30EEC" w14:textId="77777777">
      <w:pPr>
        <w:pStyle w:val="Default"/>
        <w:rPr>
          <w:rFonts w:ascii="Times New Roman" w:hAnsi="Times New Roman" w:cs="Times New Roman"/>
          <w:color w:val="auto"/>
        </w:rPr>
      </w:pPr>
    </w:p>
    <w:p w:rsidR="003A1C43" w:rsidRPr="0037428D" w14:paraId="35EE7524" w14:textId="3E0E9596">
      <w:pPr>
        <w:pStyle w:val="Default"/>
        <w:rPr>
          <w:rFonts w:ascii="Times New Roman" w:hAnsi="Times New Roman" w:cs="Times New Roman"/>
          <w:color w:val="auto"/>
        </w:rPr>
      </w:pPr>
      <w:r>
        <w:rPr>
          <w:rFonts w:ascii="Times New Roman" w:hAnsi="Times New Roman" w:cs="Times New Roman"/>
          <w:color w:val="auto"/>
        </w:rPr>
        <w:t xml:space="preserve">Under </w:t>
      </w:r>
      <w:r w:rsidRPr="0037428D" w:rsidR="00A9150D">
        <w:rPr>
          <w:rFonts w:ascii="Times New Roman" w:hAnsi="Times New Roman" w:cs="Times New Roman"/>
          <w:color w:val="auto"/>
        </w:rPr>
        <w:t>30 C</w:t>
      </w:r>
      <w:r w:rsidRPr="0037428D">
        <w:rPr>
          <w:rFonts w:ascii="Times New Roman" w:hAnsi="Times New Roman" w:cs="Times New Roman"/>
          <w:color w:val="auto"/>
        </w:rPr>
        <w:t>FR 57.22204, which appli</w:t>
      </w:r>
      <w:r w:rsidRPr="0037428D" w:rsidR="008605A2">
        <w:rPr>
          <w:rFonts w:ascii="Times New Roman" w:hAnsi="Times New Roman" w:cs="Times New Roman"/>
          <w:color w:val="auto"/>
        </w:rPr>
        <w:t>es</w:t>
      </w:r>
      <w:r w:rsidRPr="0037428D">
        <w:rPr>
          <w:rFonts w:ascii="Times New Roman" w:hAnsi="Times New Roman" w:cs="Times New Roman"/>
          <w:color w:val="auto"/>
        </w:rPr>
        <w:t xml:space="preserve"> to </w:t>
      </w:r>
      <w:r w:rsidRPr="0037428D" w:rsidR="006F38FE">
        <w:rPr>
          <w:rFonts w:ascii="Times New Roman" w:hAnsi="Times New Roman" w:cs="Times New Roman"/>
          <w:color w:val="auto"/>
        </w:rPr>
        <w:t xml:space="preserve">underground </w:t>
      </w:r>
      <w:r w:rsidRPr="0037428D">
        <w:rPr>
          <w:rFonts w:ascii="Times New Roman" w:hAnsi="Times New Roman" w:cs="Times New Roman"/>
          <w:color w:val="auto"/>
        </w:rPr>
        <w:t xml:space="preserve">metal and nonmetal mines that are categorized as </w:t>
      </w:r>
      <w:r w:rsidR="009E4B15">
        <w:rPr>
          <w:rFonts w:ascii="Times New Roman" w:hAnsi="Times New Roman" w:cs="Times New Roman"/>
          <w:color w:val="auto"/>
        </w:rPr>
        <w:t xml:space="preserve">I-A, II-A, III or V-A </w:t>
      </w:r>
      <w:r w:rsidR="006F38FE">
        <w:rPr>
          <w:rFonts w:ascii="Times New Roman" w:hAnsi="Times New Roman" w:cs="Times New Roman"/>
          <w:color w:val="auto"/>
        </w:rPr>
        <w:t>mines</w:t>
      </w:r>
      <w:r w:rsidRPr="0037428D">
        <w:rPr>
          <w:rFonts w:ascii="Times New Roman" w:hAnsi="Times New Roman" w:cs="Times New Roman"/>
          <w:color w:val="auto"/>
        </w:rPr>
        <w:t xml:space="preserve">, </w:t>
      </w:r>
      <w:r w:rsidR="0033331D">
        <w:rPr>
          <w:rFonts w:ascii="Times New Roman" w:hAnsi="Times New Roman" w:cs="Times New Roman"/>
          <w:color w:val="auto"/>
        </w:rPr>
        <w:t xml:space="preserve">the </w:t>
      </w:r>
      <w:r w:rsidRPr="0037428D">
        <w:rPr>
          <w:rFonts w:ascii="Times New Roman" w:hAnsi="Times New Roman" w:cs="Times New Roman"/>
          <w:color w:val="auto"/>
        </w:rPr>
        <w:t xml:space="preserve">main fans </w:t>
      </w:r>
      <w:r w:rsidR="0033331D">
        <w:rPr>
          <w:rFonts w:ascii="Times New Roman" w:hAnsi="Times New Roman" w:cs="Times New Roman"/>
          <w:color w:val="auto"/>
        </w:rPr>
        <w:t>must</w:t>
      </w:r>
      <w:r w:rsidRPr="0037428D">
        <w:rPr>
          <w:rFonts w:ascii="Times New Roman" w:hAnsi="Times New Roman" w:cs="Times New Roman"/>
          <w:color w:val="auto"/>
        </w:rPr>
        <w:t xml:space="preserve"> have </w:t>
      </w:r>
      <w:r w:rsidR="008A68E5">
        <w:rPr>
          <w:rFonts w:ascii="Times New Roman" w:hAnsi="Times New Roman" w:cs="Times New Roman"/>
          <w:color w:val="auto"/>
        </w:rPr>
        <w:t xml:space="preserve">a </w:t>
      </w:r>
      <w:r w:rsidRPr="0037428D">
        <w:rPr>
          <w:rFonts w:ascii="Times New Roman" w:hAnsi="Times New Roman" w:cs="Times New Roman"/>
          <w:color w:val="auto"/>
        </w:rPr>
        <w:t>pressure-recording system. This standard also requires main fans to be inspected daily while operating if persons are underground</w:t>
      </w:r>
      <w:r w:rsidR="00AE4E33">
        <w:rPr>
          <w:rFonts w:ascii="Times New Roman" w:hAnsi="Times New Roman" w:cs="Times New Roman"/>
          <w:color w:val="auto"/>
        </w:rPr>
        <w:t>,</w:t>
      </w:r>
      <w:r w:rsidRPr="0037428D">
        <w:rPr>
          <w:rFonts w:ascii="Times New Roman" w:hAnsi="Times New Roman" w:cs="Times New Roman"/>
          <w:color w:val="auto"/>
        </w:rPr>
        <w:t xml:space="preserve"> and certification of inspections </w:t>
      </w:r>
      <w:r w:rsidR="00AE4E33">
        <w:rPr>
          <w:rFonts w:ascii="Times New Roman" w:hAnsi="Times New Roman" w:cs="Times New Roman"/>
          <w:color w:val="auto"/>
        </w:rPr>
        <w:t>must</w:t>
      </w:r>
      <w:r w:rsidR="006F38FE">
        <w:rPr>
          <w:rFonts w:ascii="Times New Roman" w:hAnsi="Times New Roman" w:cs="Times New Roman"/>
          <w:color w:val="auto"/>
        </w:rPr>
        <w:t xml:space="preserve"> be made </w:t>
      </w:r>
      <w:r w:rsidRPr="0037428D">
        <w:rPr>
          <w:rFonts w:ascii="Times New Roman" w:hAnsi="Times New Roman" w:cs="Times New Roman"/>
          <w:color w:val="auto"/>
        </w:rPr>
        <w:t xml:space="preserve">by signature and date. Certifications and pressure recordings </w:t>
      </w:r>
      <w:r w:rsidRPr="0037428D" w:rsidR="005A6F1B">
        <w:rPr>
          <w:rFonts w:ascii="Times New Roman" w:hAnsi="Times New Roman" w:cs="Times New Roman"/>
          <w:color w:val="auto"/>
        </w:rPr>
        <w:t>must</w:t>
      </w:r>
      <w:r w:rsidRPr="0037428D">
        <w:rPr>
          <w:rFonts w:ascii="Times New Roman" w:hAnsi="Times New Roman" w:cs="Times New Roman"/>
          <w:color w:val="auto"/>
        </w:rPr>
        <w:t xml:space="preserve"> be retained for </w:t>
      </w:r>
      <w:r w:rsidR="00DB345A">
        <w:rPr>
          <w:rFonts w:ascii="Times New Roman" w:hAnsi="Times New Roman" w:cs="Times New Roman"/>
          <w:color w:val="auto"/>
        </w:rPr>
        <w:t xml:space="preserve">at least </w:t>
      </w:r>
      <w:r w:rsidRPr="0037428D">
        <w:rPr>
          <w:rFonts w:ascii="Times New Roman" w:hAnsi="Times New Roman" w:cs="Times New Roman"/>
          <w:color w:val="auto"/>
        </w:rPr>
        <w:t xml:space="preserve">one year and made available to </w:t>
      </w:r>
      <w:r w:rsidR="00AF196F">
        <w:rPr>
          <w:rFonts w:ascii="Times New Roman" w:hAnsi="Times New Roman" w:cs="Times New Roman"/>
          <w:color w:val="auto"/>
        </w:rPr>
        <w:t xml:space="preserve">an </w:t>
      </w:r>
      <w:r w:rsidRPr="0037428D">
        <w:rPr>
          <w:rFonts w:ascii="Times New Roman" w:hAnsi="Times New Roman" w:cs="Times New Roman"/>
          <w:color w:val="auto"/>
        </w:rPr>
        <w:t xml:space="preserve">authorized representative of the Secretary.  </w:t>
      </w:r>
    </w:p>
    <w:p w:rsidR="003445DC" w:rsidRPr="0037428D" w14:paraId="1810BC2C" w14:textId="77777777">
      <w:pPr>
        <w:pStyle w:val="Default"/>
        <w:rPr>
          <w:rFonts w:ascii="Times New Roman" w:hAnsi="Times New Roman" w:cs="Times New Roman"/>
          <w:color w:val="auto"/>
        </w:rPr>
      </w:pPr>
    </w:p>
    <w:p w:rsidR="00C22D2A" w:rsidRPr="0037428D" w:rsidP="00C22D2A" w14:paraId="550FB282" w14:textId="77777777">
      <w:pPr>
        <w:pStyle w:val="Default"/>
        <w:rPr>
          <w:rFonts w:ascii="Times New Roman" w:hAnsi="Times New Roman" w:cs="Times New Roman"/>
          <w:b/>
          <w:bCs/>
        </w:rPr>
      </w:pPr>
      <w:r w:rsidRPr="0037428D">
        <w:rPr>
          <w:rFonts w:ascii="Times New Roman" w:hAnsi="Times New Roman" w:cs="Times New Roman"/>
          <w:b/>
          <w:bCs/>
        </w:rPr>
        <w:t xml:space="preserve">2. Indicate how, by whom, and for what purpose the information is to be used. Except for a new collection, indicate the actual use the agency has made of the information received from the current collection. </w:t>
      </w:r>
    </w:p>
    <w:p w:rsidR="003A1C43" w:rsidRPr="0037428D" w14:paraId="56400CDA"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3A1C43" w:rsidRPr="0037428D" w14:paraId="7239E90D" w14:textId="76235297">
      <w:pPr>
        <w:pStyle w:val="Default"/>
        <w:rPr>
          <w:rFonts w:ascii="Times New Roman" w:hAnsi="Times New Roman" w:cs="Times New Roman"/>
          <w:color w:val="auto"/>
        </w:rPr>
      </w:pPr>
      <w:r w:rsidRPr="0037428D">
        <w:rPr>
          <w:rFonts w:ascii="Times New Roman" w:hAnsi="Times New Roman" w:cs="Times New Roman"/>
          <w:color w:val="auto"/>
        </w:rPr>
        <w:t xml:space="preserve">Information collected through the pressure recordings </w:t>
      </w:r>
      <w:r w:rsidR="009E4B15">
        <w:rPr>
          <w:rFonts w:ascii="Times New Roman" w:hAnsi="Times New Roman" w:cs="Times New Roman"/>
          <w:color w:val="auto"/>
        </w:rPr>
        <w:t>is</w:t>
      </w:r>
      <w:r w:rsidRPr="0037428D" w:rsidR="00D152DC">
        <w:rPr>
          <w:rFonts w:ascii="Times New Roman" w:hAnsi="Times New Roman" w:cs="Times New Roman"/>
          <w:color w:val="auto"/>
        </w:rPr>
        <w:t xml:space="preserve"> </w:t>
      </w:r>
      <w:r w:rsidRPr="0037428D">
        <w:rPr>
          <w:rFonts w:ascii="Times New Roman" w:hAnsi="Times New Roman" w:cs="Times New Roman"/>
          <w:color w:val="auto"/>
        </w:rPr>
        <w:t>used by mine operators and MSHA for</w:t>
      </w:r>
      <w:r w:rsidRPr="0037428D" w:rsidR="000D6A5B">
        <w:rPr>
          <w:rFonts w:ascii="Times New Roman" w:hAnsi="Times New Roman" w:cs="Times New Roman"/>
          <w:color w:val="auto"/>
        </w:rPr>
        <w:t xml:space="preserve"> </w:t>
      </w:r>
      <w:bookmarkStart w:id="1" w:name="_Hlk170889619"/>
      <w:r w:rsidRPr="0037428D" w:rsidR="000D6A5B">
        <w:rPr>
          <w:rFonts w:ascii="Times New Roman" w:hAnsi="Times New Roman" w:cs="Times New Roman"/>
          <w:color w:val="auto"/>
        </w:rPr>
        <w:t xml:space="preserve">constant monitoring of </w:t>
      </w:r>
      <w:r w:rsidRPr="0037428D">
        <w:rPr>
          <w:rFonts w:ascii="Times New Roman" w:hAnsi="Times New Roman" w:cs="Times New Roman"/>
          <w:color w:val="auto"/>
        </w:rPr>
        <w:t xml:space="preserve">ventilation </w:t>
      </w:r>
      <w:r w:rsidR="004A0A0A">
        <w:rPr>
          <w:rFonts w:ascii="Times New Roman" w:hAnsi="Times New Roman" w:cs="Times New Roman"/>
          <w:color w:val="auto"/>
        </w:rPr>
        <w:t xml:space="preserve">in I-A, II-A, III or V-A mines, or “gassy” mines, </w:t>
      </w:r>
      <w:r w:rsidRPr="0037428D">
        <w:rPr>
          <w:rFonts w:ascii="Times New Roman" w:hAnsi="Times New Roman" w:cs="Times New Roman"/>
          <w:color w:val="auto"/>
        </w:rPr>
        <w:t>and for ensuring that unsafe conditions are identified early and corrected.</w:t>
      </w:r>
      <w:bookmarkEnd w:id="1"/>
      <w:r w:rsidRPr="0037428D">
        <w:rPr>
          <w:rFonts w:ascii="Times New Roman" w:hAnsi="Times New Roman" w:cs="Times New Roman"/>
          <w:color w:val="auto"/>
        </w:rPr>
        <w:t xml:space="preserve"> Technical consultants may occasionally review such information in addressing main fan or ventilation problems.   </w:t>
      </w:r>
    </w:p>
    <w:p w:rsidR="003A1C43" w:rsidRPr="0037428D" w14:paraId="32AE7A1B"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C22D2A" w:rsidRPr="0037428D" w:rsidP="00C22D2A" w14:paraId="6A8F2450" w14:textId="77777777">
      <w:pPr>
        <w:pStyle w:val="Default"/>
        <w:rPr>
          <w:rFonts w:ascii="Times New Roman" w:hAnsi="Times New Roman" w:cs="Times New Roman"/>
          <w:b/>
        </w:rPr>
      </w:pPr>
      <w:r w:rsidRPr="0037428D">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1C43" w:rsidRPr="0037428D" w14:paraId="10710E59" w14:textId="77777777">
      <w:pPr>
        <w:pStyle w:val="Default"/>
        <w:rPr>
          <w:rFonts w:ascii="Times New Roman" w:hAnsi="Times New Roman" w:cs="Times New Roman"/>
          <w:color w:val="auto"/>
        </w:rPr>
      </w:pPr>
    </w:p>
    <w:p w:rsidR="00653669" w:rsidRPr="007628FE" w:rsidP="00653669" w14:paraId="5E6775AE" w14:textId="40C21783">
      <w:pPr>
        <w:pStyle w:val="Default"/>
        <w:keepNext/>
        <w:widowControl/>
        <w:rPr>
          <w:rFonts w:ascii="Times New Roman" w:hAnsi="Times New Roman" w:cs="Times New Roman"/>
          <w:color w:val="FF0000"/>
        </w:rPr>
      </w:pPr>
      <w:r w:rsidRPr="0037428D">
        <w:rPr>
          <w:rFonts w:ascii="Times New Roman" w:hAnsi="Times New Roman" w:cs="Times New Roman"/>
          <w:color w:val="auto"/>
        </w:rPr>
        <w:t xml:space="preserve">No improved information technology has been identified that would reduce the </w:t>
      </w:r>
      <w:r w:rsidRPr="0037428D" w:rsidR="005A6F1B">
        <w:rPr>
          <w:rFonts w:ascii="Times New Roman" w:hAnsi="Times New Roman" w:cs="Times New Roman"/>
          <w:color w:val="auto"/>
        </w:rPr>
        <w:t>recordkeeping</w:t>
      </w:r>
      <w:r w:rsidRPr="0037428D">
        <w:rPr>
          <w:rFonts w:ascii="Times New Roman" w:hAnsi="Times New Roman" w:cs="Times New Roman"/>
          <w:color w:val="auto"/>
        </w:rPr>
        <w:t xml:space="preserve"> burden</w:t>
      </w:r>
      <w:r>
        <w:rPr>
          <w:rFonts w:ascii="Times New Roman" w:hAnsi="Times New Roman" w:cs="Times New Roman"/>
          <w:color w:val="auto"/>
        </w:rPr>
        <w:t>.</w:t>
      </w:r>
      <w:r w:rsidRPr="0037428D">
        <w:rPr>
          <w:rFonts w:ascii="Times New Roman" w:hAnsi="Times New Roman" w:cs="Times New Roman"/>
          <w:color w:val="auto"/>
        </w:rPr>
        <w:t xml:space="preserve"> </w:t>
      </w:r>
      <w:r>
        <w:rPr>
          <w:rFonts w:ascii="Times New Roman" w:hAnsi="Times New Roman" w:cs="Times New Roman"/>
          <w:color w:val="auto"/>
        </w:rPr>
        <w:t>H</w:t>
      </w:r>
      <w:r w:rsidRPr="0037428D">
        <w:rPr>
          <w:rFonts w:ascii="Times New Roman" w:hAnsi="Times New Roman" w:cs="Times New Roman"/>
          <w:color w:val="auto"/>
        </w:rPr>
        <w:t xml:space="preserve">owever, in order to comply with the Government Paperwork Elimination Act, mine </w:t>
      </w:r>
      <w:r w:rsidRPr="0037428D">
        <w:rPr>
          <w:rFonts w:ascii="Times New Roman" w:hAnsi="Times New Roman" w:cs="Times New Roman"/>
          <w:color w:val="auto"/>
        </w:rPr>
        <w:t xml:space="preserve">operators may retain the records of certifications and pressure recordings </w:t>
      </w:r>
      <w:r w:rsidRPr="00BC060A">
        <w:rPr>
          <w:rFonts w:ascii="Times New Roman" w:hAnsi="Times New Roman" w:cs="Times New Roman"/>
          <w:color w:val="auto"/>
        </w:rPr>
        <w:t xml:space="preserve">in whatever method they choose, which may include utilizing computer technology to store the records electronically. </w:t>
      </w:r>
    </w:p>
    <w:p w:rsidR="003A1C43" w:rsidRPr="0037428D" w14:paraId="215C2D88"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C22D2A" w:rsidRPr="0037428D" w:rsidP="00C22D2A" w14:paraId="684B7A05" w14:textId="3A557F8F">
      <w:pPr>
        <w:pStyle w:val="Default"/>
        <w:rPr>
          <w:rFonts w:ascii="Times New Roman" w:hAnsi="Times New Roman" w:cs="Times New Roman"/>
          <w:b/>
        </w:rPr>
      </w:pPr>
      <w:r w:rsidRPr="0037428D">
        <w:rPr>
          <w:rFonts w:ascii="Times New Roman" w:hAnsi="Times New Roman" w:cs="Times New Roman"/>
          <w:b/>
        </w:rPr>
        <w:t>4. Describe efforts to identify duplication. Show specifically why any similar information already available cannot be used or modified for use for the purposes described in Item 2 above.</w:t>
      </w:r>
    </w:p>
    <w:p w:rsidR="003A1C43" w:rsidRPr="0037428D" w14:paraId="3294F3D3" w14:textId="77777777">
      <w:pPr>
        <w:pStyle w:val="Default"/>
        <w:rPr>
          <w:rFonts w:ascii="Times New Roman" w:hAnsi="Times New Roman" w:cs="Times New Roman"/>
          <w:color w:val="auto"/>
        </w:rPr>
      </w:pPr>
    </w:p>
    <w:p w:rsidR="003A1C43" w:rsidRPr="0037428D" w14:paraId="175AAF9C" w14:textId="0B312A8E">
      <w:pPr>
        <w:pStyle w:val="Default"/>
        <w:rPr>
          <w:rFonts w:ascii="Times New Roman" w:hAnsi="Times New Roman" w:cs="Times New Roman"/>
          <w:color w:val="auto"/>
        </w:rPr>
      </w:pPr>
      <w:r w:rsidRPr="00BC060A">
        <w:rPr>
          <w:rFonts w:ascii="Times New Roman" w:hAnsi="Times New Roman" w:cs="Times New Roman"/>
          <w:color w:val="auto"/>
        </w:rPr>
        <w:t xml:space="preserve">No similar </w:t>
      </w:r>
      <w:bookmarkStart w:id="2" w:name="_Hlk172026587"/>
      <w:r w:rsidRPr="00BC060A">
        <w:rPr>
          <w:rFonts w:ascii="Times New Roman" w:hAnsi="Times New Roman" w:cs="Times New Roman"/>
          <w:color w:val="auto"/>
        </w:rPr>
        <w:t xml:space="preserve">or duplicate </w:t>
      </w:r>
      <w:bookmarkEnd w:id="2"/>
      <w:r w:rsidRPr="00BC060A">
        <w:rPr>
          <w:rFonts w:ascii="Times New Roman" w:hAnsi="Times New Roman" w:cs="Times New Roman"/>
          <w:color w:val="auto"/>
        </w:rPr>
        <w:t>information is available or submitted to MSHA.</w:t>
      </w:r>
    </w:p>
    <w:p w:rsidR="003A1C43" w:rsidRPr="0037428D" w14:paraId="0D0FB1DE"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3A1C43" w:rsidRPr="0037428D" w:rsidP="00A13995" w14:paraId="2E273BFC" w14:textId="77777777">
      <w:r w:rsidRPr="0037428D">
        <w:rPr>
          <w:b/>
        </w:rPr>
        <w:t>5. If the collection of information impacts small businesses or other small entities describe any methods used to minimize burden.</w:t>
      </w:r>
    </w:p>
    <w:p w:rsidR="003A1C43" w:rsidRPr="0037428D" w14:paraId="3234FE13"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3A1C43" w:rsidRPr="0037428D" w14:paraId="3603FC57" w14:textId="76209C50">
      <w:pPr>
        <w:pStyle w:val="Default"/>
        <w:rPr>
          <w:rFonts w:ascii="Times New Roman" w:hAnsi="Times New Roman" w:cs="Times New Roman"/>
          <w:color w:val="auto"/>
        </w:rPr>
      </w:pPr>
      <w:r w:rsidRPr="006E4961">
        <w:rPr>
          <w:rFonts w:ascii="Times New Roman" w:hAnsi="Times New Roman" w:cs="Times New Roman"/>
          <w:color w:val="auto"/>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w:t>
      </w:r>
      <w:r w:rsidR="00653669">
        <w:rPr>
          <w:rFonts w:ascii="Times New Roman" w:hAnsi="Times New Roman" w:cs="Times New Roman"/>
          <w:color w:val="auto"/>
        </w:rPr>
        <w:t>.</w:t>
      </w:r>
      <w:r w:rsidRPr="006E4961">
        <w:rPr>
          <w:rFonts w:ascii="Times New Roman" w:hAnsi="Times New Roman" w:cs="Times New Roman"/>
          <w:color w:val="auto"/>
        </w:rPr>
        <w:t xml:space="preserve"> Rep. No. 95-181 (1977)]. Section 103(e) of the Mine Act</w:t>
      </w:r>
      <w:r w:rsidR="00A830FF">
        <w:rPr>
          <w:rFonts w:ascii="Times New Roman" w:hAnsi="Times New Roman" w:cs="Times New Roman"/>
          <w:color w:val="auto"/>
        </w:rPr>
        <w:t xml:space="preserve">, </w:t>
      </w:r>
      <w:r w:rsidRPr="006E4961" w:rsidR="00A830FF">
        <w:rPr>
          <w:rFonts w:ascii="Times New Roman" w:hAnsi="Times New Roman" w:cs="Times New Roman"/>
          <w:color w:val="auto"/>
        </w:rPr>
        <w:t>30 U.S.C. 813(e)</w:t>
      </w:r>
      <w:r w:rsidR="00A830FF">
        <w:rPr>
          <w:rFonts w:ascii="Times New Roman" w:hAnsi="Times New Roman" w:cs="Times New Roman"/>
          <w:color w:val="auto"/>
        </w:rPr>
        <w:t>,</w:t>
      </w:r>
      <w:r w:rsidRPr="006E4961">
        <w:rPr>
          <w:rFonts w:ascii="Times New Roman" w:hAnsi="Times New Roman" w:cs="Times New Roman"/>
          <w:color w:val="auto"/>
        </w:rPr>
        <w:t xml:space="preserve"> directs the Secretary not to impose an unreasonable burden on small businesses when obtaining any information under the Mine Act</w:t>
      </w:r>
      <w:r w:rsidR="00FE236A">
        <w:rPr>
          <w:rFonts w:ascii="Times New Roman" w:hAnsi="Times New Roman" w:cs="Times New Roman"/>
          <w:color w:val="auto"/>
        </w:rPr>
        <w:t xml:space="preserve">. </w:t>
      </w:r>
      <w:r w:rsidRPr="006E4961">
        <w:rPr>
          <w:rFonts w:ascii="Times New Roman" w:hAnsi="Times New Roman" w:cs="Times New Roman"/>
          <w:color w:val="auto"/>
        </w:rPr>
        <w:t xml:space="preserve">MSHA considered the burden on small mines when developing the collection. Hence, MSHA believes that the information collection requirements are imposed on all mining operations and do not have a significant impact on a substantial number of small business or </w:t>
      </w:r>
      <w:r w:rsidR="00653669">
        <w:rPr>
          <w:rFonts w:ascii="Times New Roman" w:hAnsi="Times New Roman" w:cs="Times New Roman"/>
          <w:color w:val="auto"/>
        </w:rPr>
        <w:t>other</w:t>
      </w:r>
      <w:r w:rsidRPr="006E4961" w:rsidR="00653669">
        <w:rPr>
          <w:rFonts w:ascii="Times New Roman" w:hAnsi="Times New Roman" w:cs="Times New Roman"/>
          <w:color w:val="auto"/>
        </w:rPr>
        <w:t xml:space="preserve"> </w:t>
      </w:r>
      <w:r w:rsidRPr="006E4961">
        <w:rPr>
          <w:rFonts w:ascii="Times New Roman" w:hAnsi="Times New Roman" w:cs="Times New Roman"/>
          <w:color w:val="auto"/>
        </w:rPr>
        <w:t xml:space="preserve">small entities. </w:t>
      </w:r>
    </w:p>
    <w:p w:rsidR="003A1C43" w:rsidRPr="0037428D" w14:paraId="51F45C7D" w14:textId="77777777">
      <w:pPr>
        <w:pStyle w:val="Default"/>
        <w:rPr>
          <w:rFonts w:ascii="Times New Roman" w:hAnsi="Times New Roman" w:cs="Times New Roman"/>
          <w:color w:val="auto"/>
        </w:rPr>
      </w:pPr>
      <w:r w:rsidRPr="0037428D">
        <w:rPr>
          <w:rFonts w:ascii="Times New Roman" w:hAnsi="Times New Roman" w:cs="Times New Roman"/>
          <w:b/>
          <w:bCs/>
          <w:color w:val="auto"/>
        </w:rPr>
        <w:t xml:space="preserve"> </w:t>
      </w:r>
    </w:p>
    <w:p w:rsidR="00C22D2A" w:rsidRPr="0037428D" w:rsidP="00C22D2A" w14:paraId="268CFACF" w14:textId="77777777">
      <w:r w:rsidRPr="0037428D">
        <w:rPr>
          <w:b/>
        </w:rPr>
        <w:t>6. Describe the consequence to Federal program or policy activities if the collection is not conducted or is conducted less frequently, as well as any technical or legal obstacles to reducing burden</w:t>
      </w:r>
      <w:r w:rsidRPr="0037428D">
        <w:t>.</w:t>
      </w:r>
    </w:p>
    <w:p w:rsidR="003A1C43" w:rsidRPr="0037428D" w14:paraId="097E910C" w14:textId="77777777">
      <w:pPr>
        <w:pStyle w:val="Default"/>
        <w:rPr>
          <w:rFonts w:ascii="Times New Roman" w:hAnsi="Times New Roman" w:cs="Times New Roman"/>
          <w:color w:val="auto"/>
        </w:rPr>
      </w:pPr>
    </w:p>
    <w:p w:rsidR="003A1C43" w:rsidRPr="0037428D" w14:paraId="578F3587" w14:textId="4C169FA7">
      <w:pPr>
        <w:pStyle w:val="Default"/>
        <w:rPr>
          <w:rFonts w:ascii="Times New Roman" w:hAnsi="Times New Roman" w:cs="Times New Roman"/>
          <w:color w:val="auto"/>
        </w:rPr>
      </w:pPr>
      <w:r w:rsidRPr="0037428D">
        <w:rPr>
          <w:rFonts w:ascii="Times New Roman" w:hAnsi="Times New Roman" w:cs="Times New Roman"/>
          <w:color w:val="auto"/>
        </w:rPr>
        <w:t xml:space="preserve">Under </w:t>
      </w:r>
      <w:r w:rsidRPr="0037428D" w:rsidR="00D152DC">
        <w:rPr>
          <w:rFonts w:ascii="Times New Roman" w:hAnsi="Times New Roman" w:cs="Times New Roman"/>
          <w:color w:val="auto"/>
        </w:rPr>
        <w:t>30 CFR 57.22204</w:t>
      </w:r>
      <w:r w:rsidRPr="0037428D">
        <w:rPr>
          <w:rFonts w:ascii="Times New Roman" w:hAnsi="Times New Roman" w:cs="Times New Roman"/>
          <w:color w:val="auto"/>
        </w:rPr>
        <w:t>,</w:t>
      </w:r>
      <w:r w:rsidRPr="0037428D" w:rsidR="00D152DC">
        <w:rPr>
          <w:rFonts w:ascii="Times New Roman" w:hAnsi="Times New Roman" w:cs="Times New Roman"/>
          <w:color w:val="auto"/>
        </w:rPr>
        <w:t xml:space="preserve"> mine operators </w:t>
      </w:r>
      <w:r w:rsidRPr="0037428D">
        <w:rPr>
          <w:rFonts w:ascii="Times New Roman" w:hAnsi="Times New Roman" w:cs="Times New Roman"/>
          <w:color w:val="auto"/>
        </w:rPr>
        <w:t>must</w:t>
      </w:r>
      <w:r w:rsidRPr="0037428D" w:rsidR="00D152DC">
        <w:rPr>
          <w:rFonts w:ascii="Times New Roman" w:hAnsi="Times New Roman" w:cs="Times New Roman"/>
          <w:color w:val="auto"/>
        </w:rPr>
        <w:t xml:space="preserve"> inspect main mine fans daily while operating if persons are underground. </w:t>
      </w:r>
      <w:r w:rsidRPr="0037428D">
        <w:rPr>
          <w:rFonts w:ascii="Times New Roman" w:hAnsi="Times New Roman" w:cs="Times New Roman"/>
          <w:color w:val="auto"/>
        </w:rPr>
        <w:t xml:space="preserve">MSHA has determined that maintaining proper ventilation is critical to providing miners with </w:t>
      </w:r>
      <w:r w:rsidR="007B17BF">
        <w:rPr>
          <w:rFonts w:ascii="Times New Roman" w:hAnsi="Times New Roman" w:cs="Times New Roman"/>
          <w:color w:val="auto"/>
        </w:rPr>
        <w:t xml:space="preserve">a </w:t>
      </w:r>
      <w:r w:rsidRPr="0037428D">
        <w:rPr>
          <w:rFonts w:ascii="Times New Roman" w:hAnsi="Times New Roman" w:cs="Times New Roman"/>
          <w:color w:val="auto"/>
        </w:rPr>
        <w:t>safe atmosphere to work</w:t>
      </w:r>
      <w:r w:rsidR="00EF101D">
        <w:rPr>
          <w:rFonts w:ascii="Times New Roman" w:hAnsi="Times New Roman" w:cs="Times New Roman"/>
          <w:color w:val="auto"/>
        </w:rPr>
        <w:t xml:space="preserve"> in</w:t>
      </w:r>
      <w:r w:rsidRPr="0037428D">
        <w:rPr>
          <w:rFonts w:ascii="Times New Roman" w:hAnsi="Times New Roman" w:cs="Times New Roman"/>
          <w:color w:val="auto"/>
        </w:rPr>
        <w:t>. To require mine operators to inspect fans</w:t>
      </w:r>
      <w:r w:rsidRPr="0037428D" w:rsidR="00D152DC">
        <w:rPr>
          <w:rFonts w:ascii="Times New Roman" w:hAnsi="Times New Roman" w:cs="Times New Roman"/>
          <w:color w:val="auto"/>
        </w:rPr>
        <w:t xml:space="preserve"> and certify such inspections</w:t>
      </w:r>
      <w:r w:rsidRPr="0037428D">
        <w:rPr>
          <w:rFonts w:ascii="Times New Roman" w:hAnsi="Times New Roman" w:cs="Times New Roman"/>
          <w:color w:val="auto"/>
        </w:rPr>
        <w:t xml:space="preserve"> less frequently than on a daily basis would increase the risk that harmful gases might accumulate and create an explosion hazard. </w:t>
      </w:r>
    </w:p>
    <w:p w:rsidR="003A1C43" w:rsidRPr="0037428D" w14:paraId="2C05506A"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B56A1A" w:rsidRPr="0037428D" w:rsidP="00AB7B1F" w14:paraId="6B34AFF4" w14:textId="77777777">
      <w:pPr>
        <w:rPr>
          <w:b/>
        </w:rPr>
      </w:pPr>
      <w:r w:rsidRPr="0037428D">
        <w:rPr>
          <w:b/>
        </w:rPr>
        <w:t>7. Explain any special circumstances that would cause an information collection to be conducted in a manner:</w:t>
      </w:r>
    </w:p>
    <w:p w:rsidR="00B56A1A" w:rsidRPr="0037428D" w:rsidP="00AB7B1F" w14:paraId="34B676CD" w14:textId="77777777">
      <w:pPr>
        <w:rPr>
          <w:b/>
        </w:rPr>
      </w:pPr>
    </w:p>
    <w:p w:rsidR="00AB7B1F" w:rsidP="00B56A1A" w14:paraId="61F6A34D" w14:textId="5F4F1EF9">
      <w:pPr>
        <w:pStyle w:val="ListParagraph"/>
        <w:numPr>
          <w:ilvl w:val="0"/>
          <w:numId w:val="1"/>
        </w:numPr>
        <w:rPr>
          <w:b/>
        </w:rPr>
      </w:pPr>
      <w:r w:rsidRPr="0037428D">
        <w:rPr>
          <w:b/>
        </w:rPr>
        <w:t>R</w:t>
      </w:r>
      <w:r w:rsidRPr="0037428D">
        <w:rPr>
          <w:b/>
        </w:rPr>
        <w:t>equiring respondents to report information to the agency more often than quarterly;</w:t>
      </w:r>
    </w:p>
    <w:p w:rsidR="00C11ABF" w:rsidRPr="0037428D" w:rsidP="00C11ABF" w14:paraId="6BC8A9A3" w14:textId="77777777">
      <w:pPr>
        <w:pStyle w:val="ListParagraph"/>
        <w:rPr>
          <w:b/>
        </w:rPr>
      </w:pPr>
    </w:p>
    <w:p w:rsidR="00AB7B1F" w:rsidP="00B56A1A" w14:paraId="4DE39A36" w14:textId="46242B34">
      <w:pPr>
        <w:pStyle w:val="ListParagraph"/>
        <w:numPr>
          <w:ilvl w:val="0"/>
          <w:numId w:val="1"/>
        </w:numPr>
        <w:rPr>
          <w:b/>
        </w:rPr>
      </w:pPr>
      <w:r w:rsidRPr="0037428D">
        <w:rPr>
          <w:b/>
        </w:rPr>
        <w:t>R</w:t>
      </w:r>
      <w:r w:rsidRPr="0037428D">
        <w:rPr>
          <w:b/>
        </w:rPr>
        <w:t>equiring respondents to prepare a written response to a collection of information in fewer than 30 days after receipt of it;</w:t>
      </w:r>
    </w:p>
    <w:p w:rsidR="00C11ABF" w:rsidRPr="0037428D" w:rsidP="00C11ABF" w14:paraId="60ED735C" w14:textId="77777777">
      <w:pPr>
        <w:pStyle w:val="ListParagraph"/>
        <w:rPr>
          <w:b/>
        </w:rPr>
      </w:pPr>
    </w:p>
    <w:p w:rsidR="00AB7B1F" w:rsidP="00B56A1A" w14:paraId="2F9FF045" w14:textId="3A7C1612">
      <w:pPr>
        <w:pStyle w:val="ListParagraph"/>
        <w:numPr>
          <w:ilvl w:val="0"/>
          <w:numId w:val="1"/>
        </w:numPr>
        <w:rPr>
          <w:b/>
        </w:rPr>
      </w:pPr>
      <w:r w:rsidRPr="0037428D">
        <w:rPr>
          <w:b/>
        </w:rPr>
        <w:t>R</w:t>
      </w:r>
      <w:r w:rsidRPr="0037428D">
        <w:rPr>
          <w:b/>
        </w:rPr>
        <w:t>equiring respondents to submit more than an original and two copies of any document;</w:t>
      </w:r>
    </w:p>
    <w:p w:rsidR="00C11ABF" w:rsidRPr="0037428D" w:rsidP="00C11ABF" w14:paraId="195B5380" w14:textId="77777777">
      <w:pPr>
        <w:pStyle w:val="ListParagraph"/>
        <w:rPr>
          <w:b/>
        </w:rPr>
      </w:pPr>
    </w:p>
    <w:p w:rsidR="00AB7B1F" w:rsidP="00B56A1A" w14:paraId="25D15B10" w14:textId="34C520C0">
      <w:pPr>
        <w:pStyle w:val="ListParagraph"/>
        <w:numPr>
          <w:ilvl w:val="0"/>
          <w:numId w:val="1"/>
        </w:numPr>
        <w:rPr>
          <w:b/>
        </w:rPr>
      </w:pPr>
      <w:r w:rsidRPr="0037428D">
        <w:rPr>
          <w:b/>
        </w:rPr>
        <w:t>R</w:t>
      </w:r>
      <w:r w:rsidRPr="0037428D">
        <w:rPr>
          <w:b/>
        </w:rPr>
        <w:t>equiring respondents to retain records, other than health, medical, government contract, grant-in-aid, or tax records, for more than three years;</w:t>
      </w:r>
    </w:p>
    <w:p w:rsidR="00C11ABF" w:rsidRPr="0037428D" w:rsidP="00C11ABF" w14:paraId="009E44AD" w14:textId="77777777">
      <w:pPr>
        <w:pStyle w:val="ListParagraph"/>
        <w:rPr>
          <w:b/>
        </w:rPr>
      </w:pPr>
    </w:p>
    <w:p w:rsidR="00AB7B1F" w:rsidP="00B56A1A" w14:paraId="6B9F400A" w14:textId="0E1A1534">
      <w:pPr>
        <w:pStyle w:val="ListParagraph"/>
        <w:numPr>
          <w:ilvl w:val="0"/>
          <w:numId w:val="1"/>
        </w:numPr>
        <w:rPr>
          <w:b/>
        </w:rPr>
      </w:pPr>
      <w:r w:rsidRPr="0037428D">
        <w:rPr>
          <w:b/>
        </w:rPr>
        <w:t>I</w:t>
      </w:r>
      <w:r w:rsidRPr="0037428D">
        <w:rPr>
          <w:b/>
        </w:rPr>
        <w:t>n connection with a statistical survey, that is not designed to produce valid and reliable results that can be generalized to the universe of study;</w:t>
      </w:r>
    </w:p>
    <w:p w:rsidR="00C11ABF" w:rsidRPr="0037428D" w:rsidP="00C11ABF" w14:paraId="00AE7FAB" w14:textId="77777777">
      <w:pPr>
        <w:pStyle w:val="ListParagraph"/>
        <w:rPr>
          <w:b/>
        </w:rPr>
      </w:pPr>
    </w:p>
    <w:p w:rsidR="00AB7B1F" w:rsidP="00B56A1A" w14:paraId="5768A78F" w14:textId="33C0DA5B">
      <w:pPr>
        <w:pStyle w:val="ListParagraph"/>
        <w:numPr>
          <w:ilvl w:val="0"/>
          <w:numId w:val="1"/>
        </w:numPr>
        <w:rPr>
          <w:b/>
        </w:rPr>
      </w:pPr>
      <w:r w:rsidRPr="0037428D">
        <w:rPr>
          <w:b/>
        </w:rPr>
        <w:t>R</w:t>
      </w:r>
      <w:r w:rsidRPr="0037428D">
        <w:rPr>
          <w:b/>
        </w:rPr>
        <w:t xml:space="preserve">equiring the use of a statistical data classification that has not been reviewed and approved by OMB; </w:t>
      </w:r>
    </w:p>
    <w:p w:rsidR="00C11ABF" w:rsidRPr="00C11ABF" w:rsidP="00C11ABF" w14:paraId="2713861E" w14:textId="77777777">
      <w:pPr>
        <w:pStyle w:val="ListParagraph"/>
        <w:rPr>
          <w:b/>
        </w:rPr>
      </w:pPr>
    </w:p>
    <w:p w:rsidR="00AB7B1F" w:rsidP="00B56A1A" w14:paraId="64F0F063" w14:textId="23C10AB9">
      <w:pPr>
        <w:pStyle w:val="ListParagraph"/>
        <w:numPr>
          <w:ilvl w:val="0"/>
          <w:numId w:val="1"/>
        </w:numPr>
        <w:rPr>
          <w:b/>
        </w:rPr>
      </w:pPr>
      <w:r w:rsidRPr="0037428D">
        <w:rPr>
          <w:b/>
        </w:rPr>
        <w:t>T</w:t>
      </w:r>
      <w:r w:rsidRPr="0037428D">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11ABF" w:rsidRPr="0037428D" w:rsidP="00C11ABF" w14:paraId="5D1D4181" w14:textId="77777777">
      <w:pPr>
        <w:pStyle w:val="ListParagraph"/>
        <w:rPr>
          <w:b/>
        </w:rPr>
      </w:pPr>
    </w:p>
    <w:p w:rsidR="00AB7B1F" w:rsidRPr="0037428D" w:rsidP="00B56A1A" w14:paraId="0A430532" w14:textId="019C4FA9">
      <w:pPr>
        <w:pStyle w:val="ListParagraph"/>
        <w:numPr>
          <w:ilvl w:val="0"/>
          <w:numId w:val="1"/>
        </w:numPr>
        <w:rPr>
          <w:b/>
        </w:rPr>
      </w:pPr>
      <w:r w:rsidRPr="0037428D">
        <w:rPr>
          <w:b/>
        </w:rPr>
        <w:t>R</w:t>
      </w:r>
      <w:r w:rsidRPr="0037428D">
        <w:rPr>
          <w:b/>
        </w:rPr>
        <w:t>equiring respondents to submit proprietary trade secrets, or other confidential information unless the agency can demonstrate that it has instituted procedures to protect the information's confidentiality to the extent permitted by law.</w:t>
      </w:r>
    </w:p>
    <w:p w:rsidR="00AB7B1F" w:rsidRPr="0037428D" w14:paraId="482B12F9" w14:textId="77777777">
      <w:pPr>
        <w:pStyle w:val="Default"/>
        <w:rPr>
          <w:rFonts w:ascii="Times New Roman" w:hAnsi="Times New Roman" w:cs="Times New Roman"/>
          <w:color w:val="auto"/>
        </w:rPr>
      </w:pPr>
    </w:p>
    <w:p w:rsidR="003A1C43" w:rsidRPr="0037428D" w14:paraId="3783C30F" w14:textId="58856E0D">
      <w:pPr>
        <w:pStyle w:val="Default"/>
        <w:rPr>
          <w:rFonts w:ascii="Times New Roman" w:hAnsi="Times New Roman" w:cs="Times New Roman"/>
          <w:color w:val="auto"/>
        </w:rPr>
      </w:pPr>
      <w:r w:rsidRPr="009046AD">
        <w:rPr>
          <w:rFonts w:ascii="Times New Roman" w:hAnsi="Times New Roman" w:cs="Times New Roman"/>
          <w:color w:val="auto"/>
        </w:rPr>
        <w:t>This collection of information is consistent with the guidelines in 5 CFR 1320.5.</w:t>
      </w:r>
      <w:r>
        <w:rPr>
          <w:rFonts w:ascii="Times New Roman" w:hAnsi="Times New Roman" w:cs="Times New Roman"/>
          <w:color w:val="auto"/>
        </w:rPr>
        <w:t xml:space="preserve"> </w:t>
      </w:r>
    </w:p>
    <w:p w:rsidR="003A1C43" w:rsidRPr="0037428D" w14:paraId="54DEDFCE"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AB7B1F" w:rsidRPr="0037428D" w:rsidP="00AB7B1F" w14:paraId="053CB503" w14:textId="77777777">
      <w:pPr>
        <w:rPr>
          <w:b/>
        </w:rPr>
      </w:pPr>
      <w:r w:rsidRPr="0037428D">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B7B1F" w:rsidRPr="0037428D" w:rsidP="00AB7B1F" w14:paraId="04F8D909" w14:textId="77777777">
      <w:pPr>
        <w:rPr>
          <w:b/>
        </w:rPr>
      </w:pPr>
    </w:p>
    <w:p w:rsidR="00AB7B1F" w:rsidRPr="0037428D" w:rsidP="00AB7B1F" w14:paraId="59AAD070" w14:textId="77777777">
      <w:pPr>
        <w:rPr>
          <w:b/>
        </w:rPr>
      </w:pPr>
      <w:r w:rsidRPr="0037428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B7B1F" w:rsidRPr="0037428D" w:rsidP="00AB7B1F" w14:paraId="090B2BF0" w14:textId="77777777">
      <w:pPr>
        <w:rPr>
          <w:b/>
        </w:rPr>
      </w:pPr>
    </w:p>
    <w:p w:rsidR="00AB7B1F" w:rsidRPr="0037428D" w:rsidP="00AB7B1F" w14:paraId="0CA14219" w14:textId="77777777">
      <w:pPr>
        <w:rPr>
          <w:b/>
        </w:rPr>
      </w:pPr>
      <w:r w:rsidRPr="0037428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A1C43" w:rsidRPr="0037428D" w14:paraId="21717D7E" w14:textId="77777777">
      <w:pPr>
        <w:pStyle w:val="Default"/>
        <w:rPr>
          <w:rFonts w:ascii="Times New Roman" w:hAnsi="Times New Roman" w:cs="Times New Roman"/>
          <w:color w:val="auto"/>
        </w:rPr>
      </w:pPr>
    </w:p>
    <w:p w:rsidR="00106B93" w:rsidRPr="0037428D" w:rsidP="00106B93" w14:paraId="2528ACAF" w14:textId="3D68663E">
      <w:pPr>
        <w:widowControl w:val="0"/>
        <w:spacing w:line="264" w:lineRule="exact"/>
        <w:rPr>
          <w:snapToGrid w:val="0"/>
        </w:rPr>
      </w:pPr>
      <w:r w:rsidRPr="0037428D">
        <w:rPr>
          <w:snapToGrid w:val="0"/>
        </w:rPr>
        <w:t xml:space="preserve">In accordance with 5 CFR 1320.8(d), MSHA will publish the proposed information collection requirements in the </w:t>
      </w:r>
      <w:r w:rsidRPr="00AD7E8C">
        <w:rPr>
          <w:i/>
          <w:iCs/>
          <w:snapToGrid w:val="0"/>
        </w:rPr>
        <w:t>Federal Register</w:t>
      </w:r>
      <w:r w:rsidRPr="0037428D">
        <w:rPr>
          <w:snapToGrid w:val="0"/>
        </w:rPr>
        <w:t xml:space="preserve">, notifying the public that the information collection requirements are being reviewed in accordance with the Paperwork Reduction Act of 1995, and </w:t>
      </w:r>
      <w:r w:rsidR="00F91D30">
        <w:rPr>
          <w:snapToGrid w:val="0"/>
        </w:rPr>
        <w:t>providing</w:t>
      </w:r>
      <w:r w:rsidRPr="0037428D" w:rsidR="00F91D30">
        <w:rPr>
          <w:snapToGrid w:val="0"/>
        </w:rPr>
        <w:t xml:space="preserve"> </w:t>
      </w:r>
      <w:r w:rsidRPr="0037428D">
        <w:rPr>
          <w:snapToGrid w:val="0"/>
        </w:rPr>
        <w:t xml:space="preserve">60 days for the public to submit comments.  </w:t>
      </w:r>
      <w:r w:rsidRPr="003967A4" w:rsidR="003967A4">
        <w:rPr>
          <w:snapToGrid w:val="0"/>
        </w:rPr>
        <w:t>MSHA published a 60-day Federal Register notice on December 27, 2024 (88 FR 105632).</w:t>
      </w:r>
      <w:r w:rsidR="0061088E">
        <w:rPr>
          <w:snapToGrid w:val="0"/>
        </w:rPr>
        <w:t xml:space="preserve"> MSHA received no comments.</w:t>
      </w:r>
    </w:p>
    <w:p w:rsidR="004A755D" w:rsidRPr="0037428D" w14:paraId="316FE038" w14:textId="77777777">
      <w:pPr>
        <w:pStyle w:val="Default"/>
        <w:rPr>
          <w:rFonts w:ascii="Times New Roman" w:hAnsi="Times New Roman" w:cs="Times New Roman"/>
          <w:color w:val="auto"/>
        </w:rPr>
      </w:pPr>
    </w:p>
    <w:p w:rsidR="003967A4" w14:paraId="7C694008" w14:textId="77777777">
      <w:pPr>
        <w:rPr>
          <w:b/>
        </w:rPr>
      </w:pPr>
      <w:r>
        <w:rPr>
          <w:b/>
        </w:rPr>
        <w:br w:type="page"/>
      </w:r>
    </w:p>
    <w:p w:rsidR="00AB7B1F" w:rsidRPr="0037428D" w:rsidP="00AB7B1F" w14:paraId="2BF999FD" w14:textId="1E354372">
      <w:pPr>
        <w:rPr>
          <w:b/>
        </w:rPr>
      </w:pPr>
      <w:r w:rsidRPr="0037428D">
        <w:rPr>
          <w:b/>
        </w:rPr>
        <w:t xml:space="preserve">9. Explain any decision to provide any payment or gift to respondents, other than </w:t>
      </w:r>
      <w:r w:rsidRPr="0037428D" w:rsidR="003E4B3E">
        <w:rPr>
          <w:b/>
        </w:rPr>
        <w:t>remuneration</w:t>
      </w:r>
      <w:r w:rsidRPr="0037428D">
        <w:rPr>
          <w:b/>
        </w:rPr>
        <w:t xml:space="preserve"> of contractors or grantees.</w:t>
      </w:r>
    </w:p>
    <w:p w:rsidR="003A1C43" w:rsidRPr="0037428D" w14:paraId="219549FE" w14:textId="77777777">
      <w:pPr>
        <w:pStyle w:val="Default"/>
        <w:rPr>
          <w:rFonts w:ascii="Times New Roman" w:hAnsi="Times New Roman" w:cs="Times New Roman"/>
          <w:color w:val="auto"/>
        </w:rPr>
      </w:pPr>
    </w:p>
    <w:p w:rsidR="003A1C43" w:rsidRPr="0037428D" w14:paraId="774448E5"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MSHA does not provide any payment or gift to the respondents. </w:t>
      </w:r>
    </w:p>
    <w:p w:rsidR="008D7041" w:rsidP="00AB7B1F" w14:paraId="55A8C0E8" w14:textId="77777777">
      <w:pPr>
        <w:pStyle w:val="Default"/>
        <w:rPr>
          <w:rFonts w:ascii="Times New Roman" w:hAnsi="Times New Roman" w:cs="Times New Roman"/>
          <w:b/>
        </w:rPr>
      </w:pPr>
    </w:p>
    <w:p w:rsidR="00AB7B1F" w:rsidRPr="0037428D" w:rsidP="00AB7B1F" w14:paraId="47F43F68" w14:textId="3444FCF3">
      <w:pPr>
        <w:pStyle w:val="Default"/>
        <w:rPr>
          <w:rFonts w:ascii="Times New Roman" w:hAnsi="Times New Roman" w:cs="Times New Roman"/>
          <w:b/>
        </w:rPr>
      </w:pPr>
      <w:r w:rsidRPr="0037428D">
        <w:rPr>
          <w:rFonts w:ascii="Times New Roman" w:hAnsi="Times New Roman" w:cs="Times New Roman"/>
          <w:b/>
        </w:rPr>
        <w:t>10. Describe any assurance of confidentiality provided to respondents and the basis for the assurance in statute, regulation, or agency policy.</w:t>
      </w:r>
    </w:p>
    <w:p w:rsidR="003A1C43" w:rsidRPr="0037428D" w14:paraId="003147C3"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BF04B9" w14:paraId="77B3B09B" w14:textId="77777777">
      <w:pPr>
        <w:pStyle w:val="Default"/>
        <w:rPr>
          <w:rFonts w:ascii="Times New Roman" w:hAnsi="Times New Roman" w:cs="Times New Roman"/>
          <w:color w:val="auto"/>
        </w:rPr>
      </w:pPr>
      <w:r w:rsidRPr="0037428D">
        <w:rPr>
          <w:rFonts w:ascii="Times New Roman" w:hAnsi="Times New Roman" w:cs="Times New Roman"/>
          <w:color w:val="auto"/>
        </w:rPr>
        <w:t>No assurance of confidentiality is provided to respondents</w:t>
      </w:r>
      <w:r w:rsidRPr="0037428D" w:rsidR="003A1C43">
        <w:rPr>
          <w:rFonts w:ascii="Times New Roman" w:hAnsi="Times New Roman" w:cs="Times New Roman"/>
          <w:color w:val="auto"/>
        </w:rPr>
        <w:t xml:space="preserve">.  </w:t>
      </w:r>
    </w:p>
    <w:p w:rsidR="0024773F" w:rsidP="00F95DB3" w14:paraId="5A2E8FF3" w14:textId="77777777">
      <w:pPr>
        <w:pStyle w:val="Default"/>
        <w:rPr>
          <w:rFonts w:ascii="Times New Roman" w:hAnsi="Times New Roman" w:cs="Times New Roman"/>
          <w:b/>
        </w:rPr>
      </w:pPr>
    </w:p>
    <w:p w:rsidR="00AB7B1F" w:rsidRPr="0037428D" w:rsidP="00F95DB3" w14:paraId="0E83B1B2" w14:textId="0617CD60">
      <w:pPr>
        <w:pStyle w:val="Default"/>
        <w:rPr>
          <w:rFonts w:ascii="Times New Roman" w:hAnsi="Times New Roman" w:cs="Times New Roman"/>
        </w:rPr>
      </w:pPr>
      <w:r w:rsidRPr="0037428D">
        <w:rPr>
          <w:rFonts w:ascii="Times New Roman" w:hAnsi="Times New Roman" w:cs="Times New Roman"/>
          <w:b/>
        </w:rPr>
        <w:t xml:space="preserve">11. Provide additional justification for any questions of a sensitive nature, such as sexual behavior and attitudes, religious beliefs, and other matters that are commonly considered private. </w:t>
      </w:r>
      <w:r w:rsidRPr="0037428D" w:rsidR="003A1CC0">
        <w:rPr>
          <w:rFonts w:ascii="Times New Roman" w:hAnsi="Times New Roman" w:cs="Times New Roman"/>
          <w:b/>
        </w:rPr>
        <w:t xml:space="preserve"> </w:t>
      </w:r>
      <w:r w:rsidRPr="0037428D">
        <w:rPr>
          <w:rFonts w:ascii="Times New Roman" w:hAnsi="Times New Roman" w:cs="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7428D">
        <w:rPr>
          <w:rFonts w:ascii="Times New Roman" w:hAnsi="Times New Roman" w:cs="Times New Roman"/>
        </w:rPr>
        <w:t>.</w:t>
      </w:r>
    </w:p>
    <w:p w:rsidR="003A1C43" w:rsidRPr="0037428D" w14:paraId="6D44A62B" w14:textId="77777777">
      <w:pPr>
        <w:pStyle w:val="Default"/>
        <w:rPr>
          <w:rFonts w:ascii="Times New Roman" w:hAnsi="Times New Roman" w:cs="Times New Roman"/>
          <w:color w:val="auto"/>
        </w:rPr>
      </w:pPr>
    </w:p>
    <w:p w:rsidR="003A1C43" w:rsidRPr="0037428D" w14:paraId="7DA7BBC6"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There are no questions of a sensitive nature.   </w:t>
      </w:r>
    </w:p>
    <w:p w:rsidR="003A1C43" w:rsidRPr="0037428D" w14:paraId="26DB9A62"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AB7B1F" w:rsidRPr="0037428D" w:rsidP="00AB7B1F" w14:paraId="51BE7A64" w14:textId="77777777">
      <w:pPr>
        <w:rPr>
          <w:b/>
        </w:rPr>
      </w:pPr>
      <w:r w:rsidRPr="0037428D">
        <w:rPr>
          <w:b/>
        </w:rPr>
        <w:t xml:space="preserve">12. Provide estimates of the hour burden of the collection of information. The statement should: </w:t>
      </w:r>
    </w:p>
    <w:p w:rsidR="00B56A1A" w:rsidRPr="0037428D" w:rsidP="00AB7B1F" w14:paraId="6B7178A5" w14:textId="77777777">
      <w:pPr>
        <w:rPr>
          <w:b/>
        </w:rPr>
      </w:pPr>
    </w:p>
    <w:p w:rsidR="00AB7B1F" w:rsidRPr="0037428D" w:rsidP="00B56A1A" w14:paraId="136A3189" w14:textId="74AEB59A">
      <w:pPr>
        <w:pStyle w:val="ListParagraph"/>
        <w:numPr>
          <w:ilvl w:val="0"/>
          <w:numId w:val="2"/>
        </w:numPr>
        <w:rPr>
          <w:b/>
        </w:rPr>
      </w:pPr>
      <w:r w:rsidRPr="0037428D">
        <w:rPr>
          <w:b/>
        </w:rPr>
        <w:t>Indicate the number of respondents, frequency of response, annual hour burden, and an explanation of how the burden was estimated.</w:t>
      </w:r>
      <w:r w:rsidRPr="0037428D" w:rsidR="003A1CC0">
        <w:rPr>
          <w:b/>
        </w:rPr>
        <w:t xml:space="preserve"> </w:t>
      </w:r>
      <w:r w:rsidRPr="0037428D">
        <w:rPr>
          <w:b/>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95DB3" w:rsidRPr="0037428D" w:rsidP="00F95DB3" w14:paraId="2CE6B8D4" w14:textId="77777777">
      <w:pPr>
        <w:pStyle w:val="ListParagraph"/>
        <w:rPr>
          <w:b/>
        </w:rPr>
      </w:pPr>
    </w:p>
    <w:p w:rsidR="00AB7B1F" w:rsidRPr="0037428D" w:rsidP="00B56A1A" w14:paraId="6BFB1B20" w14:textId="74F75FD4">
      <w:pPr>
        <w:pStyle w:val="ListParagraph"/>
        <w:numPr>
          <w:ilvl w:val="0"/>
          <w:numId w:val="2"/>
        </w:numPr>
        <w:rPr>
          <w:b/>
        </w:rPr>
      </w:pPr>
      <w:r w:rsidRPr="0037428D">
        <w:rPr>
          <w:b/>
        </w:rPr>
        <w:t>If this request for approval covers more than one form, provide separate hour burden estimates for each form and aggregate the hour</w:t>
      </w:r>
      <w:r w:rsidRPr="0037428D" w:rsidR="00AA4F45">
        <w:rPr>
          <w:b/>
        </w:rPr>
        <w:t xml:space="preserve"> burdens</w:t>
      </w:r>
      <w:r w:rsidRPr="0037428D">
        <w:rPr>
          <w:b/>
        </w:rPr>
        <w:t>.</w:t>
      </w:r>
    </w:p>
    <w:p w:rsidR="00F95DB3" w:rsidRPr="0037428D" w:rsidP="00F95DB3" w14:paraId="73ED59BE" w14:textId="77777777">
      <w:pPr>
        <w:pStyle w:val="ListParagraph"/>
        <w:rPr>
          <w:b/>
        </w:rPr>
      </w:pPr>
    </w:p>
    <w:p w:rsidR="00AB7B1F" w:rsidRPr="0037428D" w:rsidP="00B56A1A" w14:paraId="1B4C89F9" w14:textId="74F6C07D">
      <w:pPr>
        <w:pStyle w:val="ListParagraph"/>
        <w:numPr>
          <w:ilvl w:val="0"/>
          <w:numId w:val="2"/>
        </w:numPr>
        <w:rPr>
          <w:b/>
        </w:rPr>
      </w:pPr>
      <w:r w:rsidRPr="0037428D">
        <w:rPr>
          <w:b/>
        </w:rPr>
        <w:t xml:space="preserve">Provide estimates of annualized cost to respondents for the hour burdens for collections of information, identifying and using appropriate wage rate categories. </w:t>
      </w:r>
      <w:r w:rsidRPr="0037428D" w:rsidR="00AA4F45">
        <w:rPr>
          <w:b/>
        </w:rPr>
        <w:t xml:space="preserve"> </w:t>
      </w:r>
      <w:r w:rsidRPr="0037428D">
        <w:rPr>
          <w:b/>
        </w:rPr>
        <w:t xml:space="preserve">The cost of contracting out or paying outside parties for information collection activities should not be included here. Instead, this cost should be included </w:t>
      </w:r>
      <w:r w:rsidRPr="0037428D" w:rsidR="00AA4F45">
        <w:rPr>
          <w:b/>
        </w:rPr>
        <w:t>under</w:t>
      </w:r>
      <w:r w:rsidRPr="0037428D">
        <w:rPr>
          <w:b/>
        </w:rPr>
        <w:t xml:space="preserve"> Item 13.</w:t>
      </w:r>
    </w:p>
    <w:p w:rsidR="00352696" w:rsidRPr="0037428D" w:rsidP="00AB7B1F" w14:paraId="37C9C898" w14:textId="77777777">
      <w:pPr>
        <w:rPr>
          <w:b/>
        </w:rPr>
      </w:pPr>
    </w:p>
    <w:p w:rsidR="00653669" w:rsidRPr="00FA77FC" w:rsidP="00352696" w14:paraId="3628BAB8" w14:textId="386DBDDD">
      <w:pPr>
        <w:pStyle w:val="Default"/>
        <w:rPr>
          <w:rFonts w:ascii="Times New Roman" w:hAnsi="Times New Roman" w:cs="Times New Roman"/>
          <w:b/>
          <w:bCs/>
        </w:rPr>
      </w:pPr>
      <w:r>
        <w:rPr>
          <w:rFonts w:ascii="Times New Roman" w:hAnsi="Times New Roman" w:cs="Times New Roman"/>
          <w:b/>
          <w:bCs/>
        </w:rPr>
        <w:t>Respondents</w:t>
      </w:r>
    </w:p>
    <w:p w:rsidR="00653669" w:rsidP="00352696" w14:paraId="54F3A7B9" w14:textId="65298BC9">
      <w:pPr>
        <w:pStyle w:val="Default"/>
        <w:rPr>
          <w:rFonts w:ascii="Times New Roman" w:hAnsi="Times New Roman" w:cs="Times New Roman"/>
        </w:rPr>
      </w:pPr>
    </w:p>
    <w:p w:rsidR="00653669" w:rsidRPr="00574EDF" w:rsidP="00653669" w14:paraId="28548029" w14:textId="2E5309DF">
      <w:pPr>
        <w:contextualSpacing/>
      </w:pPr>
      <w:r w:rsidRPr="007628FE">
        <w:t xml:space="preserve">In this section, an estimate is provided for the annual burden to </w:t>
      </w:r>
      <w:r>
        <w:t>6</w:t>
      </w:r>
      <w:r w:rsidRPr="007628FE">
        <w:t xml:space="preserve"> mines. </w:t>
      </w:r>
      <w:r w:rsidRPr="00574EDF">
        <w:t xml:space="preserve">All information related to quantities and inspection rates are estimated by MSHA’s Headquarters Enforcement Division </w:t>
      </w:r>
      <w:r w:rsidRPr="00574EDF">
        <w:t xml:space="preserve">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653669" w:rsidP="00352696" w14:paraId="50E4F30B" w14:textId="77777777">
      <w:pPr>
        <w:pStyle w:val="Default"/>
        <w:rPr>
          <w:rFonts w:ascii="Times New Roman" w:hAnsi="Times New Roman" w:cs="Times New Roman"/>
        </w:rPr>
      </w:pPr>
    </w:p>
    <w:p w:rsidR="00653669" w:rsidRPr="00BC060A" w:rsidP="00653669" w14:paraId="304E353D" w14:textId="77777777">
      <w:pPr>
        <w:rPr>
          <w:b/>
        </w:rPr>
      </w:pPr>
      <w:r w:rsidRPr="00BC060A">
        <w:rPr>
          <w:b/>
        </w:rPr>
        <w:t>Wage Rates Determinations</w:t>
      </w:r>
      <w:r>
        <w:rPr>
          <w:rStyle w:val="FootnoteReference"/>
          <w:b/>
        </w:rPr>
        <w:footnoteReference w:id="2"/>
      </w:r>
    </w:p>
    <w:p w:rsidR="00653669" w:rsidRPr="00BC060A" w:rsidP="00653669" w14:paraId="435D3F86" w14:textId="77777777"/>
    <w:p w:rsidR="00653669" w:rsidRPr="00BC060A" w:rsidP="00653669" w14:paraId="6B5AD3C4" w14:textId="77777777">
      <w:r w:rsidRPr="00BC060A">
        <w:t>MSHA used data from the May 2023 Occupational Employment and Wage Statistics (OEWS) published by the Bureau of Labor Statistics (BLS) for hourly wage rates</w:t>
      </w:r>
      <w:r>
        <w:rPr>
          <w:vertAlign w:val="superscript"/>
        </w:rPr>
        <w:footnoteReference w:id="3"/>
      </w:r>
      <w:r w:rsidRPr="00BC060A">
        <w:t xml:space="preserve"> and adjusted the rates for benefits,</w:t>
      </w:r>
      <w:r>
        <w:rPr>
          <w:vertAlign w:val="superscript"/>
        </w:rPr>
        <w:footnoteReference w:id="4"/>
      </w:r>
      <w:r w:rsidRPr="00BC060A">
        <w:t xml:space="preserve"> wage inflation,</w:t>
      </w:r>
      <w:r>
        <w:rPr>
          <w:vertAlign w:val="superscript"/>
        </w:rPr>
        <w:footnoteReference w:id="5"/>
      </w:r>
      <w:r w:rsidRPr="00BC060A">
        <w:t xml:space="preserve"> and overhead costs.</w:t>
      </w:r>
      <w:r>
        <w:rPr>
          <w:rStyle w:val="FootnoteReference"/>
        </w:rPr>
        <w:footnoteReference w:id="6"/>
      </w:r>
      <w:r w:rsidRPr="00BC060A">
        <w:t xml:space="preserve"> The occupations listed below in Table 12-1 are those that were determined to be relevant for the cost calculations.</w:t>
      </w:r>
    </w:p>
    <w:p w:rsidR="00653669" w:rsidRPr="00BC060A" w:rsidP="00653669" w14:paraId="167AE91D" w14:textId="77777777">
      <w:pPr>
        <w:rPr>
          <w:iCs/>
        </w:rPr>
      </w:pPr>
    </w:p>
    <w:p w:rsidR="00653669" w:rsidRPr="007628FE" w:rsidP="00653669" w14:paraId="044DA806" w14:textId="77777777">
      <w:pPr>
        <w:ind w:right="720"/>
      </w:pPr>
      <w:bookmarkStart w:id="4" w:name="_Hlk114568286"/>
      <w:r w:rsidRPr="007628FE">
        <w:rPr>
          <w:iCs/>
        </w:rPr>
        <w:t>Table 12-1. Hourly Wage Rates</w:t>
      </w:r>
    </w:p>
    <w:tbl>
      <w:tblPr>
        <w:tblStyle w:val="TableGrid"/>
        <w:tblW w:w="0" w:type="auto"/>
        <w:tblLook w:val="04A0"/>
      </w:tblPr>
      <w:tblGrid>
        <w:gridCol w:w="1567"/>
        <w:gridCol w:w="871"/>
        <w:gridCol w:w="1029"/>
        <w:gridCol w:w="1134"/>
        <w:gridCol w:w="1182"/>
        <w:gridCol w:w="1634"/>
        <w:gridCol w:w="1933"/>
      </w:tblGrid>
      <w:tr w14:paraId="204515D3" w14:textId="77777777" w:rsidTr="002E72F8">
        <w:tblPrEx>
          <w:tblW w:w="0" w:type="auto"/>
          <w:tblLook w:val="04A0"/>
        </w:tblPrEx>
        <w:tc>
          <w:tcPr>
            <w:tcW w:w="1567" w:type="dxa"/>
            <w:shd w:val="clear" w:color="auto" w:fill="9CC2E5" w:themeFill="accent1" w:themeFillTint="99"/>
            <w:vAlign w:val="center"/>
          </w:tcPr>
          <w:bookmarkEnd w:id="4"/>
          <w:p w:rsidR="00653669" w:rsidRPr="00BC060A" w:rsidP="002E72F8" w14:paraId="3233A148" w14:textId="77777777">
            <w:pPr>
              <w:rPr>
                <w:b/>
                <w:bCs/>
                <w:iCs/>
                <w:sz w:val="20"/>
                <w:szCs w:val="20"/>
              </w:rPr>
            </w:pPr>
            <w:r w:rsidRPr="00BC060A">
              <w:rPr>
                <w:b/>
                <w:bCs/>
                <w:iCs/>
                <w:sz w:val="20"/>
                <w:szCs w:val="20"/>
              </w:rPr>
              <w:t>Occupation</w:t>
            </w:r>
          </w:p>
        </w:tc>
        <w:tc>
          <w:tcPr>
            <w:tcW w:w="871" w:type="dxa"/>
            <w:shd w:val="clear" w:color="auto" w:fill="9CC2E5" w:themeFill="accent1" w:themeFillTint="99"/>
            <w:vAlign w:val="center"/>
          </w:tcPr>
          <w:p w:rsidR="00653669" w:rsidRPr="00BC060A" w:rsidP="002E72F8" w14:paraId="01BF1C5B" w14:textId="77777777">
            <w:pPr>
              <w:jc w:val="center"/>
              <w:rPr>
                <w:b/>
                <w:bCs/>
                <w:iCs/>
                <w:sz w:val="20"/>
                <w:szCs w:val="20"/>
              </w:rPr>
            </w:pPr>
            <w:r w:rsidRPr="00BC060A">
              <w:rPr>
                <w:b/>
                <w:bCs/>
                <w:iCs/>
                <w:sz w:val="20"/>
                <w:szCs w:val="20"/>
              </w:rPr>
              <w:t>NAICS Code</w:t>
            </w:r>
          </w:p>
        </w:tc>
        <w:tc>
          <w:tcPr>
            <w:tcW w:w="1029" w:type="dxa"/>
            <w:shd w:val="clear" w:color="auto" w:fill="9CC2E5" w:themeFill="accent1" w:themeFillTint="99"/>
            <w:vAlign w:val="center"/>
          </w:tcPr>
          <w:p w:rsidR="00653669" w:rsidRPr="00BC060A" w:rsidP="002E72F8" w14:paraId="1BAF7054" w14:textId="77777777">
            <w:pPr>
              <w:jc w:val="center"/>
              <w:rPr>
                <w:b/>
                <w:bCs/>
                <w:iCs/>
                <w:sz w:val="20"/>
                <w:szCs w:val="20"/>
              </w:rPr>
            </w:pPr>
            <w:r w:rsidRPr="00BC060A">
              <w:rPr>
                <w:b/>
                <w:bCs/>
                <w:iCs/>
                <w:sz w:val="20"/>
                <w:szCs w:val="20"/>
              </w:rPr>
              <w:t>Mean Wage Rate</w:t>
            </w:r>
          </w:p>
        </w:tc>
        <w:tc>
          <w:tcPr>
            <w:tcW w:w="1134" w:type="dxa"/>
            <w:shd w:val="clear" w:color="auto" w:fill="9CC2E5" w:themeFill="accent1" w:themeFillTint="99"/>
            <w:vAlign w:val="center"/>
          </w:tcPr>
          <w:p w:rsidR="00653669" w:rsidRPr="00BC060A" w:rsidP="002E72F8" w14:paraId="347512DF" w14:textId="77777777">
            <w:pPr>
              <w:jc w:val="center"/>
              <w:rPr>
                <w:b/>
                <w:bCs/>
                <w:iCs/>
                <w:sz w:val="20"/>
                <w:szCs w:val="20"/>
              </w:rPr>
            </w:pPr>
            <w:r w:rsidRPr="00BC060A">
              <w:rPr>
                <w:b/>
                <w:bCs/>
                <w:iCs/>
                <w:sz w:val="20"/>
                <w:szCs w:val="20"/>
              </w:rPr>
              <w:t>Benefit Multiplier</w:t>
            </w:r>
          </w:p>
        </w:tc>
        <w:tc>
          <w:tcPr>
            <w:tcW w:w="1182" w:type="dxa"/>
            <w:shd w:val="clear" w:color="auto" w:fill="9CC2E5" w:themeFill="accent1" w:themeFillTint="99"/>
            <w:vAlign w:val="center"/>
          </w:tcPr>
          <w:p w:rsidR="00653669" w:rsidRPr="00BC060A" w:rsidP="002E72F8" w14:paraId="0A61C304" w14:textId="77777777">
            <w:pPr>
              <w:jc w:val="center"/>
              <w:rPr>
                <w:b/>
                <w:bCs/>
                <w:iCs/>
                <w:sz w:val="20"/>
                <w:szCs w:val="20"/>
              </w:rPr>
            </w:pPr>
            <w:r w:rsidRPr="00BC060A">
              <w:rPr>
                <w:b/>
                <w:bCs/>
                <w:iCs/>
                <w:sz w:val="20"/>
                <w:szCs w:val="20"/>
              </w:rPr>
              <w:t>Inflation Multiplier</w:t>
            </w:r>
          </w:p>
        </w:tc>
        <w:tc>
          <w:tcPr>
            <w:tcW w:w="1634" w:type="dxa"/>
            <w:shd w:val="clear" w:color="auto" w:fill="9CC2E5" w:themeFill="accent1" w:themeFillTint="99"/>
            <w:vAlign w:val="center"/>
          </w:tcPr>
          <w:p w:rsidR="00653669" w:rsidRPr="00BC060A" w:rsidP="002E72F8" w14:paraId="6383274C" w14:textId="77777777">
            <w:pPr>
              <w:jc w:val="center"/>
              <w:rPr>
                <w:b/>
                <w:bCs/>
                <w:iCs/>
                <w:sz w:val="20"/>
                <w:szCs w:val="20"/>
              </w:rPr>
            </w:pPr>
            <w:r w:rsidRPr="00BC060A">
              <w:rPr>
                <w:b/>
                <w:bCs/>
                <w:iCs/>
                <w:sz w:val="20"/>
                <w:szCs w:val="20"/>
              </w:rPr>
              <w:t>Overhead Cost Multiplier</w:t>
            </w:r>
          </w:p>
        </w:tc>
        <w:tc>
          <w:tcPr>
            <w:tcW w:w="1933" w:type="dxa"/>
            <w:shd w:val="clear" w:color="auto" w:fill="9CC2E5" w:themeFill="accent1" w:themeFillTint="99"/>
            <w:vAlign w:val="center"/>
          </w:tcPr>
          <w:p w:rsidR="00653669" w:rsidRPr="00BC060A" w:rsidP="002E72F8" w14:paraId="39878D50" w14:textId="77777777">
            <w:pPr>
              <w:jc w:val="center"/>
              <w:rPr>
                <w:b/>
                <w:bCs/>
                <w:iCs/>
                <w:sz w:val="20"/>
                <w:szCs w:val="20"/>
              </w:rPr>
            </w:pPr>
            <w:r w:rsidRPr="00BC060A">
              <w:rPr>
                <w:b/>
                <w:bCs/>
                <w:iCs/>
                <w:sz w:val="20"/>
                <w:szCs w:val="20"/>
              </w:rPr>
              <w:t>Loaded Hourly Wage Rate</w:t>
            </w:r>
          </w:p>
        </w:tc>
      </w:tr>
      <w:tr w14:paraId="66BA2ABC" w14:textId="77777777" w:rsidTr="002E72F8">
        <w:tblPrEx>
          <w:tblW w:w="0" w:type="auto"/>
          <w:tblLook w:val="04A0"/>
        </w:tblPrEx>
        <w:tc>
          <w:tcPr>
            <w:tcW w:w="1567" w:type="dxa"/>
            <w:shd w:val="clear" w:color="auto" w:fill="9CC2E5" w:themeFill="accent1" w:themeFillTint="99"/>
            <w:vAlign w:val="center"/>
          </w:tcPr>
          <w:p w:rsidR="00653669" w:rsidRPr="00BC060A" w:rsidP="002E72F8" w14:paraId="1562F860" w14:textId="77777777">
            <w:pPr>
              <w:jc w:val="center"/>
              <w:rPr>
                <w:b/>
                <w:bCs/>
                <w:iCs/>
                <w:sz w:val="20"/>
                <w:szCs w:val="20"/>
              </w:rPr>
            </w:pPr>
          </w:p>
        </w:tc>
        <w:tc>
          <w:tcPr>
            <w:tcW w:w="871" w:type="dxa"/>
            <w:shd w:val="clear" w:color="auto" w:fill="9CC2E5" w:themeFill="accent1" w:themeFillTint="99"/>
            <w:vAlign w:val="center"/>
          </w:tcPr>
          <w:p w:rsidR="00653669" w:rsidRPr="00BC060A" w:rsidP="002E72F8" w14:paraId="10DF419C" w14:textId="77777777">
            <w:pPr>
              <w:jc w:val="center"/>
              <w:rPr>
                <w:b/>
                <w:bCs/>
                <w:iCs/>
                <w:sz w:val="20"/>
                <w:szCs w:val="20"/>
              </w:rPr>
            </w:pPr>
          </w:p>
        </w:tc>
        <w:tc>
          <w:tcPr>
            <w:tcW w:w="1029" w:type="dxa"/>
            <w:shd w:val="clear" w:color="auto" w:fill="9CC2E5" w:themeFill="accent1" w:themeFillTint="99"/>
          </w:tcPr>
          <w:p w:rsidR="00653669" w:rsidRPr="00BC060A" w:rsidP="002E72F8" w14:paraId="5FE4C321" w14:textId="77777777">
            <w:pPr>
              <w:jc w:val="center"/>
              <w:rPr>
                <w:b/>
                <w:bCs/>
                <w:iCs/>
                <w:sz w:val="20"/>
                <w:szCs w:val="20"/>
              </w:rPr>
            </w:pPr>
            <w:r w:rsidRPr="00BC060A">
              <w:rPr>
                <w:iCs/>
                <w:sz w:val="20"/>
                <w:szCs w:val="20"/>
              </w:rPr>
              <w:t>A</w:t>
            </w:r>
          </w:p>
        </w:tc>
        <w:tc>
          <w:tcPr>
            <w:tcW w:w="1134" w:type="dxa"/>
            <w:shd w:val="clear" w:color="auto" w:fill="9CC2E5" w:themeFill="accent1" w:themeFillTint="99"/>
          </w:tcPr>
          <w:p w:rsidR="00653669" w:rsidRPr="00BC060A" w:rsidP="002E72F8" w14:paraId="661EB170" w14:textId="77777777">
            <w:pPr>
              <w:jc w:val="center"/>
              <w:rPr>
                <w:b/>
                <w:bCs/>
                <w:iCs/>
                <w:sz w:val="20"/>
                <w:szCs w:val="20"/>
              </w:rPr>
            </w:pPr>
            <w:r w:rsidRPr="00BC060A">
              <w:rPr>
                <w:iCs/>
                <w:sz w:val="20"/>
                <w:szCs w:val="20"/>
              </w:rPr>
              <w:t>B</w:t>
            </w:r>
          </w:p>
        </w:tc>
        <w:tc>
          <w:tcPr>
            <w:tcW w:w="1182" w:type="dxa"/>
            <w:shd w:val="clear" w:color="auto" w:fill="9CC2E5" w:themeFill="accent1" w:themeFillTint="99"/>
          </w:tcPr>
          <w:p w:rsidR="00653669" w:rsidRPr="00BC060A" w:rsidP="002E72F8" w14:paraId="4289F778" w14:textId="77777777">
            <w:pPr>
              <w:jc w:val="center"/>
              <w:rPr>
                <w:b/>
                <w:bCs/>
                <w:iCs/>
                <w:sz w:val="20"/>
                <w:szCs w:val="20"/>
              </w:rPr>
            </w:pPr>
            <w:r w:rsidRPr="00BC060A">
              <w:rPr>
                <w:iCs/>
                <w:sz w:val="20"/>
                <w:szCs w:val="20"/>
              </w:rPr>
              <w:t>C</w:t>
            </w:r>
          </w:p>
        </w:tc>
        <w:tc>
          <w:tcPr>
            <w:tcW w:w="1634" w:type="dxa"/>
            <w:shd w:val="clear" w:color="auto" w:fill="9CC2E5" w:themeFill="accent1" w:themeFillTint="99"/>
          </w:tcPr>
          <w:p w:rsidR="00653669" w:rsidRPr="00BC060A" w:rsidP="002E72F8" w14:paraId="41E79202" w14:textId="77777777">
            <w:pPr>
              <w:jc w:val="center"/>
              <w:rPr>
                <w:b/>
                <w:bCs/>
                <w:iCs/>
                <w:sz w:val="20"/>
                <w:szCs w:val="20"/>
              </w:rPr>
            </w:pPr>
            <w:r w:rsidRPr="00BC060A">
              <w:rPr>
                <w:iCs/>
                <w:sz w:val="20"/>
                <w:szCs w:val="20"/>
              </w:rPr>
              <w:t>D</w:t>
            </w:r>
          </w:p>
        </w:tc>
        <w:tc>
          <w:tcPr>
            <w:tcW w:w="1933" w:type="dxa"/>
            <w:shd w:val="clear" w:color="auto" w:fill="9CC2E5" w:themeFill="accent1" w:themeFillTint="99"/>
          </w:tcPr>
          <w:p w:rsidR="00653669" w:rsidRPr="00BC060A" w:rsidP="002E72F8" w14:paraId="6BD92147" w14:textId="77777777">
            <w:pPr>
              <w:jc w:val="center"/>
              <w:rPr>
                <w:b/>
                <w:bCs/>
                <w:iCs/>
                <w:sz w:val="20"/>
                <w:szCs w:val="20"/>
              </w:rPr>
            </w:pPr>
            <w:r w:rsidRPr="00BC060A">
              <w:rPr>
                <w:iCs/>
                <w:sz w:val="20"/>
                <w:szCs w:val="20"/>
              </w:rPr>
              <w:t>A x B x C x D</w:t>
            </w:r>
          </w:p>
        </w:tc>
      </w:tr>
      <w:tr w14:paraId="1AFA4C28" w14:textId="77777777" w:rsidTr="002E72F8">
        <w:tblPrEx>
          <w:tblW w:w="0" w:type="auto"/>
          <w:tblLook w:val="04A0"/>
        </w:tblPrEx>
        <w:tc>
          <w:tcPr>
            <w:tcW w:w="1567" w:type="dxa"/>
            <w:vAlign w:val="center"/>
          </w:tcPr>
          <w:p w:rsidR="00653669" w:rsidRPr="00BC060A" w:rsidP="002E72F8" w14:paraId="0D495A2E" w14:textId="77777777">
            <w:pPr>
              <w:rPr>
                <w:iCs/>
                <w:sz w:val="20"/>
                <w:szCs w:val="20"/>
              </w:rPr>
            </w:pPr>
            <w:r w:rsidRPr="00BC060A">
              <w:rPr>
                <w:iCs/>
                <w:sz w:val="20"/>
                <w:szCs w:val="20"/>
              </w:rPr>
              <w:t>Mining Supervisor [a]</w:t>
            </w:r>
          </w:p>
        </w:tc>
        <w:tc>
          <w:tcPr>
            <w:tcW w:w="871" w:type="dxa"/>
            <w:vAlign w:val="center"/>
          </w:tcPr>
          <w:p w:rsidR="00653669" w:rsidRPr="00BC060A" w:rsidP="002E72F8" w14:paraId="52154CCF" w14:textId="6BD620F3">
            <w:pPr>
              <w:jc w:val="center"/>
              <w:rPr>
                <w:iCs/>
                <w:sz w:val="20"/>
                <w:szCs w:val="20"/>
              </w:rPr>
            </w:pPr>
            <w:r>
              <w:rPr>
                <w:iCs/>
                <w:sz w:val="20"/>
                <w:szCs w:val="20"/>
              </w:rPr>
              <w:t>212200</w:t>
            </w:r>
            <w:r w:rsidR="004A0A0A">
              <w:rPr>
                <w:iCs/>
                <w:sz w:val="20"/>
                <w:szCs w:val="20"/>
              </w:rPr>
              <w:t>,</w:t>
            </w:r>
            <w:r>
              <w:rPr>
                <w:iCs/>
                <w:sz w:val="20"/>
                <w:szCs w:val="20"/>
              </w:rPr>
              <w:t xml:space="preserve"> 212300</w:t>
            </w:r>
          </w:p>
        </w:tc>
        <w:tc>
          <w:tcPr>
            <w:tcW w:w="1029" w:type="dxa"/>
            <w:vAlign w:val="center"/>
          </w:tcPr>
          <w:p w:rsidR="00653669" w:rsidRPr="00BC060A" w:rsidP="002E72F8" w14:paraId="16308096" w14:textId="60FD6ED6">
            <w:pPr>
              <w:jc w:val="center"/>
              <w:rPr>
                <w:iCs/>
                <w:sz w:val="20"/>
                <w:szCs w:val="20"/>
              </w:rPr>
            </w:pPr>
            <w:r w:rsidRPr="00BC060A">
              <w:rPr>
                <w:iCs/>
                <w:sz w:val="20"/>
                <w:szCs w:val="20"/>
              </w:rPr>
              <w:t>$</w:t>
            </w:r>
            <w:r w:rsidR="007D4079">
              <w:rPr>
                <w:iCs/>
                <w:sz w:val="20"/>
                <w:szCs w:val="20"/>
              </w:rPr>
              <w:t>41.81</w:t>
            </w:r>
          </w:p>
        </w:tc>
        <w:tc>
          <w:tcPr>
            <w:tcW w:w="1134" w:type="dxa"/>
            <w:vAlign w:val="center"/>
          </w:tcPr>
          <w:p w:rsidR="00653669" w:rsidRPr="00BC060A" w:rsidP="002E72F8" w14:paraId="5DC1B6BC" w14:textId="710E007B">
            <w:pPr>
              <w:jc w:val="center"/>
              <w:rPr>
                <w:iCs/>
                <w:sz w:val="20"/>
                <w:szCs w:val="20"/>
              </w:rPr>
            </w:pPr>
            <w:r w:rsidRPr="00BC060A">
              <w:rPr>
                <w:iCs/>
                <w:sz w:val="20"/>
                <w:szCs w:val="20"/>
              </w:rPr>
              <w:t>1.46</w:t>
            </w:r>
            <w:r w:rsidR="007D4079">
              <w:rPr>
                <w:iCs/>
                <w:sz w:val="20"/>
                <w:szCs w:val="20"/>
              </w:rPr>
              <w:t>1</w:t>
            </w:r>
          </w:p>
        </w:tc>
        <w:tc>
          <w:tcPr>
            <w:tcW w:w="1182" w:type="dxa"/>
            <w:vAlign w:val="center"/>
          </w:tcPr>
          <w:p w:rsidR="00653669" w:rsidRPr="00BC060A" w:rsidP="002E72F8" w14:paraId="6B8C25A2" w14:textId="44DBAC1D">
            <w:pPr>
              <w:jc w:val="center"/>
              <w:rPr>
                <w:iCs/>
                <w:sz w:val="20"/>
                <w:szCs w:val="20"/>
              </w:rPr>
            </w:pPr>
            <w:r w:rsidRPr="00BC060A">
              <w:rPr>
                <w:iCs/>
                <w:sz w:val="20"/>
                <w:szCs w:val="20"/>
              </w:rPr>
              <w:t>1.0</w:t>
            </w:r>
            <w:r w:rsidR="007D4079">
              <w:rPr>
                <w:iCs/>
                <w:sz w:val="20"/>
                <w:szCs w:val="20"/>
              </w:rPr>
              <w:t>3</w:t>
            </w:r>
            <w:r w:rsidRPr="00BC060A">
              <w:rPr>
                <w:iCs/>
                <w:sz w:val="20"/>
                <w:szCs w:val="20"/>
              </w:rPr>
              <w:t>7</w:t>
            </w:r>
          </w:p>
        </w:tc>
        <w:tc>
          <w:tcPr>
            <w:tcW w:w="1634" w:type="dxa"/>
            <w:vAlign w:val="center"/>
          </w:tcPr>
          <w:p w:rsidR="00653669" w:rsidRPr="00BC060A" w:rsidP="002E72F8" w14:paraId="7A8CA1CC" w14:textId="77777777">
            <w:pPr>
              <w:jc w:val="center"/>
              <w:rPr>
                <w:iCs/>
                <w:sz w:val="20"/>
                <w:szCs w:val="20"/>
              </w:rPr>
            </w:pPr>
            <w:r w:rsidRPr="00BC060A">
              <w:rPr>
                <w:iCs/>
                <w:sz w:val="20"/>
                <w:szCs w:val="20"/>
              </w:rPr>
              <w:t>1.01</w:t>
            </w:r>
          </w:p>
        </w:tc>
        <w:tc>
          <w:tcPr>
            <w:tcW w:w="1933" w:type="dxa"/>
            <w:vAlign w:val="center"/>
          </w:tcPr>
          <w:p w:rsidR="00653669" w:rsidRPr="00BC060A" w:rsidP="002E72F8" w14:paraId="00280952" w14:textId="2C6B054B">
            <w:pPr>
              <w:jc w:val="center"/>
              <w:rPr>
                <w:iCs/>
                <w:sz w:val="20"/>
                <w:szCs w:val="20"/>
              </w:rPr>
            </w:pPr>
            <w:r w:rsidRPr="00BC060A">
              <w:rPr>
                <w:iCs/>
                <w:sz w:val="20"/>
                <w:szCs w:val="20"/>
              </w:rPr>
              <w:t>$</w:t>
            </w:r>
            <w:r w:rsidR="007D4079">
              <w:rPr>
                <w:iCs/>
                <w:sz w:val="20"/>
                <w:szCs w:val="20"/>
              </w:rPr>
              <w:t>63.97</w:t>
            </w:r>
          </w:p>
        </w:tc>
      </w:tr>
      <w:tr w14:paraId="32726C29" w14:textId="77777777" w:rsidTr="002E72F8">
        <w:tblPrEx>
          <w:tblW w:w="0" w:type="auto"/>
          <w:tblLook w:val="04A0"/>
        </w:tblPrEx>
        <w:tc>
          <w:tcPr>
            <w:tcW w:w="1567" w:type="dxa"/>
            <w:vAlign w:val="center"/>
          </w:tcPr>
          <w:p w:rsidR="00653669" w:rsidRPr="00BC060A" w:rsidP="002E72F8" w14:paraId="0F486B4F" w14:textId="101C4E91">
            <w:pPr>
              <w:rPr>
                <w:iCs/>
                <w:sz w:val="20"/>
                <w:szCs w:val="20"/>
              </w:rPr>
            </w:pPr>
            <w:r>
              <w:rPr>
                <w:iCs/>
                <w:sz w:val="20"/>
                <w:szCs w:val="20"/>
              </w:rPr>
              <w:t>Miner</w:t>
            </w:r>
            <w:r w:rsidR="008249A5">
              <w:rPr>
                <w:iCs/>
                <w:sz w:val="20"/>
                <w:szCs w:val="20"/>
              </w:rPr>
              <w:t xml:space="preserve"> </w:t>
            </w:r>
            <w:r w:rsidRPr="00BC060A">
              <w:rPr>
                <w:iCs/>
                <w:sz w:val="20"/>
                <w:szCs w:val="20"/>
              </w:rPr>
              <w:t>[b]</w:t>
            </w:r>
          </w:p>
        </w:tc>
        <w:tc>
          <w:tcPr>
            <w:tcW w:w="871" w:type="dxa"/>
            <w:vAlign w:val="center"/>
          </w:tcPr>
          <w:p w:rsidR="00653669" w:rsidRPr="00FA77FC" w:rsidP="002E72F8" w14:paraId="68497037" w14:textId="10BAE9F7">
            <w:pPr>
              <w:jc w:val="center"/>
              <w:rPr>
                <w:b/>
                <w:bCs/>
                <w:iCs/>
                <w:sz w:val="20"/>
                <w:szCs w:val="20"/>
              </w:rPr>
            </w:pPr>
            <w:r>
              <w:rPr>
                <w:iCs/>
                <w:sz w:val="20"/>
                <w:szCs w:val="20"/>
              </w:rPr>
              <w:t>212200</w:t>
            </w:r>
            <w:r w:rsidR="004A0A0A">
              <w:rPr>
                <w:iCs/>
                <w:sz w:val="20"/>
                <w:szCs w:val="20"/>
              </w:rPr>
              <w:t>,</w:t>
            </w:r>
            <w:r>
              <w:rPr>
                <w:iCs/>
                <w:sz w:val="20"/>
                <w:szCs w:val="20"/>
              </w:rPr>
              <w:t xml:space="preserve"> 212300</w:t>
            </w:r>
          </w:p>
        </w:tc>
        <w:tc>
          <w:tcPr>
            <w:tcW w:w="1029" w:type="dxa"/>
            <w:vAlign w:val="center"/>
          </w:tcPr>
          <w:p w:rsidR="00653669" w:rsidRPr="00BC060A" w:rsidP="002E72F8" w14:paraId="6462E8DC" w14:textId="1B8E4B61">
            <w:pPr>
              <w:jc w:val="center"/>
              <w:rPr>
                <w:iCs/>
                <w:sz w:val="20"/>
                <w:szCs w:val="20"/>
              </w:rPr>
            </w:pPr>
            <w:r w:rsidRPr="00BC060A">
              <w:rPr>
                <w:iCs/>
                <w:sz w:val="20"/>
                <w:szCs w:val="20"/>
              </w:rPr>
              <w:t>$</w:t>
            </w:r>
            <w:r w:rsidR="007D4079">
              <w:rPr>
                <w:iCs/>
                <w:sz w:val="20"/>
                <w:szCs w:val="20"/>
              </w:rPr>
              <w:t>27.16</w:t>
            </w:r>
          </w:p>
        </w:tc>
        <w:tc>
          <w:tcPr>
            <w:tcW w:w="1134" w:type="dxa"/>
            <w:vAlign w:val="center"/>
          </w:tcPr>
          <w:p w:rsidR="00653669" w:rsidRPr="00BC060A" w:rsidP="002E72F8" w14:paraId="418C3BEE" w14:textId="4D494040">
            <w:pPr>
              <w:jc w:val="center"/>
              <w:rPr>
                <w:iCs/>
                <w:sz w:val="20"/>
                <w:szCs w:val="20"/>
              </w:rPr>
            </w:pPr>
            <w:r w:rsidRPr="00BC060A">
              <w:rPr>
                <w:iCs/>
                <w:sz w:val="20"/>
                <w:szCs w:val="20"/>
              </w:rPr>
              <w:t>1.46</w:t>
            </w:r>
            <w:r w:rsidR="007D4079">
              <w:rPr>
                <w:iCs/>
                <w:sz w:val="20"/>
                <w:szCs w:val="20"/>
              </w:rPr>
              <w:t>1</w:t>
            </w:r>
          </w:p>
        </w:tc>
        <w:tc>
          <w:tcPr>
            <w:tcW w:w="1182" w:type="dxa"/>
            <w:vAlign w:val="center"/>
          </w:tcPr>
          <w:p w:rsidR="00653669" w:rsidRPr="00BC060A" w:rsidP="002E72F8" w14:paraId="3BE3E48A" w14:textId="1A1266F9">
            <w:pPr>
              <w:jc w:val="center"/>
              <w:rPr>
                <w:iCs/>
                <w:sz w:val="20"/>
                <w:szCs w:val="20"/>
              </w:rPr>
            </w:pPr>
            <w:r w:rsidRPr="00BC060A">
              <w:rPr>
                <w:iCs/>
                <w:sz w:val="20"/>
                <w:szCs w:val="20"/>
              </w:rPr>
              <w:t>1.0</w:t>
            </w:r>
            <w:r w:rsidR="007D4079">
              <w:rPr>
                <w:iCs/>
                <w:sz w:val="20"/>
                <w:szCs w:val="20"/>
              </w:rPr>
              <w:t>3</w:t>
            </w:r>
            <w:r w:rsidRPr="00BC060A">
              <w:rPr>
                <w:iCs/>
                <w:sz w:val="20"/>
                <w:szCs w:val="20"/>
              </w:rPr>
              <w:t>7</w:t>
            </w:r>
          </w:p>
        </w:tc>
        <w:tc>
          <w:tcPr>
            <w:tcW w:w="1634" w:type="dxa"/>
            <w:vAlign w:val="center"/>
          </w:tcPr>
          <w:p w:rsidR="00653669" w:rsidRPr="00BC060A" w:rsidP="002E72F8" w14:paraId="30C35C1F" w14:textId="77777777">
            <w:pPr>
              <w:jc w:val="center"/>
              <w:rPr>
                <w:iCs/>
                <w:sz w:val="20"/>
                <w:szCs w:val="20"/>
              </w:rPr>
            </w:pPr>
            <w:r w:rsidRPr="00BC060A">
              <w:rPr>
                <w:iCs/>
                <w:sz w:val="20"/>
                <w:szCs w:val="20"/>
              </w:rPr>
              <w:t>1.01</w:t>
            </w:r>
          </w:p>
        </w:tc>
        <w:tc>
          <w:tcPr>
            <w:tcW w:w="1933" w:type="dxa"/>
            <w:vAlign w:val="center"/>
          </w:tcPr>
          <w:p w:rsidR="00653669" w:rsidRPr="00BC060A" w:rsidP="002E72F8" w14:paraId="51B1F0DF" w14:textId="616BE774">
            <w:pPr>
              <w:jc w:val="center"/>
              <w:rPr>
                <w:iCs/>
                <w:sz w:val="20"/>
                <w:szCs w:val="20"/>
              </w:rPr>
            </w:pPr>
            <w:r w:rsidRPr="00BC060A">
              <w:rPr>
                <w:iCs/>
                <w:sz w:val="20"/>
                <w:szCs w:val="20"/>
              </w:rPr>
              <w:t>$</w:t>
            </w:r>
            <w:r w:rsidR="007D4079">
              <w:rPr>
                <w:iCs/>
                <w:sz w:val="20"/>
                <w:szCs w:val="20"/>
              </w:rPr>
              <w:t>41.56</w:t>
            </w:r>
          </w:p>
        </w:tc>
      </w:tr>
    </w:tbl>
    <w:p w:rsidR="00653669" w:rsidRPr="007628FE" w:rsidP="00653669" w14:paraId="6AAC2FDE" w14:textId="369F02B8">
      <w:pPr>
        <w:pStyle w:val="Default"/>
        <w:rPr>
          <w:rFonts w:ascii="Times New Roman" w:hAnsi="Times New Roman" w:cs="Times New Roman"/>
          <w:sz w:val="20"/>
          <w:szCs w:val="20"/>
        </w:rPr>
      </w:pPr>
      <w:bookmarkStart w:id="5" w:name="_Hlk114568297"/>
      <w:r w:rsidRPr="00D02861">
        <w:rPr>
          <w:rFonts w:ascii="Times New Roman" w:hAnsi="Times New Roman" w:cs="Times New Roman"/>
          <w:sz w:val="20"/>
          <w:szCs w:val="20"/>
        </w:rPr>
        <w:t xml:space="preserve">Notes: </w:t>
      </w:r>
      <w:r w:rsidRPr="007628FE">
        <w:rPr>
          <w:rFonts w:ascii="Times New Roman" w:hAnsi="Times New Roman" w:cs="Times New Roman"/>
          <w:sz w:val="20"/>
          <w:szCs w:val="20"/>
        </w:rPr>
        <w:t>MSHA uses the latest 4-quarter moving average 2023Q2-2024Q</w:t>
      </w:r>
      <w:r w:rsidR="007D4079">
        <w:rPr>
          <w:rFonts w:ascii="Times New Roman" w:hAnsi="Times New Roman" w:cs="Times New Roman"/>
          <w:sz w:val="20"/>
          <w:szCs w:val="20"/>
        </w:rPr>
        <w:t>2</w:t>
      </w:r>
      <w:r w:rsidRPr="007628FE">
        <w:rPr>
          <w:rFonts w:ascii="Times New Roman" w:hAnsi="Times New Roman" w:cs="Times New Roman"/>
          <w:sz w:val="20"/>
          <w:szCs w:val="20"/>
        </w:rPr>
        <w:t xml:space="preserve"> to determine that 31.</w:t>
      </w:r>
      <w:r w:rsidR="007D4079">
        <w:rPr>
          <w:rFonts w:ascii="Times New Roman" w:hAnsi="Times New Roman" w:cs="Times New Roman"/>
          <w:sz w:val="20"/>
          <w:szCs w:val="20"/>
        </w:rPr>
        <w:t>6</w:t>
      </w:r>
      <w:r w:rsidRPr="007628FE">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1.46</w:t>
      </w:r>
      <w:r w:rsidR="007D4079">
        <w:rPr>
          <w:rFonts w:ascii="Times New Roman" w:hAnsi="Times New Roman" w:cs="Times New Roman"/>
          <w:sz w:val="20"/>
          <w:szCs w:val="20"/>
        </w:rPr>
        <w:t>1</w:t>
      </w:r>
      <w:r>
        <w:rPr>
          <w:rFonts w:ascii="Times New Roman" w:hAnsi="Times New Roman" w:cs="Times New Roman"/>
          <w:sz w:val="20"/>
          <w:szCs w:val="20"/>
        </w:rPr>
        <w:t xml:space="preserve"> </w:t>
      </w:r>
      <w:r w:rsidRPr="007628FE">
        <w:rPr>
          <w:rFonts w:ascii="Times New Roman" w:hAnsi="Times New Roman" w:cs="Times New Roman"/>
          <w:sz w:val="20"/>
          <w:szCs w:val="20"/>
        </w:rPr>
        <w:t>= 1+(0.31</w:t>
      </w:r>
      <w:r w:rsidR="007D4079">
        <w:rPr>
          <w:rFonts w:ascii="Times New Roman" w:hAnsi="Times New Roman" w:cs="Times New Roman"/>
          <w:sz w:val="20"/>
          <w:szCs w:val="20"/>
        </w:rPr>
        <w:t>6</w:t>
      </w:r>
      <w:r w:rsidRPr="007628FE">
        <w:rPr>
          <w:rFonts w:ascii="Times New Roman" w:hAnsi="Times New Roman" w:cs="Times New Roman"/>
          <w:sz w:val="20"/>
          <w:szCs w:val="20"/>
        </w:rPr>
        <w:t>/(1-0.31</w:t>
      </w:r>
      <w:r w:rsidR="007D4079">
        <w:rPr>
          <w:rFonts w:ascii="Times New Roman" w:hAnsi="Times New Roman" w:cs="Times New Roman"/>
          <w:sz w:val="20"/>
          <w:szCs w:val="20"/>
        </w:rPr>
        <w:t>6</w:t>
      </w:r>
      <w:r w:rsidRPr="007628FE">
        <w:rPr>
          <w:rFonts w:ascii="Times New Roman" w:hAnsi="Times New Roman" w:cs="Times New Roman"/>
          <w:sz w:val="20"/>
          <w:szCs w:val="20"/>
        </w:rPr>
        <w:t>)). The inflation multiplier is determined by using the employment price index from the most current quarter, 2024Q</w:t>
      </w:r>
      <w:r w:rsidR="007D4079">
        <w:rPr>
          <w:rFonts w:ascii="Times New Roman" w:hAnsi="Times New Roman" w:cs="Times New Roman"/>
          <w:sz w:val="20"/>
          <w:szCs w:val="20"/>
        </w:rPr>
        <w:t>2</w:t>
      </w:r>
      <w:r w:rsidRPr="007628FE">
        <w:rPr>
          <w:rFonts w:ascii="Times New Roman" w:hAnsi="Times New Roman" w:cs="Times New Roman"/>
          <w:sz w:val="20"/>
          <w:szCs w:val="20"/>
        </w:rPr>
        <w:t xml:space="preserve">, divided by the base year and quarter of the </w:t>
      </w:r>
      <w:r w:rsidRPr="007628FE">
        <w:rPr>
          <w:rFonts w:ascii="Times New Roman" w:hAnsi="Times New Roman" w:cs="Times New Roman"/>
          <w:sz w:val="20"/>
          <w:szCs w:val="20"/>
        </w:rPr>
        <w:t>OEWS employment and wage statistics, 2023Q2, for private industry workers in construction, extraction, farming, fishing, and forestry occupations, current dollar index. The inflation multiplier is 1.0</w:t>
      </w:r>
      <w:r w:rsidR="007D4079">
        <w:rPr>
          <w:rFonts w:ascii="Times New Roman" w:hAnsi="Times New Roman" w:cs="Times New Roman"/>
          <w:sz w:val="20"/>
          <w:szCs w:val="20"/>
        </w:rPr>
        <w:t>3</w:t>
      </w:r>
      <w:r w:rsidRPr="007628FE">
        <w:rPr>
          <w:rFonts w:ascii="Times New Roman" w:hAnsi="Times New Roman" w:cs="Times New Roman"/>
          <w:sz w:val="20"/>
          <w:szCs w:val="20"/>
        </w:rPr>
        <w:t>7 = 16</w:t>
      </w:r>
      <w:r w:rsidR="007D4079">
        <w:rPr>
          <w:rFonts w:ascii="Times New Roman" w:hAnsi="Times New Roman" w:cs="Times New Roman"/>
          <w:sz w:val="20"/>
          <w:szCs w:val="20"/>
        </w:rPr>
        <w:t>3.1</w:t>
      </w:r>
      <w:r w:rsidRPr="007628FE">
        <w:rPr>
          <w:rFonts w:ascii="Times New Roman" w:hAnsi="Times New Roman" w:cs="Times New Roman"/>
          <w:sz w:val="20"/>
          <w:szCs w:val="20"/>
        </w:rPr>
        <w:t>/157.3. MSHA uses the overhead multiplier of 1.01.</w:t>
      </w:r>
    </w:p>
    <w:p w:rsidR="00653669" w:rsidRPr="007628FE" w:rsidP="00653669" w14:paraId="6AB542B8" w14:textId="64DF0C61">
      <w:pPr>
        <w:rPr>
          <w:sz w:val="20"/>
          <w:szCs w:val="20"/>
        </w:rPr>
      </w:pPr>
      <w:r w:rsidRPr="007628FE">
        <w:rPr>
          <w:sz w:val="20"/>
          <w:szCs w:val="20"/>
        </w:rPr>
        <w:t>[a] The Standard Occupation Codes (SOC) used for this occupation are 47-1011, 49-1011, 51-1011, and 53-1047.</w:t>
      </w:r>
    </w:p>
    <w:p w:rsidR="00653669" w:rsidRPr="007628FE" w:rsidP="00653669" w14:paraId="46CD7C56" w14:textId="6C25DB66">
      <w:pPr>
        <w:rPr>
          <w:sz w:val="20"/>
          <w:szCs w:val="20"/>
        </w:rPr>
      </w:pPr>
      <w:r w:rsidRPr="007628FE">
        <w:rPr>
          <w:sz w:val="20"/>
          <w:szCs w:val="20"/>
        </w:rPr>
        <w:t xml:space="preserve">[b] The SOCs used for this occupation are </w:t>
      </w:r>
      <w:r w:rsidR="007D4079">
        <w:rPr>
          <w:sz w:val="20"/>
          <w:szCs w:val="20"/>
        </w:rPr>
        <w:t>47-5000</w:t>
      </w:r>
      <w:r w:rsidRPr="007628FE">
        <w:rPr>
          <w:sz w:val="20"/>
          <w:szCs w:val="20"/>
        </w:rPr>
        <w:t>,</w:t>
      </w:r>
      <w:r w:rsidR="007D4079">
        <w:rPr>
          <w:sz w:val="20"/>
          <w:szCs w:val="20"/>
        </w:rPr>
        <w:t xml:space="preserve"> 49-9043, 49-9071, 51-9021</w:t>
      </w:r>
      <w:r w:rsidRPr="007628FE">
        <w:rPr>
          <w:sz w:val="20"/>
          <w:szCs w:val="20"/>
        </w:rPr>
        <w:t xml:space="preserve"> and </w:t>
      </w:r>
      <w:r w:rsidR="007D4079">
        <w:rPr>
          <w:sz w:val="20"/>
          <w:szCs w:val="20"/>
        </w:rPr>
        <w:t>53</w:t>
      </w:r>
      <w:r w:rsidRPr="007628FE">
        <w:rPr>
          <w:sz w:val="20"/>
          <w:szCs w:val="20"/>
        </w:rPr>
        <w:t>-</w:t>
      </w:r>
      <w:r w:rsidR="007D4079">
        <w:rPr>
          <w:sz w:val="20"/>
          <w:szCs w:val="20"/>
        </w:rPr>
        <w:t>7000</w:t>
      </w:r>
      <w:r w:rsidRPr="007628FE">
        <w:rPr>
          <w:sz w:val="20"/>
          <w:szCs w:val="20"/>
        </w:rPr>
        <w:t>.</w:t>
      </w:r>
    </w:p>
    <w:bookmarkEnd w:id="5"/>
    <w:p w:rsidR="00653669" w:rsidRPr="00BC060A" w:rsidP="00653669" w14:paraId="5427D3DF" w14:textId="77777777">
      <w:pPr>
        <w:ind w:right="720"/>
      </w:pPr>
    </w:p>
    <w:p w:rsidR="00653669" w:rsidRPr="00BC060A" w:rsidP="00653669" w14:paraId="16F7E9AE" w14:textId="77777777">
      <w:pPr>
        <w:pStyle w:val="Default"/>
        <w:rPr>
          <w:rFonts w:ascii="Times New Roman" w:hAnsi="Times New Roman" w:cs="Times New Roman"/>
          <w:b/>
          <w:bCs/>
        </w:rPr>
      </w:pPr>
      <w:r w:rsidRPr="00BC060A">
        <w:rPr>
          <w:rFonts w:ascii="Times New Roman" w:hAnsi="Times New Roman" w:cs="Times New Roman"/>
          <w:b/>
          <w:bCs/>
        </w:rPr>
        <w:t>Hour Burden</w:t>
      </w:r>
    </w:p>
    <w:p w:rsidR="00653669" w:rsidRPr="00BC060A" w:rsidP="00653669" w14:paraId="3FCC7F9E" w14:textId="77777777">
      <w:pPr>
        <w:pStyle w:val="Default"/>
        <w:rPr>
          <w:rFonts w:ascii="Times New Roman" w:hAnsi="Times New Roman" w:cs="Times New Roman"/>
          <w:b/>
          <w:bCs/>
        </w:rPr>
      </w:pPr>
    </w:p>
    <w:p w:rsidR="00653669" w:rsidRPr="00653669" w:rsidP="00FA77FC" w14:paraId="010F05D3" w14:textId="4036C808">
      <w:pPr>
        <w:pStyle w:val="Default"/>
        <w:numPr>
          <w:ilvl w:val="0"/>
          <w:numId w:val="5"/>
        </w:numPr>
        <w:rPr>
          <w:rFonts w:ascii="Times New Roman" w:hAnsi="Times New Roman" w:cs="Times New Roman"/>
        </w:rPr>
      </w:pPr>
      <w:r>
        <w:rPr>
          <w:rFonts w:ascii="Times New Roman" w:hAnsi="Times New Roman" w:cs="Times New Roman"/>
          <w:b/>
          <w:bCs/>
          <w:color w:val="auto"/>
        </w:rPr>
        <w:t xml:space="preserve">Daily </w:t>
      </w:r>
      <w:r w:rsidRPr="00653669">
        <w:rPr>
          <w:rFonts w:ascii="Times New Roman" w:hAnsi="Times New Roman" w:cs="Times New Roman"/>
          <w:b/>
          <w:bCs/>
          <w:color w:val="auto"/>
        </w:rPr>
        <w:t xml:space="preserve">Main </w:t>
      </w:r>
      <w:r w:rsidRPr="00653669" w:rsidR="00DB345A">
        <w:rPr>
          <w:rFonts w:ascii="Times New Roman" w:hAnsi="Times New Roman" w:cs="Times New Roman"/>
          <w:b/>
          <w:bCs/>
          <w:color w:val="auto"/>
        </w:rPr>
        <w:t xml:space="preserve">Fan </w:t>
      </w:r>
      <w:r w:rsidR="00DB345A">
        <w:rPr>
          <w:rFonts w:ascii="Times New Roman" w:hAnsi="Times New Roman" w:cs="Times New Roman"/>
          <w:b/>
          <w:bCs/>
          <w:color w:val="auto"/>
        </w:rPr>
        <w:t>I</w:t>
      </w:r>
      <w:r w:rsidRPr="00653669">
        <w:rPr>
          <w:rFonts w:ascii="Times New Roman" w:hAnsi="Times New Roman" w:cs="Times New Roman"/>
          <w:b/>
          <w:bCs/>
          <w:color w:val="auto"/>
        </w:rPr>
        <w:t>nspection</w:t>
      </w:r>
      <w:r>
        <w:rPr>
          <w:rFonts w:ascii="Times New Roman" w:hAnsi="Times New Roman" w:cs="Times New Roman"/>
          <w:b/>
          <w:bCs/>
          <w:color w:val="auto"/>
        </w:rPr>
        <w:t xml:space="preserve"> and Certification</w:t>
      </w:r>
      <w:r w:rsidRPr="00653669">
        <w:rPr>
          <w:rFonts w:ascii="Times New Roman" w:hAnsi="Times New Roman" w:cs="Times New Roman"/>
          <w:b/>
          <w:bCs/>
          <w:color w:val="auto"/>
        </w:rPr>
        <w:t xml:space="preserve"> (I-A, II-A, III, and V-A mines)</w:t>
      </w:r>
      <w:r w:rsidR="00DB345A">
        <w:rPr>
          <w:rFonts w:ascii="Times New Roman" w:hAnsi="Times New Roman" w:cs="Times New Roman"/>
          <w:b/>
          <w:bCs/>
          <w:color w:val="auto"/>
        </w:rPr>
        <w:t xml:space="preserve"> (</w:t>
      </w:r>
      <w:r w:rsidRPr="00653669">
        <w:rPr>
          <w:rFonts w:ascii="Times New Roman" w:hAnsi="Times New Roman" w:cs="Times New Roman"/>
          <w:b/>
          <w:bCs/>
          <w:color w:val="auto"/>
        </w:rPr>
        <w:t>30 CFR 57.22204</w:t>
      </w:r>
      <w:r w:rsidR="00DB345A">
        <w:rPr>
          <w:rFonts w:ascii="Times New Roman" w:hAnsi="Times New Roman" w:cs="Times New Roman"/>
          <w:b/>
          <w:bCs/>
          <w:color w:val="auto"/>
        </w:rPr>
        <w:t>)</w:t>
      </w:r>
    </w:p>
    <w:p w:rsidR="00EF2E72" w:rsidRPr="00EF2E72" w:rsidP="00EF2E72" w14:paraId="3DCBE419" w14:textId="77777777">
      <w:pPr>
        <w:pStyle w:val="Default"/>
        <w:rPr>
          <w:rFonts w:ascii="Times New Roman" w:hAnsi="Times New Roman" w:cs="Times New Roman"/>
        </w:rPr>
      </w:pPr>
    </w:p>
    <w:p w:rsidR="009A0621" w:rsidP="00352696" w14:paraId="54F24C18" w14:textId="757534DD">
      <w:pPr>
        <w:pStyle w:val="Default"/>
        <w:rPr>
          <w:rFonts w:ascii="Times New Roman" w:hAnsi="Times New Roman" w:cs="Times New Roman"/>
          <w:color w:val="auto"/>
        </w:rPr>
      </w:pPr>
      <w:r w:rsidRPr="0037428D">
        <w:rPr>
          <w:rFonts w:ascii="Times New Roman" w:hAnsi="Times New Roman" w:cs="Times New Roman"/>
          <w:color w:val="auto"/>
        </w:rPr>
        <w:t xml:space="preserve">MSHA estimates that approximately </w:t>
      </w:r>
      <w:r w:rsidR="00626487">
        <w:rPr>
          <w:rFonts w:ascii="Times New Roman" w:hAnsi="Times New Roman" w:cs="Times New Roman"/>
          <w:color w:val="auto"/>
        </w:rPr>
        <w:t>six</w:t>
      </w:r>
      <w:r w:rsidRPr="0037428D">
        <w:rPr>
          <w:rFonts w:ascii="Times New Roman" w:hAnsi="Times New Roman" w:cs="Times New Roman"/>
          <w:color w:val="auto"/>
        </w:rPr>
        <w:t xml:space="preserve"> mines will be affected by this standard. MSHA's records show that there </w:t>
      </w:r>
      <w:r w:rsidR="00653669">
        <w:rPr>
          <w:rFonts w:ascii="Times New Roman" w:hAnsi="Times New Roman" w:cs="Times New Roman"/>
          <w:color w:val="auto"/>
        </w:rPr>
        <w:t>are</w:t>
      </w:r>
      <w:r w:rsidRPr="0037428D" w:rsidR="00653669">
        <w:rPr>
          <w:rFonts w:ascii="Times New Roman" w:hAnsi="Times New Roman" w:cs="Times New Roman"/>
          <w:color w:val="auto"/>
        </w:rPr>
        <w:t xml:space="preserve"> </w:t>
      </w:r>
      <w:r w:rsidRPr="0037428D">
        <w:rPr>
          <w:rFonts w:ascii="Times New Roman" w:hAnsi="Times New Roman" w:cs="Times New Roman"/>
          <w:color w:val="auto"/>
        </w:rPr>
        <w:t xml:space="preserve">an average of </w:t>
      </w:r>
      <w:r w:rsidR="00626487">
        <w:rPr>
          <w:rFonts w:ascii="Times New Roman" w:hAnsi="Times New Roman" w:cs="Times New Roman"/>
          <w:color w:val="auto"/>
        </w:rPr>
        <w:t>two</w:t>
      </w:r>
      <w:r w:rsidRPr="0037428D">
        <w:rPr>
          <w:rFonts w:ascii="Times New Roman" w:hAnsi="Times New Roman" w:cs="Times New Roman"/>
          <w:color w:val="auto"/>
        </w:rPr>
        <w:t xml:space="preserve"> main fans per mine and that </w:t>
      </w:r>
      <w:r w:rsidR="00653669">
        <w:rPr>
          <w:rFonts w:ascii="Times New Roman" w:hAnsi="Times New Roman" w:cs="Times New Roman"/>
          <w:color w:val="auto"/>
        </w:rPr>
        <w:t>the affected</w:t>
      </w:r>
      <w:r w:rsidRPr="0037428D">
        <w:rPr>
          <w:rFonts w:ascii="Times New Roman" w:hAnsi="Times New Roman" w:cs="Times New Roman"/>
          <w:color w:val="auto"/>
        </w:rPr>
        <w:t xml:space="preserve"> mine</w:t>
      </w:r>
      <w:r w:rsidR="00653669">
        <w:rPr>
          <w:rFonts w:ascii="Times New Roman" w:hAnsi="Times New Roman" w:cs="Times New Roman"/>
          <w:color w:val="auto"/>
        </w:rPr>
        <w:t>s</w:t>
      </w:r>
      <w:r w:rsidRPr="0037428D">
        <w:rPr>
          <w:rFonts w:ascii="Times New Roman" w:hAnsi="Times New Roman" w:cs="Times New Roman"/>
          <w:color w:val="auto"/>
        </w:rPr>
        <w:t xml:space="preserve"> operate approximately 330 days per year</w:t>
      </w:r>
      <w:r w:rsidR="00BD29A3">
        <w:rPr>
          <w:rFonts w:ascii="Times New Roman" w:hAnsi="Times New Roman" w:cs="Times New Roman"/>
          <w:color w:val="auto"/>
        </w:rPr>
        <w:t xml:space="preserve">, that is, 660 </w:t>
      </w:r>
      <w:r w:rsidR="00EF101D">
        <w:rPr>
          <w:rFonts w:ascii="Times New Roman" w:hAnsi="Times New Roman" w:cs="Times New Roman"/>
          <w:color w:val="auto"/>
        </w:rPr>
        <w:t>instances</w:t>
      </w:r>
      <w:r w:rsidR="00BD29A3">
        <w:rPr>
          <w:rFonts w:ascii="Times New Roman" w:hAnsi="Times New Roman" w:cs="Times New Roman"/>
          <w:color w:val="auto"/>
        </w:rPr>
        <w:t xml:space="preserve"> per mine</w:t>
      </w:r>
      <w:r w:rsidR="00EF101D">
        <w:rPr>
          <w:rFonts w:ascii="Times New Roman" w:hAnsi="Times New Roman" w:cs="Times New Roman"/>
          <w:color w:val="auto"/>
        </w:rPr>
        <w:t xml:space="preserve"> each year</w:t>
      </w:r>
      <w:r w:rsidRPr="0037428D">
        <w:rPr>
          <w:rFonts w:ascii="Times New Roman" w:hAnsi="Times New Roman" w:cs="Times New Roman"/>
          <w:color w:val="auto"/>
        </w:rPr>
        <w:t xml:space="preserve">. It is estimated that </w:t>
      </w:r>
      <w:r>
        <w:rPr>
          <w:rFonts w:ascii="Times New Roman" w:hAnsi="Times New Roman" w:cs="Times New Roman"/>
          <w:color w:val="auto"/>
        </w:rPr>
        <w:t xml:space="preserve">on average it takes </w:t>
      </w:r>
      <w:r w:rsidRPr="0037428D">
        <w:rPr>
          <w:rFonts w:ascii="Times New Roman" w:hAnsi="Times New Roman" w:cs="Times New Roman"/>
          <w:color w:val="auto"/>
        </w:rPr>
        <w:t xml:space="preserve">a </w:t>
      </w:r>
      <w:r w:rsidR="00BD29A3">
        <w:rPr>
          <w:rFonts w:ascii="Times New Roman" w:hAnsi="Times New Roman" w:cs="Times New Roman"/>
          <w:color w:val="auto"/>
        </w:rPr>
        <w:t>miner,</w:t>
      </w:r>
      <w:r w:rsidRPr="0037428D" w:rsidR="00BD29A3">
        <w:rPr>
          <w:rFonts w:ascii="Times New Roman" w:hAnsi="Times New Roman" w:cs="Times New Roman"/>
          <w:color w:val="auto"/>
        </w:rPr>
        <w:t xml:space="preserve"> earning an hourly wage of </w:t>
      </w:r>
      <w:r w:rsidR="00BD29A3">
        <w:rPr>
          <w:rFonts w:ascii="Times New Roman" w:hAnsi="Times New Roman" w:cs="Times New Roman"/>
          <w:color w:val="auto"/>
        </w:rPr>
        <w:t xml:space="preserve">$41.56, </w:t>
      </w:r>
      <w:r w:rsidRPr="0037428D" w:rsidR="00BD29A3">
        <w:rPr>
          <w:rFonts w:ascii="Times New Roman" w:hAnsi="Times New Roman" w:cs="Times New Roman"/>
          <w:color w:val="auto"/>
        </w:rPr>
        <w:t>30 minutes</w:t>
      </w:r>
      <w:r w:rsidR="00BD29A3">
        <w:rPr>
          <w:rFonts w:ascii="Times New Roman" w:hAnsi="Times New Roman" w:cs="Times New Roman"/>
          <w:color w:val="auto"/>
        </w:rPr>
        <w:t xml:space="preserve"> to inspect</w:t>
      </w:r>
      <w:r w:rsidRPr="0037428D" w:rsidR="00BD29A3">
        <w:rPr>
          <w:rFonts w:ascii="Times New Roman" w:hAnsi="Times New Roman" w:cs="Times New Roman"/>
          <w:color w:val="auto"/>
        </w:rPr>
        <w:t xml:space="preserve"> and record pressure readings in the log book</w:t>
      </w:r>
      <w:r w:rsidR="00BD29A3">
        <w:rPr>
          <w:rFonts w:ascii="Times New Roman" w:hAnsi="Times New Roman" w:cs="Times New Roman"/>
          <w:color w:val="auto"/>
        </w:rPr>
        <w:t xml:space="preserve"> per main fan. It takes two</w:t>
      </w:r>
      <w:r w:rsidRPr="0037428D" w:rsidR="00BD29A3">
        <w:rPr>
          <w:rFonts w:ascii="Times New Roman" w:hAnsi="Times New Roman" w:cs="Times New Roman"/>
          <w:color w:val="auto"/>
        </w:rPr>
        <w:t xml:space="preserve"> minutes</w:t>
      </w:r>
      <w:r w:rsidR="00BD29A3">
        <w:rPr>
          <w:rFonts w:ascii="Times New Roman" w:hAnsi="Times New Roman" w:cs="Times New Roman"/>
          <w:color w:val="auto"/>
        </w:rPr>
        <w:t xml:space="preserve"> for a </w:t>
      </w:r>
      <w:r w:rsidRPr="0037428D" w:rsidR="00BD29A3">
        <w:rPr>
          <w:rFonts w:ascii="Times New Roman" w:hAnsi="Times New Roman" w:cs="Times New Roman"/>
          <w:color w:val="auto"/>
        </w:rPr>
        <w:t>mine supervisor</w:t>
      </w:r>
      <w:r w:rsidR="00BD29A3">
        <w:rPr>
          <w:rFonts w:ascii="Times New Roman" w:hAnsi="Times New Roman" w:cs="Times New Roman"/>
          <w:color w:val="auto"/>
        </w:rPr>
        <w:t>, earning</w:t>
      </w:r>
      <w:r w:rsidRPr="0037428D" w:rsidR="00BD29A3">
        <w:rPr>
          <w:rFonts w:ascii="Times New Roman" w:hAnsi="Times New Roman" w:cs="Times New Roman"/>
          <w:color w:val="auto"/>
        </w:rPr>
        <w:t xml:space="preserve"> an hourly wage of </w:t>
      </w:r>
      <w:r w:rsidR="00BD29A3">
        <w:rPr>
          <w:rFonts w:ascii="Times New Roman" w:hAnsi="Times New Roman" w:cs="Times New Roman"/>
          <w:color w:val="auto"/>
        </w:rPr>
        <w:t xml:space="preserve">$63.97, </w:t>
      </w:r>
      <w:r w:rsidRPr="0037428D" w:rsidR="00BD29A3">
        <w:rPr>
          <w:rFonts w:ascii="Times New Roman" w:hAnsi="Times New Roman" w:cs="Times New Roman"/>
          <w:color w:val="auto"/>
        </w:rPr>
        <w:t xml:space="preserve">to </w:t>
      </w:r>
      <w:r w:rsidR="00916ADB">
        <w:rPr>
          <w:rFonts w:ascii="Times New Roman" w:hAnsi="Times New Roman" w:cs="Times New Roman"/>
          <w:color w:val="auto"/>
        </w:rPr>
        <w:t xml:space="preserve">review and </w:t>
      </w:r>
      <w:r w:rsidRPr="0037428D" w:rsidR="00BD29A3">
        <w:rPr>
          <w:rFonts w:ascii="Times New Roman" w:hAnsi="Times New Roman" w:cs="Times New Roman"/>
          <w:color w:val="auto"/>
        </w:rPr>
        <w:t>certify the records by countersigning</w:t>
      </w:r>
      <w:r w:rsidRPr="0037428D" w:rsidR="00BD29A3">
        <w:rPr>
          <w:rFonts w:ascii="Times New Roman" w:hAnsi="Times New Roman" w:cs="Times New Roman"/>
          <w:color w:val="auto"/>
        </w:rPr>
        <w:t xml:space="preserve"> </w:t>
      </w:r>
      <w:r w:rsidR="00BD29A3">
        <w:rPr>
          <w:rFonts w:ascii="Times New Roman" w:hAnsi="Times New Roman" w:cs="Times New Roman"/>
          <w:color w:val="auto"/>
        </w:rPr>
        <w:t>for each</w:t>
      </w:r>
      <w:r w:rsidRPr="0037428D" w:rsidR="00BD29A3">
        <w:rPr>
          <w:rFonts w:ascii="Times New Roman" w:hAnsi="Times New Roman" w:cs="Times New Roman"/>
          <w:color w:val="auto"/>
        </w:rPr>
        <w:t xml:space="preserve"> main fan</w:t>
      </w:r>
      <w:r w:rsidR="00BD29A3">
        <w:rPr>
          <w:rFonts w:ascii="Times New Roman" w:hAnsi="Times New Roman" w:cs="Times New Roman"/>
          <w:color w:val="auto"/>
        </w:rPr>
        <w:t>.</w:t>
      </w:r>
    </w:p>
    <w:p w:rsidR="009A0621" w:rsidP="00352696" w14:paraId="2E79B120" w14:textId="77777777">
      <w:pPr>
        <w:pStyle w:val="Default"/>
        <w:rPr>
          <w:rFonts w:ascii="Times New Roman" w:hAnsi="Times New Roman" w:cs="Times New Roman"/>
          <w:color w:val="auto"/>
        </w:rPr>
      </w:pPr>
    </w:p>
    <w:p w:rsidR="00045C37" w:rsidRPr="00BC060A" w:rsidP="00045C37" w14:paraId="244BB779" w14:textId="2C79F7B3">
      <w:pPr>
        <w:rPr>
          <w:color w:val="000000"/>
        </w:rPr>
      </w:pPr>
      <w:bookmarkStart w:id="6" w:name="_Hlk114568917"/>
      <w:r w:rsidRPr="004E2E9F">
        <w:rPr>
          <w:color w:val="000000"/>
        </w:rPr>
        <w:t>Table 12-2. Estimated Annual Respondent Hour and Cost Burden, Daily M</w:t>
      </w:r>
      <w:r w:rsidR="009A0621">
        <w:rPr>
          <w:color w:val="000000"/>
        </w:rPr>
        <w:t>ain Fan</w:t>
      </w:r>
      <w:r w:rsidRPr="004E2E9F">
        <w:rPr>
          <w:color w:val="000000"/>
        </w:rPr>
        <w:t xml:space="preserve"> Inspection and Certification (30 CFR 57.22204)</w:t>
      </w:r>
    </w:p>
    <w:tbl>
      <w:tblPr>
        <w:tblStyle w:val="TableGrid"/>
        <w:tblW w:w="9715" w:type="dxa"/>
        <w:tblLayout w:type="fixed"/>
        <w:tblLook w:val="04A0"/>
      </w:tblPr>
      <w:tblGrid>
        <w:gridCol w:w="1525"/>
        <w:gridCol w:w="1350"/>
        <w:gridCol w:w="1260"/>
        <w:gridCol w:w="1170"/>
        <w:gridCol w:w="1260"/>
        <w:gridCol w:w="990"/>
        <w:gridCol w:w="990"/>
        <w:gridCol w:w="1170"/>
      </w:tblGrid>
      <w:tr w14:paraId="5EC0A4E3" w14:textId="77777777" w:rsidTr="00FA77FC">
        <w:tblPrEx>
          <w:tblW w:w="9715" w:type="dxa"/>
          <w:tblLayout w:type="fixed"/>
          <w:tblLook w:val="04A0"/>
        </w:tblPrEx>
        <w:trPr>
          <w:trHeight w:val="747"/>
        </w:trPr>
        <w:tc>
          <w:tcPr>
            <w:tcW w:w="1525" w:type="dxa"/>
            <w:shd w:val="clear" w:color="auto" w:fill="9CC2E5" w:themeFill="accent1" w:themeFillTint="99"/>
            <w:vAlign w:val="center"/>
            <w:hideMark/>
          </w:tcPr>
          <w:p w:rsidR="00045C37" w:rsidRPr="00BC060A" w:rsidP="002E72F8" w14:paraId="07CA5A67" w14:textId="77777777">
            <w:pPr>
              <w:rPr>
                <w:rFonts w:eastAsiaTheme="minorHAnsi"/>
                <w:b/>
                <w:bCs/>
                <w:sz w:val="20"/>
                <w:szCs w:val="20"/>
              </w:rPr>
            </w:pPr>
            <w:bookmarkStart w:id="7" w:name="_Hlk114568834"/>
            <w:bookmarkEnd w:id="6"/>
            <w:r w:rsidRPr="00BC060A">
              <w:rPr>
                <w:rFonts w:eastAsiaTheme="minorHAnsi"/>
                <w:b/>
                <w:bCs/>
                <w:sz w:val="20"/>
                <w:szCs w:val="20"/>
              </w:rPr>
              <w:t>Activity (Occupation)</w:t>
            </w:r>
          </w:p>
        </w:tc>
        <w:tc>
          <w:tcPr>
            <w:tcW w:w="1350" w:type="dxa"/>
            <w:shd w:val="clear" w:color="auto" w:fill="9CC2E5" w:themeFill="accent1" w:themeFillTint="99"/>
            <w:vAlign w:val="center"/>
            <w:hideMark/>
          </w:tcPr>
          <w:p w:rsidR="00045C37" w:rsidP="002E72F8" w14:paraId="78FAD2CB" w14:textId="77777777">
            <w:pPr>
              <w:jc w:val="center"/>
              <w:rPr>
                <w:rFonts w:eastAsiaTheme="minorHAnsi"/>
                <w:b/>
                <w:bCs/>
                <w:sz w:val="20"/>
                <w:szCs w:val="20"/>
              </w:rPr>
            </w:pPr>
            <w:r>
              <w:rPr>
                <w:rFonts w:eastAsiaTheme="minorHAnsi"/>
                <w:b/>
                <w:bCs/>
                <w:sz w:val="20"/>
                <w:szCs w:val="20"/>
              </w:rPr>
              <w:t xml:space="preserve">Number of </w:t>
            </w:r>
            <w:r w:rsidRPr="00BC060A">
              <w:rPr>
                <w:rFonts w:eastAsiaTheme="minorHAnsi"/>
                <w:b/>
                <w:bCs/>
                <w:sz w:val="20"/>
                <w:szCs w:val="20"/>
              </w:rPr>
              <w:t>Respondents</w:t>
            </w:r>
          </w:p>
          <w:p w:rsidR="00045C37" w:rsidRPr="00BC060A" w:rsidP="002E72F8" w14:paraId="4975AA7C" w14:textId="5E2059C7">
            <w:pPr>
              <w:jc w:val="center"/>
              <w:rPr>
                <w:rFonts w:eastAsiaTheme="minorHAnsi"/>
                <w:b/>
                <w:bCs/>
                <w:sz w:val="20"/>
                <w:szCs w:val="20"/>
              </w:rPr>
            </w:pPr>
            <w:r>
              <w:rPr>
                <w:rFonts w:eastAsiaTheme="minorHAnsi"/>
                <w:b/>
                <w:bCs/>
                <w:sz w:val="20"/>
                <w:szCs w:val="20"/>
              </w:rPr>
              <w:t>(</w:t>
            </w:r>
            <w:r w:rsidR="00BD29A3">
              <w:rPr>
                <w:rFonts w:eastAsiaTheme="minorHAnsi"/>
                <w:b/>
                <w:bCs/>
                <w:sz w:val="20"/>
                <w:szCs w:val="20"/>
              </w:rPr>
              <w:t>Min</w:t>
            </w:r>
            <w:r>
              <w:rPr>
                <w:rFonts w:eastAsiaTheme="minorHAnsi"/>
                <w:b/>
                <w:bCs/>
                <w:sz w:val="20"/>
                <w:szCs w:val="20"/>
              </w:rPr>
              <w:t>es)</w:t>
            </w:r>
          </w:p>
        </w:tc>
        <w:tc>
          <w:tcPr>
            <w:tcW w:w="1260" w:type="dxa"/>
            <w:shd w:val="clear" w:color="auto" w:fill="9CC2E5" w:themeFill="accent1" w:themeFillTint="99"/>
            <w:vAlign w:val="center"/>
          </w:tcPr>
          <w:p w:rsidR="00045C37" w:rsidRPr="00BC060A" w:rsidP="002E72F8" w14:paraId="421A30E3" w14:textId="77777777">
            <w:pPr>
              <w:jc w:val="center"/>
              <w:rPr>
                <w:rFonts w:eastAsiaTheme="minorHAnsi"/>
                <w:b/>
                <w:bCs/>
                <w:sz w:val="20"/>
                <w:szCs w:val="20"/>
              </w:rPr>
            </w:pPr>
            <w:r>
              <w:rPr>
                <w:rFonts w:eastAsiaTheme="minorHAnsi"/>
                <w:b/>
                <w:bCs/>
                <w:sz w:val="20"/>
                <w:szCs w:val="20"/>
              </w:rPr>
              <w:t xml:space="preserve">Number of </w:t>
            </w:r>
            <w:r w:rsidRPr="00BC060A">
              <w:rPr>
                <w:rFonts w:eastAsiaTheme="minorHAnsi"/>
                <w:b/>
                <w:bCs/>
                <w:sz w:val="20"/>
                <w:szCs w:val="20"/>
              </w:rPr>
              <w:t>Responses per Respondent</w:t>
            </w:r>
          </w:p>
        </w:tc>
        <w:tc>
          <w:tcPr>
            <w:tcW w:w="1170" w:type="dxa"/>
            <w:shd w:val="clear" w:color="auto" w:fill="9CC2E5" w:themeFill="accent1" w:themeFillTint="99"/>
            <w:vAlign w:val="center"/>
          </w:tcPr>
          <w:p w:rsidR="00045C37" w:rsidRPr="00BC060A" w:rsidP="002E72F8" w14:paraId="01D24624" w14:textId="1A2119A3">
            <w:pPr>
              <w:jc w:val="center"/>
              <w:rPr>
                <w:rFonts w:eastAsiaTheme="minorHAnsi"/>
                <w:b/>
                <w:bCs/>
                <w:sz w:val="20"/>
                <w:szCs w:val="20"/>
              </w:rPr>
            </w:pPr>
            <w:r w:rsidRPr="00BC060A">
              <w:rPr>
                <w:rFonts w:eastAsiaTheme="minorHAnsi"/>
                <w:b/>
                <w:bCs/>
                <w:sz w:val="20"/>
                <w:szCs w:val="20"/>
              </w:rPr>
              <w:t>Total Responses (</w:t>
            </w:r>
            <w:r w:rsidR="00BD29A3">
              <w:rPr>
                <w:rFonts w:eastAsiaTheme="minorHAnsi"/>
                <w:b/>
                <w:bCs/>
                <w:sz w:val="20"/>
                <w:szCs w:val="20"/>
              </w:rPr>
              <w:t>Record</w:t>
            </w:r>
            <w:r>
              <w:rPr>
                <w:rFonts w:eastAsiaTheme="minorHAnsi"/>
                <w:b/>
                <w:bCs/>
                <w:sz w:val="20"/>
                <w:szCs w:val="20"/>
              </w:rPr>
              <w:t>s</w:t>
            </w:r>
            <w:r w:rsidRPr="00BC060A">
              <w:rPr>
                <w:rFonts w:eastAsiaTheme="minorHAnsi"/>
                <w:b/>
                <w:bCs/>
                <w:sz w:val="20"/>
                <w:szCs w:val="20"/>
              </w:rPr>
              <w:t>)</w:t>
            </w:r>
          </w:p>
        </w:tc>
        <w:tc>
          <w:tcPr>
            <w:tcW w:w="1260" w:type="dxa"/>
            <w:shd w:val="clear" w:color="auto" w:fill="9CC2E5" w:themeFill="accent1" w:themeFillTint="99"/>
            <w:vAlign w:val="center"/>
          </w:tcPr>
          <w:p w:rsidR="00045C37" w:rsidRPr="00BC060A" w:rsidP="002E72F8" w14:paraId="7AD9861A" w14:textId="77777777">
            <w:pPr>
              <w:jc w:val="center"/>
              <w:rPr>
                <w:rFonts w:eastAsiaTheme="minorHAnsi"/>
                <w:b/>
                <w:bCs/>
                <w:sz w:val="20"/>
                <w:szCs w:val="20"/>
              </w:rPr>
            </w:pPr>
            <w:r>
              <w:rPr>
                <w:rFonts w:eastAsiaTheme="minorHAnsi"/>
                <w:b/>
                <w:bCs/>
                <w:sz w:val="20"/>
                <w:szCs w:val="20"/>
              </w:rPr>
              <w:t xml:space="preserve">Average </w:t>
            </w:r>
            <w:r w:rsidRPr="00BC060A">
              <w:rPr>
                <w:rFonts w:eastAsiaTheme="minorHAnsi"/>
                <w:b/>
                <w:bCs/>
                <w:sz w:val="20"/>
                <w:szCs w:val="20"/>
              </w:rPr>
              <w:t>Burden per Response (Hours)</w:t>
            </w:r>
          </w:p>
        </w:tc>
        <w:tc>
          <w:tcPr>
            <w:tcW w:w="990" w:type="dxa"/>
            <w:shd w:val="clear" w:color="auto" w:fill="9CC2E5" w:themeFill="accent1" w:themeFillTint="99"/>
            <w:vAlign w:val="center"/>
            <w:hideMark/>
          </w:tcPr>
          <w:p w:rsidR="00045C37" w:rsidRPr="00BC060A" w:rsidP="002E72F8" w14:paraId="05FA880A" w14:textId="77777777">
            <w:pPr>
              <w:jc w:val="center"/>
              <w:rPr>
                <w:rFonts w:eastAsiaTheme="minorHAnsi"/>
                <w:b/>
                <w:bCs/>
                <w:sz w:val="20"/>
                <w:szCs w:val="20"/>
              </w:rPr>
            </w:pPr>
            <w:r w:rsidRPr="00BC060A">
              <w:rPr>
                <w:rFonts w:eastAsiaTheme="minorHAnsi"/>
                <w:b/>
                <w:bCs/>
                <w:sz w:val="20"/>
                <w:szCs w:val="20"/>
              </w:rPr>
              <w:t>Annual Burden (Hours)</w:t>
            </w:r>
          </w:p>
        </w:tc>
        <w:tc>
          <w:tcPr>
            <w:tcW w:w="990" w:type="dxa"/>
            <w:shd w:val="clear" w:color="auto" w:fill="9CC2E5" w:themeFill="accent1" w:themeFillTint="99"/>
            <w:vAlign w:val="center"/>
            <w:hideMark/>
          </w:tcPr>
          <w:p w:rsidR="00045C37" w:rsidRPr="00BC060A" w:rsidP="002E72F8" w14:paraId="7741A419" w14:textId="77777777">
            <w:pPr>
              <w:jc w:val="center"/>
              <w:rPr>
                <w:rFonts w:eastAsiaTheme="minorHAnsi"/>
                <w:b/>
                <w:bCs/>
                <w:sz w:val="20"/>
                <w:szCs w:val="20"/>
              </w:rPr>
            </w:pPr>
            <w:r w:rsidRPr="00BC060A">
              <w:rPr>
                <w:rFonts w:eastAsiaTheme="minorHAnsi"/>
                <w:b/>
                <w:bCs/>
                <w:sz w:val="20"/>
                <w:szCs w:val="20"/>
              </w:rPr>
              <w:t>Hourly Wage Rate</w:t>
            </w:r>
          </w:p>
        </w:tc>
        <w:tc>
          <w:tcPr>
            <w:tcW w:w="1170" w:type="dxa"/>
            <w:shd w:val="clear" w:color="auto" w:fill="9CC2E5" w:themeFill="accent1" w:themeFillTint="99"/>
            <w:vAlign w:val="center"/>
            <w:hideMark/>
          </w:tcPr>
          <w:p w:rsidR="00045C37" w:rsidRPr="00BC060A" w:rsidP="002E72F8" w14:paraId="2C414353" w14:textId="77777777">
            <w:pPr>
              <w:jc w:val="center"/>
              <w:rPr>
                <w:rFonts w:eastAsiaTheme="minorHAnsi"/>
                <w:b/>
                <w:bCs/>
                <w:sz w:val="20"/>
                <w:szCs w:val="20"/>
              </w:rPr>
            </w:pPr>
            <w:r w:rsidRPr="00BC060A">
              <w:rPr>
                <w:rFonts w:eastAsiaTheme="minorHAnsi"/>
                <w:b/>
                <w:bCs/>
                <w:sz w:val="20"/>
                <w:szCs w:val="20"/>
              </w:rPr>
              <w:t>Burden Cost</w:t>
            </w:r>
          </w:p>
        </w:tc>
      </w:tr>
      <w:tr w14:paraId="587700BC" w14:textId="77777777" w:rsidTr="00FA77FC">
        <w:tblPrEx>
          <w:tblW w:w="9715" w:type="dxa"/>
          <w:tblLayout w:type="fixed"/>
          <w:tblLook w:val="04A0"/>
        </w:tblPrEx>
        <w:trPr>
          <w:trHeight w:val="363"/>
        </w:trPr>
        <w:tc>
          <w:tcPr>
            <w:tcW w:w="1525" w:type="dxa"/>
            <w:noWrap/>
            <w:vAlign w:val="center"/>
            <w:hideMark/>
          </w:tcPr>
          <w:p w:rsidR="00045C37" w:rsidRPr="00BC060A" w:rsidP="002E72F8" w14:paraId="1F827B39" w14:textId="15E3CCD2">
            <w:pPr>
              <w:rPr>
                <w:rFonts w:eastAsiaTheme="minorHAnsi"/>
                <w:bCs/>
                <w:sz w:val="20"/>
                <w:szCs w:val="20"/>
              </w:rPr>
            </w:pPr>
            <w:r>
              <w:rPr>
                <w:rFonts w:eastAsiaTheme="minorHAnsi"/>
                <w:bCs/>
                <w:sz w:val="20"/>
                <w:szCs w:val="20"/>
              </w:rPr>
              <w:t xml:space="preserve">Daily </w:t>
            </w:r>
            <w:r w:rsidR="00BD29A3">
              <w:rPr>
                <w:rFonts w:eastAsiaTheme="minorHAnsi"/>
                <w:bCs/>
                <w:sz w:val="20"/>
                <w:szCs w:val="20"/>
              </w:rPr>
              <w:t xml:space="preserve">Inspection </w:t>
            </w:r>
            <w:r w:rsidRPr="00BC060A">
              <w:rPr>
                <w:rFonts w:eastAsiaTheme="minorHAnsi"/>
                <w:bCs/>
                <w:sz w:val="20"/>
                <w:szCs w:val="20"/>
              </w:rPr>
              <w:t>(</w:t>
            </w:r>
            <w:r>
              <w:rPr>
                <w:rFonts w:eastAsiaTheme="minorHAnsi"/>
                <w:bCs/>
                <w:sz w:val="20"/>
                <w:szCs w:val="20"/>
              </w:rPr>
              <w:t>Miner</w:t>
            </w:r>
            <w:r w:rsidRPr="00BC060A">
              <w:rPr>
                <w:rFonts w:eastAsiaTheme="minorHAnsi"/>
                <w:bCs/>
                <w:sz w:val="20"/>
                <w:szCs w:val="20"/>
              </w:rPr>
              <w:t>)</w:t>
            </w:r>
          </w:p>
        </w:tc>
        <w:tc>
          <w:tcPr>
            <w:tcW w:w="1350" w:type="dxa"/>
            <w:noWrap/>
            <w:vAlign w:val="center"/>
          </w:tcPr>
          <w:p w:rsidR="00045C37" w:rsidRPr="00BC060A" w:rsidP="002E72F8" w14:paraId="6BBDFC9E" w14:textId="2710D9EC">
            <w:pPr>
              <w:jc w:val="right"/>
              <w:rPr>
                <w:rFonts w:eastAsiaTheme="minorHAnsi"/>
                <w:bCs/>
                <w:sz w:val="20"/>
                <w:szCs w:val="20"/>
              </w:rPr>
            </w:pPr>
            <w:r>
              <w:rPr>
                <w:rFonts w:eastAsiaTheme="minorHAnsi"/>
                <w:bCs/>
                <w:sz w:val="20"/>
                <w:szCs w:val="20"/>
              </w:rPr>
              <w:t>6</w:t>
            </w:r>
          </w:p>
        </w:tc>
        <w:tc>
          <w:tcPr>
            <w:tcW w:w="1260" w:type="dxa"/>
            <w:vAlign w:val="center"/>
          </w:tcPr>
          <w:p w:rsidR="00045C37" w:rsidRPr="00BC060A" w:rsidP="002E72F8" w14:paraId="72911B1A" w14:textId="0D8E8B07">
            <w:pPr>
              <w:jc w:val="right"/>
              <w:rPr>
                <w:rFonts w:eastAsiaTheme="minorHAnsi"/>
                <w:bCs/>
                <w:sz w:val="20"/>
                <w:szCs w:val="20"/>
              </w:rPr>
            </w:pPr>
            <w:r>
              <w:rPr>
                <w:rFonts w:eastAsiaTheme="minorHAnsi"/>
                <w:bCs/>
                <w:sz w:val="20"/>
                <w:szCs w:val="20"/>
              </w:rPr>
              <w:t>660</w:t>
            </w:r>
          </w:p>
        </w:tc>
        <w:tc>
          <w:tcPr>
            <w:tcW w:w="1170" w:type="dxa"/>
            <w:vAlign w:val="center"/>
          </w:tcPr>
          <w:p w:rsidR="00045C37" w:rsidRPr="00BC060A" w:rsidP="002E72F8" w14:paraId="43C9AF41" w14:textId="45883E79">
            <w:pPr>
              <w:jc w:val="right"/>
              <w:rPr>
                <w:rFonts w:eastAsiaTheme="minorHAnsi"/>
                <w:bCs/>
                <w:sz w:val="20"/>
                <w:szCs w:val="20"/>
              </w:rPr>
            </w:pPr>
            <w:r>
              <w:rPr>
                <w:rFonts w:eastAsiaTheme="minorHAnsi"/>
                <w:bCs/>
                <w:sz w:val="20"/>
                <w:szCs w:val="20"/>
              </w:rPr>
              <w:t>3,960</w:t>
            </w:r>
          </w:p>
        </w:tc>
        <w:tc>
          <w:tcPr>
            <w:tcW w:w="1260" w:type="dxa"/>
            <w:vAlign w:val="center"/>
          </w:tcPr>
          <w:p w:rsidR="00045C37" w:rsidRPr="00BC060A" w:rsidP="002E72F8" w14:paraId="2B551F5D" w14:textId="71EFAC71">
            <w:pPr>
              <w:jc w:val="right"/>
              <w:rPr>
                <w:rFonts w:eastAsiaTheme="minorHAnsi"/>
                <w:bCs/>
                <w:sz w:val="20"/>
                <w:szCs w:val="20"/>
              </w:rPr>
            </w:pPr>
            <w:r>
              <w:rPr>
                <w:rFonts w:eastAsiaTheme="minorHAnsi"/>
                <w:bCs/>
                <w:sz w:val="20"/>
                <w:szCs w:val="20"/>
              </w:rPr>
              <w:t>0.50</w:t>
            </w:r>
          </w:p>
        </w:tc>
        <w:tc>
          <w:tcPr>
            <w:tcW w:w="990" w:type="dxa"/>
            <w:noWrap/>
            <w:vAlign w:val="center"/>
          </w:tcPr>
          <w:p w:rsidR="00045C37" w:rsidRPr="00BC060A" w:rsidP="002E72F8" w14:paraId="7BA108F3" w14:textId="5A762B15">
            <w:pPr>
              <w:jc w:val="right"/>
              <w:rPr>
                <w:rFonts w:eastAsiaTheme="minorHAnsi"/>
                <w:bCs/>
                <w:sz w:val="20"/>
                <w:szCs w:val="20"/>
              </w:rPr>
            </w:pPr>
            <w:r>
              <w:rPr>
                <w:rFonts w:eastAsiaTheme="minorHAnsi"/>
                <w:bCs/>
                <w:sz w:val="20"/>
                <w:szCs w:val="20"/>
              </w:rPr>
              <w:t>1,980.00</w:t>
            </w:r>
          </w:p>
        </w:tc>
        <w:tc>
          <w:tcPr>
            <w:tcW w:w="990" w:type="dxa"/>
            <w:noWrap/>
            <w:vAlign w:val="center"/>
            <w:hideMark/>
          </w:tcPr>
          <w:p w:rsidR="00045C37" w:rsidRPr="00BC060A" w:rsidP="002E72F8" w14:paraId="6BE14E22" w14:textId="05A1E3FE">
            <w:pPr>
              <w:jc w:val="right"/>
              <w:rPr>
                <w:rFonts w:eastAsiaTheme="minorHAnsi"/>
                <w:bCs/>
                <w:sz w:val="20"/>
                <w:szCs w:val="20"/>
              </w:rPr>
            </w:pPr>
            <w:r w:rsidRPr="00BC060A">
              <w:rPr>
                <w:rFonts w:eastAsiaTheme="minorHAnsi"/>
                <w:bCs/>
                <w:sz w:val="20"/>
                <w:szCs w:val="20"/>
              </w:rPr>
              <w:t>$</w:t>
            </w:r>
            <w:r w:rsidR="004E2E9F">
              <w:rPr>
                <w:rFonts w:eastAsiaTheme="minorHAnsi"/>
                <w:bCs/>
                <w:sz w:val="20"/>
                <w:szCs w:val="20"/>
              </w:rPr>
              <w:t>41.56</w:t>
            </w:r>
          </w:p>
        </w:tc>
        <w:tc>
          <w:tcPr>
            <w:tcW w:w="1170" w:type="dxa"/>
            <w:noWrap/>
            <w:vAlign w:val="center"/>
            <w:hideMark/>
          </w:tcPr>
          <w:p w:rsidR="00045C37" w:rsidRPr="00BC060A" w:rsidP="002E72F8" w14:paraId="3D7F51EF" w14:textId="5E8BBBA4">
            <w:pPr>
              <w:jc w:val="right"/>
              <w:rPr>
                <w:rFonts w:eastAsiaTheme="minorHAnsi"/>
                <w:bCs/>
                <w:sz w:val="20"/>
                <w:szCs w:val="20"/>
              </w:rPr>
            </w:pPr>
            <w:r w:rsidRPr="00BC060A">
              <w:rPr>
                <w:rFonts w:eastAsiaTheme="minorHAnsi"/>
                <w:bCs/>
                <w:sz w:val="20"/>
                <w:szCs w:val="20"/>
              </w:rPr>
              <w:t>$</w:t>
            </w:r>
            <w:r w:rsidR="00FC1B5F">
              <w:rPr>
                <w:rFonts w:eastAsiaTheme="minorHAnsi"/>
                <w:bCs/>
                <w:sz w:val="20"/>
                <w:szCs w:val="20"/>
              </w:rPr>
              <w:t>82,288.80</w:t>
            </w:r>
          </w:p>
        </w:tc>
      </w:tr>
      <w:tr w14:paraId="45ABD319" w14:textId="77777777" w:rsidTr="00FA77FC">
        <w:tblPrEx>
          <w:tblW w:w="9715" w:type="dxa"/>
          <w:tblLayout w:type="fixed"/>
          <w:tblLook w:val="04A0"/>
        </w:tblPrEx>
        <w:trPr>
          <w:trHeight w:val="363"/>
        </w:trPr>
        <w:tc>
          <w:tcPr>
            <w:tcW w:w="1525" w:type="dxa"/>
            <w:noWrap/>
            <w:vAlign w:val="center"/>
            <w:hideMark/>
          </w:tcPr>
          <w:p w:rsidR="00045C37" w:rsidRPr="00BC060A" w:rsidP="002E72F8" w14:paraId="68640E00" w14:textId="237EF7AF">
            <w:pPr>
              <w:rPr>
                <w:rFonts w:eastAsiaTheme="minorHAnsi"/>
                <w:bCs/>
                <w:sz w:val="20"/>
                <w:szCs w:val="20"/>
              </w:rPr>
            </w:pPr>
            <w:r>
              <w:rPr>
                <w:rFonts w:eastAsiaTheme="minorHAnsi"/>
                <w:bCs/>
                <w:sz w:val="20"/>
                <w:szCs w:val="20"/>
              </w:rPr>
              <w:t xml:space="preserve">Certification </w:t>
            </w:r>
            <w:r w:rsidRPr="00BC060A">
              <w:rPr>
                <w:rFonts w:eastAsiaTheme="minorHAnsi"/>
                <w:bCs/>
                <w:sz w:val="20"/>
                <w:szCs w:val="20"/>
              </w:rPr>
              <w:t>(</w:t>
            </w:r>
            <w:r>
              <w:rPr>
                <w:rFonts w:eastAsiaTheme="minorHAnsi"/>
                <w:bCs/>
                <w:sz w:val="20"/>
                <w:szCs w:val="20"/>
              </w:rPr>
              <w:t>Supervisor</w:t>
            </w:r>
            <w:r w:rsidRPr="00BC060A">
              <w:rPr>
                <w:rFonts w:eastAsiaTheme="minorHAnsi"/>
                <w:bCs/>
                <w:sz w:val="20"/>
                <w:szCs w:val="20"/>
              </w:rPr>
              <w:t>)</w:t>
            </w:r>
          </w:p>
        </w:tc>
        <w:tc>
          <w:tcPr>
            <w:tcW w:w="1350" w:type="dxa"/>
            <w:noWrap/>
            <w:vAlign w:val="center"/>
          </w:tcPr>
          <w:p w:rsidR="00045C37" w:rsidRPr="00BC060A" w:rsidP="002E72F8" w14:paraId="617A10CE" w14:textId="5107FEDB">
            <w:pPr>
              <w:jc w:val="right"/>
              <w:rPr>
                <w:rFonts w:eastAsiaTheme="minorHAnsi"/>
                <w:bCs/>
                <w:sz w:val="20"/>
                <w:szCs w:val="20"/>
              </w:rPr>
            </w:pPr>
            <w:r>
              <w:rPr>
                <w:rFonts w:eastAsiaTheme="minorHAnsi"/>
                <w:bCs/>
                <w:sz w:val="20"/>
                <w:szCs w:val="20"/>
              </w:rPr>
              <w:t>6</w:t>
            </w:r>
          </w:p>
        </w:tc>
        <w:tc>
          <w:tcPr>
            <w:tcW w:w="1260" w:type="dxa"/>
            <w:vAlign w:val="center"/>
          </w:tcPr>
          <w:p w:rsidR="00045C37" w:rsidRPr="00BC060A" w:rsidP="002E72F8" w14:paraId="22E3A3E0" w14:textId="08221EE5">
            <w:pPr>
              <w:jc w:val="right"/>
              <w:rPr>
                <w:rFonts w:eastAsiaTheme="minorHAnsi"/>
                <w:bCs/>
                <w:sz w:val="20"/>
                <w:szCs w:val="20"/>
              </w:rPr>
            </w:pPr>
            <w:r>
              <w:rPr>
                <w:rFonts w:eastAsiaTheme="minorHAnsi"/>
                <w:bCs/>
                <w:sz w:val="20"/>
                <w:szCs w:val="20"/>
              </w:rPr>
              <w:t>660</w:t>
            </w:r>
          </w:p>
        </w:tc>
        <w:tc>
          <w:tcPr>
            <w:tcW w:w="1170" w:type="dxa"/>
            <w:vAlign w:val="center"/>
          </w:tcPr>
          <w:p w:rsidR="00045C37" w:rsidRPr="00BC060A" w:rsidP="002E72F8" w14:paraId="12129794" w14:textId="7E4381A6">
            <w:pPr>
              <w:jc w:val="right"/>
              <w:rPr>
                <w:rFonts w:eastAsiaTheme="minorHAnsi"/>
                <w:bCs/>
                <w:sz w:val="20"/>
                <w:szCs w:val="20"/>
              </w:rPr>
            </w:pPr>
            <w:r>
              <w:rPr>
                <w:rFonts w:eastAsiaTheme="minorHAnsi"/>
                <w:bCs/>
                <w:sz w:val="20"/>
                <w:szCs w:val="20"/>
              </w:rPr>
              <w:t>3,960</w:t>
            </w:r>
          </w:p>
        </w:tc>
        <w:tc>
          <w:tcPr>
            <w:tcW w:w="1260" w:type="dxa"/>
            <w:vAlign w:val="center"/>
          </w:tcPr>
          <w:p w:rsidR="00045C37" w:rsidRPr="00BC060A" w:rsidP="002E72F8" w14:paraId="6E4DBC04" w14:textId="18827B9F">
            <w:pPr>
              <w:jc w:val="right"/>
              <w:rPr>
                <w:rFonts w:eastAsiaTheme="minorHAnsi"/>
                <w:bCs/>
                <w:sz w:val="20"/>
                <w:szCs w:val="20"/>
              </w:rPr>
            </w:pPr>
            <w:r>
              <w:rPr>
                <w:rFonts w:eastAsiaTheme="minorHAnsi"/>
                <w:bCs/>
                <w:sz w:val="20"/>
                <w:szCs w:val="20"/>
              </w:rPr>
              <w:t>0.03</w:t>
            </w:r>
          </w:p>
        </w:tc>
        <w:tc>
          <w:tcPr>
            <w:tcW w:w="990" w:type="dxa"/>
            <w:noWrap/>
            <w:vAlign w:val="center"/>
          </w:tcPr>
          <w:p w:rsidR="00045C37" w:rsidRPr="00BC060A" w:rsidP="002E72F8" w14:paraId="3732C896" w14:textId="1EA6FA18">
            <w:pPr>
              <w:jc w:val="right"/>
              <w:rPr>
                <w:rFonts w:eastAsiaTheme="minorHAnsi"/>
                <w:bCs/>
                <w:sz w:val="20"/>
                <w:szCs w:val="20"/>
              </w:rPr>
            </w:pPr>
            <w:r>
              <w:rPr>
                <w:rFonts w:eastAsiaTheme="minorHAnsi"/>
                <w:bCs/>
                <w:sz w:val="20"/>
                <w:szCs w:val="20"/>
              </w:rPr>
              <w:t>132.00</w:t>
            </w:r>
          </w:p>
        </w:tc>
        <w:tc>
          <w:tcPr>
            <w:tcW w:w="990" w:type="dxa"/>
            <w:noWrap/>
            <w:vAlign w:val="center"/>
            <w:hideMark/>
          </w:tcPr>
          <w:p w:rsidR="00045C37" w:rsidRPr="00BC060A" w:rsidP="002E72F8" w14:paraId="3245E1F5" w14:textId="30E4CF29">
            <w:pPr>
              <w:jc w:val="right"/>
              <w:rPr>
                <w:rFonts w:eastAsiaTheme="minorHAnsi"/>
                <w:bCs/>
                <w:sz w:val="20"/>
                <w:szCs w:val="20"/>
              </w:rPr>
            </w:pPr>
            <w:r w:rsidRPr="00BC060A">
              <w:rPr>
                <w:rFonts w:eastAsiaTheme="minorHAnsi"/>
                <w:bCs/>
                <w:sz w:val="20"/>
                <w:szCs w:val="20"/>
              </w:rPr>
              <w:t>$</w:t>
            </w:r>
            <w:r w:rsidR="004E2E9F">
              <w:rPr>
                <w:rFonts w:eastAsiaTheme="minorHAnsi"/>
                <w:bCs/>
                <w:sz w:val="20"/>
                <w:szCs w:val="20"/>
              </w:rPr>
              <w:t>63.97</w:t>
            </w:r>
          </w:p>
        </w:tc>
        <w:tc>
          <w:tcPr>
            <w:tcW w:w="1170" w:type="dxa"/>
            <w:noWrap/>
            <w:vAlign w:val="center"/>
            <w:hideMark/>
          </w:tcPr>
          <w:p w:rsidR="00045C37" w:rsidRPr="00BC060A" w:rsidP="002E72F8" w14:paraId="3DFA4813" w14:textId="26E495C4">
            <w:pPr>
              <w:jc w:val="right"/>
              <w:rPr>
                <w:rFonts w:eastAsiaTheme="minorHAnsi"/>
                <w:bCs/>
                <w:sz w:val="20"/>
                <w:szCs w:val="20"/>
              </w:rPr>
            </w:pPr>
            <w:r w:rsidRPr="00BC060A">
              <w:rPr>
                <w:rFonts w:eastAsiaTheme="minorHAnsi"/>
                <w:bCs/>
                <w:sz w:val="20"/>
                <w:szCs w:val="20"/>
              </w:rPr>
              <w:t>$</w:t>
            </w:r>
            <w:r w:rsidR="00FC1B5F">
              <w:rPr>
                <w:rFonts w:eastAsiaTheme="minorHAnsi"/>
                <w:bCs/>
                <w:sz w:val="20"/>
                <w:szCs w:val="20"/>
              </w:rPr>
              <w:t>8,444.04</w:t>
            </w:r>
          </w:p>
        </w:tc>
      </w:tr>
      <w:tr w14:paraId="31143B1D" w14:textId="77777777" w:rsidTr="00FA77FC">
        <w:tblPrEx>
          <w:tblW w:w="9715" w:type="dxa"/>
          <w:tblLayout w:type="fixed"/>
          <w:tblLook w:val="04A0"/>
        </w:tblPrEx>
        <w:trPr>
          <w:trHeight w:val="363"/>
        </w:trPr>
        <w:tc>
          <w:tcPr>
            <w:tcW w:w="1525" w:type="dxa"/>
            <w:shd w:val="clear" w:color="auto" w:fill="auto"/>
            <w:noWrap/>
            <w:vAlign w:val="center"/>
            <w:hideMark/>
          </w:tcPr>
          <w:p w:rsidR="00045C37" w:rsidRPr="00BC060A" w:rsidP="002E72F8" w14:paraId="6BCE49E2" w14:textId="77777777">
            <w:pPr>
              <w:rPr>
                <w:rFonts w:eastAsiaTheme="minorHAnsi"/>
                <w:b/>
                <w:bCs/>
                <w:i/>
                <w:iCs/>
                <w:sz w:val="20"/>
                <w:szCs w:val="20"/>
              </w:rPr>
            </w:pPr>
            <w:r w:rsidRPr="00BC060A">
              <w:rPr>
                <w:rFonts w:eastAsiaTheme="minorHAnsi"/>
                <w:b/>
                <w:bCs/>
                <w:i/>
                <w:iCs/>
                <w:sz w:val="20"/>
                <w:szCs w:val="20"/>
              </w:rPr>
              <w:t>Subtotal (Rounded)</w:t>
            </w:r>
          </w:p>
        </w:tc>
        <w:tc>
          <w:tcPr>
            <w:tcW w:w="1350" w:type="dxa"/>
            <w:shd w:val="clear" w:color="auto" w:fill="auto"/>
            <w:vAlign w:val="center"/>
          </w:tcPr>
          <w:p w:rsidR="00045C37" w:rsidRPr="00BC060A" w:rsidP="002E72F8" w14:paraId="63F56134" w14:textId="7DC482E5">
            <w:pPr>
              <w:jc w:val="right"/>
              <w:rPr>
                <w:rFonts w:eastAsiaTheme="minorHAnsi"/>
                <w:b/>
                <w:bCs/>
                <w:i/>
                <w:iCs/>
                <w:sz w:val="20"/>
                <w:szCs w:val="20"/>
              </w:rPr>
            </w:pPr>
            <w:r>
              <w:rPr>
                <w:rFonts w:eastAsiaTheme="minorHAnsi"/>
                <w:b/>
                <w:bCs/>
                <w:i/>
                <w:iCs/>
                <w:sz w:val="20"/>
                <w:szCs w:val="20"/>
              </w:rPr>
              <w:t>6</w:t>
            </w:r>
          </w:p>
        </w:tc>
        <w:tc>
          <w:tcPr>
            <w:tcW w:w="1260" w:type="dxa"/>
            <w:shd w:val="clear" w:color="auto" w:fill="000000" w:themeFill="text1"/>
            <w:vAlign w:val="center"/>
          </w:tcPr>
          <w:p w:rsidR="00045C37" w:rsidRPr="00BC060A" w:rsidP="002E72F8" w14:paraId="579EFCB4" w14:textId="77777777">
            <w:pPr>
              <w:jc w:val="right"/>
              <w:rPr>
                <w:rFonts w:eastAsiaTheme="minorHAnsi"/>
                <w:b/>
                <w:bCs/>
                <w:i/>
                <w:iCs/>
                <w:sz w:val="20"/>
                <w:szCs w:val="20"/>
              </w:rPr>
            </w:pPr>
          </w:p>
        </w:tc>
        <w:tc>
          <w:tcPr>
            <w:tcW w:w="1170" w:type="dxa"/>
            <w:shd w:val="clear" w:color="auto" w:fill="auto"/>
            <w:vAlign w:val="center"/>
          </w:tcPr>
          <w:p w:rsidR="00045C37" w:rsidRPr="00BC060A" w:rsidP="002E72F8" w14:paraId="0951660D" w14:textId="56A47007">
            <w:pPr>
              <w:jc w:val="right"/>
              <w:rPr>
                <w:rFonts w:eastAsiaTheme="minorHAnsi"/>
                <w:b/>
                <w:bCs/>
                <w:i/>
                <w:iCs/>
                <w:sz w:val="20"/>
                <w:szCs w:val="20"/>
              </w:rPr>
            </w:pPr>
            <w:r>
              <w:rPr>
                <w:rFonts w:eastAsiaTheme="minorHAnsi"/>
                <w:b/>
                <w:bCs/>
                <w:i/>
                <w:iCs/>
                <w:sz w:val="20"/>
                <w:szCs w:val="20"/>
              </w:rPr>
              <w:t>3,960</w:t>
            </w:r>
          </w:p>
        </w:tc>
        <w:tc>
          <w:tcPr>
            <w:tcW w:w="1260" w:type="dxa"/>
            <w:shd w:val="clear" w:color="auto" w:fill="000000" w:themeFill="text1"/>
            <w:vAlign w:val="center"/>
          </w:tcPr>
          <w:p w:rsidR="00045C37" w:rsidRPr="00BC060A" w:rsidP="002E72F8" w14:paraId="12C4C057" w14:textId="77777777">
            <w:pPr>
              <w:jc w:val="right"/>
              <w:rPr>
                <w:rFonts w:eastAsiaTheme="minorHAnsi"/>
                <w:b/>
                <w:bCs/>
                <w:i/>
                <w:iCs/>
                <w:sz w:val="20"/>
                <w:szCs w:val="20"/>
              </w:rPr>
            </w:pPr>
          </w:p>
        </w:tc>
        <w:tc>
          <w:tcPr>
            <w:tcW w:w="990" w:type="dxa"/>
            <w:shd w:val="clear" w:color="auto" w:fill="auto"/>
            <w:vAlign w:val="center"/>
          </w:tcPr>
          <w:p w:rsidR="00045C37" w:rsidRPr="00BC060A" w:rsidP="002E72F8" w14:paraId="21138540" w14:textId="240091AF">
            <w:pPr>
              <w:jc w:val="right"/>
              <w:rPr>
                <w:rFonts w:eastAsiaTheme="minorHAnsi"/>
                <w:b/>
                <w:bCs/>
                <w:i/>
                <w:iCs/>
                <w:sz w:val="20"/>
                <w:szCs w:val="20"/>
              </w:rPr>
            </w:pPr>
            <w:r>
              <w:rPr>
                <w:rFonts w:eastAsiaTheme="minorHAnsi"/>
                <w:b/>
                <w:bCs/>
                <w:i/>
                <w:iCs/>
                <w:sz w:val="20"/>
                <w:szCs w:val="20"/>
              </w:rPr>
              <w:t>2,112</w:t>
            </w:r>
          </w:p>
        </w:tc>
        <w:tc>
          <w:tcPr>
            <w:tcW w:w="990" w:type="dxa"/>
            <w:shd w:val="clear" w:color="auto" w:fill="000000" w:themeFill="text1"/>
            <w:noWrap/>
            <w:vAlign w:val="center"/>
            <w:hideMark/>
          </w:tcPr>
          <w:p w:rsidR="00045C37" w:rsidRPr="00BC060A" w:rsidP="002E72F8" w14:paraId="04EBB235" w14:textId="77777777">
            <w:pPr>
              <w:jc w:val="right"/>
              <w:rPr>
                <w:rFonts w:eastAsiaTheme="minorHAnsi"/>
                <w:b/>
                <w:bCs/>
                <w:i/>
                <w:iCs/>
                <w:sz w:val="20"/>
                <w:szCs w:val="20"/>
              </w:rPr>
            </w:pPr>
          </w:p>
        </w:tc>
        <w:tc>
          <w:tcPr>
            <w:tcW w:w="1170" w:type="dxa"/>
            <w:shd w:val="clear" w:color="auto" w:fill="auto"/>
            <w:noWrap/>
            <w:vAlign w:val="center"/>
            <w:hideMark/>
          </w:tcPr>
          <w:p w:rsidR="00045C37" w:rsidRPr="00BC060A" w:rsidP="002E72F8" w14:paraId="61205971" w14:textId="70980159">
            <w:pPr>
              <w:jc w:val="right"/>
              <w:rPr>
                <w:rFonts w:eastAsiaTheme="minorHAnsi"/>
                <w:b/>
                <w:bCs/>
                <w:i/>
                <w:iCs/>
                <w:sz w:val="20"/>
                <w:szCs w:val="20"/>
              </w:rPr>
            </w:pPr>
            <w:r w:rsidRPr="00BC060A">
              <w:rPr>
                <w:rFonts w:eastAsiaTheme="minorHAnsi"/>
                <w:b/>
                <w:bCs/>
                <w:i/>
                <w:iCs/>
                <w:sz w:val="20"/>
                <w:szCs w:val="20"/>
              </w:rPr>
              <w:t>$</w:t>
            </w:r>
            <w:r w:rsidR="00FC1B5F">
              <w:rPr>
                <w:rFonts w:eastAsiaTheme="minorHAnsi"/>
                <w:b/>
                <w:bCs/>
                <w:i/>
                <w:iCs/>
                <w:sz w:val="20"/>
                <w:szCs w:val="20"/>
              </w:rPr>
              <w:t>90,733</w:t>
            </w:r>
          </w:p>
        </w:tc>
      </w:tr>
      <w:bookmarkEnd w:id="7"/>
    </w:tbl>
    <w:p w:rsidR="00045C37" w:rsidRPr="004F7123" w:rsidP="00045C37" w14:paraId="702C930F" w14:textId="3D1D8F41">
      <w:pPr>
        <w:keepLines/>
        <w:ind w:right="720"/>
        <w:rPr>
          <w:sz w:val="20"/>
          <w:szCs w:val="20"/>
        </w:rPr>
      </w:pPr>
    </w:p>
    <w:p w:rsidR="00045C37" w:rsidRPr="0037428D" w:rsidP="00352696" w14:paraId="50EBDB11" w14:textId="77777777">
      <w:pPr>
        <w:pStyle w:val="Default"/>
        <w:rPr>
          <w:rFonts w:ascii="Times New Roman" w:hAnsi="Times New Roman" w:cs="Times New Roman"/>
          <w:color w:val="auto"/>
        </w:rPr>
      </w:pPr>
    </w:p>
    <w:p w:rsidR="00153A5E" w:rsidRPr="00BC060A" w:rsidP="00153A5E" w14:paraId="7C56D7C3" w14:textId="77777777">
      <w:pPr>
        <w:pStyle w:val="Default"/>
        <w:rPr>
          <w:rFonts w:ascii="Times New Roman" w:hAnsi="Times New Roman" w:cs="Times New Roman"/>
          <w:b/>
          <w:bCs/>
        </w:rPr>
      </w:pPr>
      <w:bookmarkStart w:id="8" w:name="_Hlk181187861"/>
      <w:bookmarkStart w:id="9" w:name="_Hlk114568991"/>
      <w:r w:rsidRPr="00BC060A">
        <w:rPr>
          <w:rFonts w:ascii="Times New Roman" w:hAnsi="Times New Roman" w:cs="Times New Roman"/>
          <w:b/>
          <w:bCs/>
        </w:rPr>
        <w:t>Hour Burden Summary</w:t>
      </w:r>
    </w:p>
    <w:p w:rsidR="00153A5E" w:rsidRPr="00BC060A" w:rsidP="00153A5E" w14:paraId="2AA045E2" w14:textId="77777777">
      <w:pPr>
        <w:rPr>
          <w:bCs/>
        </w:rPr>
      </w:pPr>
    </w:p>
    <w:p w:rsidR="00153A5E" w:rsidRPr="00BC060A" w:rsidP="00153A5E" w14:paraId="61A5CB30" w14:textId="5A2EDA37">
      <w:pPr>
        <w:rPr>
          <w:bCs/>
        </w:rPr>
      </w:pPr>
      <w:r w:rsidRPr="00E16933">
        <w:t xml:space="preserve">MSHA estimates that the </w:t>
      </w:r>
      <w:r>
        <w:t>6</w:t>
      </w:r>
      <w:r w:rsidRPr="00E16933">
        <w:t xml:space="preserve"> respondents (mine operators) would incur, on average, an annual collection burden of </w:t>
      </w:r>
      <w:r w:rsidR="00EF101D">
        <w:t>2,112</w:t>
      </w:r>
      <w:r w:rsidRPr="00E16933">
        <w:t xml:space="preserve"> hours with an associated annual cost of $</w:t>
      </w:r>
      <w:r w:rsidR="00EF101D">
        <w:t>90,733</w:t>
      </w:r>
      <w:r>
        <w:t>.</w:t>
      </w:r>
      <w:r w:rsidRPr="00E16933">
        <w:t xml:space="preserve"> </w:t>
      </w:r>
      <w:bookmarkStart w:id="10" w:name="_Hlk172027024"/>
      <w:r w:rsidRPr="00BC060A">
        <w:t>The annual respondent hour and cost burden i</w:t>
      </w:r>
      <w:r>
        <w:t>s</w:t>
      </w:r>
      <w:r w:rsidRPr="00BC060A">
        <w:t xml:space="preserve"> summarized in </w:t>
      </w:r>
      <w:r w:rsidRPr="00AD607F">
        <w:t>the Summary Totals table below</w:t>
      </w:r>
      <w:r>
        <w:t>.</w:t>
      </w:r>
    </w:p>
    <w:bookmarkEnd w:id="8"/>
    <w:bookmarkEnd w:id="10"/>
    <w:p w:rsidR="00153A5E" w:rsidRPr="00BC060A" w:rsidP="00153A5E" w14:paraId="3070D358" w14:textId="77777777">
      <w:pPr>
        <w:rPr>
          <w:bCs/>
        </w:rPr>
      </w:pPr>
    </w:p>
    <w:p w:rsidR="00560538" w14:paraId="6905B7A8" w14:textId="77777777">
      <w:pPr>
        <w:rPr>
          <w:color w:val="000000"/>
        </w:rPr>
      </w:pPr>
      <w:bookmarkStart w:id="11" w:name="_Hlk114568999"/>
      <w:bookmarkEnd w:id="9"/>
      <w:r>
        <w:rPr>
          <w:color w:val="000000"/>
        </w:rPr>
        <w:br w:type="page"/>
      </w:r>
    </w:p>
    <w:p w:rsidR="00153A5E" w:rsidRPr="002E72F8" w:rsidP="00153A5E" w14:paraId="7368A7D0" w14:textId="5C73FEE0">
      <w:pPr>
        <w:rPr>
          <w:color w:val="000000"/>
        </w:rPr>
      </w:pPr>
      <w:r w:rsidRPr="002E72F8">
        <w:rPr>
          <w:color w:val="000000"/>
        </w:rPr>
        <w:t>Table 12-</w:t>
      </w:r>
      <w:r>
        <w:rPr>
          <w:color w:val="000000"/>
        </w:rPr>
        <w:t>3</w:t>
      </w:r>
      <w:r w:rsidRPr="002E72F8">
        <w:rPr>
          <w:color w:val="000000"/>
        </w:rPr>
        <w:t xml:space="preserve">. </w:t>
      </w:r>
      <w:bookmarkStart w:id="12" w:name="_Hlk167267643"/>
      <w:r w:rsidRPr="002E72F8">
        <w:rPr>
          <w:color w:val="000000"/>
        </w:rPr>
        <w:t>Estimated Annual Respondent Hour and Cost Burden</w:t>
      </w:r>
      <w:bookmarkEnd w:id="12"/>
      <w:r w:rsidRPr="002E72F8">
        <w:rPr>
          <w:color w:val="000000"/>
        </w:rPr>
        <w:t>, Summary Totals</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299A9BE0" w14:textId="77777777" w:rsidTr="002E72F8">
        <w:tblPrEx>
          <w:tblW w:w="9414" w:type="dxa"/>
          <w:tblInd w:w="-5" w:type="dxa"/>
          <w:tblLayout w:type="fixed"/>
          <w:tblLook w:val="04A0"/>
        </w:tblPrEx>
        <w:trPr>
          <w:trHeight w:val="614"/>
        </w:trPr>
        <w:tc>
          <w:tcPr>
            <w:tcW w:w="1620" w:type="dxa"/>
            <w:shd w:val="clear" w:color="auto" w:fill="9CC2E5" w:themeFill="accent1" w:themeFillTint="99"/>
            <w:vAlign w:val="center"/>
          </w:tcPr>
          <w:p w:rsidR="00153A5E" w:rsidRPr="00BC060A" w:rsidP="002E72F8" w14:paraId="10FAD6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0"/>
                <w:szCs w:val="20"/>
              </w:rPr>
            </w:pPr>
            <w:bookmarkStart w:id="13" w:name="_Hlk114568982"/>
            <w:bookmarkEnd w:id="11"/>
            <w:r w:rsidRPr="00BC060A">
              <w:rPr>
                <w:b/>
                <w:bCs/>
                <w:sz w:val="20"/>
                <w:szCs w:val="20"/>
              </w:rPr>
              <w:t>Activity</w:t>
            </w:r>
          </w:p>
        </w:tc>
        <w:tc>
          <w:tcPr>
            <w:tcW w:w="1350" w:type="dxa"/>
            <w:shd w:val="clear" w:color="auto" w:fill="9CC2E5" w:themeFill="accent1" w:themeFillTint="99"/>
            <w:vAlign w:val="center"/>
          </w:tcPr>
          <w:p w:rsidR="00153A5E" w:rsidP="002E72F8" w14:paraId="01FF8F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Number of Respondents</w:t>
            </w:r>
          </w:p>
          <w:p w:rsidR="00153A5E" w:rsidRPr="00BC060A" w:rsidP="002E72F8" w14:paraId="44378F0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p>
        </w:tc>
        <w:tc>
          <w:tcPr>
            <w:tcW w:w="1228" w:type="dxa"/>
            <w:shd w:val="clear" w:color="auto" w:fill="9CC2E5" w:themeFill="accent1" w:themeFillTint="99"/>
            <w:vAlign w:val="center"/>
          </w:tcPr>
          <w:p w:rsidR="00153A5E" w:rsidRPr="00BC060A" w:rsidP="002E72F8" w14:paraId="2277D03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Number of Responses per Respondent</w:t>
            </w:r>
          </w:p>
        </w:tc>
        <w:tc>
          <w:tcPr>
            <w:tcW w:w="1202" w:type="dxa"/>
            <w:shd w:val="clear" w:color="auto" w:fill="9CC2E5" w:themeFill="accent1" w:themeFillTint="99"/>
            <w:vAlign w:val="center"/>
          </w:tcPr>
          <w:p w:rsidR="00153A5E" w:rsidRPr="00BC060A" w:rsidP="002E72F8" w14:paraId="697B03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Total Responses</w:t>
            </w:r>
          </w:p>
        </w:tc>
        <w:tc>
          <w:tcPr>
            <w:tcW w:w="927" w:type="dxa"/>
            <w:shd w:val="clear" w:color="auto" w:fill="9CC2E5" w:themeFill="accent1" w:themeFillTint="99"/>
            <w:vAlign w:val="center"/>
          </w:tcPr>
          <w:p w:rsidR="00153A5E" w:rsidRPr="00BC060A" w:rsidP="002E72F8" w14:paraId="2F3990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Average Burden (Hours)</w:t>
            </w:r>
          </w:p>
        </w:tc>
        <w:tc>
          <w:tcPr>
            <w:tcW w:w="1143" w:type="dxa"/>
            <w:shd w:val="clear" w:color="auto" w:fill="9CC2E5" w:themeFill="accent1" w:themeFillTint="99"/>
            <w:vAlign w:val="center"/>
          </w:tcPr>
          <w:p w:rsidR="00153A5E" w:rsidRPr="00BC060A" w:rsidP="002E72F8" w14:paraId="4E7B02D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Total Burden (Hours)</w:t>
            </w:r>
          </w:p>
        </w:tc>
        <w:tc>
          <w:tcPr>
            <w:tcW w:w="828" w:type="dxa"/>
            <w:shd w:val="clear" w:color="auto" w:fill="9CC2E5" w:themeFill="accent1" w:themeFillTint="99"/>
            <w:vAlign w:val="center"/>
          </w:tcPr>
          <w:p w:rsidR="00153A5E" w:rsidRPr="00BC060A" w:rsidP="002E72F8" w14:paraId="6029956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Hourly Wage Rate</w:t>
            </w:r>
          </w:p>
        </w:tc>
        <w:tc>
          <w:tcPr>
            <w:tcW w:w="1116" w:type="dxa"/>
            <w:shd w:val="clear" w:color="auto" w:fill="9CC2E5" w:themeFill="accent1" w:themeFillTint="99"/>
            <w:vAlign w:val="center"/>
          </w:tcPr>
          <w:p w:rsidR="00153A5E" w:rsidRPr="00BC060A" w:rsidP="002E72F8" w14:paraId="365658D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sz w:val="20"/>
                <w:szCs w:val="20"/>
              </w:rPr>
            </w:pPr>
            <w:r w:rsidRPr="00BC060A">
              <w:rPr>
                <w:b/>
                <w:bCs/>
                <w:sz w:val="20"/>
                <w:szCs w:val="20"/>
              </w:rPr>
              <w:t>Total Burden Cost</w:t>
            </w:r>
          </w:p>
        </w:tc>
      </w:tr>
      <w:tr w14:paraId="0D5E6956" w14:textId="77777777" w:rsidTr="002E72F8">
        <w:tblPrEx>
          <w:tblW w:w="9414" w:type="dxa"/>
          <w:tblInd w:w="-5" w:type="dxa"/>
          <w:tblLayout w:type="fixed"/>
          <w:tblLook w:val="04A0"/>
        </w:tblPrEx>
        <w:trPr>
          <w:trHeight w:val="307"/>
        </w:trPr>
        <w:tc>
          <w:tcPr>
            <w:tcW w:w="1620" w:type="dxa"/>
            <w:vAlign w:val="center"/>
          </w:tcPr>
          <w:p w:rsidR="00153A5E" w:rsidRPr="00BC060A" w:rsidP="00153A5E" w14:paraId="2B5AB891" w14:textId="3E4E510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Pr>
                <w:bCs/>
                <w:sz w:val="20"/>
                <w:szCs w:val="20"/>
              </w:rPr>
              <w:t xml:space="preserve">Daily </w:t>
            </w:r>
            <w:r w:rsidR="00414715">
              <w:rPr>
                <w:bCs/>
                <w:sz w:val="20"/>
                <w:szCs w:val="20"/>
              </w:rPr>
              <w:t>Inspectio</w:t>
            </w:r>
            <w:r>
              <w:rPr>
                <w:bCs/>
                <w:sz w:val="20"/>
                <w:szCs w:val="20"/>
              </w:rPr>
              <w:t>ns</w:t>
            </w:r>
          </w:p>
        </w:tc>
        <w:tc>
          <w:tcPr>
            <w:tcW w:w="1350" w:type="dxa"/>
            <w:vAlign w:val="center"/>
          </w:tcPr>
          <w:p w:rsidR="00153A5E" w:rsidRPr="00BC060A" w:rsidP="00153A5E" w14:paraId="5267647F" w14:textId="0EA6CBF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6</w:t>
            </w:r>
          </w:p>
        </w:tc>
        <w:tc>
          <w:tcPr>
            <w:tcW w:w="1228" w:type="dxa"/>
            <w:vAlign w:val="center"/>
          </w:tcPr>
          <w:p w:rsidR="00153A5E" w:rsidRPr="00BC060A" w:rsidP="00153A5E" w14:paraId="63874376" w14:textId="7CF8A39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660</w:t>
            </w:r>
          </w:p>
        </w:tc>
        <w:tc>
          <w:tcPr>
            <w:tcW w:w="1202" w:type="dxa"/>
            <w:vAlign w:val="center"/>
          </w:tcPr>
          <w:p w:rsidR="00153A5E" w:rsidRPr="00BC060A" w:rsidP="00153A5E" w14:paraId="5733F236" w14:textId="5088A8D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bCs/>
                <w:sz w:val="20"/>
                <w:szCs w:val="20"/>
              </w:rPr>
              <w:t>3.960</w:t>
            </w:r>
          </w:p>
        </w:tc>
        <w:tc>
          <w:tcPr>
            <w:tcW w:w="927" w:type="dxa"/>
            <w:vAlign w:val="center"/>
          </w:tcPr>
          <w:p w:rsidR="00153A5E" w:rsidRPr="00BC060A" w:rsidP="00153A5E" w14:paraId="7EDFF47B" w14:textId="7CF56FA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0.50</w:t>
            </w:r>
          </w:p>
        </w:tc>
        <w:tc>
          <w:tcPr>
            <w:tcW w:w="1143" w:type="dxa"/>
            <w:vAlign w:val="center"/>
          </w:tcPr>
          <w:p w:rsidR="00153A5E" w:rsidRPr="00BC060A" w:rsidP="00153A5E" w14:paraId="70B2FDFA" w14:textId="6BE769F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1,980</w:t>
            </w:r>
            <w:r>
              <w:rPr>
                <w:rFonts w:eastAsiaTheme="minorHAnsi"/>
                <w:bCs/>
                <w:sz w:val="20"/>
                <w:szCs w:val="20"/>
              </w:rPr>
              <w:t>.00</w:t>
            </w:r>
          </w:p>
        </w:tc>
        <w:tc>
          <w:tcPr>
            <w:tcW w:w="828" w:type="dxa"/>
            <w:vAlign w:val="center"/>
          </w:tcPr>
          <w:p w:rsidR="00153A5E" w:rsidRPr="00BC060A" w:rsidP="00153A5E" w14:paraId="1DC66439" w14:textId="5F97054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BC060A">
              <w:rPr>
                <w:rFonts w:eastAsiaTheme="minorHAnsi"/>
                <w:bCs/>
                <w:sz w:val="20"/>
                <w:szCs w:val="20"/>
              </w:rPr>
              <w:t>$</w:t>
            </w:r>
            <w:r>
              <w:rPr>
                <w:rFonts w:eastAsiaTheme="minorHAnsi"/>
                <w:bCs/>
                <w:sz w:val="20"/>
                <w:szCs w:val="20"/>
              </w:rPr>
              <w:t>41.56</w:t>
            </w:r>
          </w:p>
        </w:tc>
        <w:tc>
          <w:tcPr>
            <w:tcW w:w="1116" w:type="dxa"/>
            <w:vAlign w:val="center"/>
          </w:tcPr>
          <w:p w:rsidR="00153A5E" w:rsidRPr="00BC060A" w:rsidP="00153A5E" w14:paraId="5EFF90AF" w14:textId="29130A0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BC060A">
              <w:rPr>
                <w:rFonts w:eastAsiaTheme="minorHAnsi"/>
                <w:bCs/>
                <w:sz w:val="20"/>
                <w:szCs w:val="20"/>
              </w:rPr>
              <w:t>$</w:t>
            </w:r>
            <w:r w:rsidR="00EF101D">
              <w:rPr>
                <w:rFonts w:eastAsiaTheme="minorHAnsi"/>
                <w:bCs/>
                <w:sz w:val="20"/>
                <w:szCs w:val="20"/>
              </w:rPr>
              <w:t>82,288.80</w:t>
            </w:r>
          </w:p>
        </w:tc>
      </w:tr>
      <w:tr w14:paraId="401DE924" w14:textId="77777777" w:rsidTr="002E72F8">
        <w:tblPrEx>
          <w:tblW w:w="9414" w:type="dxa"/>
          <w:tblInd w:w="-5" w:type="dxa"/>
          <w:tblLayout w:type="fixed"/>
          <w:tblLook w:val="04A0"/>
        </w:tblPrEx>
        <w:trPr>
          <w:trHeight w:val="307"/>
        </w:trPr>
        <w:tc>
          <w:tcPr>
            <w:tcW w:w="1620" w:type="dxa"/>
            <w:vAlign w:val="center"/>
          </w:tcPr>
          <w:p w:rsidR="00153A5E" w:rsidRPr="00BC060A" w:rsidP="00153A5E" w14:paraId="79FBC0F6" w14:textId="06ABB6C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Pr>
                <w:bCs/>
                <w:sz w:val="20"/>
                <w:szCs w:val="20"/>
              </w:rPr>
              <w:t>Certifications</w:t>
            </w:r>
          </w:p>
        </w:tc>
        <w:tc>
          <w:tcPr>
            <w:tcW w:w="1350" w:type="dxa"/>
            <w:vAlign w:val="center"/>
          </w:tcPr>
          <w:p w:rsidR="00153A5E" w:rsidRPr="00BC060A" w:rsidP="00153A5E" w14:paraId="4A268A76" w14:textId="016CF29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6</w:t>
            </w:r>
          </w:p>
        </w:tc>
        <w:tc>
          <w:tcPr>
            <w:tcW w:w="1228" w:type="dxa"/>
            <w:vAlign w:val="center"/>
          </w:tcPr>
          <w:p w:rsidR="00153A5E" w:rsidRPr="00BC060A" w:rsidP="00153A5E" w14:paraId="439ABCB0" w14:textId="24EDC13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660</w:t>
            </w:r>
          </w:p>
        </w:tc>
        <w:tc>
          <w:tcPr>
            <w:tcW w:w="1202" w:type="dxa"/>
            <w:vAlign w:val="center"/>
          </w:tcPr>
          <w:p w:rsidR="00153A5E" w:rsidRPr="00BC060A" w:rsidP="00153A5E" w14:paraId="22459464" w14:textId="1E6D00D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3.960</w:t>
            </w:r>
          </w:p>
        </w:tc>
        <w:tc>
          <w:tcPr>
            <w:tcW w:w="927" w:type="dxa"/>
            <w:vAlign w:val="center"/>
          </w:tcPr>
          <w:p w:rsidR="00153A5E" w:rsidRPr="00BC060A" w:rsidP="00153A5E" w14:paraId="625A7BBF" w14:textId="7959563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0.03</w:t>
            </w:r>
          </w:p>
        </w:tc>
        <w:tc>
          <w:tcPr>
            <w:tcW w:w="1143" w:type="dxa"/>
            <w:vAlign w:val="center"/>
          </w:tcPr>
          <w:p w:rsidR="00153A5E" w:rsidRPr="00BC060A" w:rsidP="00153A5E" w14:paraId="444A29CD" w14:textId="18F36A9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rFonts w:eastAsiaTheme="minorHAnsi"/>
                <w:bCs/>
                <w:sz w:val="20"/>
                <w:szCs w:val="20"/>
              </w:rPr>
              <w:t>132</w:t>
            </w:r>
            <w:r>
              <w:rPr>
                <w:rFonts w:eastAsiaTheme="minorHAnsi"/>
                <w:bCs/>
                <w:sz w:val="20"/>
                <w:szCs w:val="20"/>
              </w:rPr>
              <w:t>.00</w:t>
            </w:r>
          </w:p>
        </w:tc>
        <w:tc>
          <w:tcPr>
            <w:tcW w:w="828" w:type="dxa"/>
            <w:vAlign w:val="center"/>
          </w:tcPr>
          <w:p w:rsidR="00153A5E" w:rsidRPr="00BC060A" w:rsidP="00153A5E" w14:paraId="6C326806" w14:textId="3DF467D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BC060A">
              <w:rPr>
                <w:rFonts w:eastAsiaTheme="minorHAnsi"/>
                <w:bCs/>
                <w:sz w:val="20"/>
                <w:szCs w:val="20"/>
              </w:rPr>
              <w:t>$</w:t>
            </w:r>
            <w:r>
              <w:rPr>
                <w:rFonts w:eastAsiaTheme="minorHAnsi"/>
                <w:bCs/>
                <w:sz w:val="20"/>
                <w:szCs w:val="20"/>
              </w:rPr>
              <w:t>63.97</w:t>
            </w:r>
          </w:p>
        </w:tc>
        <w:tc>
          <w:tcPr>
            <w:tcW w:w="1116" w:type="dxa"/>
            <w:vAlign w:val="center"/>
          </w:tcPr>
          <w:p w:rsidR="00153A5E" w:rsidRPr="00BC060A" w:rsidP="00153A5E" w14:paraId="64CDA41D" w14:textId="51B692B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BC060A">
              <w:rPr>
                <w:rFonts w:eastAsiaTheme="minorHAnsi"/>
                <w:bCs/>
                <w:sz w:val="20"/>
                <w:szCs w:val="20"/>
              </w:rPr>
              <w:t>$</w:t>
            </w:r>
            <w:r w:rsidR="00EF101D">
              <w:rPr>
                <w:rFonts w:eastAsiaTheme="minorHAnsi"/>
                <w:bCs/>
                <w:sz w:val="20"/>
                <w:szCs w:val="20"/>
              </w:rPr>
              <w:t>8,444.04</w:t>
            </w:r>
          </w:p>
        </w:tc>
      </w:tr>
      <w:tr w14:paraId="5D8C6E8C" w14:textId="77777777" w:rsidTr="002E72F8">
        <w:tblPrEx>
          <w:tblW w:w="9414" w:type="dxa"/>
          <w:tblInd w:w="-5" w:type="dxa"/>
          <w:tblLayout w:type="fixed"/>
          <w:tblLook w:val="04A0"/>
        </w:tblPrEx>
        <w:trPr>
          <w:trHeight w:val="307"/>
        </w:trPr>
        <w:tc>
          <w:tcPr>
            <w:tcW w:w="1620" w:type="dxa"/>
            <w:shd w:val="clear" w:color="auto" w:fill="auto"/>
            <w:vAlign w:val="center"/>
          </w:tcPr>
          <w:p w:rsidR="00153A5E" w:rsidRPr="00BC060A" w:rsidP="00153A5E" w14:paraId="5685E68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i/>
                <w:iCs/>
                <w:sz w:val="20"/>
                <w:szCs w:val="20"/>
              </w:rPr>
            </w:pPr>
            <w:r w:rsidRPr="00BC060A">
              <w:rPr>
                <w:b/>
                <w:i/>
                <w:iCs/>
                <w:sz w:val="20"/>
                <w:szCs w:val="20"/>
              </w:rPr>
              <w:t>Total (Rounded)</w:t>
            </w:r>
          </w:p>
        </w:tc>
        <w:tc>
          <w:tcPr>
            <w:tcW w:w="1350" w:type="dxa"/>
            <w:shd w:val="clear" w:color="auto" w:fill="auto"/>
            <w:vAlign w:val="center"/>
          </w:tcPr>
          <w:p w:rsidR="00153A5E" w:rsidRPr="00BC060A" w:rsidP="00153A5E" w14:paraId="69EA1B84" w14:textId="66A8DE4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rFonts w:eastAsiaTheme="minorHAnsi"/>
                <w:b/>
                <w:bCs/>
                <w:i/>
                <w:iCs/>
                <w:sz w:val="20"/>
                <w:szCs w:val="20"/>
              </w:rPr>
              <w:t>6</w:t>
            </w:r>
          </w:p>
        </w:tc>
        <w:tc>
          <w:tcPr>
            <w:tcW w:w="1228" w:type="dxa"/>
            <w:shd w:val="clear" w:color="auto" w:fill="000000" w:themeFill="text1"/>
            <w:vAlign w:val="center"/>
          </w:tcPr>
          <w:p w:rsidR="00153A5E" w:rsidRPr="00BC060A" w:rsidP="00153A5E" w14:paraId="552E79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202" w:type="dxa"/>
            <w:shd w:val="clear" w:color="auto" w:fill="auto"/>
            <w:vAlign w:val="center"/>
          </w:tcPr>
          <w:p w:rsidR="00153A5E" w:rsidRPr="00BC060A" w:rsidP="00153A5E" w14:paraId="72FA3E49" w14:textId="48F105D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rFonts w:eastAsiaTheme="minorHAnsi"/>
                <w:b/>
                <w:bCs/>
                <w:i/>
                <w:iCs/>
                <w:sz w:val="20"/>
                <w:szCs w:val="20"/>
              </w:rPr>
              <w:t>3,960</w:t>
            </w:r>
          </w:p>
        </w:tc>
        <w:tc>
          <w:tcPr>
            <w:tcW w:w="927" w:type="dxa"/>
            <w:shd w:val="clear" w:color="auto" w:fill="000000" w:themeFill="text1"/>
            <w:vAlign w:val="center"/>
          </w:tcPr>
          <w:p w:rsidR="00153A5E" w:rsidRPr="00BC060A" w:rsidP="00153A5E" w14:paraId="0534607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143" w:type="dxa"/>
            <w:shd w:val="clear" w:color="auto" w:fill="auto"/>
            <w:vAlign w:val="center"/>
          </w:tcPr>
          <w:p w:rsidR="00153A5E" w:rsidRPr="00BC060A" w:rsidP="00153A5E" w14:paraId="4565AF70" w14:textId="06ACFF0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rFonts w:eastAsiaTheme="minorHAnsi"/>
                <w:b/>
                <w:bCs/>
                <w:i/>
                <w:iCs/>
                <w:sz w:val="20"/>
                <w:szCs w:val="20"/>
              </w:rPr>
              <w:t>2,112</w:t>
            </w:r>
          </w:p>
        </w:tc>
        <w:tc>
          <w:tcPr>
            <w:tcW w:w="828" w:type="dxa"/>
            <w:shd w:val="clear" w:color="auto" w:fill="000000" w:themeFill="text1"/>
            <w:vAlign w:val="center"/>
          </w:tcPr>
          <w:p w:rsidR="00153A5E" w:rsidRPr="00BC060A" w:rsidP="00153A5E" w14:paraId="69083F5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116" w:type="dxa"/>
            <w:vAlign w:val="center"/>
          </w:tcPr>
          <w:p w:rsidR="00153A5E" w:rsidRPr="00BC060A" w:rsidP="00153A5E" w14:paraId="7C72DCC5" w14:textId="4196993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BC060A">
              <w:rPr>
                <w:rFonts w:eastAsiaTheme="minorHAnsi"/>
                <w:b/>
                <w:bCs/>
                <w:i/>
                <w:iCs/>
                <w:sz w:val="20"/>
                <w:szCs w:val="20"/>
              </w:rPr>
              <w:t>$</w:t>
            </w:r>
            <w:r w:rsidR="00EF101D">
              <w:rPr>
                <w:rFonts w:eastAsiaTheme="minorHAnsi"/>
                <w:b/>
                <w:bCs/>
                <w:i/>
                <w:iCs/>
                <w:sz w:val="20"/>
                <w:szCs w:val="20"/>
              </w:rPr>
              <w:t>90,733</w:t>
            </w:r>
          </w:p>
        </w:tc>
      </w:tr>
    </w:tbl>
    <w:p w:rsidR="00367FA6" w:rsidRPr="00AC15D8" w:rsidP="00367FA6" w14:paraId="1775AF8D" w14:textId="2FBF8A0B">
      <w:pPr>
        <w:widowControl w:val="0"/>
        <w:rPr>
          <w:sz w:val="18"/>
          <w:szCs w:val="18"/>
        </w:rPr>
      </w:pPr>
      <w:bookmarkStart w:id="14" w:name="_Hlk181188185"/>
      <w:bookmarkEnd w:id="13"/>
      <w:r w:rsidRPr="007628FE">
        <w:rPr>
          <w:sz w:val="18"/>
          <w:szCs w:val="18"/>
        </w:rPr>
        <w:t>Note:</w:t>
      </w:r>
      <w:r w:rsidRPr="00AC15D8">
        <w:rPr>
          <w:sz w:val="18"/>
          <w:szCs w:val="18"/>
        </w:rPr>
        <w:t xml:space="preserve"> The sum of the number of respondents and responses might not add up to the total reported numbers in the table due to multiple people responding to the same activity.</w:t>
      </w:r>
    </w:p>
    <w:bookmarkEnd w:id="14"/>
    <w:p w:rsidR="00C44F89" w:rsidRPr="0037428D" w14:paraId="304AF3DB" w14:textId="77777777">
      <w:pPr>
        <w:pStyle w:val="Default"/>
        <w:rPr>
          <w:rFonts w:ascii="Times New Roman" w:hAnsi="Times New Roman" w:cs="Times New Roman"/>
          <w:b/>
          <w:color w:val="auto"/>
        </w:rPr>
      </w:pPr>
    </w:p>
    <w:p w:rsidR="00AB7B1F" w:rsidRPr="0037428D" w:rsidP="00AB7B1F" w14:paraId="4679E5CF" w14:textId="77777777">
      <w:pPr>
        <w:rPr>
          <w:b/>
        </w:rPr>
      </w:pPr>
      <w:r w:rsidRPr="0037428D">
        <w:rPr>
          <w:b/>
        </w:rPr>
        <w:t>13. Provide an estimate for the total annual cost burden to respondents or record</w:t>
      </w:r>
      <w:r w:rsidRPr="0037428D" w:rsidR="00AA4F45">
        <w:rPr>
          <w:b/>
        </w:rPr>
        <w:t xml:space="preserve"> </w:t>
      </w:r>
      <w:r w:rsidRPr="0037428D">
        <w:rPr>
          <w:b/>
        </w:rPr>
        <w:t>keepers resulting from the collection of information.</w:t>
      </w:r>
      <w:r w:rsidRPr="0037428D" w:rsidR="003A1CC0">
        <w:rPr>
          <w:b/>
        </w:rPr>
        <w:t xml:space="preserve"> </w:t>
      </w:r>
      <w:r w:rsidRPr="0037428D">
        <w:rPr>
          <w:b/>
        </w:rPr>
        <w:t xml:space="preserve"> (Do not include the cost of any hour burden </w:t>
      </w:r>
      <w:r w:rsidRPr="0037428D" w:rsidR="00AA4F45">
        <w:rPr>
          <w:b/>
        </w:rPr>
        <w:t>already reflected on the burden worksheet</w:t>
      </w:r>
      <w:r w:rsidRPr="0037428D">
        <w:rPr>
          <w:b/>
        </w:rPr>
        <w:t>).</w:t>
      </w:r>
    </w:p>
    <w:p w:rsidR="006F3A1F" w:rsidRPr="0037428D" w:rsidP="00AB7B1F" w14:paraId="26F8DB9F" w14:textId="77777777">
      <w:pPr>
        <w:rPr>
          <w:b/>
        </w:rPr>
      </w:pPr>
    </w:p>
    <w:p w:rsidR="00AB7B1F" w:rsidRPr="0037428D" w:rsidP="006F3A1F" w14:paraId="4D721A74" w14:textId="7BD7F5AD">
      <w:pPr>
        <w:pStyle w:val="ListParagraph"/>
        <w:numPr>
          <w:ilvl w:val="0"/>
          <w:numId w:val="3"/>
        </w:numPr>
        <w:rPr>
          <w:b/>
        </w:rPr>
      </w:pPr>
      <w:r w:rsidRPr="0037428D">
        <w:rPr>
          <w:b/>
        </w:rPr>
        <w:t>The cost estimate should be split into two components: (a) a total capital and start-up cost component (annualized over its expected useful life) and (b) a total operation and maintenance and purchase of services component.</w:t>
      </w:r>
      <w:r w:rsidRPr="0037428D" w:rsidR="003A1CC0">
        <w:rPr>
          <w:b/>
        </w:rPr>
        <w:t xml:space="preserve"> </w:t>
      </w:r>
      <w:r w:rsidRPr="0037428D">
        <w:rPr>
          <w:b/>
        </w:rPr>
        <w:t xml:space="preserve">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95DB3" w:rsidRPr="0037428D" w:rsidP="00F95DB3" w14:paraId="3FD6540B" w14:textId="77777777">
      <w:pPr>
        <w:pStyle w:val="ListParagraph"/>
        <w:rPr>
          <w:b/>
        </w:rPr>
      </w:pPr>
    </w:p>
    <w:p w:rsidR="00AB7B1F" w:rsidRPr="0037428D" w:rsidP="006F3A1F" w14:paraId="2D6DAF54" w14:textId="54EF4FDF">
      <w:pPr>
        <w:pStyle w:val="ListParagraph"/>
        <w:numPr>
          <w:ilvl w:val="0"/>
          <w:numId w:val="3"/>
        </w:numPr>
        <w:rPr>
          <w:b/>
        </w:rPr>
      </w:pPr>
      <w:r w:rsidRPr="0037428D">
        <w:rPr>
          <w:b/>
        </w:rPr>
        <w:t xml:space="preserve">If cost estimates are expected to vary widely, agencies should present ranges of cost burdens and explain the reasons for the variance. </w:t>
      </w:r>
      <w:r w:rsidRPr="0037428D" w:rsidR="003A1CC0">
        <w:rPr>
          <w:b/>
        </w:rPr>
        <w:t xml:space="preserve"> </w:t>
      </w:r>
      <w:r w:rsidRPr="0037428D">
        <w:rPr>
          <w:b/>
        </w:rPr>
        <w:t>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95DB3" w:rsidRPr="0037428D" w:rsidP="00F95DB3" w14:paraId="1BED8D8F" w14:textId="77777777">
      <w:pPr>
        <w:pStyle w:val="ListParagraph"/>
        <w:rPr>
          <w:b/>
        </w:rPr>
      </w:pPr>
    </w:p>
    <w:p w:rsidR="00AB7B1F" w:rsidRPr="0037428D" w:rsidP="006F3A1F" w14:paraId="63EC0587" w14:textId="59805446">
      <w:pPr>
        <w:pStyle w:val="ListParagraph"/>
        <w:numPr>
          <w:ilvl w:val="0"/>
          <w:numId w:val="3"/>
        </w:numPr>
        <w:rPr>
          <w:b/>
        </w:rPr>
      </w:pPr>
      <w:r w:rsidRPr="0037428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1C43" w:rsidRPr="0037428D" w14:paraId="709CE7FA" w14:textId="77777777">
      <w:pPr>
        <w:pStyle w:val="Default"/>
        <w:rPr>
          <w:rFonts w:ascii="Times New Roman" w:hAnsi="Times New Roman" w:cs="Times New Roman"/>
          <w:color w:val="auto"/>
        </w:rPr>
      </w:pPr>
    </w:p>
    <w:p w:rsidR="00935B11" w:rsidRPr="0037428D" w14:paraId="140E7A69" w14:textId="1C3521B6">
      <w:pPr>
        <w:pStyle w:val="Default"/>
        <w:rPr>
          <w:rFonts w:ascii="Times New Roman" w:hAnsi="Times New Roman" w:cs="Times New Roman"/>
          <w:color w:val="auto"/>
        </w:rPr>
      </w:pPr>
      <w:r w:rsidRPr="0037428D">
        <w:rPr>
          <w:rFonts w:ascii="Times New Roman" w:hAnsi="Times New Roman" w:cs="Times New Roman"/>
          <w:color w:val="auto"/>
        </w:rPr>
        <w:t>MSHA</w:t>
      </w:r>
      <w:r w:rsidRPr="0037428D" w:rsidR="00134BFA">
        <w:rPr>
          <w:rFonts w:ascii="Times New Roman" w:hAnsi="Times New Roman" w:cs="Times New Roman"/>
          <w:color w:val="auto"/>
        </w:rPr>
        <w:t xml:space="preserve">’s ventilation division at the </w:t>
      </w:r>
      <w:r w:rsidRPr="0037428D" w:rsidR="00134BFA">
        <w:rPr>
          <w:rFonts w:ascii="Times New Roman" w:hAnsi="Times New Roman" w:cs="Times New Roman"/>
          <w:iCs/>
          <w:color w:val="auto"/>
          <w:shd w:val="clear" w:color="auto" w:fill="FFFFFF"/>
        </w:rPr>
        <w:t>Pittsburgh Safety and Health Technology Center</w:t>
      </w:r>
      <w:r w:rsidRPr="0037428D" w:rsidR="00134BFA">
        <w:rPr>
          <w:rFonts w:ascii="Times New Roman" w:hAnsi="Times New Roman" w:cs="Times New Roman"/>
          <w:color w:val="auto"/>
        </w:rPr>
        <w:t xml:space="preserve"> </w:t>
      </w:r>
      <w:r w:rsidRPr="0037428D">
        <w:rPr>
          <w:rFonts w:ascii="Times New Roman" w:hAnsi="Times New Roman" w:cs="Times New Roman"/>
          <w:color w:val="auto"/>
        </w:rPr>
        <w:t>estimates the average cost of a pressure-recording system to be $</w:t>
      </w:r>
      <w:r w:rsidRPr="0037428D" w:rsidR="00D65B43">
        <w:rPr>
          <w:rFonts w:ascii="Times New Roman" w:hAnsi="Times New Roman" w:cs="Times New Roman"/>
          <w:color w:val="auto"/>
        </w:rPr>
        <w:t>2,500</w:t>
      </w:r>
      <w:r w:rsidRPr="0037428D" w:rsidR="00797818">
        <w:rPr>
          <w:rFonts w:ascii="Times New Roman" w:hAnsi="Times New Roman" w:cs="Times New Roman"/>
          <w:color w:val="auto"/>
        </w:rPr>
        <w:t>.00</w:t>
      </w:r>
      <w:r w:rsidRPr="0037428D">
        <w:rPr>
          <w:rFonts w:ascii="Times New Roman" w:hAnsi="Times New Roman" w:cs="Times New Roman"/>
          <w:color w:val="auto"/>
        </w:rPr>
        <w:t xml:space="preserve"> per system</w:t>
      </w:r>
      <w:r w:rsidRPr="0037428D">
        <w:rPr>
          <w:rFonts w:ascii="Times New Roman" w:hAnsi="Times New Roman" w:cs="Times New Roman"/>
          <w:color w:val="auto"/>
        </w:rPr>
        <w:t xml:space="preserve"> with a service</w:t>
      </w:r>
      <w:r w:rsidRPr="0037428D">
        <w:rPr>
          <w:rFonts w:ascii="Times New Roman" w:hAnsi="Times New Roman" w:cs="Times New Roman"/>
          <w:color w:val="auto"/>
        </w:rPr>
        <w:t xml:space="preserve"> life of 10 years</w:t>
      </w:r>
      <w:r w:rsidRPr="0037428D">
        <w:rPr>
          <w:rFonts w:ascii="Times New Roman" w:hAnsi="Times New Roman" w:cs="Times New Roman"/>
          <w:color w:val="auto"/>
        </w:rPr>
        <w:t>. MSHA estimates that 10</w:t>
      </w:r>
      <w:r w:rsidRPr="0037428D" w:rsidR="0072766D">
        <w:rPr>
          <w:rFonts w:ascii="Times New Roman" w:hAnsi="Times New Roman" w:cs="Times New Roman"/>
          <w:color w:val="auto"/>
        </w:rPr>
        <w:t xml:space="preserve"> </w:t>
      </w:r>
      <w:r w:rsidRPr="0037428D" w:rsidR="00F44AAA">
        <w:rPr>
          <w:rFonts w:ascii="Times New Roman" w:hAnsi="Times New Roman" w:cs="Times New Roman"/>
          <w:color w:val="auto"/>
        </w:rPr>
        <w:t>percent</w:t>
      </w:r>
      <w:r w:rsidRPr="0037428D">
        <w:rPr>
          <w:rFonts w:ascii="Times New Roman" w:hAnsi="Times New Roman" w:cs="Times New Roman"/>
          <w:color w:val="auto"/>
        </w:rPr>
        <w:t xml:space="preserve"> of the </w:t>
      </w:r>
      <w:r w:rsidRPr="0037428D" w:rsidR="00830FBC">
        <w:rPr>
          <w:rFonts w:ascii="Times New Roman" w:hAnsi="Times New Roman" w:cs="Times New Roman"/>
          <w:color w:val="auto"/>
        </w:rPr>
        <w:t xml:space="preserve">12 </w:t>
      </w:r>
      <w:r w:rsidRPr="0037428D">
        <w:rPr>
          <w:rFonts w:ascii="Times New Roman" w:hAnsi="Times New Roman" w:cs="Times New Roman"/>
          <w:color w:val="auto"/>
        </w:rPr>
        <w:t>pressure recorders in use will be replaced each year.</w:t>
      </w:r>
      <w:r w:rsidRPr="0037428D" w:rsidR="003A1CC0">
        <w:rPr>
          <w:rFonts w:ascii="Times New Roman" w:hAnsi="Times New Roman" w:cs="Times New Roman"/>
          <w:color w:val="auto"/>
        </w:rPr>
        <w:t xml:space="preserve"> </w:t>
      </w:r>
      <w:r w:rsidRPr="0037428D">
        <w:rPr>
          <w:rFonts w:ascii="Times New Roman" w:hAnsi="Times New Roman" w:cs="Times New Roman"/>
          <w:color w:val="auto"/>
        </w:rPr>
        <w:t>T</w:t>
      </w:r>
      <w:r w:rsidRPr="0037428D">
        <w:rPr>
          <w:rFonts w:ascii="Times New Roman" w:hAnsi="Times New Roman" w:cs="Times New Roman"/>
          <w:color w:val="auto"/>
        </w:rPr>
        <w:t xml:space="preserve">he </w:t>
      </w:r>
      <w:r w:rsidRPr="0037428D" w:rsidR="00482430">
        <w:rPr>
          <w:rFonts w:ascii="Times New Roman" w:hAnsi="Times New Roman" w:cs="Times New Roman"/>
          <w:color w:val="auto"/>
        </w:rPr>
        <w:t>a</w:t>
      </w:r>
      <w:r w:rsidRPr="0037428D">
        <w:rPr>
          <w:rFonts w:ascii="Times New Roman" w:hAnsi="Times New Roman" w:cs="Times New Roman"/>
          <w:color w:val="auto"/>
        </w:rPr>
        <w:t xml:space="preserve">nnual maintenance costs are estimated to be approximately </w:t>
      </w:r>
      <w:r w:rsidRPr="0037428D" w:rsidR="00482430">
        <w:rPr>
          <w:rFonts w:ascii="Times New Roman" w:hAnsi="Times New Roman" w:cs="Times New Roman"/>
          <w:color w:val="auto"/>
        </w:rPr>
        <w:t>$</w:t>
      </w:r>
      <w:r w:rsidRPr="0037428D" w:rsidR="00D65B43">
        <w:rPr>
          <w:rFonts w:ascii="Times New Roman" w:hAnsi="Times New Roman" w:cs="Times New Roman"/>
          <w:color w:val="auto"/>
        </w:rPr>
        <w:t>250</w:t>
      </w:r>
      <w:r w:rsidRPr="0037428D" w:rsidR="00797818">
        <w:rPr>
          <w:rFonts w:ascii="Times New Roman" w:hAnsi="Times New Roman" w:cs="Times New Roman"/>
          <w:color w:val="auto"/>
        </w:rPr>
        <w:t>.00</w:t>
      </w:r>
      <w:r w:rsidRPr="0037428D" w:rsidR="00D65B43">
        <w:rPr>
          <w:rFonts w:ascii="Times New Roman" w:hAnsi="Times New Roman" w:cs="Times New Roman"/>
          <w:color w:val="auto"/>
        </w:rPr>
        <w:t xml:space="preserve"> </w:t>
      </w:r>
      <w:r w:rsidRPr="0037428D" w:rsidR="00482430">
        <w:rPr>
          <w:rFonts w:ascii="Times New Roman" w:hAnsi="Times New Roman" w:cs="Times New Roman"/>
          <w:color w:val="auto"/>
        </w:rPr>
        <w:t>per system (</w:t>
      </w:r>
      <w:r w:rsidRPr="0037428D">
        <w:rPr>
          <w:rFonts w:ascii="Times New Roman" w:hAnsi="Times New Roman" w:cs="Times New Roman"/>
          <w:color w:val="auto"/>
        </w:rPr>
        <w:t>10</w:t>
      </w:r>
      <w:r w:rsidRPr="0037428D" w:rsidR="003F452A">
        <w:rPr>
          <w:rFonts w:ascii="Times New Roman" w:hAnsi="Times New Roman" w:cs="Times New Roman"/>
          <w:color w:val="auto"/>
        </w:rPr>
        <w:t xml:space="preserve"> </w:t>
      </w:r>
      <w:r w:rsidRPr="0037428D" w:rsidR="00F44AAA">
        <w:rPr>
          <w:rFonts w:ascii="Times New Roman" w:hAnsi="Times New Roman" w:cs="Times New Roman"/>
          <w:color w:val="auto"/>
        </w:rPr>
        <w:t>percent</w:t>
      </w:r>
      <w:r w:rsidRPr="0037428D">
        <w:rPr>
          <w:rFonts w:ascii="Times New Roman" w:hAnsi="Times New Roman" w:cs="Times New Roman"/>
          <w:color w:val="auto"/>
        </w:rPr>
        <w:t xml:space="preserve"> of the average cost of the system</w:t>
      </w:r>
      <w:r w:rsidRPr="0037428D" w:rsidR="00482430">
        <w:rPr>
          <w:rFonts w:ascii="Times New Roman" w:hAnsi="Times New Roman" w:cs="Times New Roman"/>
          <w:color w:val="auto"/>
        </w:rPr>
        <w:t>).</w:t>
      </w:r>
    </w:p>
    <w:p w:rsidR="00312682" w:rsidP="00312682" w14:paraId="2EDF6F8A"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C30CC9" w:rsidRPr="007628FE" w:rsidP="00C30CC9" w14:paraId="2D1B918A" w14:textId="1D41718F">
      <w:pPr>
        <w:rPr>
          <w:color w:val="000000"/>
        </w:rPr>
      </w:pPr>
      <w:bookmarkStart w:id="15" w:name="_Hlk114570323"/>
      <w:r w:rsidRPr="00C30CC9">
        <w:rPr>
          <w:color w:val="000000"/>
        </w:rPr>
        <w:t>Table 13-1 Estimated Annual Respondent or Recordkeeper Cost Burden, Capital and Maintenance Costs, 30 CFR 57.22204</w:t>
      </w:r>
    </w:p>
    <w:tbl>
      <w:tblPr>
        <w:tblStyle w:val="TableGrid"/>
        <w:tblW w:w="9355" w:type="dxa"/>
        <w:tblLook w:val="04A0"/>
      </w:tblPr>
      <w:tblGrid>
        <w:gridCol w:w="1705"/>
        <w:gridCol w:w="2070"/>
        <w:gridCol w:w="2430"/>
        <w:gridCol w:w="3150"/>
      </w:tblGrid>
      <w:tr w14:paraId="57CD7AF0" w14:textId="77777777" w:rsidTr="002E72F8">
        <w:tblPrEx>
          <w:tblW w:w="9355" w:type="dxa"/>
          <w:tblLook w:val="04A0"/>
        </w:tblPrEx>
        <w:trPr>
          <w:trHeight w:val="615"/>
        </w:trPr>
        <w:tc>
          <w:tcPr>
            <w:tcW w:w="1705" w:type="dxa"/>
            <w:shd w:val="clear" w:color="auto" w:fill="9CC2E5" w:themeFill="accent1" w:themeFillTint="99"/>
            <w:vAlign w:val="center"/>
            <w:hideMark/>
          </w:tcPr>
          <w:p w:rsidR="00C30CC9" w:rsidRPr="00BC060A" w:rsidP="002E72F8" w14:paraId="15AB2145" w14:textId="77777777">
            <w:pPr>
              <w:rPr>
                <w:rFonts w:eastAsiaTheme="minorHAnsi"/>
                <w:b/>
                <w:bCs/>
                <w:sz w:val="20"/>
                <w:szCs w:val="20"/>
              </w:rPr>
            </w:pPr>
            <w:bookmarkStart w:id="16" w:name="_Hlk114570317"/>
            <w:bookmarkEnd w:id="15"/>
            <w:r w:rsidRPr="00BC060A">
              <w:rPr>
                <w:rFonts w:eastAsiaTheme="minorHAnsi"/>
                <w:b/>
                <w:bCs/>
                <w:sz w:val="20"/>
                <w:szCs w:val="20"/>
              </w:rPr>
              <w:t>Cost Component</w:t>
            </w:r>
          </w:p>
        </w:tc>
        <w:tc>
          <w:tcPr>
            <w:tcW w:w="2070" w:type="dxa"/>
            <w:shd w:val="clear" w:color="auto" w:fill="9CC2E5" w:themeFill="accent1" w:themeFillTint="99"/>
            <w:vAlign w:val="center"/>
            <w:hideMark/>
          </w:tcPr>
          <w:p w:rsidR="00C30CC9" w:rsidRPr="00BC060A" w:rsidP="002E72F8" w14:paraId="61280824" w14:textId="0ED36764">
            <w:pPr>
              <w:jc w:val="center"/>
              <w:rPr>
                <w:rFonts w:eastAsiaTheme="minorHAnsi"/>
                <w:b/>
                <w:bCs/>
                <w:sz w:val="20"/>
                <w:szCs w:val="20"/>
              </w:rPr>
            </w:pPr>
            <w:r w:rsidRPr="00BC060A">
              <w:rPr>
                <w:rFonts w:eastAsiaTheme="minorHAnsi"/>
                <w:b/>
                <w:bCs/>
                <w:sz w:val="20"/>
                <w:szCs w:val="20"/>
              </w:rPr>
              <w:t xml:space="preserve">Number of </w:t>
            </w:r>
            <w:r>
              <w:rPr>
                <w:rFonts w:eastAsiaTheme="minorHAnsi"/>
                <w:b/>
                <w:bCs/>
                <w:sz w:val="20"/>
                <w:szCs w:val="20"/>
              </w:rPr>
              <w:t>Fans</w:t>
            </w:r>
          </w:p>
        </w:tc>
        <w:tc>
          <w:tcPr>
            <w:tcW w:w="2430" w:type="dxa"/>
            <w:shd w:val="clear" w:color="auto" w:fill="9CC2E5" w:themeFill="accent1" w:themeFillTint="99"/>
            <w:vAlign w:val="center"/>
          </w:tcPr>
          <w:p w:rsidR="00C30CC9" w:rsidRPr="00BC060A" w:rsidP="002E72F8" w14:paraId="57CD3022" w14:textId="39CA9E0E">
            <w:pPr>
              <w:jc w:val="center"/>
              <w:rPr>
                <w:rFonts w:eastAsiaTheme="minorHAnsi"/>
                <w:b/>
                <w:bCs/>
                <w:sz w:val="20"/>
                <w:szCs w:val="20"/>
              </w:rPr>
            </w:pPr>
            <w:r>
              <w:rPr>
                <w:rFonts w:eastAsiaTheme="minorHAnsi"/>
                <w:b/>
                <w:bCs/>
                <w:sz w:val="20"/>
                <w:szCs w:val="20"/>
              </w:rPr>
              <w:t>Cost per Fan</w:t>
            </w:r>
          </w:p>
        </w:tc>
        <w:tc>
          <w:tcPr>
            <w:tcW w:w="3150" w:type="dxa"/>
            <w:shd w:val="clear" w:color="auto" w:fill="9CC2E5" w:themeFill="accent1" w:themeFillTint="99"/>
            <w:vAlign w:val="center"/>
            <w:hideMark/>
          </w:tcPr>
          <w:p w:rsidR="00C30CC9" w:rsidRPr="00BC060A" w:rsidP="002E72F8" w14:paraId="75BC6722" w14:textId="77777777">
            <w:pPr>
              <w:jc w:val="center"/>
              <w:rPr>
                <w:rFonts w:eastAsiaTheme="minorHAnsi"/>
                <w:b/>
                <w:bCs/>
                <w:sz w:val="20"/>
                <w:szCs w:val="20"/>
              </w:rPr>
            </w:pPr>
            <w:r w:rsidRPr="00BC060A">
              <w:rPr>
                <w:rFonts w:eastAsiaTheme="minorHAnsi"/>
                <w:b/>
                <w:bCs/>
                <w:sz w:val="20"/>
                <w:szCs w:val="20"/>
              </w:rPr>
              <w:t>Cost to Recordkeepers</w:t>
            </w:r>
          </w:p>
        </w:tc>
      </w:tr>
      <w:tr w14:paraId="0786C571" w14:textId="77777777" w:rsidTr="002E72F8">
        <w:tblPrEx>
          <w:tblW w:w="9355" w:type="dxa"/>
          <w:tblLook w:val="04A0"/>
        </w:tblPrEx>
        <w:trPr>
          <w:trHeight w:val="300"/>
        </w:trPr>
        <w:tc>
          <w:tcPr>
            <w:tcW w:w="1705" w:type="dxa"/>
            <w:noWrap/>
            <w:vAlign w:val="center"/>
            <w:hideMark/>
          </w:tcPr>
          <w:p w:rsidR="00C30CC9" w:rsidRPr="00BC060A" w:rsidP="002E72F8" w14:paraId="00F21F22" w14:textId="6AD6802D">
            <w:pPr>
              <w:rPr>
                <w:rFonts w:eastAsiaTheme="minorHAnsi"/>
                <w:bCs/>
                <w:sz w:val="20"/>
                <w:szCs w:val="20"/>
              </w:rPr>
            </w:pPr>
            <w:r>
              <w:rPr>
                <w:rFonts w:eastAsiaTheme="minorHAnsi"/>
                <w:bCs/>
                <w:sz w:val="20"/>
                <w:szCs w:val="20"/>
              </w:rPr>
              <w:t>Replacement Costs</w:t>
            </w:r>
          </w:p>
        </w:tc>
        <w:tc>
          <w:tcPr>
            <w:tcW w:w="2070" w:type="dxa"/>
            <w:noWrap/>
            <w:vAlign w:val="center"/>
          </w:tcPr>
          <w:p w:rsidR="00C30CC9" w:rsidRPr="00BC060A" w:rsidP="002E72F8" w14:paraId="63A11BF0" w14:textId="4B90440E">
            <w:pPr>
              <w:jc w:val="center"/>
              <w:rPr>
                <w:rFonts w:eastAsiaTheme="minorHAnsi"/>
                <w:bCs/>
                <w:sz w:val="20"/>
                <w:szCs w:val="20"/>
              </w:rPr>
            </w:pPr>
            <w:r>
              <w:rPr>
                <w:rFonts w:eastAsiaTheme="minorHAnsi"/>
                <w:bCs/>
                <w:sz w:val="20"/>
                <w:szCs w:val="20"/>
              </w:rPr>
              <w:t>1.2</w:t>
            </w:r>
          </w:p>
        </w:tc>
        <w:tc>
          <w:tcPr>
            <w:tcW w:w="2430" w:type="dxa"/>
            <w:vAlign w:val="center"/>
          </w:tcPr>
          <w:p w:rsidR="00C30CC9" w:rsidRPr="00BC060A" w:rsidP="002E72F8" w14:paraId="36B9B60F" w14:textId="4AB04B10">
            <w:pPr>
              <w:jc w:val="center"/>
              <w:rPr>
                <w:rFonts w:eastAsiaTheme="minorHAnsi"/>
                <w:bCs/>
                <w:sz w:val="20"/>
                <w:szCs w:val="20"/>
              </w:rPr>
            </w:pPr>
            <w:r>
              <w:rPr>
                <w:rFonts w:eastAsiaTheme="minorHAnsi"/>
                <w:bCs/>
                <w:sz w:val="20"/>
                <w:szCs w:val="20"/>
              </w:rPr>
              <w:t>$2,500.00</w:t>
            </w:r>
          </w:p>
        </w:tc>
        <w:tc>
          <w:tcPr>
            <w:tcW w:w="3150" w:type="dxa"/>
            <w:noWrap/>
            <w:vAlign w:val="center"/>
          </w:tcPr>
          <w:p w:rsidR="00C30CC9" w:rsidRPr="00BC060A" w:rsidP="002E72F8" w14:paraId="0D8A23A9" w14:textId="52C3D559">
            <w:pPr>
              <w:jc w:val="center"/>
              <w:rPr>
                <w:rFonts w:eastAsiaTheme="minorHAnsi"/>
                <w:bCs/>
                <w:sz w:val="20"/>
                <w:szCs w:val="20"/>
              </w:rPr>
            </w:pPr>
            <w:r w:rsidRPr="00BC060A">
              <w:rPr>
                <w:rFonts w:eastAsiaTheme="minorHAnsi"/>
                <w:bCs/>
                <w:sz w:val="20"/>
                <w:szCs w:val="20"/>
              </w:rPr>
              <w:t>$</w:t>
            </w:r>
            <w:r>
              <w:rPr>
                <w:rFonts w:eastAsiaTheme="minorHAnsi"/>
                <w:bCs/>
                <w:sz w:val="20"/>
                <w:szCs w:val="20"/>
              </w:rPr>
              <w:t>3,000.00</w:t>
            </w:r>
          </w:p>
        </w:tc>
      </w:tr>
      <w:tr w14:paraId="0573E602" w14:textId="77777777" w:rsidTr="002E72F8">
        <w:tblPrEx>
          <w:tblW w:w="9355" w:type="dxa"/>
          <w:tblLook w:val="04A0"/>
        </w:tblPrEx>
        <w:trPr>
          <w:trHeight w:val="300"/>
        </w:trPr>
        <w:tc>
          <w:tcPr>
            <w:tcW w:w="1705" w:type="dxa"/>
            <w:noWrap/>
            <w:vAlign w:val="center"/>
            <w:hideMark/>
          </w:tcPr>
          <w:p w:rsidR="00C30CC9" w:rsidRPr="00BC060A" w:rsidP="002E72F8" w14:paraId="5851389F" w14:textId="356709D8">
            <w:pPr>
              <w:rPr>
                <w:rFonts w:eastAsiaTheme="minorHAnsi"/>
                <w:bCs/>
                <w:sz w:val="20"/>
                <w:szCs w:val="20"/>
              </w:rPr>
            </w:pPr>
            <w:r>
              <w:rPr>
                <w:rFonts w:eastAsiaTheme="minorHAnsi"/>
                <w:bCs/>
                <w:sz w:val="20"/>
                <w:szCs w:val="20"/>
              </w:rPr>
              <w:t>Maintenance Costs</w:t>
            </w:r>
          </w:p>
        </w:tc>
        <w:tc>
          <w:tcPr>
            <w:tcW w:w="2070" w:type="dxa"/>
            <w:noWrap/>
            <w:vAlign w:val="center"/>
          </w:tcPr>
          <w:p w:rsidR="00C30CC9" w:rsidRPr="00BC060A" w:rsidP="002E72F8" w14:paraId="3EF60AEC" w14:textId="1A20CDD8">
            <w:pPr>
              <w:jc w:val="center"/>
              <w:rPr>
                <w:rFonts w:eastAsiaTheme="minorHAnsi"/>
                <w:bCs/>
                <w:sz w:val="20"/>
                <w:szCs w:val="20"/>
              </w:rPr>
            </w:pPr>
            <w:r>
              <w:rPr>
                <w:rFonts w:eastAsiaTheme="minorHAnsi"/>
                <w:bCs/>
                <w:sz w:val="20"/>
                <w:szCs w:val="20"/>
              </w:rPr>
              <w:t>12</w:t>
            </w:r>
          </w:p>
        </w:tc>
        <w:tc>
          <w:tcPr>
            <w:tcW w:w="2430" w:type="dxa"/>
            <w:vAlign w:val="center"/>
          </w:tcPr>
          <w:p w:rsidR="00C30CC9" w:rsidRPr="00BC060A" w:rsidP="002E72F8" w14:paraId="000DCD70" w14:textId="5793D33A">
            <w:pPr>
              <w:jc w:val="center"/>
              <w:rPr>
                <w:rFonts w:eastAsiaTheme="minorHAnsi"/>
                <w:bCs/>
                <w:sz w:val="20"/>
                <w:szCs w:val="20"/>
              </w:rPr>
            </w:pPr>
            <w:r>
              <w:rPr>
                <w:rFonts w:eastAsiaTheme="minorHAnsi"/>
                <w:bCs/>
                <w:sz w:val="20"/>
                <w:szCs w:val="20"/>
              </w:rPr>
              <w:t>$250.00</w:t>
            </w:r>
          </w:p>
        </w:tc>
        <w:tc>
          <w:tcPr>
            <w:tcW w:w="3150" w:type="dxa"/>
            <w:noWrap/>
            <w:vAlign w:val="center"/>
          </w:tcPr>
          <w:p w:rsidR="00C30CC9" w:rsidRPr="00BC060A" w:rsidP="002E72F8" w14:paraId="2C8F0307" w14:textId="1182141F">
            <w:pPr>
              <w:jc w:val="center"/>
              <w:rPr>
                <w:rFonts w:eastAsiaTheme="minorHAnsi"/>
                <w:bCs/>
                <w:sz w:val="20"/>
                <w:szCs w:val="20"/>
              </w:rPr>
            </w:pPr>
            <w:r w:rsidRPr="00BC060A">
              <w:rPr>
                <w:rFonts w:eastAsiaTheme="minorHAnsi"/>
                <w:bCs/>
                <w:sz w:val="20"/>
                <w:szCs w:val="20"/>
              </w:rPr>
              <w:t>$</w:t>
            </w:r>
            <w:r w:rsidR="00C42D78">
              <w:rPr>
                <w:rFonts w:eastAsiaTheme="minorHAnsi"/>
                <w:bCs/>
                <w:sz w:val="20"/>
                <w:szCs w:val="20"/>
              </w:rPr>
              <w:t>3,000.00</w:t>
            </w:r>
          </w:p>
        </w:tc>
      </w:tr>
      <w:tr w14:paraId="2C251315" w14:textId="77777777" w:rsidTr="002E72F8">
        <w:tblPrEx>
          <w:tblW w:w="9355" w:type="dxa"/>
          <w:tblLook w:val="04A0"/>
        </w:tblPrEx>
        <w:trPr>
          <w:trHeight w:val="300"/>
        </w:trPr>
        <w:tc>
          <w:tcPr>
            <w:tcW w:w="1705" w:type="dxa"/>
            <w:noWrap/>
            <w:vAlign w:val="center"/>
            <w:hideMark/>
          </w:tcPr>
          <w:p w:rsidR="00C30CC9" w:rsidRPr="00BC060A" w:rsidP="002E72F8" w14:paraId="4A4BA042" w14:textId="77777777">
            <w:pPr>
              <w:rPr>
                <w:rFonts w:eastAsiaTheme="minorHAnsi"/>
                <w:b/>
                <w:bCs/>
                <w:i/>
                <w:iCs/>
                <w:sz w:val="20"/>
                <w:szCs w:val="20"/>
              </w:rPr>
            </w:pPr>
            <w:r w:rsidRPr="00BC060A">
              <w:rPr>
                <w:rFonts w:eastAsiaTheme="minorHAnsi"/>
                <w:b/>
                <w:bCs/>
                <w:i/>
                <w:iCs/>
                <w:sz w:val="20"/>
                <w:szCs w:val="20"/>
              </w:rPr>
              <w:t>Total (Rounded)</w:t>
            </w:r>
          </w:p>
        </w:tc>
        <w:tc>
          <w:tcPr>
            <w:tcW w:w="2070" w:type="dxa"/>
            <w:vAlign w:val="center"/>
          </w:tcPr>
          <w:p w:rsidR="00C30CC9" w:rsidRPr="00BC060A" w:rsidP="002E72F8" w14:paraId="524FF365" w14:textId="4EB6F065">
            <w:pPr>
              <w:jc w:val="center"/>
              <w:rPr>
                <w:rFonts w:eastAsiaTheme="minorHAnsi"/>
                <w:b/>
                <w:sz w:val="20"/>
                <w:szCs w:val="20"/>
              </w:rPr>
            </w:pPr>
            <w:r>
              <w:rPr>
                <w:rFonts w:eastAsiaTheme="minorHAnsi"/>
                <w:b/>
                <w:sz w:val="20"/>
                <w:szCs w:val="20"/>
              </w:rPr>
              <w:t>12</w:t>
            </w:r>
          </w:p>
        </w:tc>
        <w:tc>
          <w:tcPr>
            <w:tcW w:w="2430" w:type="dxa"/>
            <w:shd w:val="clear" w:color="auto" w:fill="000000" w:themeFill="text1"/>
            <w:vAlign w:val="center"/>
          </w:tcPr>
          <w:p w:rsidR="00C30CC9" w:rsidRPr="00BC060A" w:rsidP="002E72F8" w14:paraId="6039475A" w14:textId="77777777">
            <w:pPr>
              <w:jc w:val="center"/>
              <w:rPr>
                <w:rFonts w:eastAsiaTheme="minorHAnsi"/>
                <w:bCs/>
                <w:sz w:val="20"/>
                <w:szCs w:val="20"/>
              </w:rPr>
            </w:pPr>
          </w:p>
        </w:tc>
        <w:tc>
          <w:tcPr>
            <w:tcW w:w="3150" w:type="dxa"/>
            <w:noWrap/>
            <w:vAlign w:val="center"/>
          </w:tcPr>
          <w:p w:rsidR="00C30CC9" w:rsidRPr="00BC060A" w:rsidP="002E72F8" w14:paraId="1073237C" w14:textId="6D9E051A">
            <w:pPr>
              <w:jc w:val="center"/>
              <w:rPr>
                <w:rFonts w:eastAsiaTheme="minorHAnsi"/>
                <w:b/>
                <w:bCs/>
                <w:sz w:val="20"/>
                <w:szCs w:val="20"/>
              </w:rPr>
            </w:pPr>
            <w:r w:rsidRPr="00BC060A">
              <w:rPr>
                <w:rFonts w:eastAsiaTheme="minorHAnsi"/>
                <w:b/>
                <w:bCs/>
                <w:sz w:val="20"/>
                <w:szCs w:val="20"/>
              </w:rPr>
              <w:t>$</w:t>
            </w:r>
            <w:r w:rsidR="00C42D78">
              <w:rPr>
                <w:rFonts w:eastAsiaTheme="minorHAnsi"/>
                <w:b/>
                <w:bCs/>
                <w:sz w:val="20"/>
                <w:szCs w:val="20"/>
              </w:rPr>
              <w:t>6,000</w:t>
            </w:r>
          </w:p>
        </w:tc>
      </w:tr>
      <w:bookmarkEnd w:id="16"/>
    </w:tbl>
    <w:p w:rsidR="00312682" w:rsidRPr="0037428D" w:rsidP="00312682" w14:paraId="072348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3A1C43" w:rsidRPr="0037428D" w14:paraId="61EABFEB" w14:textId="107BC111">
      <w:pPr>
        <w:pStyle w:val="Default"/>
        <w:rPr>
          <w:rFonts w:ascii="Times New Roman" w:hAnsi="Times New Roman" w:cs="Times New Roman"/>
          <w:color w:val="auto"/>
        </w:rPr>
      </w:pPr>
      <w:r w:rsidRPr="0037428D">
        <w:rPr>
          <w:rFonts w:ascii="Times New Roman" w:hAnsi="Times New Roman" w:cs="Times New Roman"/>
          <w:b/>
          <w:bCs/>
          <w:color w:val="auto"/>
        </w:rPr>
        <w:t xml:space="preserve"> </w:t>
      </w:r>
    </w:p>
    <w:p w:rsidR="00AB7B1F" w:rsidRPr="0037428D" w:rsidP="00AB7B1F" w14:paraId="05D184FF" w14:textId="77777777">
      <w:pPr>
        <w:rPr>
          <w:b/>
        </w:rPr>
      </w:pPr>
      <w:r w:rsidRPr="0037428D">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A1C43" w:rsidRPr="0037428D" w14:paraId="51E7F052" w14:textId="77777777">
      <w:pPr>
        <w:pStyle w:val="Default"/>
        <w:rPr>
          <w:rFonts w:ascii="Times New Roman" w:hAnsi="Times New Roman" w:cs="Times New Roman"/>
          <w:color w:val="auto"/>
        </w:rPr>
      </w:pPr>
    </w:p>
    <w:p w:rsidR="00916ADB" w:rsidRPr="0037428D" w14:paraId="2F0C56FD" w14:textId="30D791A3">
      <w:pPr>
        <w:pStyle w:val="Default"/>
        <w:rPr>
          <w:rFonts w:ascii="Times New Roman" w:hAnsi="Times New Roman" w:cs="Times New Roman"/>
          <w:color w:val="auto"/>
        </w:rPr>
      </w:pPr>
      <w:r>
        <w:rPr>
          <w:rFonts w:ascii="Times New Roman" w:hAnsi="Times New Roman" w:cs="Times New Roman"/>
          <w:color w:val="auto"/>
        </w:rPr>
        <w:t xml:space="preserve">There are no Federal costs associated with this </w:t>
      </w:r>
      <w:r w:rsidR="00415C63">
        <w:rPr>
          <w:rFonts w:ascii="Times New Roman" w:hAnsi="Times New Roman" w:cs="Times New Roman"/>
          <w:color w:val="auto"/>
        </w:rPr>
        <w:t>ICR</w:t>
      </w:r>
      <w:r>
        <w:rPr>
          <w:rFonts w:ascii="Times New Roman" w:hAnsi="Times New Roman" w:cs="Times New Roman"/>
          <w:color w:val="auto"/>
        </w:rPr>
        <w:t>.</w:t>
      </w:r>
      <w:r>
        <w:rPr>
          <w:rFonts w:ascii="Times New Roman" w:hAnsi="Times New Roman" w:cs="Times New Roman"/>
          <w:color w:val="auto"/>
        </w:rPr>
        <w:t xml:space="preserve"> </w:t>
      </w:r>
      <w:r w:rsidRPr="00916ADB">
        <w:rPr>
          <w:rFonts w:ascii="Times New Roman" w:hAnsi="Times New Roman" w:cs="Times New Roman"/>
          <w:color w:val="auto"/>
        </w:rPr>
        <w:t xml:space="preserve">The examination of these records is just one aspect of an MSHA inspection. </w:t>
      </w:r>
      <w:r>
        <w:rPr>
          <w:rFonts w:ascii="Times New Roman" w:hAnsi="Times New Roman" w:cs="Times New Roman"/>
          <w:color w:val="auto"/>
        </w:rPr>
        <w:t>U</w:t>
      </w:r>
      <w:r w:rsidRPr="00916ADB">
        <w:rPr>
          <w:rFonts w:ascii="Times New Roman" w:hAnsi="Times New Roman" w:cs="Times New Roman"/>
          <w:color w:val="auto"/>
        </w:rPr>
        <w:t>nder section 103(a) of the Mine Act, each underground mine</w:t>
      </w:r>
      <w:r w:rsidRPr="00916ADB">
        <w:t xml:space="preserve"> </w:t>
      </w:r>
      <w:r>
        <w:rPr>
          <w:rFonts w:ascii="Times New Roman" w:hAnsi="Times New Roman" w:cs="Times New Roman"/>
          <w:color w:val="auto"/>
        </w:rPr>
        <w:t>must be</w:t>
      </w:r>
      <w:r w:rsidRPr="00916ADB">
        <w:rPr>
          <w:rFonts w:ascii="Times New Roman" w:hAnsi="Times New Roman" w:cs="Times New Roman"/>
          <w:color w:val="auto"/>
        </w:rPr>
        <w:t xml:space="preserve"> inspect</w:t>
      </w:r>
      <w:r>
        <w:rPr>
          <w:rFonts w:ascii="Times New Roman" w:hAnsi="Times New Roman" w:cs="Times New Roman"/>
          <w:color w:val="auto"/>
        </w:rPr>
        <w:t>ed</w:t>
      </w:r>
      <w:r w:rsidRPr="00916ADB">
        <w:rPr>
          <w:rFonts w:ascii="Times New Roman" w:hAnsi="Times New Roman" w:cs="Times New Roman"/>
          <w:color w:val="auto"/>
        </w:rPr>
        <w:t xml:space="preserve"> in its entirety at least four times </w:t>
      </w:r>
      <w:r w:rsidR="008A41BC">
        <w:rPr>
          <w:rFonts w:ascii="Times New Roman" w:hAnsi="Times New Roman" w:cs="Times New Roman"/>
          <w:color w:val="auto"/>
        </w:rPr>
        <w:t>per</w:t>
      </w:r>
      <w:r w:rsidRPr="00916ADB" w:rsidR="008A41BC">
        <w:rPr>
          <w:rFonts w:ascii="Times New Roman" w:hAnsi="Times New Roman" w:cs="Times New Roman"/>
          <w:color w:val="auto"/>
        </w:rPr>
        <w:t xml:space="preserve"> </w:t>
      </w:r>
      <w:r w:rsidRPr="00916ADB">
        <w:rPr>
          <w:rFonts w:ascii="Times New Roman" w:hAnsi="Times New Roman" w:cs="Times New Roman"/>
          <w:color w:val="auto"/>
        </w:rPr>
        <w:t xml:space="preserve">year.  </w:t>
      </w:r>
    </w:p>
    <w:p w:rsidR="00F95DB3" w:rsidRPr="0037428D" w:rsidP="0037428D" w14:paraId="429B3979" w14:textId="66833C76">
      <w:pPr>
        <w:pStyle w:val="Default"/>
        <w:rPr>
          <w:rFonts w:ascii="Times New Roman" w:hAnsi="Times New Roman" w:cs="Times New Roman"/>
          <w:b/>
        </w:rPr>
      </w:pPr>
      <w:r w:rsidRPr="0037428D">
        <w:rPr>
          <w:rFonts w:ascii="Times New Roman" w:hAnsi="Times New Roman" w:cs="Times New Roman"/>
          <w:color w:val="auto"/>
        </w:rPr>
        <w:t xml:space="preserve"> </w:t>
      </w:r>
    </w:p>
    <w:p w:rsidR="003A1C43" w:rsidRPr="0037428D" w:rsidP="00286697" w14:paraId="1DCABE0B" w14:textId="52DB500F">
      <w:pPr>
        <w:rPr>
          <w:b/>
        </w:rPr>
      </w:pPr>
      <w:r w:rsidRPr="0037428D">
        <w:rPr>
          <w:b/>
        </w:rPr>
        <w:t>15. Explain the reasons for any program changes or adjustments</w:t>
      </w:r>
      <w:r w:rsidRPr="0037428D" w:rsidR="00286697">
        <w:rPr>
          <w:b/>
        </w:rPr>
        <w:t>.</w:t>
      </w:r>
    </w:p>
    <w:p w:rsidR="00286697" w:rsidRPr="0037428D" w:rsidP="00286697" w14:paraId="12E0BCF2" w14:textId="77777777"/>
    <w:p w:rsidR="003A1C43" w:rsidRPr="0037428D" w14:paraId="05E9641F" w14:textId="3040DEBD">
      <w:pPr>
        <w:pStyle w:val="Default"/>
        <w:rPr>
          <w:rFonts w:ascii="Times New Roman" w:hAnsi="Times New Roman" w:cs="Times New Roman"/>
          <w:color w:val="auto"/>
        </w:rPr>
      </w:pPr>
      <w:r>
        <w:rPr>
          <w:rFonts w:ascii="Times New Roman" w:hAnsi="Times New Roman" w:cs="Times New Roman"/>
          <w:b/>
          <w:color w:val="auto"/>
        </w:rPr>
        <w:t xml:space="preserve">Number of </w:t>
      </w:r>
      <w:r w:rsidRPr="0037428D" w:rsidR="00482430">
        <w:rPr>
          <w:rFonts w:ascii="Times New Roman" w:hAnsi="Times New Roman" w:cs="Times New Roman"/>
          <w:b/>
          <w:color w:val="auto"/>
        </w:rPr>
        <w:t>Respondents:</w:t>
      </w:r>
      <w:r w:rsidRPr="0037428D" w:rsidR="00482430">
        <w:rPr>
          <w:rFonts w:ascii="Times New Roman" w:hAnsi="Times New Roman" w:cs="Times New Roman"/>
          <w:color w:val="auto"/>
        </w:rPr>
        <w:t xml:space="preserve"> </w:t>
      </w:r>
      <w:r w:rsidRPr="0037428D" w:rsidR="000165CA">
        <w:rPr>
          <w:rFonts w:ascii="Times New Roman" w:hAnsi="Times New Roman" w:cs="Times New Roman"/>
          <w:color w:val="auto"/>
        </w:rPr>
        <w:t xml:space="preserve"> </w:t>
      </w:r>
      <w:r>
        <w:rPr>
          <w:rFonts w:ascii="Times New Roman" w:hAnsi="Times New Roman" w:cs="Times New Roman"/>
          <w:color w:val="auto"/>
        </w:rPr>
        <w:t>The estimated number of respondents remains unchanged at 6</w:t>
      </w:r>
      <w:r w:rsidRPr="0037428D" w:rsidR="00B53BEE">
        <w:rPr>
          <w:rFonts w:ascii="Times New Roman" w:hAnsi="Times New Roman" w:cs="Times New Roman"/>
          <w:color w:val="auto"/>
        </w:rPr>
        <w:t>.</w:t>
      </w:r>
      <w:r w:rsidRPr="0037428D" w:rsidR="004041E3">
        <w:rPr>
          <w:rFonts w:ascii="Times New Roman" w:hAnsi="Times New Roman" w:cs="Times New Roman"/>
          <w:color w:val="auto"/>
        </w:rPr>
        <w:t xml:space="preserve"> </w:t>
      </w:r>
      <w:r w:rsidRPr="0037428D" w:rsidR="00482430">
        <w:rPr>
          <w:rFonts w:ascii="Times New Roman" w:hAnsi="Times New Roman" w:cs="Times New Roman"/>
          <w:color w:val="auto"/>
        </w:rPr>
        <w:t>This is due to a</w:t>
      </w:r>
      <w:r w:rsidRPr="0037428D" w:rsidR="00B53BEE">
        <w:rPr>
          <w:rFonts w:ascii="Times New Roman" w:hAnsi="Times New Roman" w:cs="Times New Roman"/>
          <w:color w:val="auto"/>
        </w:rPr>
        <w:t>ll previously classified mines remaining active, and no mines added.</w:t>
      </w:r>
      <w:r w:rsidRPr="0037428D" w:rsidR="00482430">
        <w:rPr>
          <w:rFonts w:ascii="Times New Roman" w:hAnsi="Times New Roman" w:cs="Times New Roman"/>
          <w:color w:val="auto"/>
        </w:rPr>
        <w:t xml:space="preserve"> </w:t>
      </w:r>
    </w:p>
    <w:p w:rsidR="006E69A6" w:rsidRPr="0037428D" w14:paraId="17497F8A" w14:textId="428F2F4B">
      <w:pPr>
        <w:rPr>
          <w:b/>
        </w:rPr>
      </w:pPr>
    </w:p>
    <w:p w:rsidR="003A1C43" w:rsidRPr="0037428D" w14:paraId="12E17D1A" w14:textId="30D79853">
      <w:pPr>
        <w:pStyle w:val="Default"/>
        <w:rPr>
          <w:rFonts w:ascii="Times New Roman" w:hAnsi="Times New Roman" w:cs="Times New Roman"/>
          <w:color w:val="auto"/>
        </w:rPr>
      </w:pPr>
      <w:r>
        <w:rPr>
          <w:rFonts w:ascii="Times New Roman" w:hAnsi="Times New Roman" w:cs="Times New Roman"/>
          <w:b/>
          <w:color w:val="auto"/>
        </w:rPr>
        <w:t xml:space="preserve">Number of </w:t>
      </w:r>
      <w:r w:rsidRPr="0037428D" w:rsidR="00482430">
        <w:rPr>
          <w:rFonts w:ascii="Times New Roman" w:hAnsi="Times New Roman" w:cs="Times New Roman"/>
          <w:b/>
          <w:color w:val="auto"/>
        </w:rPr>
        <w:t>Responses:</w:t>
      </w:r>
      <w:r w:rsidRPr="0037428D" w:rsidR="00482430">
        <w:rPr>
          <w:rFonts w:ascii="Times New Roman" w:hAnsi="Times New Roman" w:cs="Times New Roman"/>
          <w:color w:val="auto"/>
        </w:rPr>
        <w:t xml:space="preserve"> </w:t>
      </w:r>
      <w:r w:rsidRPr="0037428D" w:rsidR="000165CA">
        <w:rPr>
          <w:rFonts w:ascii="Times New Roman" w:hAnsi="Times New Roman" w:cs="Times New Roman"/>
          <w:color w:val="auto"/>
        </w:rPr>
        <w:t xml:space="preserve"> </w:t>
      </w:r>
      <w:r>
        <w:rPr>
          <w:rFonts w:ascii="Times New Roman" w:hAnsi="Times New Roman" w:cs="Times New Roman"/>
          <w:color w:val="auto"/>
        </w:rPr>
        <w:t xml:space="preserve">The estimated number of responses </w:t>
      </w:r>
      <w:r w:rsidR="005C0F4E">
        <w:rPr>
          <w:rFonts w:ascii="Times New Roman" w:hAnsi="Times New Roman" w:cs="Times New Roman"/>
          <w:color w:val="auto"/>
        </w:rPr>
        <w:t>decreas</w:t>
      </w:r>
      <w:r w:rsidR="003F474C">
        <w:rPr>
          <w:rFonts w:ascii="Times New Roman" w:hAnsi="Times New Roman" w:cs="Times New Roman"/>
          <w:color w:val="auto"/>
        </w:rPr>
        <w:t>ed</w:t>
      </w:r>
      <w:r>
        <w:rPr>
          <w:rFonts w:ascii="Times New Roman" w:hAnsi="Times New Roman" w:cs="Times New Roman"/>
          <w:color w:val="auto"/>
        </w:rPr>
        <w:t xml:space="preserve"> </w:t>
      </w:r>
      <w:r w:rsidR="005C0F4E">
        <w:rPr>
          <w:rFonts w:ascii="Times New Roman" w:hAnsi="Times New Roman" w:cs="Times New Roman"/>
          <w:color w:val="auto"/>
        </w:rPr>
        <w:t>from 5,940 to</w:t>
      </w:r>
      <w:r w:rsidR="003F474C">
        <w:rPr>
          <w:rFonts w:ascii="Times New Roman" w:hAnsi="Times New Roman" w:cs="Times New Roman"/>
          <w:color w:val="auto"/>
        </w:rPr>
        <w:t xml:space="preserve"> </w:t>
      </w:r>
      <w:r w:rsidR="00EF101D">
        <w:rPr>
          <w:rFonts w:ascii="Times New Roman" w:hAnsi="Times New Roman" w:cs="Times New Roman"/>
          <w:color w:val="auto"/>
        </w:rPr>
        <w:t>3,960</w:t>
      </w:r>
      <w:r w:rsidR="005C0F4E">
        <w:rPr>
          <w:rFonts w:ascii="Times New Roman" w:hAnsi="Times New Roman" w:cs="Times New Roman"/>
          <w:color w:val="auto"/>
        </w:rPr>
        <w:t xml:space="preserve"> (by 1</w:t>
      </w:r>
      <w:r w:rsidR="002A0C88">
        <w:rPr>
          <w:rFonts w:ascii="Times New Roman" w:hAnsi="Times New Roman" w:cs="Times New Roman"/>
          <w:color w:val="auto"/>
        </w:rPr>
        <w:t>,</w:t>
      </w:r>
      <w:r w:rsidR="005C0F4E">
        <w:rPr>
          <w:rFonts w:ascii="Times New Roman" w:hAnsi="Times New Roman" w:cs="Times New Roman"/>
          <w:color w:val="auto"/>
        </w:rPr>
        <w:t>980) due to a methodology change</w:t>
      </w:r>
      <w:r w:rsidRPr="0037428D" w:rsidR="004041E3">
        <w:rPr>
          <w:rFonts w:ascii="Times New Roman" w:hAnsi="Times New Roman" w:cs="Times New Roman"/>
          <w:color w:val="auto"/>
        </w:rPr>
        <w:t xml:space="preserve">.  </w:t>
      </w:r>
    </w:p>
    <w:p w:rsidR="003A1C43" w:rsidRPr="0037428D" w14:paraId="6F890D88" w14:textId="59FB64D8">
      <w:pPr>
        <w:pStyle w:val="Default"/>
        <w:rPr>
          <w:rFonts w:ascii="Times New Roman" w:hAnsi="Times New Roman" w:cs="Times New Roman"/>
          <w:color w:val="auto"/>
        </w:rPr>
      </w:pPr>
      <w:r>
        <w:rPr>
          <w:rFonts w:ascii="Times New Roman" w:hAnsi="Times New Roman" w:cs="Times New Roman"/>
          <w:color w:val="auto"/>
        </w:rPr>
        <w:t xml:space="preserve"> </w:t>
      </w:r>
    </w:p>
    <w:p w:rsidR="00482430" w:rsidRPr="0037428D" w14:paraId="77D9185C" w14:textId="3164C94C">
      <w:pPr>
        <w:pStyle w:val="Default"/>
        <w:rPr>
          <w:rFonts w:ascii="Times New Roman" w:hAnsi="Times New Roman" w:cs="Times New Roman"/>
          <w:color w:val="auto"/>
        </w:rPr>
      </w:pPr>
      <w:r>
        <w:rPr>
          <w:rFonts w:ascii="Times New Roman" w:hAnsi="Times New Roman" w:cs="Times New Roman"/>
          <w:b/>
          <w:color w:val="auto"/>
        </w:rPr>
        <w:t>Annual Time Burden</w:t>
      </w:r>
      <w:r w:rsidRPr="0037428D">
        <w:rPr>
          <w:rFonts w:ascii="Times New Roman" w:hAnsi="Times New Roman" w:cs="Times New Roman"/>
          <w:b/>
          <w:color w:val="auto"/>
        </w:rPr>
        <w:t>:</w:t>
      </w:r>
      <w:r w:rsidRPr="0037428D">
        <w:rPr>
          <w:rFonts w:ascii="Times New Roman" w:hAnsi="Times New Roman" w:cs="Times New Roman"/>
          <w:color w:val="auto"/>
        </w:rPr>
        <w:t xml:space="preserve"> </w:t>
      </w:r>
      <w:r w:rsidRPr="0037428D" w:rsidR="000165CA">
        <w:rPr>
          <w:rFonts w:ascii="Times New Roman" w:hAnsi="Times New Roman" w:cs="Times New Roman"/>
          <w:color w:val="auto"/>
        </w:rPr>
        <w:t xml:space="preserve"> </w:t>
      </w:r>
      <w:r>
        <w:rPr>
          <w:rFonts w:ascii="Times New Roman" w:hAnsi="Times New Roman" w:cs="Times New Roman"/>
          <w:color w:val="auto"/>
        </w:rPr>
        <w:t>The estimated annual time burden increased f</w:t>
      </w:r>
      <w:r w:rsidRPr="0037428D" w:rsidR="00565552">
        <w:rPr>
          <w:rFonts w:ascii="Times New Roman" w:hAnsi="Times New Roman" w:cs="Times New Roman"/>
          <w:color w:val="auto"/>
        </w:rPr>
        <w:t xml:space="preserve">rom </w:t>
      </w:r>
      <w:r w:rsidRPr="0037428D" w:rsidR="00352696">
        <w:rPr>
          <w:rFonts w:ascii="Times New Roman" w:hAnsi="Times New Roman" w:cs="Times New Roman"/>
          <w:color w:val="auto"/>
        </w:rPr>
        <w:t xml:space="preserve">2,046 to </w:t>
      </w:r>
      <w:r w:rsidRPr="0037428D" w:rsidR="006C4DBB">
        <w:rPr>
          <w:rFonts w:ascii="Times New Roman" w:hAnsi="Times New Roman" w:cs="Times New Roman"/>
          <w:color w:val="auto"/>
        </w:rPr>
        <w:t>2,</w:t>
      </w:r>
      <w:r>
        <w:rPr>
          <w:rFonts w:ascii="Times New Roman" w:hAnsi="Times New Roman" w:cs="Times New Roman"/>
          <w:color w:val="auto"/>
        </w:rPr>
        <w:t>112 (by 6</w:t>
      </w:r>
      <w:r w:rsidR="00884691">
        <w:rPr>
          <w:rFonts w:ascii="Times New Roman" w:hAnsi="Times New Roman" w:cs="Times New Roman"/>
          <w:color w:val="auto"/>
        </w:rPr>
        <w:t>6</w:t>
      </w:r>
      <w:r>
        <w:rPr>
          <w:rFonts w:ascii="Times New Roman" w:hAnsi="Times New Roman" w:cs="Times New Roman"/>
          <w:color w:val="auto"/>
        </w:rPr>
        <w:t>)</w:t>
      </w:r>
      <w:r w:rsidRPr="0037428D" w:rsidR="00352696">
        <w:rPr>
          <w:rFonts w:ascii="Times New Roman" w:hAnsi="Times New Roman" w:cs="Times New Roman"/>
          <w:color w:val="auto"/>
        </w:rPr>
        <w:t xml:space="preserve"> due to </w:t>
      </w:r>
      <w:r w:rsidR="005C0F4E">
        <w:rPr>
          <w:rFonts w:ascii="Times New Roman" w:hAnsi="Times New Roman" w:cs="Times New Roman"/>
          <w:color w:val="auto"/>
        </w:rPr>
        <w:t>a methodology change</w:t>
      </w:r>
      <w:r w:rsidRPr="0037428D" w:rsidR="003A1C43">
        <w:rPr>
          <w:rFonts w:ascii="Times New Roman" w:hAnsi="Times New Roman" w:cs="Times New Roman"/>
          <w:color w:val="auto"/>
        </w:rPr>
        <w:t xml:space="preserve">.  </w:t>
      </w:r>
    </w:p>
    <w:p w:rsidR="00482430" w:rsidRPr="0037428D" w14:paraId="5E88684C" w14:textId="77777777">
      <w:pPr>
        <w:pStyle w:val="Default"/>
        <w:rPr>
          <w:rFonts w:ascii="Times New Roman" w:hAnsi="Times New Roman" w:cs="Times New Roman"/>
          <w:color w:val="auto"/>
        </w:rPr>
      </w:pPr>
    </w:p>
    <w:p w:rsidR="002A0C88" w:rsidP="002A0C88" w14:paraId="5591B1B2" w14:textId="1FA2F245">
      <w:pPr>
        <w:pStyle w:val="Default"/>
        <w:rPr>
          <w:rFonts w:ascii="Times New Roman" w:hAnsi="Times New Roman" w:cs="Times New Roman"/>
          <w:color w:val="auto"/>
        </w:rPr>
      </w:pPr>
      <w:r w:rsidRPr="00376C8A">
        <w:rPr>
          <w:rFonts w:ascii="Times New Roman" w:hAnsi="Times New Roman" w:cs="Times New Roman"/>
          <w:b/>
          <w:bCs/>
          <w:color w:val="auto"/>
        </w:rPr>
        <w:t>Annual Burden Costs:</w:t>
      </w:r>
      <w:r>
        <w:rPr>
          <w:rFonts w:ascii="Times New Roman" w:hAnsi="Times New Roman" w:cs="Times New Roman"/>
          <w:color w:val="auto"/>
        </w:rPr>
        <w:t xml:space="preserve"> The estimated annual other burden cost increased from $90,130 to $90,733 (by $603) due to a methodology change of the estimated annual time burden.</w:t>
      </w:r>
      <w:r w:rsidRPr="0037428D">
        <w:rPr>
          <w:rFonts w:ascii="Times New Roman" w:hAnsi="Times New Roman" w:cs="Times New Roman"/>
          <w:color w:val="auto"/>
        </w:rPr>
        <w:t xml:space="preserve"> </w:t>
      </w:r>
    </w:p>
    <w:p w:rsidR="002A0C88" w:rsidP="002A0C88" w14:paraId="515AE15D" w14:textId="77777777">
      <w:pPr>
        <w:pStyle w:val="Default"/>
        <w:rPr>
          <w:rFonts w:ascii="Times New Roman" w:hAnsi="Times New Roman" w:cs="Times New Roman"/>
          <w:color w:val="auto"/>
        </w:rPr>
      </w:pPr>
    </w:p>
    <w:p w:rsidR="00BC2346" w14:paraId="32161496" w14:textId="760CC7C3">
      <w:pPr>
        <w:pStyle w:val="Default"/>
        <w:rPr>
          <w:rFonts w:ascii="Times New Roman" w:hAnsi="Times New Roman" w:cs="Times New Roman"/>
          <w:color w:val="auto"/>
        </w:rPr>
      </w:pPr>
      <w:r>
        <w:rPr>
          <w:rFonts w:ascii="Times New Roman" w:hAnsi="Times New Roman" w:cs="Times New Roman"/>
          <w:b/>
          <w:color w:val="auto"/>
        </w:rPr>
        <w:t xml:space="preserve">Annual </w:t>
      </w:r>
      <w:r w:rsidRPr="00376C8A" w:rsidR="002A0C88">
        <w:rPr>
          <w:rFonts w:ascii="Times New Roman" w:hAnsi="Times New Roman" w:cs="Times New Roman"/>
          <w:b/>
          <w:bCs/>
          <w:color w:val="auto"/>
        </w:rPr>
        <w:t xml:space="preserve">Other </w:t>
      </w:r>
      <w:r>
        <w:rPr>
          <w:rFonts w:ascii="Times New Roman" w:hAnsi="Times New Roman" w:cs="Times New Roman"/>
          <w:b/>
          <w:color w:val="auto"/>
        </w:rPr>
        <w:t>Burden Costs</w:t>
      </w:r>
      <w:r w:rsidRPr="0037428D" w:rsidR="00482430">
        <w:rPr>
          <w:rFonts w:ascii="Times New Roman" w:hAnsi="Times New Roman" w:cs="Times New Roman"/>
          <w:b/>
          <w:color w:val="auto"/>
        </w:rPr>
        <w:t xml:space="preserve">: </w:t>
      </w:r>
      <w:r w:rsidR="00947244">
        <w:rPr>
          <w:rFonts w:ascii="Times New Roman" w:hAnsi="Times New Roman" w:cs="Times New Roman"/>
          <w:color w:val="auto"/>
        </w:rPr>
        <w:t>The estimated annual burden costs remain unchanged at</w:t>
      </w:r>
      <w:r w:rsidRPr="0037428D" w:rsidR="00947244">
        <w:rPr>
          <w:rFonts w:ascii="Times New Roman" w:hAnsi="Times New Roman" w:cs="Times New Roman"/>
          <w:color w:val="auto"/>
        </w:rPr>
        <w:t xml:space="preserve"> $6,000. </w:t>
      </w:r>
    </w:p>
    <w:p w:rsidR="007D4E63" w14:paraId="062BB5BF" w14:textId="77777777">
      <w:pPr>
        <w:pStyle w:val="Default"/>
        <w:rPr>
          <w:rFonts w:ascii="Times New Roman" w:hAnsi="Times New Roman" w:cs="Times New Roman"/>
          <w:color w:val="auto"/>
        </w:rPr>
      </w:pPr>
    </w:p>
    <w:p w:rsidR="007D4E63" w:rsidRPr="00947244" w14:paraId="7282F129" w14:textId="1AE186A7">
      <w:pPr>
        <w:pStyle w:val="Default"/>
        <w:rPr>
          <w:rFonts w:ascii="Times New Roman" w:hAnsi="Times New Roman" w:cs="Times New Roman"/>
          <w:color w:val="auto"/>
        </w:rPr>
      </w:pPr>
      <w:r w:rsidRPr="00FA77FC">
        <w:rPr>
          <w:rFonts w:ascii="Times New Roman" w:hAnsi="Times New Roman" w:cs="Times New Roman"/>
          <w:b/>
          <w:bCs/>
          <w:color w:val="auto"/>
        </w:rPr>
        <w:t>Federal Hours:</w:t>
      </w:r>
      <w:r w:rsidR="00947244">
        <w:rPr>
          <w:rFonts w:ascii="Times New Roman" w:hAnsi="Times New Roman" w:cs="Times New Roman"/>
          <w:b/>
          <w:bCs/>
          <w:color w:val="auto"/>
        </w:rPr>
        <w:t xml:space="preserve"> </w:t>
      </w:r>
      <w:r w:rsidR="00947244">
        <w:rPr>
          <w:rFonts w:ascii="Times New Roman" w:hAnsi="Times New Roman" w:cs="Times New Roman"/>
          <w:color w:val="auto"/>
        </w:rPr>
        <w:t>The estimated annual federal hours remain unchanged at 0.</w:t>
      </w:r>
    </w:p>
    <w:p w:rsidR="007D4E63" w14:paraId="3411D191" w14:textId="77777777">
      <w:pPr>
        <w:pStyle w:val="Default"/>
        <w:rPr>
          <w:rFonts w:ascii="Times New Roman" w:hAnsi="Times New Roman" w:cs="Times New Roman"/>
          <w:color w:val="auto"/>
        </w:rPr>
      </w:pPr>
    </w:p>
    <w:p w:rsidR="007D4E63" w14:paraId="4C241851" w14:textId="58F778C7">
      <w:pPr>
        <w:pStyle w:val="Default"/>
        <w:rPr>
          <w:rFonts w:ascii="Times New Roman" w:hAnsi="Times New Roman" w:cs="Times New Roman"/>
          <w:color w:val="auto"/>
        </w:rPr>
      </w:pPr>
      <w:r w:rsidRPr="00FA77FC">
        <w:rPr>
          <w:rFonts w:ascii="Times New Roman" w:hAnsi="Times New Roman" w:cs="Times New Roman"/>
          <w:b/>
          <w:bCs/>
          <w:color w:val="auto"/>
        </w:rPr>
        <w:t>Federal Costs:</w:t>
      </w:r>
      <w:r w:rsidR="00947244">
        <w:rPr>
          <w:rFonts w:ascii="Times New Roman" w:hAnsi="Times New Roman" w:cs="Times New Roman"/>
          <w:color w:val="auto"/>
        </w:rPr>
        <w:t xml:space="preserve"> The estimated annual federal costs remain unchanged at $0.</w:t>
      </w:r>
      <w:r w:rsidR="00947244">
        <w:rPr>
          <w:rFonts w:ascii="Times New Roman" w:hAnsi="Times New Roman" w:cs="Times New Roman"/>
          <w:color w:val="auto"/>
        </w:rPr>
        <w:br/>
      </w:r>
    </w:p>
    <w:p w:rsidR="00560538" w14:paraId="1DD6516F" w14:textId="77777777">
      <w:r>
        <w:br w:type="page"/>
      </w:r>
    </w:p>
    <w:p w:rsidR="00947244" w:rsidRPr="00A25F30" w:rsidP="00947244" w14:paraId="5D699802" w14:textId="5A342758">
      <w:pPr>
        <w:rPr>
          <w:b/>
          <w:bCs/>
          <w:szCs w:val="22"/>
        </w:rPr>
      </w:pPr>
      <w:r w:rsidRPr="007628FE">
        <w:t xml:space="preserve">Table 15-1. Summary of Changes </w:t>
      </w:r>
    </w:p>
    <w:tbl>
      <w:tblPr>
        <w:tblStyle w:val="TableGrid"/>
        <w:tblW w:w="8447" w:type="dxa"/>
        <w:tblLook w:val="04A0"/>
      </w:tblPr>
      <w:tblGrid>
        <w:gridCol w:w="3505"/>
        <w:gridCol w:w="1816"/>
        <w:gridCol w:w="1694"/>
        <w:gridCol w:w="1432"/>
      </w:tblGrid>
      <w:tr w14:paraId="74A9DBE0" w14:textId="77777777" w:rsidTr="002E72F8">
        <w:tblPrEx>
          <w:tblW w:w="8447" w:type="dxa"/>
          <w:tblLook w:val="04A0"/>
        </w:tblPrEx>
        <w:trPr>
          <w:trHeight w:val="306"/>
        </w:trPr>
        <w:tc>
          <w:tcPr>
            <w:tcW w:w="3505" w:type="dxa"/>
            <w:shd w:val="clear" w:color="auto" w:fill="9CC2E5" w:themeFill="accent1" w:themeFillTint="99"/>
            <w:noWrap/>
            <w:hideMark/>
          </w:tcPr>
          <w:p w:rsidR="00947244" w:rsidRPr="007628FE" w:rsidP="002E72F8" w14:paraId="36F97F9C" w14:textId="77777777">
            <w:pPr>
              <w:pStyle w:val="Default"/>
              <w:rPr>
                <w:rFonts w:ascii="Times New Roman" w:hAnsi="Times New Roman" w:cs="Times New Roman"/>
                <w:sz w:val="20"/>
                <w:szCs w:val="20"/>
              </w:rPr>
            </w:pPr>
          </w:p>
        </w:tc>
        <w:tc>
          <w:tcPr>
            <w:tcW w:w="1816" w:type="dxa"/>
            <w:shd w:val="clear" w:color="auto" w:fill="9CC2E5" w:themeFill="accent1" w:themeFillTint="99"/>
            <w:noWrap/>
            <w:vAlign w:val="center"/>
            <w:hideMark/>
          </w:tcPr>
          <w:p w:rsidR="00947244" w:rsidRPr="007628FE" w:rsidP="002E72F8" w14:paraId="1CA15951" w14:textId="77777777">
            <w:pPr>
              <w:pStyle w:val="Default"/>
              <w:jc w:val="center"/>
              <w:rPr>
                <w:rFonts w:ascii="Times New Roman" w:hAnsi="Times New Roman" w:cs="Times New Roman"/>
                <w:b/>
                <w:bCs/>
                <w:sz w:val="20"/>
                <w:szCs w:val="20"/>
              </w:rPr>
            </w:pPr>
            <w:r>
              <w:rPr>
                <w:rFonts w:ascii="Times New Roman" w:hAnsi="Times New Roman" w:cs="Times New Roman"/>
                <w:b/>
                <w:bCs/>
                <w:sz w:val="20"/>
                <w:szCs w:val="20"/>
              </w:rPr>
              <w:t>Previous</w:t>
            </w:r>
            <w:r w:rsidRPr="007628FE">
              <w:rPr>
                <w:rFonts w:ascii="Times New Roman" w:hAnsi="Times New Roman" w:cs="Times New Roman"/>
                <w:b/>
                <w:bCs/>
                <w:sz w:val="20"/>
                <w:szCs w:val="20"/>
              </w:rPr>
              <w:t xml:space="preserve"> ICR</w:t>
            </w:r>
          </w:p>
        </w:tc>
        <w:tc>
          <w:tcPr>
            <w:tcW w:w="1694" w:type="dxa"/>
            <w:shd w:val="clear" w:color="auto" w:fill="9CC2E5" w:themeFill="accent1" w:themeFillTint="99"/>
            <w:vAlign w:val="center"/>
          </w:tcPr>
          <w:p w:rsidR="00947244" w:rsidRPr="007628FE" w:rsidP="002E72F8" w14:paraId="74EC4380" w14:textId="77777777">
            <w:pPr>
              <w:pStyle w:val="Default"/>
              <w:jc w:val="center"/>
              <w:rPr>
                <w:rFonts w:ascii="Times New Roman" w:hAnsi="Times New Roman" w:cs="Times New Roman"/>
                <w:b/>
                <w:bCs/>
                <w:sz w:val="20"/>
                <w:szCs w:val="20"/>
              </w:rPr>
            </w:pPr>
            <w:r w:rsidRPr="00574EDF">
              <w:rPr>
                <w:rFonts w:ascii="Times New Roman" w:hAnsi="Times New Roman" w:cs="Times New Roman"/>
                <w:b/>
                <w:bCs/>
                <w:sz w:val="20"/>
                <w:szCs w:val="20"/>
              </w:rPr>
              <w:t>Currently Approved ICR</w:t>
            </w:r>
          </w:p>
        </w:tc>
        <w:tc>
          <w:tcPr>
            <w:tcW w:w="1432" w:type="dxa"/>
            <w:shd w:val="clear" w:color="auto" w:fill="9CC2E5" w:themeFill="accent1" w:themeFillTint="99"/>
            <w:noWrap/>
            <w:vAlign w:val="center"/>
            <w:hideMark/>
          </w:tcPr>
          <w:p w:rsidR="00947244" w:rsidRPr="007628FE" w:rsidP="002E72F8" w14:paraId="26E685DB" w14:textId="77777777">
            <w:pPr>
              <w:pStyle w:val="Default"/>
              <w:jc w:val="center"/>
              <w:rPr>
                <w:rFonts w:ascii="Times New Roman" w:hAnsi="Times New Roman" w:cs="Times New Roman"/>
                <w:b/>
                <w:bCs/>
                <w:sz w:val="20"/>
                <w:szCs w:val="20"/>
              </w:rPr>
            </w:pPr>
            <w:r w:rsidRPr="007628FE">
              <w:rPr>
                <w:rFonts w:ascii="Times New Roman" w:hAnsi="Times New Roman" w:cs="Times New Roman"/>
                <w:b/>
                <w:bCs/>
                <w:sz w:val="20"/>
                <w:szCs w:val="20"/>
              </w:rPr>
              <w:t>Difference</w:t>
            </w:r>
          </w:p>
        </w:tc>
      </w:tr>
      <w:tr w14:paraId="6A0C1A09" w14:textId="77777777" w:rsidTr="002E72F8">
        <w:tblPrEx>
          <w:tblW w:w="8447" w:type="dxa"/>
          <w:tblLook w:val="04A0"/>
        </w:tblPrEx>
        <w:trPr>
          <w:trHeight w:val="322"/>
        </w:trPr>
        <w:tc>
          <w:tcPr>
            <w:tcW w:w="3505" w:type="dxa"/>
            <w:noWrap/>
            <w:vAlign w:val="center"/>
            <w:hideMark/>
          </w:tcPr>
          <w:p w:rsidR="00947244" w:rsidRPr="007628FE" w:rsidP="002E72F8" w14:paraId="33651EDB" w14:textId="77777777">
            <w:pPr>
              <w:pStyle w:val="Default"/>
              <w:rPr>
                <w:rFonts w:ascii="Times New Roman" w:hAnsi="Times New Roman" w:cs="Times New Roman"/>
                <w:sz w:val="20"/>
                <w:szCs w:val="20"/>
              </w:rPr>
            </w:pPr>
            <w:r w:rsidRPr="007628FE">
              <w:rPr>
                <w:rFonts w:ascii="Times New Roman" w:hAnsi="Times New Roman" w:cs="Times New Roman"/>
                <w:sz w:val="20"/>
                <w:szCs w:val="20"/>
              </w:rPr>
              <w:t>Number of Respondents</w:t>
            </w:r>
          </w:p>
        </w:tc>
        <w:tc>
          <w:tcPr>
            <w:tcW w:w="1816" w:type="dxa"/>
            <w:noWrap/>
            <w:vAlign w:val="center"/>
          </w:tcPr>
          <w:p w:rsidR="00947244" w:rsidRPr="007628FE" w:rsidP="002E72F8" w14:paraId="495D8269" w14:textId="795358AC">
            <w:pPr>
              <w:pStyle w:val="Default"/>
              <w:jc w:val="right"/>
              <w:rPr>
                <w:rFonts w:ascii="Times New Roman" w:hAnsi="Times New Roman" w:cs="Times New Roman"/>
                <w:sz w:val="20"/>
                <w:szCs w:val="20"/>
              </w:rPr>
            </w:pPr>
            <w:r>
              <w:rPr>
                <w:rFonts w:ascii="Times New Roman" w:hAnsi="Times New Roman" w:cs="Times New Roman"/>
                <w:sz w:val="20"/>
                <w:szCs w:val="20"/>
              </w:rPr>
              <w:t>6</w:t>
            </w:r>
          </w:p>
        </w:tc>
        <w:tc>
          <w:tcPr>
            <w:tcW w:w="1694" w:type="dxa"/>
            <w:vAlign w:val="center"/>
          </w:tcPr>
          <w:p w:rsidR="00947244" w:rsidRPr="007628FE" w:rsidP="002E72F8" w14:paraId="2360E198" w14:textId="1C401277">
            <w:pPr>
              <w:pStyle w:val="Default"/>
              <w:jc w:val="right"/>
              <w:rPr>
                <w:rFonts w:ascii="Times New Roman" w:hAnsi="Times New Roman" w:cs="Times New Roman"/>
                <w:sz w:val="20"/>
                <w:szCs w:val="20"/>
              </w:rPr>
            </w:pPr>
            <w:r>
              <w:rPr>
                <w:rFonts w:ascii="Times New Roman" w:hAnsi="Times New Roman" w:cs="Times New Roman"/>
                <w:sz w:val="20"/>
                <w:szCs w:val="20"/>
              </w:rPr>
              <w:t>6</w:t>
            </w:r>
          </w:p>
        </w:tc>
        <w:tc>
          <w:tcPr>
            <w:tcW w:w="1432" w:type="dxa"/>
            <w:noWrap/>
            <w:vAlign w:val="center"/>
          </w:tcPr>
          <w:p w:rsidR="00947244" w:rsidRPr="007628FE" w:rsidP="002E72F8" w14:paraId="56BB49D3" w14:textId="5AC4FAEE">
            <w:pPr>
              <w:pStyle w:val="Default"/>
              <w:jc w:val="right"/>
              <w:rPr>
                <w:rFonts w:ascii="Times New Roman" w:hAnsi="Times New Roman" w:cs="Times New Roman"/>
                <w:sz w:val="20"/>
                <w:szCs w:val="20"/>
              </w:rPr>
            </w:pPr>
            <w:r>
              <w:rPr>
                <w:rFonts w:ascii="Times New Roman" w:hAnsi="Times New Roman" w:cs="Times New Roman"/>
                <w:sz w:val="20"/>
                <w:szCs w:val="20"/>
              </w:rPr>
              <w:t>0</w:t>
            </w:r>
          </w:p>
        </w:tc>
      </w:tr>
      <w:tr w14:paraId="3F0091CA" w14:textId="77777777" w:rsidTr="002E72F8">
        <w:tblPrEx>
          <w:tblW w:w="8447" w:type="dxa"/>
          <w:tblLook w:val="04A0"/>
        </w:tblPrEx>
        <w:trPr>
          <w:trHeight w:val="322"/>
        </w:trPr>
        <w:tc>
          <w:tcPr>
            <w:tcW w:w="3505" w:type="dxa"/>
            <w:noWrap/>
            <w:vAlign w:val="center"/>
            <w:hideMark/>
          </w:tcPr>
          <w:p w:rsidR="00947244" w:rsidRPr="007628FE" w:rsidP="002E72F8" w14:paraId="6D4FCB2B" w14:textId="77777777">
            <w:pPr>
              <w:pStyle w:val="Default"/>
              <w:rPr>
                <w:rFonts w:ascii="Times New Roman" w:hAnsi="Times New Roman" w:cs="Times New Roman"/>
                <w:sz w:val="20"/>
                <w:szCs w:val="20"/>
              </w:rPr>
            </w:pPr>
            <w:r w:rsidRPr="007628FE">
              <w:rPr>
                <w:rFonts w:ascii="Times New Roman" w:hAnsi="Times New Roman" w:cs="Times New Roman"/>
                <w:sz w:val="20"/>
                <w:szCs w:val="20"/>
              </w:rPr>
              <w:t>Number of Responses</w:t>
            </w:r>
          </w:p>
        </w:tc>
        <w:tc>
          <w:tcPr>
            <w:tcW w:w="1816" w:type="dxa"/>
            <w:noWrap/>
            <w:vAlign w:val="center"/>
          </w:tcPr>
          <w:p w:rsidR="00947244" w:rsidRPr="007628FE" w:rsidP="002E72F8" w14:paraId="29323326" w14:textId="65A376A6">
            <w:pPr>
              <w:pStyle w:val="Default"/>
              <w:jc w:val="right"/>
              <w:rPr>
                <w:rFonts w:ascii="Times New Roman" w:hAnsi="Times New Roman" w:cs="Times New Roman"/>
                <w:sz w:val="20"/>
                <w:szCs w:val="20"/>
              </w:rPr>
            </w:pPr>
            <w:r>
              <w:rPr>
                <w:rFonts w:ascii="Times New Roman" w:hAnsi="Times New Roman" w:cs="Times New Roman"/>
                <w:sz w:val="20"/>
                <w:szCs w:val="20"/>
              </w:rPr>
              <w:t>5</w:t>
            </w:r>
            <w:r w:rsidR="003F474C">
              <w:rPr>
                <w:rFonts w:ascii="Times New Roman" w:hAnsi="Times New Roman" w:cs="Times New Roman"/>
                <w:sz w:val="20"/>
                <w:szCs w:val="20"/>
              </w:rPr>
              <w:t>,9</w:t>
            </w:r>
            <w:r>
              <w:rPr>
                <w:rFonts w:ascii="Times New Roman" w:hAnsi="Times New Roman" w:cs="Times New Roman"/>
                <w:sz w:val="20"/>
                <w:szCs w:val="20"/>
              </w:rPr>
              <w:t>4</w:t>
            </w:r>
            <w:r w:rsidR="003F474C">
              <w:rPr>
                <w:rFonts w:ascii="Times New Roman" w:hAnsi="Times New Roman" w:cs="Times New Roman"/>
                <w:sz w:val="20"/>
                <w:szCs w:val="20"/>
              </w:rPr>
              <w:t>0</w:t>
            </w:r>
          </w:p>
        </w:tc>
        <w:tc>
          <w:tcPr>
            <w:tcW w:w="1694" w:type="dxa"/>
            <w:vAlign w:val="center"/>
          </w:tcPr>
          <w:p w:rsidR="00947244" w:rsidRPr="007628FE" w:rsidP="002E72F8" w14:paraId="05E0FC78" w14:textId="02266B7F">
            <w:pPr>
              <w:pStyle w:val="Default"/>
              <w:jc w:val="right"/>
              <w:rPr>
                <w:rFonts w:ascii="Times New Roman" w:hAnsi="Times New Roman" w:cs="Times New Roman"/>
                <w:sz w:val="20"/>
                <w:szCs w:val="20"/>
              </w:rPr>
            </w:pPr>
            <w:r>
              <w:rPr>
                <w:rFonts w:ascii="Times New Roman" w:hAnsi="Times New Roman" w:cs="Times New Roman"/>
                <w:sz w:val="20"/>
                <w:szCs w:val="20"/>
              </w:rPr>
              <w:t>3</w:t>
            </w:r>
            <w:r w:rsidR="003F474C">
              <w:rPr>
                <w:rFonts w:ascii="Times New Roman" w:hAnsi="Times New Roman" w:cs="Times New Roman"/>
                <w:sz w:val="20"/>
                <w:szCs w:val="20"/>
              </w:rPr>
              <w:t>,</w:t>
            </w:r>
            <w:r>
              <w:rPr>
                <w:rFonts w:ascii="Times New Roman" w:hAnsi="Times New Roman" w:cs="Times New Roman"/>
                <w:sz w:val="20"/>
                <w:szCs w:val="20"/>
              </w:rPr>
              <w:t>960</w:t>
            </w:r>
          </w:p>
        </w:tc>
        <w:tc>
          <w:tcPr>
            <w:tcW w:w="1432" w:type="dxa"/>
            <w:noWrap/>
            <w:vAlign w:val="center"/>
          </w:tcPr>
          <w:p w:rsidR="00947244" w:rsidRPr="007628FE" w:rsidP="002E72F8" w14:paraId="23423BE5" w14:textId="4B0BB956">
            <w:pPr>
              <w:pStyle w:val="Default"/>
              <w:jc w:val="right"/>
              <w:rPr>
                <w:rFonts w:ascii="Times New Roman" w:hAnsi="Times New Roman" w:cs="Times New Roman"/>
                <w:sz w:val="20"/>
                <w:szCs w:val="20"/>
              </w:rPr>
            </w:pPr>
            <w:r>
              <w:rPr>
                <w:rFonts w:ascii="Times New Roman" w:hAnsi="Times New Roman" w:cs="Times New Roman"/>
                <w:sz w:val="20"/>
                <w:szCs w:val="20"/>
              </w:rPr>
              <w:t>-1,980</w:t>
            </w:r>
          </w:p>
        </w:tc>
      </w:tr>
      <w:tr w14:paraId="3F8D6E85" w14:textId="77777777" w:rsidTr="002E72F8">
        <w:tblPrEx>
          <w:tblW w:w="8447" w:type="dxa"/>
          <w:tblLook w:val="04A0"/>
        </w:tblPrEx>
        <w:trPr>
          <w:trHeight w:val="322"/>
        </w:trPr>
        <w:tc>
          <w:tcPr>
            <w:tcW w:w="3505" w:type="dxa"/>
            <w:noWrap/>
            <w:vAlign w:val="center"/>
            <w:hideMark/>
          </w:tcPr>
          <w:p w:rsidR="00947244" w:rsidRPr="007628FE" w:rsidP="002E72F8" w14:paraId="13E5C4CF" w14:textId="77777777">
            <w:pPr>
              <w:pStyle w:val="Default"/>
              <w:rPr>
                <w:rFonts w:ascii="Times New Roman" w:hAnsi="Times New Roman" w:cs="Times New Roman"/>
                <w:sz w:val="20"/>
                <w:szCs w:val="20"/>
              </w:rPr>
            </w:pPr>
            <w:r w:rsidRPr="007628FE">
              <w:rPr>
                <w:rFonts w:ascii="Times New Roman" w:hAnsi="Times New Roman" w:cs="Times New Roman"/>
                <w:sz w:val="20"/>
                <w:szCs w:val="20"/>
              </w:rPr>
              <w:t>Annual Time Burden</w:t>
            </w:r>
          </w:p>
        </w:tc>
        <w:tc>
          <w:tcPr>
            <w:tcW w:w="1816" w:type="dxa"/>
            <w:noWrap/>
            <w:vAlign w:val="center"/>
          </w:tcPr>
          <w:p w:rsidR="00947244" w:rsidRPr="007628FE" w:rsidP="002E72F8" w14:paraId="70BBE52E" w14:textId="5BED9ED0">
            <w:pPr>
              <w:pStyle w:val="Default"/>
              <w:jc w:val="right"/>
              <w:rPr>
                <w:rFonts w:ascii="Times New Roman" w:hAnsi="Times New Roman" w:cs="Times New Roman"/>
                <w:sz w:val="20"/>
                <w:szCs w:val="20"/>
              </w:rPr>
            </w:pPr>
            <w:r>
              <w:rPr>
                <w:rFonts w:ascii="Times New Roman" w:hAnsi="Times New Roman" w:cs="Times New Roman"/>
                <w:sz w:val="20"/>
                <w:szCs w:val="20"/>
              </w:rPr>
              <w:t>2,04</w:t>
            </w:r>
            <w:r w:rsidR="00884691">
              <w:rPr>
                <w:rFonts w:ascii="Times New Roman" w:hAnsi="Times New Roman" w:cs="Times New Roman"/>
                <w:sz w:val="20"/>
                <w:szCs w:val="20"/>
              </w:rPr>
              <w:t>6</w:t>
            </w:r>
          </w:p>
        </w:tc>
        <w:tc>
          <w:tcPr>
            <w:tcW w:w="1694" w:type="dxa"/>
            <w:vAlign w:val="center"/>
          </w:tcPr>
          <w:p w:rsidR="00947244" w:rsidRPr="007628FE" w:rsidP="002E72F8" w14:paraId="73540773" w14:textId="2E8992A6">
            <w:pPr>
              <w:pStyle w:val="Default"/>
              <w:jc w:val="right"/>
              <w:rPr>
                <w:rFonts w:ascii="Times New Roman" w:hAnsi="Times New Roman" w:cs="Times New Roman"/>
                <w:sz w:val="20"/>
                <w:szCs w:val="20"/>
              </w:rPr>
            </w:pPr>
            <w:r>
              <w:rPr>
                <w:rFonts w:ascii="Times New Roman" w:hAnsi="Times New Roman" w:cs="Times New Roman"/>
                <w:sz w:val="20"/>
                <w:szCs w:val="20"/>
              </w:rPr>
              <w:t>2,112</w:t>
            </w:r>
          </w:p>
        </w:tc>
        <w:tc>
          <w:tcPr>
            <w:tcW w:w="1432" w:type="dxa"/>
            <w:noWrap/>
            <w:vAlign w:val="center"/>
          </w:tcPr>
          <w:p w:rsidR="00947244" w:rsidRPr="007628FE" w:rsidP="002E72F8" w14:paraId="79AEBCC9" w14:textId="3FEA58C8">
            <w:pPr>
              <w:pStyle w:val="Default"/>
              <w:jc w:val="right"/>
              <w:rPr>
                <w:rFonts w:ascii="Times New Roman" w:hAnsi="Times New Roman" w:cs="Times New Roman"/>
                <w:sz w:val="20"/>
                <w:szCs w:val="20"/>
              </w:rPr>
            </w:pPr>
            <w:r>
              <w:rPr>
                <w:rFonts w:ascii="Times New Roman" w:hAnsi="Times New Roman" w:cs="Times New Roman"/>
                <w:sz w:val="20"/>
                <w:szCs w:val="20"/>
              </w:rPr>
              <w:t>6</w:t>
            </w:r>
            <w:r w:rsidR="00884691">
              <w:rPr>
                <w:rFonts w:ascii="Times New Roman" w:hAnsi="Times New Roman" w:cs="Times New Roman"/>
                <w:sz w:val="20"/>
                <w:szCs w:val="20"/>
              </w:rPr>
              <w:t>6</w:t>
            </w:r>
          </w:p>
        </w:tc>
      </w:tr>
      <w:tr w14:paraId="6C8EF3E6" w14:textId="77777777" w:rsidTr="002E72F8">
        <w:tblPrEx>
          <w:tblW w:w="8447" w:type="dxa"/>
          <w:tblLook w:val="04A0"/>
        </w:tblPrEx>
        <w:trPr>
          <w:trHeight w:val="322"/>
        </w:trPr>
        <w:tc>
          <w:tcPr>
            <w:tcW w:w="3505" w:type="dxa"/>
            <w:noWrap/>
            <w:vAlign w:val="center"/>
            <w:hideMark/>
          </w:tcPr>
          <w:p w:rsidR="00947244" w:rsidRPr="007628FE" w:rsidP="00947244" w14:paraId="4F91E131" w14:textId="6642F174">
            <w:pPr>
              <w:pStyle w:val="Default"/>
              <w:rPr>
                <w:rFonts w:ascii="Times New Roman" w:hAnsi="Times New Roman" w:cs="Times New Roman"/>
                <w:sz w:val="20"/>
                <w:szCs w:val="20"/>
              </w:rPr>
            </w:pPr>
            <w:r w:rsidRPr="007628FE">
              <w:rPr>
                <w:rFonts w:ascii="Times New Roman" w:hAnsi="Times New Roman" w:cs="Times New Roman"/>
                <w:sz w:val="20"/>
                <w:szCs w:val="20"/>
              </w:rPr>
              <w:t xml:space="preserve">Annual Burden Costs </w:t>
            </w:r>
          </w:p>
        </w:tc>
        <w:tc>
          <w:tcPr>
            <w:tcW w:w="1816" w:type="dxa"/>
            <w:noWrap/>
            <w:vAlign w:val="center"/>
            <w:hideMark/>
          </w:tcPr>
          <w:p w:rsidR="00947244" w:rsidRPr="007628FE" w:rsidP="00947244" w14:paraId="2A78E26E" w14:textId="5793D432">
            <w:pPr>
              <w:pStyle w:val="Default"/>
              <w:jc w:val="right"/>
              <w:rPr>
                <w:rFonts w:ascii="Times New Roman" w:hAnsi="Times New Roman" w:cs="Times New Roman"/>
                <w:sz w:val="20"/>
                <w:szCs w:val="20"/>
              </w:rPr>
            </w:pPr>
            <w:r w:rsidRPr="007628FE">
              <w:rPr>
                <w:rFonts w:ascii="Times New Roman" w:hAnsi="Times New Roman" w:cs="Times New Roman"/>
                <w:sz w:val="20"/>
                <w:szCs w:val="20"/>
              </w:rPr>
              <w:t>$</w:t>
            </w:r>
            <w:r>
              <w:rPr>
                <w:rFonts w:ascii="Times New Roman" w:hAnsi="Times New Roman" w:cs="Times New Roman"/>
                <w:sz w:val="20"/>
                <w:szCs w:val="20"/>
              </w:rPr>
              <w:t>90,130</w:t>
            </w:r>
          </w:p>
        </w:tc>
        <w:tc>
          <w:tcPr>
            <w:tcW w:w="1694" w:type="dxa"/>
            <w:vAlign w:val="center"/>
          </w:tcPr>
          <w:p w:rsidR="00947244" w:rsidRPr="007628FE" w:rsidP="00947244" w14:paraId="7A935054" w14:textId="22F66CC8">
            <w:pPr>
              <w:pStyle w:val="Default"/>
              <w:jc w:val="right"/>
              <w:rPr>
                <w:rFonts w:ascii="Times New Roman" w:hAnsi="Times New Roman" w:cs="Times New Roman"/>
                <w:sz w:val="20"/>
                <w:szCs w:val="20"/>
              </w:rPr>
            </w:pPr>
            <w:r w:rsidRPr="007628FE">
              <w:rPr>
                <w:rFonts w:ascii="Times New Roman" w:hAnsi="Times New Roman" w:cs="Times New Roman"/>
                <w:sz w:val="20"/>
                <w:szCs w:val="20"/>
              </w:rPr>
              <w:t>$</w:t>
            </w:r>
            <w:r>
              <w:rPr>
                <w:rFonts w:ascii="Times New Roman" w:hAnsi="Times New Roman" w:cs="Times New Roman"/>
                <w:sz w:val="20"/>
                <w:szCs w:val="20"/>
              </w:rPr>
              <w:t>90,733</w:t>
            </w:r>
          </w:p>
        </w:tc>
        <w:tc>
          <w:tcPr>
            <w:tcW w:w="1432" w:type="dxa"/>
            <w:noWrap/>
            <w:vAlign w:val="center"/>
            <w:hideMark/>
          </w:tcPr>
          <w:p w:rsidR="00947244" w:rsidRPr="007628FE" w:rsidP="00947244" w14:paraId="007D9377" w14:textId="6F3F522E">
            <w:pPr>
              <w:pStyle w:val="Default"/>
              <w:jc w:val="right"/>
              <w:rPr>
                <w:rFonts w:ascii="Times New Roman" w:hAnsi="Times New Roman" w:cs="Times New Roman"/>
                <w:sz w:val="20"/>
                <w:szCs w:val="20"/>
              </w:rPr>
            </w:pPr>
            <w:r w:rsidRPr="007628FE">
              <w:rPr>
                <w:rFonts w:ascii="Times New Roman" w:hAnsi="Times New Roman" w:cs="Times New Roman"/>
                <w:sz w:val="20"/>
                <w:szCs w:val="20"/>
              </w:rPr>
              <w:t>$</w:t>
            </w:r>
            <w:r>
              <w:rPr>
                <w:rFonts w:ascii="Times New Roman" w:hAnsi="Times New Roman" w:cs="Times New Roman"/>
                <w:sz w:val="20"/>
                <w:szCs w:val="20"/>
              </w:rPr>
              <w:t>603</w:t>
            </w:r>
          </w:p>
        </w:tc>
      </w:tr>
      <w:tr w14:paraId="46FC280D" w14:textId="77777777" w:rsidTr="00A162FD">
        <w:tblPrEx>
          <w:tblW w:w="8447" w:type="dxa"/>
          <w:tblLook w:val="04A0"/>
        </w:tblPrEx>
        <w:trPr>
          <w:trHeight w:val="322"/>
        </w:trPr>
        <w:tc>
          <w:tcPr>
            <w:tcW w:w="3505" w:type="dxa"/>
            <w:noWrap/>
            <w:vAlign w:val="center"/>
          </w:tcPr>
          <w:p w:rsidR="002A0C88" w:rsidRPr="007628FE" w:rsidP="00A162FD" w14:paraId="5D72B2DE" w14:textId="090DE1FE">
            <w:pPr>
              <w:pStyle w:val="Default"/>
              <w:rPr>
                <w:rFonts w:ascii="Times New Roman" w:hAnsi="Times New Roman" w:cs="Times New Roman"/>
                <w:sz w:val="20"/>
                <w:szCs w:val="20"/>
              </w:rPr>
            </w:pPr>
            <w:r w:rsidRPr="007628FE">
              <w:rPr>
                <w:rFonts w:ascii="Times New Roman" w:hAnsi="Times New Roman" w:cs="Times New Roman"/>
                <w:sz w:val="20"/>
                <w:szCs w:val="20"/>
              </w:rPr>
              <w:t>Annual Other Burden Costs</w:t>
            </w:r>
          </w:p>
        </w:tc>
        <w:tc>
          <w:tcPr>
            <w:tcW w:w="1816" w:type="dxa"/>
            <w:noWrap/>
            <w:vAlign w:val="center"/>
          </w:tcPr>
          <w:p w:rsidR="002A0C88" w:rsidRPr="007628FE" w:rsidP="00A162FD" w14:paraId="1444E3D7" w14:textId="77777777">
            <w:pPr>
              <w:pStyle w:val="Default"/>
              <w:jc w:val="right"/>
              <w:rPr>
                <w:rFonts w:ascii="Times New Roman" w:hAnsi="Times New Roman" w:cs="Times New Roman"/>
                <w:sz w:val="20"/>
                <w:szCs w:val="20"/>
              </w:rPr>
            </w:pPr>
            <w:r>
              <w:rPr>
                <w:rFonts w:ascii="Times New Roman" w:hAnsi="Times New Roman" w:cs="Times New Roman"/>
                <w:sz w:val="20"/>
                <w:szCs w:val="20"/>
              </w:rPr>
              <w:t>$6,000</w:t>
            </w:r>
          </w:p>
        </w:tc>
        <w:tc>
          <w:tcPr>
            <w:tcW w:w="1694" w:type="dxa"/>
            <w:vAlign w:val="center"/>
          </w:tcPr>
          <w:p w:rsidR="002A0C88" w:rsidRPr="007628FE" w:rsidP="00A162FD" w14:paraId="31E565E1" w14:textId="77777777">
            <w:pPr>
              <w:pStyle w:val="Default"/>
              <w:jc w:val="right"/>
              <w:rPr>
                <w:rFonts w:ascii="Times New Roman" w:hAnsi="Times New Roman" w:cs="Times New Roman"/>
                <w:sz w:val="20"/>
                <w:szCs w:val="20"/>
              </w:rPr>
            </w:pPr>
            <w:r>
              <w:rPr>
                <w:rFonts w:ascii="Times New Roman" w:hAnsi="Times New Roman" w:cs="Times New Roman"/>
                <w:sz w:val="20"/>
                <w:szCs w:val="20"/>
              </w:rPr>
              <w:t>$6,000</w:t>
            </w:r>
          </w:p>
        </w:tc>
        <w:tc>
          <w:tcPr>
            <w:tcW w:w="1432" w:type="dxa"/>
            <w:noWrap/>
            <w:vAlign w:val="center"/>
          </w:tcPr>
          <w:p w:rsidR="002A0C88" w:rsidRPr="007628FE" w:rsidP="00A162FD" w14:paraId="48823A1C" w14:textId="77777777">
            <w:pPr>
              <w:pStyle w:val="Default"/>
              <w:jc w:val="right"/>
              <w:rPr>
                <w:rFonts w:ascii="Times New Roman" w:hAnsi="Times New Roman" w:cs="Times New Roman"/>
                <w:sz w:val="20"/>
                <w:szCs w:val="20"/>
              </w:rPr>
            </w:pPr>
            <w:r>
              <w:rPr>
                <w:rFonts w:ascii="Times New Roman" w:hAnsi="Times New Roman" w:cs="Times New Roman"/>
                <w:sz w:val="20"/>
                <w:szCs w:val="20"/>
              </w:rPr>
              <w:t>0</w:t>
            </w:r>
          </w:p>
        </w:tc>
      </w:tr>
      <w:tr w14:paraId="0A05AD90" w14:textId="77777777" w:rsidTr="002E72F8">
        <w:tblPrEx>
          <w:tblW w:w="8447" w:type="dxa"/>
          <w:tblLook w:val="04A0"/>
        </w:tblPrEx>
        <w:trPr>
          <w:trHeight w:val="322"/>
        </w:trPr>
        <w:tc>
          <w:tcPr>
            <w:tcW w:w="3505" w:type="dxa"/>
            <w:noWrap/>
            <w:vAlign w:val="center"/>
          </w:tcPr>
          <w:p w:rsidR="00947244" w:rsidRPr="007628FE" w:rsidP="00947244" w14:paraId="432FBD2F" w14:textId="77777777">
            <w:pPr>
              <w:pStyle w:val="Default"/>
              <w:rPr>
                <w:rFonts w:ascii="Times New Roman" w:hAnsi="Times New Roman" w:cs="Times New Roman"/>
                <w:sz w:val="20"/>
                <w:szCs w:val="20"/>
              </w:rPr>
            </w:pPr>
          </w:p>
        </w:tc>
        <w:tc>
          <w:tcPr>
            <w:tcW w:w="1816" w:type="dxa"/>
            <w:noWrap/>
            <w:vAlign w:val="center"/>
          </w:tcPr>
          <w:p w:rsidR="00947244" w:rsidRPr="007628FE" w:rsidP="00947244" w14:paraId="19799868" w14:textId="77777777">
            <w:pPr>
              <w:pStyle w:val="Default"/>
              <w:jc w:val="right"/>
              <w:rPr>
                <w:rFonts w:ascii="Times New Roman" w:hAnsi="Times New Roman" w:cs="Times New Roman"/>
                <w:sz w:val="20"/>
                <w:szCs w:val="20"/>
              </w:rPr>
            </w:pPr>
          </w:p>
        </w:tc>
        <w:tc>
          <w:tcPr>
            <w:tcW w:w="1694" w:type="dxa"/>
            <w:vAlign w:val="center"/>
          </w:tcPr>
          <w:p w:rsidR="00947244" w:rsidRPr="007628FE" w:rsidP="00947244" w14:paraId="68D88992" w14:textId="77777777">
            <w:pPr>
              <w:pStyle w:val="Default"/>
              <w:jc w:val="right"/>
              <w:rPr>
                <w:rFonts w:ascii="Times New Roman" w:hAnsi="Times New Roman" w:cs="Times New Roman"/>
                <w:sz w:val="20"/>
                <w:szCs w:val="20"/>
              </w:rPr>
            </w:pPr>
          </w:p>
        </w:tc>
        <w:tc>
          <w:tcPr>
            <w:tcW w:w="1432" w:type="dxa"/>
            <w:noWrap/>
            <w:vAlign w:val="center"/>
          </w:tcPr>
          <w:p w:rsidR="00947244" w:rsidRPr="007628FE" w:rsidP="00947244" w14:paraId="5622A44B" w14:textId="77777777">
            <w:pPr>
              <w:pStyle w:val="Default"/>
              <w:jc w:val="right"/>
              <w:rPr>
                <w:rFonts w:ascii="Times New Roman" w:hAnsi="Times New Roman" w:cs="Times New Roman"/>
                <w:sz w:val="20"/>
                <w:szCs w:val="20"/>
              </w:rPr>
            </w:pPr>
          </w:p>
        </w:tc>
      </w:tr>
      <w:tr w14:paraId="0262204A" w14:textId="77777777" w:rsidTr="002E72F8">
        <w:tblPrEx>
          <w:tblW w:w="8447" w:type="dxa"/>
          <w:tblLook w:val="04A0"/>
        </w:tblPrEx>
        <w:trPr>
          <w:trHeight w:val="322"/>
        </w:trPr>
        <w:tc>
          <w:tcPr>
            <w:tcW w:w="3505" w:type="dxa"/>
            <w:noWrap/>
            <w:vAlign w:val="center"/>
          </w:tcPr>
          <w:p w:rsidR="00947244" w:rsidRPr="007628FE" w:rsidP="00947244" w14:paraId="16E01866" w14:textId="77777777">
            <w:pPr>
              <w:pStyle w:val="Default"/>
              <w:rPr>
                <w:rFonts w:ascii="Times New Roman" w:hAnsi="Times New Roman" w:cs="Times New Roman"/>
                <w:sz w:val="20"/>
                <w:szCs w:val="20"/>
              </w:rPr>
            </w:pPr>
            <w:r w:rsidRPr="007628FE">
              <w:rPr>
                <w:rFonts w:ascii="Times New Roman" w:hAnsi="Times New Roman" w:cs="Times New Roman"/>
                <w:sz w:val="20"/>
                <w:szCs w:val="20"/>
              </w:rPr>
              <w:t xml:space="preserve">Federal </w:t>
            </w:r>
            <w:r w:rsidRPr="00BC060A">
              <w:rPr>
                <w:rFonts w:ascii="Times New Roman" w:hAnsi="Times New Roman" w:cs="Times New Roman"/>
                <w:sz w:val="20"/>
                <w:szCs w:val="20"/>
              </w:rPr>
              <w:t>Hours</w:t>
            </w:r>
          </w:p>
        </w:tc>
        <w:tc>
          <w:tcPr>
            <w:tcW w:w="1816" w:type="dxa"/>
            <w:noWrap/>
            <w:vAlign w:val="center"/>
          </w:tcPr>
          <w:p w:rsidR="00947244" w:rsidRPr="007628FE" w:rsidP="00947244" w14:paraId="2E14C58A" w14:textId="1F85F8CE">
            <w:pPr>
              <w:pStyle w:val="Default"/>
              <w:jc w:val="right"/>
              <w:rPr>
                <w:rFonts w:ascii="Times New Roman" w:hAnsi="Times New Roman" w:cs="Times New Roman"/>
                <w:sz w:val="20"/>
                <w:szCs w:val="20"/>
              </w:rPr>
            </w:pPr>
            <w:r>
              <w:rPr>
                <w:rFonts w:ascii="Times New Roman" w:hAnsi="Times New Roman" w:cs="Times New Roman"/>
                <w:sz w:val="20"/>
                <w:szCs w:val="20"/>
              </w:rPr>
              <w:t>0</w:t>
            </w:r>
          </w:p>
        </w:tc>
        <w:tc>
          <w:tcPr>
            <w:tcW w:w="1694" w:type="dxa"/>
            <w:vAlign w:val="center"/>
          </w:tcPr>
          <w:p w:rsidR="00947244" w:rsidRPr="007628FE" w:rsidP="00947244" w14:paraId="6DEB19B8" w14:textId="501592DE">
            <w:pPr>
              <w:pStyle w:val="Default"/>
              <w:jc w:val="right"/>
              <w:rPr>
                <w:rFonts w:ascii="Times New Roman" w:hAnsi="Times New Roman" w:cs="Times New Roman"/>
                <w:sz w:val="20"/>
                <w:szCs w:val="20"/>
              </w:rPr>
            </w:pPr>
            <w:r>
              <w:rPr>
                <w:rFonts w:ascii="Times New Roman" w:hAnsi="Times New Roman" w:cs="Times New Roman"/>
                <w:sz w:val="20"/>
                <w:szCs w:val="20"/>
              </w:rPr>
              <w:t>0</w:t>
            </w:r>
          </w:p>
        </w:tc>
        <w:tc>
          <w:tcPr>
            <w:tcW w:w="1432" w:type="dxa"/>
            <w:noWrap/>
            <w:vAlign w:val="center"/>
          </w:tcPr>
          <w:p w:rsidR="00947244" w:rsidRPr="007628FE" w:rsidP="00947244" w14:paraId="6F4698D5" w14:textId="5E89A1D6">
            <w:pPr>
              <w:pStyle w:val="Default"/>
              <w:jc w:val="right"/>
              <w:rPr>
                <w:rFonts w:ascii="Times New Roman" w:hAnsi="Times New Roman" w:cs="Times New Roman"/>
                <w:sz w:val="20"/>
                <w:szCs w:val="20"/>
              </w:rPr>
            </w:pPr>
            <w:r>
              <w:rPr>
                <w:rFonts w:ascii="Times New Roman" w:hAnsi="Times New Roman" w:cs="Times New Roman"/>
                <w:sz w:val="20"/>
                <w:szCs w:val="20"/>
              </w:rPr>
              <w:t>0</w:t>
            </w:r>
          </w:p>
        </w:tc>
      </w:tr>
      <w:tr w14:paraId="6E543493" w14:textId="77777777" w:rsidTr="002E72F8">
        <w:tblPrEx>
          <w:tblW w:w="8447" w:type="dxa"/>
          <w:tblLook w:val="04A0"/>
        </w:tblPrEx>
        <w:trPr>
          <w:trHeight w:val="322"/>
        </w:trPr>
        <w:tc>
          <w:tcPr>
            <w:tcW w:w="3505" w:type="dxa"/>
            <w:noWrap/>
            <w:vAlign w:val="center"/>
          </w:tcPr>
          <w:p w:rsidR="00947244" w:rsidRPr="007628FE" w:rsidP="00947244" w14:paraId="097D6292" w14:textId="77777777">
            <w:pPr>
              <w:pStyle w:val="Default"/>
              <w:rPr>
                <w:rFonts w:ascii="Times New Roman" w:hAnsi="Times New Roman" w:cs="Times New Roman"/>
                <w:sz w:val="20"/>
                <w:szCs w:val="20"/>
              </w:rPr>
            </w:pPr>
            <w:r w:rsidRPr="007628FE">
              <w:rPr>
                <w:rFonts w:ascii="Times New Roman" w:hAnsi="Times New Roman" w:cs="Times New Roman"/>
                <w:sz w:val="20"/>
                <w:szCs w:val="20"/>
              </w:rPr>
              <w:t xml:space="preserve">Federal </w:t>
            </w:r>
            <w:r w:rsidRPr="00BC060A">
              <w:rPr>
                <w:rFonts w:ascii="Times New Roman" w:hAnsi="Times New Roman" w:cs="Times New Roman"/>
                <w:sz w:val="20"/>
                <w:szCs w:val="20"/>
              </w:rPr>
              <w:t>Costs</w:t>
            </w:r>
          </w:p>
        </w:tc>
        <w:tc>
          <w:tcPr>
            <w:tcW w:w="1816" w:type="dxa"/>
            <w:noWrap/>
            <w:vAlign w:val="center"/>
          </w:tcPr>
          <w:p w:rsidR="00947244" w:rsidRPr="007628FE" w:rsidP="00947244" w14:paraId="2A3B2A8C" w14:textId="414D13D2">
            <w:pPr>
              <w:pStyle w:val="Default"/>
              <w:jc w:val="right"/>
              <w:rPr>
                <w:rFonts w:ascii="Times New Roman" w:hAnsi="Times New Roman" w:cs="Times New Roman"/>
                <w:sz w:val="20"/>
                <w:szCs w:val="20"/>
              </w:rPr>
            </w:pPr>
            <w:r w:rsidRPr="007628FE">
              <w:rPr>
                <w:rFonts w:ascii="Times New Roman" w:hAnsi="Times New Roman" w:cs="Times New Roman"/>
                <w:sz w:val="20"/>
                <w:szCs w:val="20"/>
              </w:rPr>
              <w:t>$</w:t>
            </w:r>
            <w:r>
              <w:rPr>
                <w:rFonts w:ascii="Times New Roman" w:hAnsi="Times New Roman" w:cs="Times New Roman"/>
                <w:sz w:val="20"/>
                <w:szCs w:val="20"/>
              </w:rPr>
              <w:t>0</w:t>
            </w:r>
          </w:p>
        </w:tc>
        <w:tc>
          <w:tcPr>
            <w:tcW w:w="1694" w:type="dxa"/>
            <w:vAlign w:val="center"/>
          </w:tcPr>
          <w:p w:rsidR="00947244" w:rsidRPr="007628FE" w:rsidP="00947244" w14:paraId="3ADC0D79" w14:textId="06A96150">
            <w:pPr>
              <w:pStyle w:val="Default"/>
              <w:jc w:val="right"/>
              <w:rPr>
                <w:rFonts w:ascii="Times New Roman" w:hAnsi="Times New Roman" w:cs="Times New Roman"/>
                <w:sz w:val="20"/>
                <w:szCs w:val="20"/>
              </w:rPr>
            </w:pPr>
            <w:r w:rsidRPr="007628FE">
              <w:rPr>
                <w:rFonts w:ascii="Times New Roman" w:hAnsi="Times New Roman" w:cs="Times New Roman"/>
                <w:sz w:val="20"/>
                <w:szCs w:val="20"/>
              </w:rPr>
              <w:t>$</w:t>
            </w:r>
            <w:r>
              <w:rPr>
                <w:rFonts w:ascii="Times New Roman" w:hAnsi="Times New Roman" w:cs="Times New Roman"/>
                <w:sz w:val="20"/>
                <w:szCs w:val="20"/>
              </w:rPr>
              <w:t>0</w:t>
            </w:r>
          </w:p>
        </w:tc>
        <w:tc>
          <w:tcPr>
            <w:tcW w:w="1432" w:type="dxa"/>
            <w:noWrap/>
            <w:vAlign w:val="center"/>
          </w:tcPr>
          <w:p w:rsidR="00947244" w:rsidRPr="007628FE" w:rsidP="00947244" w14:paraId="26FDB6A2" w14:textId="6C8B5A12">
            <w:pPr>
              <w:pStyle w:val="Default"/>
              <w:jc w:val="right"/>
              <w:rPr>
                <w:rFonts w:ascii="Times New Roman" w:hAnsi="Times New Roman" w:cs="Times New Roman"/>
                <w:sz w:val="20"/>
                <w:szCs w:val="20"/>
              </w:rPr>
            </w:pPr>
            <w:r w:rsidRPr="007628FE">
              <w:rPr>
                <w:rFonts w:ascii="Times New Roman" w:hAnsi="Times New Roman" w:cs="Times New Roman"/>
                <w:sz w:val="20"/>
                <w:szCs w:val="20"/>
              </w:rPr>
              <w:t>$</w:t>
            </w:r>
            <w:r>
              <w:rPr>
                <w:rFonts w:ascii="Times New Roman" w:hAnsi="Times New Roman" w:cs="Times New Roman"/>
                <w:sz w:val="20"/>
                <w:szCs w:val="20"/>
              </w:rPr>
              <w:t>0</w:t>
            </w:r>
          </w:p>
        </w:tc>
      </w:tr>
    </w:tbl>
    <w:p w:rsidR="00947244" w:rsidRPr="0037428D" w14:paraId="73485B44" w14:textId="77777777">
      <w:pPr>
        <w:pStyle w:val="Default"/>
        <w:rPr>
          <w:rFonts w:ascii="Times New Roman" w:hAnsi="Times New Roman" w:cs="Times New Roman"/>
          <w:color w:val="auto"/>
        </w:rPr>
      </w:pPr>
    </w:p>
    <w:p w:rsidR="003A1CC0" w:rsidRPr="0037428D" w14:paraId="14208454" w14:textId="77777777">
      <w:pPr>
        <w:pStyle w:val="Default"/>
        <w:rPr>
          <w:rFonts w:ascii="Times New Roman" w:hAnsi="Times New Roman" w:cs="Times New Roman"/>
          <w:color w:val="auto"/>
        </w:rPr>
      </w:pPr>
    </w:p>
    <w:p w:rsidR="00AB7B1F" w:rsidRPr="0037428D" w:rsidP="00AB7B1F" w14:paraId="3E814915" w14:textId="77777777">
      <w:pPr>
        <w:rPr>
          <w:b/>
        </w:rPr>
      </w:pPr>
      <w:r w:rsidRPr="0037428D">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1C43" w:rsidRPr="0037428D" w14:paraId="00DD77CF" w14:textId="77777777">
      <w:pPr>
        <w:pStyle w:val="Default"/>
        <w:rPr>
          <w:rFonts w:ascii="Times New Roman" w:hAnsi="Times New Roman" w:cs="Times New Roman"/>
          <w:color w:val="auto"/>
        </w:rPr>
      </w:pPr>
    </w:p>
    <w:p w:rsidR="00947244" w:rsidRPr="00BC060A" w:rsidP="00947244" w14:paraId="305DD360" w14:textId="77777777">
      <w:r w:rsidRPr="00BC060A">
        <w:t>MSHA does not intend to publish the results of this information collection.</w:t>
      </w:r>
    </w:p>
    <w:p w:rsidR="003A1C43" w:rsidRPr="0037428D" w14:paraId="6F9A3F92" w14:textId="7ABFED1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AB7B1F" w:rsidRPr="0037428D" w:rsidP="00AB7B1F" w14:paraId="0B85AB25" w14:textId="77777777">
      <w:pPr>
        <w:rPr>
          <w:b/>
        </w:rPr>
      </w:pPr>
      <w:r w:rsidRPr="0037428D">
        <w:rPr>
          <w:b/>
        </w:rPr>
        <w:t>17. If seeking approval to not display the expiration date for OMB approval of the information collection, explain the reasons that display would be inappropriate.</w:t>
      </w:r>
    </w:p>
    <w:p w:rsidR="003A1C43" w:rsidRPr="0037428D" w14:paraId="22035B86"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947244" w:rsidRPr="00BC060A" w:rsidP="00947244" w14:paraId="662801E8" w14:textId="77777777">
      <w:r w:rsidRPr="00BC060A">
        <w:t>MSHA is not seeking approval to not display the expiration date for OMB approval of this information collection and there is no form associated with this collection.</w:t>
      </w:r>
    </w:p>
    <w:p w:rsidR="003A1C43" w:rsidRPr="0037428D" w14:paraId="67578CE2"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AB7B1F" w:rsidRPr="0037428D" w:rsidP="00AB7B1F" w14:paraId="24C4A2C7" w14:textId="2E62AE11">
      <w:pPr>
        <w:rPr>
          <w:b/>
        </w:rPr>
      </w:pPr>
      <w:r w:rsidRPr="0037428D">
        <w:rPr>
          <w:b/>
        </w:rPr>
        <w:t xml:space="preserve">18. Explain each exception to the </w:t>
      </w:r>
      <w:r w:rsidRPr="0037428D" w:rsidR="00AA4F45">
        <w:rPr>
          <w:b/>
        </w:rPr>
        <w:t xml:space="preserve">topics of the </w:t>
      </w:r>
      <w:r w:rsidRPr="0037428D" w:rsidR="00286697">
        <w:rPr>
          <w:b/>
        </w:rPr>
        <w:t>certification statement.</w:t>
      </w:r>
    </w:p>
    <w:p w:rsidR="003A1C43" w:rsidRPr="0037428D" w14:paraId="26A57C9E" w14:textId="77777777">
      <w:pPr>
        <w:pStyle w:val="Default"/>
        <w:rPr>
          <w:rFonts w:ascii="Times New Roman" w:hAnsi="Times New Roman" w:cs="Times New Roman"/>
          <w:color w:val="auto"/>
        </w:rPr>
      </w:pPr>
    </w:p>
    <w:p w:rsidR="003A1C43" w:rsidRPr="0037428D" w14:paraId="35AA8873" w14:textId="3D215DE6">
      <w:pPr>
        <w:pStyle w:val="Default"/>
        <w:rPr>
          <w:rFonts w:ascii="Times New Roman" w:hAnsi="Times New Roman" w:cs="Times New Roman"/>
          <w:color w:val="auto"/>
        </w:rPr>
      </w:pPr>
      <w:r w:rsidRPr="0037428D">
        <w:rPr>
          <w:rFonts w:ascii="Times New Roman" w:hAnsi="Times New Roman" w:cs="Times New Roman"/>
          <w:color w:val="auto"/>
        </w:rPr>
        <w:t xml:space="preserve">There </w:t>
      </w:r>
      <w:r w:rsidRPr="0037428D" w:rsidR="00560538">
        <w:rPr>
          <w:rFonts w:ascii="Times New Roman" w:hAnsi="Times New Roman" w:cs="Times New Roman"/>
          <w:color w:val="auto"/>
        </w:rPr>
        <w:t>is</w:t>
      </w:r>
      <w:r w:rsidRPr="0037428D">
        <w:rPr>
          <w:rFonts w:ascii="Times New Roman" w:hAnsi="Times New Roman" w:cs="Times New Roman"/>
          <w:color w:val="auto"/>
        </w:rPr>
        <w:t xml:space="preserve"> no certification exceptions identified with this information collection. </w:t>
      </w:r>
    </w:p>
    <w:p w:rsidR="00AB7B1F" w:rsidRPr="0037428D" w14:paraId="6A416F74" w14:textId="77777777">
      <w:pPr>
        <w:pStyle w:val="Default"/>
        <w:rPr>
          <w:rFonts w:ascii="Times New Roman" w:hAnsi="Times New Roman" w:cs="Times New Roman"/>
          <w:color w:val="auto"/>
        </w:rPr>
      </w:pPr>
    </w:p>
    <w:p w:rsidR="003A1C43" w:rsidRPr="0037428D" w14:paraId="6B5DA083" w14:textId="77777777">
      <w:pPr>
        <w:pStyle w:val="Default"/>
        <w:rPr>
          <w:rFonts w:ascii="Times New Roman" w:hAnsi="Times New Roman" w:cs="Times New Roman"/>
          <w:color w:val="auto"/>
        </w:rPr>
      </w:pPr>
      <w:r w:rsidRPr="0037428D">
        <w:rPr>
          <w:rFonts w:ascii="Times New Roman" w:hAnsi="Times New Roman" w:cs="Times New Roman"/>
          <w:b/>
          <w:bCs/>
          <w:color w:val="auto"/>
        </w:rPr>
        <w:t xml:space="preserve">B. Collection of Information Employing Statistical Methods </w:t>
      </w:r>
    </w:p>
    <w:p w:rsidR="003A1C43" w:rsidRPr="0037428D" w14:paraId="01E3A699" w14:textId="77777777">
      <w:pPr>
        <w:pStyle w:val="Default"/>
        <w:rPr>
          <w:rFonts w:ascii="Times New Roman" w:hAnsi="Times New Roman" w:cs="Times New Roman"/>
          <w:color w:val="auto"/>
        </w:rPr>
      </w:pPr>
      <w:r w:rsidRPr="0037428D">
        <w:rPr>
          <w:rFonts w:ascii="Times New Roman" w:hAnsi="Times New Roman" w:cs="Times New Roman"/>
          <w:color w:val="auto"/>
        </w:rPr>
        <w:t xml:space="preserve"> </w:t>
      </w:r>
    </w:p>
    <w:p w:rsidR="00A9150D" w:rsidRPr="0037428D" w:rsidP="00A9150D" w14:paraId="157AE95E" w14:textId="77777777">
      <w:pPr>
        <w:tabs>
          <w:tab w:val="left" w:pos="0"/>
        </w:tabs>
        <w:spacing w:line="266" w:lineRule="exact"/>
      </w:pPr>
      <w:r w:rsidRPr="0037428D">
        <w:t>As statistical analysis is not required by the regulation, questions 1 through 5 do not apply.</w:t>
      </w:r>
    </w:p>
    <w:p w:rsidR="003A1C43" w:rsidRPr="0037428D" w:rsidP="00A9150D" w14:paraId="1E84FC77" w14:textId="77777777">
      <w:pPr>
        <w:pStyle w:val="Default"/>
        <w:rPr>
          <w:rFonts w:ascii="Times New Roman" w:hAnsi="Times New Roman" w:cs="Times New Roman"/>
        </w:rPr>
      </w:pPr>
    </w:p>
    <w:sectPr w:rsidSect="00C22D2A">
      <w:headerReference w:type="default" r:id="rId9"/>
      <w:footerReference w:type="even" r:id="rId10"/>
      <w:footerReference w:type="default" r:id="rId11"/>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AC3" w:rsidP="003A1C43" w14:paraId="62717D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F4AC3" w14:paraId="36F5D2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AC3" w:rsidRPr="003445DC" w:rsidP="003A1C43" w14:paraId="63CE5A85" w14:textId="121F1A64">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907EE2">
      <w:rPr>
        <w:rStyle w:val="PageNumber"/>
        <w:noProof/>
      </w:rPr>
      <w:t>7</w:t>
    </w:r>
    <w:r>
      <w:rPr>
        <w:rStyle w:val="PageNumber"/>
      </w:rPr>
      <w:fldChar w:fldCharType="end"/>
    </w:r>
  </w:p>
  <w:p w:rsidR="006F4AC3" w:rsidRPr="00A9150D" w:rsidP="003F403E" w14:paraId="7E73805F"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3027" w14:paraId="0BE46F7D" w14:textId="77777777">
      <w:r>
        <w:separator/>
      </w:r>
    </w:p>
  </w:footnote>
  <w:footnote w:type="continuationSeparator" w:id="1">
    <w:p w:rsidR="00953027" w14:paraId="6ECB8128" w14:textId="77777777">
      <w:r>
        <w:continuationSeparator/>
      </w:r>
    </w:p>
  </w:footnote>
  <w:footnote w:id="2">
    <w:p w:rsidR="00653669" w:rsidRPr="00E47F21" w:rsidP="00653669" w14:paraId="38A82BF9" w14:textId="77777777">
      <w:pPr>
        <w:pStyle w:val="FootnoteText"/>
        <w:rPr>
          <w:rFonts w:ascii="Times New Roman" w:hAnsi="Times New Roman"/>
        </w:rPr>
      </w:pPr>
      <w:r w:rsidRPr="00E47F21">
        <w:rPr>
          <w:rStyle w:val="FootnoteReference"/>
          <w:rFonts w:ascii="Times New Roman" w:hAnsi="Times New Roman"/>
        </w:rPr>
        <w:footnoteRef/>
      </w:r>
      <w:r w:rsidRPr="00E47F21">
        <w:rPr>
          <w:rFonts w:ascii="Times New Roman" w:hAnsi="Times New Roman"/>
        </w:rPr>
        <w:t xml:space="preserve"> 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653669" w:rsidRPr="00E47F21" w:rsidP="00653669" w14:paraId="26ABD18A" w14:textId="77777777">
      <w:pPr>
        <w:pStyle w:val="FootnoteText"/>
        <w:rPr>
          <w:rFonts w:ascii="Times New Roman" w:hAnsi="Times New Roman"/>
        </w:rPr>
      </w:pPr>
    </w:p>
  </w:footnote>
  <w:footnote w:id="3">
    <w:p w:rsidR="00653669" w:rsidRPr="00E47F21" w:rsidP="00653669" w14:paraId="28926C0F" w14:textId="77777777">
      <w:pPr>
        <w:pStyle w:val="FootnoteText"/>
        <w:rPr>
          <w:rFonts w:ascii="Times New Roman" w:hAnsi="Times New Roman"/>
        </w:rPr>
      </w:pPr>
      <w:r w:rsidRPr="00E47F21">
        <w:rPr>
          <w:rStyle w:val="FootnoteReference"/>
          <w:rFonts w:ascii="Times New Roman" w:hAnsi="Times New Roman"/>
        </w:rPr>
        <w:footnoteRef/>
      </w:r>
      <w:r w:rsidRPr="00E47F21">
        <w:rPr>
          <w:rStyle w:val="FootnoteReference"/>
          <w:rFonts w:ascii="Times New Roman" w:hAnsi="Times New Roman"/>
        </w:rPr>
        <w:t xml:space="preserve"> </w:t>
      </w:r>
      <w:r w:rsidRPr="00E47F21">
        <w:rPr>
          <w:rStyle w:val="ui-provider"/>
          <w:rFonts w:ascii="Times New Roman" w:hAnsi="Times New Roman"/>
        </w:rPr>
        <w:t>To obtain OEWS data, follow BLS’s directions in its Frequently Asked Questions: “E. How to get OEWS data. 4. What are the different ways to obtain OEWS estimates from this website?” at </w:t>
      </w:r>
      <w:hyperlink r:id="rId1" w:tgtFrame="_blank" w:tooltip="https://www.bls.gov/oes/oes_ques.htm" w:history="1">
        <w:r w:rsidRPr="00E47F21">
          <w:rPr>
            <w:rStyle w:val="Hyperlink"/>
            <w:rFonts w:ascii="Times New Roman" w:hAnsi="Times New Roman"/>
          </w:rPr>
          <w:t>https://www.bls.gov/oes/oes_ques.htm</w:t>
        </w:r>
      </w:hyperlink>
      <w:r w:rsidRPr="00E47F21">
        <w:rPr>
          <w:rFonts w:ascii="Times New Roman" w:hAnsi="Times New Roman"/>
        </w:rPr>
        <w:t xml:space="preserve">. </w:t>
      </w:r>
      <w:bookmarkStart w:id="3" w:name="_Hlk172026849"/>
      <w:r w:rsidRPr="00E47F21">
        <w:rPr>
          <w:rFonts w:ascii="Times New Roman" w:hAnsi="Times New Roman"/>
        </w:rPr>
        <w:t>The average wage rate is calculated as the employment-weighted average of hourly mean wages for the occupation.</w:t>
      </w:r>
    </w:p>
    <w:bookmarkEnd w:id="3"/>
    <w:p w:rsidR="00653669" w:rsidRPr="00E47F21" w:rsidP="00653669" w14:paraId="14483586" w14:textId="77777777">
      <w:pPr>
        <w:pStyle w:val="FootnoteText"/>
        <w:rPr>
          <w:rFonts w:ascii="Times New Roman" w:hAnsi="Times New Roman"/>
        </w:rPr>
      </w:pPr>
    </w:p>
  </w:footnote>
  <w:footnote w:id="4">
    <w:p w:rsidR="00653669" w:rsidRPr="00E47F21" w:rsidP="00653669" w14:paraId="313A0064" w14:textId="77777777">
      <w:pPr>
        <w:pStyle w:val="FootnoteText"/>
        <w:rPr>
          <w:rFonts w:ascii="Times New Roman" w:hAnsi="Times New Roman"/>
        </w:rPr>
      </w:pPr>
      <w:r w:rsidRPr="00E47F21">
        <w:rPr>
          <w:rStyle w:val="FootnoteReference"/>
          <w:rFonts w:ascii="Times New Roman" w:hAnsi="Times New Roman"/>
        </w:rPr>
        <w:footnoteRef/>
      </w:r>
      <w:r w:rsidRPr="00E47F21">
        <w:rPr>
          <w:rFonts w:ascii="Times New Roman" w:hAnsi="Times New Roman"/>
        </w:rPr>
        <w:t xml:space="preserve"> The benefit multiplier comes from BLS Employer Costs for Employee Compensation accessed by menu at </w:t>
      </w:r>
      <w:hyperlink r:id="rId2" w:history="1">
        <w:r w:rsidRPr="00E47F21">
          <w:rPr>
            <w:rStyle w:val="Hyperlink"/>
            <w:rFonts w:ascii="Times New Roman" w:hAnsi="Times New Roman"/>
          </w:rPr>
          <w:t>http://data.bls.gov/cgi-bin/srgate</w:t>
        </w:r>
      </w:hyperlink>
      <w:r w:rsidRPr="00E47F21">
        <w:rPr>
          <w:rFonts w:ascii="Times New Roman" w:hAnsi="Times New Roman"/>
        </w:rPr>
        <w:t xml:space="preserve"> or directly at </w:t>
      </w:r>
      <w:hyperlink r:id="rId3" w:history="1">
        <w:r w:rsidRPr="00E47F21">
          <w:rPr>
            <w:rStyle w:val="Hyperlink"/>
            <w:rFonts w:ascii="Times New Roman" w:hAnsi="Times New Roman"/>
          </w:rPr>
          <w:t>http://download.bls.gov/pub/time.series/cm/cm.data.0.Current</w:t>
        </w:r>
      </w:hyperlink>
      <w:r w:rsidRPr="00E47F21">
        <w:rPr>
          <w:rFonts w:ascii="Times New Roman" w:hAnsi="Times New Roman"/>
        </w:rPr>
        <w:t>. Insert the data series CMU2030000405000D and CMU2030000405000P, Private Industry Total benefits for Construction, extraction, farming, fishing, and forestry occupations, which is divided by 100 to convert to a decimal value. MSHA uses the latest 4-quarter moving average to determine what percent of total loaded wages are benefits.  MSHA computes the benefit multiplier with a number of detailed calculations, but it may be approximated with the formula 1 + (benefit percentage / (1-benefit percentage)).</w:t>
      </w:r>
    </w:p>
    <w:p w:rsidR="00653669" w:rsidRPr="00E47F21" w:rsidP="00653669" w14:paraId="192DC456" w14:textId="77777777">
      <w:pPr>
        <w:pStyle w:val="FootnoteText"/>
        <w:rPr>
          <w:rFonts w:ascii="Times New Roman" w:hAnsi="Times New Roman"/>
        </w:rPr>
      </w:pPr>
    </w:p>
  </w:footnote>
  <w:footnote w:id="5">
    <w:p w:rsidR="00653669" w:rsidRPr="00E47F21" w:rsidP="00653669" w14:paraId="0BD1E013" w14:textId="77777777">
      <w:pPr>
        <w:pStyle w:val="FootnoteText"/>
        <w:rPr>
          <w:rFonts w:ascii="Times New Roman" w:hAnsi="Times New Roman"/>
        </w:rPr>
      </w:pPr>
      <w:r w:rsidRPr="00E47F21">
        <w:rPr>
          <w:rStyle w:val="FootnoteReference"/>
          <w:rFonts w:ascii="Times New Roman" w:hAnsi="Times New Roman"/>
        </w:rPr>
        <w:footnoteRef/>
      </w:r>
      <w:r w:rsidRPr="00E47F21">
        <w:rPr>
          <w:rStyle w:val="FootnoteReference"/>
          <w:rFonts w:ascii="Times New Roman" w:hAnsi="Times New Roman"/>
        </w:rPr>
        <w:t xml:space="preserve"> </w:t>
      </w:r>
      <w:r w:rsidRPr="00E47F21">
        <w:rPr>
          <w:rFonts w:ascii="Times New Roman" w:hAnsi="Times New Roman"/>
        </w:rPr>
        <w:t>Wage inflation is the change in Series ID: CIS2020000405000I; Seasonally adjusted; Series Title: Wages and salaries for Private industry workers in Construction, extraction, farming, fishing, and forestry occupations, Index. (</w:t>
      </w:r>
      <w:hyperlink r:id="rId4" w:history="1">
        <w:r w:rsidRPr="00E47F21">
          <w:rPr>
            <w:rStyle w:val="Hyperlink"/>
            <w:rFonts w:ascii="Times New Roman" w:hAnsi="Times New Roman"/>
          </w:rPr>
          <w:t>https://data.bls.gov/cgi-bin/srgate</w:t>
        </w:r>
      </w:hyperlink>
      <w:r w:rsidRPr="00E47F21">
        <w:rPr>
          <w:rFonts w:ascii="Times New Roman" w:hAnsi="Times New Roman"/>
        </w:rPr>
        <w:t xml:space="preserve"> ; Inflation Multiplier = (Current Quarter Cost Index Value / OEWS Wage Base Quarter Index Value).</w:t>
      </w:r>
    </w:p>
    <w:p w:rsidR="00653669" w:rsidRPr="00E47F21" w:rsidP="00653669" w14:paraId="0D8E01A9" w14:textId="77777777">
      <w:pPr>
        <w:pStyle w:val="FootnoteText"/>
        <w:rPr>
          <w:rFonts w:ascii="Times New Roman" w:hAnsi="Times New Roman"/>
        </w:rPr>
      </w:pPr>
    </w:p>
  </w:footnote>
  <w:footnote w:id="6">
    <w:p w:rsidR="00653669" w:rsidRPr="00F72BA5" w:rsidP="00653669" w14:paraId="1BE2722F" w14:textId="77777777">
      <w:pPr>
        <w:pStyle w:val="FootnoteText"/>
      </w:pPr>
      <w:r w:rsidRPr="00E47F21">
        <w:rPr>
          <w:rStyle w:val="FootnoteReference"/>
          <w:rFonts w:ascii="Times New Roman" w:hAnsi="Times New Roman"/>
        </w:rPr>
        <w:footnoteRef/>
      </w:r>
      <w:r w:rsidRPr="00E47F21">
        <w:rPr>
          <w:rFonts w:ascii="Times New Roman" w:hAnsi="Times New Roman"/>
        </w:rPr>
        <w:t xml:space="preserve"> MSHA uses an overhead rate of 1 percent. The mining environment generally involves very little overhead, especially costs associated with workers engaged in administrative or clerical tasks.</w:t>
      </w:r>
      <w:r w:rsidRPr="00E47F21">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697" w:rsidP="0069766C" w14:paraId="280969F8" w14:textId="6F95E9C6">
    <w:pPr>
      <w:pStyle w:val="Header"/>
    </w:pPr>
    <w:r w:rsidRPr="00286697">
      <w:t xml:space="preserve">Main </w:t>
    </w:r>
    <w:r w:rsidR="00560538">
      <w:t>F</w:t>
    </w:r>
    <w:r w:rsidRPr="00286697">
      <w:t xml:space="preserve">an </w:t>
    </w:r>
    <w:r w:rsidR="00560538">
      <w:t>O</w:t>
    </w:r>
    <w:r w:rsidRPr="00286697">
      <w:t xml:space="preserve">peration and </w:t>
    </w:r>
    <w:r w:rsidR="00560538">
      <w:t>I</w:t>
    </w:r>
    <w:r w:rsidRPr="00286697">
      <w:t xml:space="preserve">nspection (I-A, II-A, III, and V-A </w:t>
    </w:r>
    <w:r w:rsidR="007771D9">
      <w:t>M</w:t>
    </w:r>
    <w:r w:rsidRPr="00286697">
      <w:t>ines)</w:t>
    </w:r>
  </w:p>
  <w:p w:rsidR="0069766C" w:rsidP="0069766C" w14:paraId="28AE155B" w14:textId="150F1013">
    <w:pPr>
      <w:pStyle w:val="Header"/>
    </w:pPr>
    <w:r>
      <w:t xml:space="preserve">OMB Control Number: </w:t>
    </w:r>
    <w:r>
      <w:t>1219-0030</w:t>
    </w:r>
  </w:p>
  <w:p w:rsidR="0069766C" w:rsidP="0069766C" w14:paraId="39760506" w14:textId="595EB075">
    <w:pPr>
      <w:pStyle w:val="Header"/>
    </w:pPr>
    <w:r>
      <w:t>OMB Expiration Date:  7/31/</w:t>
    </w:r>
    <w:r w:rsidR="00565D86">
      <w:t>2025</w:t>
    </w:r>
  </w:p>
  <w:p w:rsidR="0069766C" w14:paraId="7FAB7D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A614D"/>
    <w:multiLevelType w:val="hybridMultilevel"/>
    <w:tmpl w:val="5A780A7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003898"/>
    <w:multiLevelType w:val="hybridMultilevel"/>
    <w:tmpl w:val="8C203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5530C2"/>
    <w:multiLevelType w:val="hybridMultilevel"/>
    <w:tmpl w:val="C9288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AA7AA6"/>
    <w:multiLevelType w:val="hybridMultilevel"/>
    <w:tmpl w:val="F2CE8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9033253">
    <w:abstractNumId w:val="2"/>
  </w:num>
  <w:num w:numId="2" w16cid:durableId="486482317">
    <w:abstractNumId w:val="4"/>
  </w:num>
  <w:num w:numId="3" w16cid:durableId="1322469058">
    <w:abstractNumId w:val="3"/>
  </w:num>
  <w:num w:numId="4" w16cid:durableId="1759591404">
    <w:abstractNumId w:val="0"/>
  </w:num>
  <w:num w:numId="5" w16cid:durableId="167465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29"/>
    <w:rsid w:val="000103DD"/>
    <w:rsid w:val="000155CD"/>
    <w:rsid w:val="000165CA"/>
    <w:rsid w:val="00031D89"/>
    <w:rsid w:val="00045114"/>
    <w:rsid w:val="00045C37"/>
    <w:rsid w:val="00051702"/>
    <w:rsid w:val="0006365F"/>
    <w:rsid w:val="00070766"/>
    <w:rsid w:val="0007528E"/>
    <w:rsid w:val="000776B0"/>
    <w:rsid w:val="00093D9B"/>
    <w:rsid w:val="000A547A"/>
    <w:rsid w:val="000A6E89"/>
    <w:rsid w:val="000B38AE"/>
    <w:rsid w:val="000B59CF"/>
    <w:rsid w:val="000C2943"/>
    <w:rsid w:val="000D0284"/>
    <w:rsid w:val="000D262C"/>
    <w:rsid w:val="000D2E43"/>
    <w:rsid w:val="000D6A5B"/>
    <w:rsid w:val="000E5F3A"/>
    <w:rsid w:val="000F2CFB"/>
    <w:rsid w:val="000F53C5"/>
    <w:rsid w:val="000F73FE"/>
    <w:rsid w:val="000F76EF"/>
    <w:rsid w:val="00106B93"/>
    <w:rsid w:val="00122625"/>
    <w:rsid w:val="00125FE7"/>
    <w:rsid w:val="00134BFA"/>
    <w:rsid w:val="0014212E"/>
    <w:rsid w:val="00153A5E"/>
    <w:rsid w:val="00155B72"/>
    <w:rsid w:val="00157A70"/>
    <w:rsid w:val="00162C22"/>
    <w:rsid w:val="00165477"/>
    <w:rsid w:val="00172131"/>
    <w:rsid w:val="0017400B"/>
    <w:rsid w:val="00177F49"/>
    <w:rsid w:val="00184EC1"/>
    <w:rsid w:val="00195C69"/>
    <w:rsid w:val="00197F2B"/>
    <w:rsid w:val="001A6293"/>
    <w:rsid w:val="001B3A0A"/>
    <w:rsid w:val="001C4831"/>
    <w:rsid w:val="001C5129"/>
    <w:rsid w:val="001D03CF"/>
    <w:rsid w:val="001D73AB"/>
    <w:rsid w:val="001E6849"/>
    <w:rsid w:val="001E7AA0"/>
    <w:rsid w:val="001F2E2F"/>
    <w:rsid w:val="0020317D"/>
    <w:rsid w:val="0024584A"/>
    <w:rsid w:val="002460FB"/>
    <w:rsid w:val="0024773F"/>
    <w:rsid w:val="002565D2"/>
    <w:rsid w:val="00262D09"/>
    <w:rsid w:val="002637F9"/>
    <w:rsid w:val="00271DED"/>
    <w:rsid w:val="00285743"/>
    <w:rsid w:val="00286697"/>
    <w:rsid w:val="002A0C88"/>
    <w:rsid w:val="002B37FA"/>
    <w:rsid w:val="002B75F0"/>
    <w:rsid w:val="002C10BE"/>
    <w:rsid w:val="002D50C8"/>
    <w:rsid w:val="002E72F8"/>
    <w:rsid w:val="002F40A6"/>
    <w:rsid w:val="002F41CE"/>
    <w:rsid w:val="002F66D1"/>
    <w:rsid w:val="00310B65"/>
    <w:rsid w:val="00312682"/>
    <w:rsid w:val="00322ABE"/>
    <w:rsid w:val="00330BE2"/>
    <w:rsid w:val="0033331D"/>
    <w:rsid w:val="00337C2D"/>
    <w:rsid w:val="003413AF"/>
    <w:rsid w:val="003445DC"/>
    <w:rsid w:val="00352696"/>
    <w:rsid w:val="00365DB9"/>
    <w:rsid w:val="00367FA6"/>
    <w:rsid w:val="0037428D"/>
    <w:rsid w:val="0037598F"/>
    <w:rsid w:val="00376C8A"/>
    <w:rsid w:val="00376DD2"/>
    <w:rsid w:val="00381A50"/>
    <w:rsid w:val="00387875"/>
    <w:rsid w:val="003967A4"/>
    <w:rsid w:val="003A1C43"/>
    <w:rsid w:val="003A1CC0"/>
    <w:rsid w:val="003A6B13"/>
    <w:rsid w:val="003B2817"/>
    <w:rsid w:val="003B28E8"/>
    <w:rsid w:val="003B6EEF"/>
    <w:rsid w:val="003C3EF7"/>
    <w:rsid w:val="003D4C3D"/>
    <w:rsid w:val="003E4B3E"/>
    <w:rsid w:val="003F3829"/>
    <w:rsid w:val="003F403E"/>
    <w:rsid w:val="003F452A"/>
    <w:rsid w:val="003F474C"/>
    <w:rsid w:val="003F755A"/>
    <w:rsid w:val="004041E3"/>
    <w:rsid w:val="00414715"/>
    <w:rsid w:val="00415C63"/>
    <w:rsid w:val="00425A6A"/>
    <w:rsid w:val="00430F1E"/>
    <w:rsid w:val="00440240"/>
    <w:rsid w:val="00453725"/>
    <w:rsid w:val="004616AE"/>
    <w:rsid w:val="0046228A"/>
    <w:rsid w:val="00466E74"/>
    <w:rsid w:val="00475134"/>
    <w:rsid w:val="004767C6"/>
    <w:rsid w:val="00480460"/>
    <w:rsid w:val="00482430"/>
    <w:rsid w:val="00482E30"/>
    <w:rsid w:val="0049701A"/>
    <w:rsid w:val="004A0A0A"/>
    <w:rsid w:val="004A755D"/>
    <w:rsid w:val="004B2BAE"/>
    <w:rsid w:val="004B7B92"/>
    <w:rsid w:val="004C1C82"/>
    <w:rsid w:val="004E2E9F"/>
    <w:rsid w:val="004F7123"/>
    <w:rsid w:val="00500346"/>
    <w:rsid w:val="005006DF"/>
    <w:rsid w:val="00505E90"/>
    <w:rsid w:val="00520ABA"/>
    <w:rsid w:val="00524695"/>
    <w:rsid w:val="00526A8C"/>
    <w:rsid w:val="00534B0A"/>
    <w:rsid w:val="00544284"/>
    <w:rsid w:val="00553D0F"/>
    <w:rsid w:val="00554EAD"/>
    <w:rsid w:val="005554C8"/>
    <w:rsid w:val="00560538"/>
    <w:rsid w:val="00565552"/>
    <w:rsid w:val="00565D86"/>
    <w:rsid w:val="00567F8D"/>
    <w:rsid w:val="00570348"/>
    <w:rsid w:val="00572CFA"/>
    <w:rsid w:val="00573F19"/>
    <w:rsid w:val="00574EDF"/>
    <w:rsid w:val="00586F3D"/>
    <w:rsid w:val="005870FA"/>
    <w:rsid w:val="005937E5"/>
    <w:rsid w:val="00596355"/>
    <w:rsid w:val="005A57B3"/>
    <w:rsid w:val="005A6F1B"/>
    <w:rsid w:val="005B17B7"/>
    <w:rsid w:val="005B23AC"/>
    <w:rsid w:val="005C0F4E"/>
    <w:rsid w:val="005C4612"/>
    <w:rsid w:val="005E3D4D"/>
    <w:rsid w:val="00606DEE"/>
    <w:rsid w:val="0061088E"/>
    <w:rsid w:val="0061318B"/>
    <w:rsid w:val="00616162"/>
    <w:rsid w:val="00626487"/>
    <w:rsid w:val="00631321"/>
    <w:rsid w:val="00635FEC"/>
    <w:rsid w:val="00653669"/>
    <w:rsid w:val="0065434C"/>
    <w:rsid w:val="00655F55"/>
    <w:rsid w:val="00685ACE"/>
    <w:rsid w:val="0069041D"/>
    <w:rsid w:val="0069766C"/>
    <w:rsid w:val="006A2ECD"/>
    <w:rsid w:val="006A2F3B"/>
    <w:rsid w:val="006A3A1E"/>
    <w:rsid w:val="006A643F"/>
    <w:rsid w:val="006B4D42"/>
    <w:rsid w:val="006B74B2"/>
    <w:rsid w:val="006C0498"/>
    <w:rsid w:val="006C4DBB"/>
    <w:rsid w:val="006E4961"/>
    <w:rsid w:val="006E69A6"/>
    <w:rsid w:val="006F0D98"/>
    <w:rsid w:val="006F145B"/>
    <w:rsid w:val="006F38FE"/>
    <w:rsid w:val="006F3A1F"/>
    <w:rsid w:val="006F4AC3"/>
    <w:rsid w:val="00711921"/>
    <w:rsid w:val="00717A14"/>
    <w:rsid w:val="00720DEB"/>
    <w:rsid w:val="007228D0"/>
    <w:rsid w:val="0072766D"/>
    <w:rsid w:val="00757391"/>
    <w:rsid w:val="00760483"/>
    <w:rsid w:val="007628FE"/>
    <w:rsid w:val="00762C55"/>
    <w:rsid w:val="00770055"/>
    <w:rsid w:val="00774586"/>
    <w:rsid w:val="007771D9"/>
    <w:rsid w:val="00780154"/>
    <w:rsid w:val="00781BDF"/>
    <w:rsid w:val="00792D94"/>
    <w:rsid w:val="00797818"/>
    <w:rsid w:val="007A57D6"/>
    <w:rsid w:val="007B17BF"/>
    <w:rsid w:val="007C3414"/>
    <w:rsid w:val="007C7E54"/>
    <w:rsid w:val="007D024B"/>
    <w:rsid w:val="007D2648"/>
    <w:rsid w:val="007D4079"/>
    <w:rsid w:val="007D4E63"/>
    <w:rsid w:val="007D50E5"/>
    <w:rsid w:val="007E23D5"/>
    <w:rsid w:val="007E3EF8"/>
    <w:rsid w:val="007E7BC0"/>
    <w:rsid w:val="007F16D7"/>
    <w:rsid w:val="007F17B3"/>
    <w:rsid w:val="007F1FC2"/>
    <w:rsid w:val="00800648"/>
    <w:rsid w:val="00804A95"/>
    <w:rsid w:val="00807C4F"/>
    <w:rsid w:val="008249A5"/>
    <w:rsid w:val="00825694"/>
    <w:rsid w:val="00830FBC"/>
    <w:rsid w:val="00832A6B"/>
    <w:rsid w:val="008605A2"/>
    <w:rsid w:val="00877DB4"/>
    <w:rsid w:val="0088163A"/>
    <w:rsid w:val="00884691"/>
    <w:rsid w:val="008965C4"/>
    <w:rsid w:val="008A41BC"/>
    <w:rsid w:val="008A68E5"/>
    <w:rsid w:val="008C1187"/>
    <w:rsid w:val="008D7041"/>
    <w:rsid w:val="008E1087"/>
    <w:rsid w:val="008E71CE"/>
    <w:rsid w:val="00900C4D"/>
    <w:rsid w:val="00901B46"/>
    <w:rsid w:val="00903017"/>
    <w:rsid w:val="009046AD"/>
    <w:rsid w:val="00907EE2"/>
    <w:rsid w:val="009153D1"/>
    <w:rsid w:val="00916ADB"/>
    <w:rsid w:val="00933B41"/>
    <w:rsid w:val="00935B11"/>
    <w:rsid w:val="00936D6C"/>
    <w:rsid w:val="00942B79"/>
    <w:rsid w:val="00946D13"/>
    <w:rsid w:val="00947244"/>
    <w:rsid w:val="00953027"/>
    <w:rsid w:val="00970F82"/>
    <w:rsid w:val="0097669A"/>
    <w:rsid w:val="009A0621"/>
    <w:rsid w:val="009A6E6E"/>
    <w:rsid w:val="009A7A49"/>
    <w:rsid w:val="009B0750"/>
    <w:rsid w:val="009B19EA"/>
    <w:rsid w:val="009C01EE"/>
    <w:rsid w:val="009C4AF4"/>
    <w:rsid w:val="009D2D4D"/>
    <w:rsid w:val="009E36CF"/>
    <w:rsid w:val="009E4B15"/>
    <w:rsid w:val="00A00A91"/>
    <w:rsid w:val="00A03489"/>
    <w:rsid w:val="00A10289"/>
    <w:rsid w:val="00A105F5"/>
    <w:rsid w:val="00A11FCB"/>
    <w:rsid w:val="00A13995"/>
    <w:rsid w:val="00A162FD"/>
    <w:rsid w:val="00A23637"/>
    <w:rsid w:val="00A25F30"/>
    <w:rsid w:val="00A26BFA"/>
    <w:rsid w:val="00A43858"/>
    <w:rsid w:val="00A55AE7"/>
    <w:rsid w:val="00A57D0A"/>
    <w:rsid w:val="00A63F27"/>
    <w:rsid w:val="00A72A87"/>
    <w:rsid w:val="00A73D64"/>
    <w:rsid w:val="00A830FF"/>
    <w:rsid w:val="00A9150D"/>
    <w:rsid w:val="00A94C2C"/>
    <w:rsid w:val="00A95437"/>
    <w:rsid w:val="00A96FC8"/>
    <w:rsid w:val="00AA4F45"/>
    <w:rsid w:val="00AA54FF"/>
    <w:rsid w:val="00AB7B1F"/>
    <w:rsid w:val="00AC15D8"/>
    <w:rsid w:val="00AC6FAF"/>
    <w:rsid w:val="00AD3A2F"/>
    <w:rsid w:val="00AD607F"/>
    <w:rsid w:val="00AD7E8C"/>
    <w:rsid w:val="00AE0AD0"/>
    <w:rsid w:val="00AE4E33"/>
    <w:rsid w:val="00AF196F"/>
    <w:rsid w:val="00AF1B21"/>
    <w:rsid w:val="00AF1C04"/>
    <w:rsid w:val="00B023EA"/>
    <w:rsid w:val="00B16F26"/>
    <w:rsid w:val="00B2401A"/>
    <w:rsid w:val="00B25F64"/>
    <w:rsid w:val="00B26311"/>
    <w:rsid w:val="00B33D36"/>
    <w:rsid w:val="00B53BEE"/>
    <w:rsid w:val="00B5496B"/>
    <w:rsid w:val="00B5640A"/>
    <w:rsid w:val="00B56A1A"/>
    <w:rsid w:val="00B60546"/>
    <w:rsid w:val="00B63550"/>
    <w:rsid w:val="00B675CE"/>
    <w:rsid w:val="00B7227E"/>
    <w:rsid w:val="00B93479"/>
    <w:rsid w:val="00BA07CC"/>
    <w:rsid w:val="00BA2EC2"/>
    <w:rsid w:val="00BA384F"/>
    <w:rsid w:val="00BC060A"/>
    <w:rsid w:val="00BC2346"/>
    <w:rsid w:val="00BC38BA"/>
    <w:rsid w:val="00BD2017"/>
    <w:rsid w:val="00BD29A3"/>
    <w:rsid w:val="00BE7C2A"/>
    <w:rsid w:val="00BF04B9"/>
    <w:rsid w:val="00BF3654"/>
    <w:rsid w:val="00C00FDB"/>
    <w:rsid w:val="00C11ABF"/>
    <w:rsid w:val="00C1250E"/>
    <w:rsid w:val="00C22D2A"/>
    <w:rsid w:val="00C30CC9"/>
    <w:rsid w:val="00C42D78"/>
    <w:rsid w:val="00C44F89"/>
    <w:rsid w:val="00C528AD"/>
    <w:rsid w:val="00C63615"/>
    <w:rsid w:val="00C74BA8"/>
    <w:rsid w:val="00C75094"/>
    <w:rsid w:val="00C758FC"/>
    <w:rsid w:val="00C95233"/>
    <w:rsid w:val="00C952EB"/>
    <w:rsid w:val="00CA3427"/>
    <w:rsid w:val="00CB2A21"/>
    <w:rsid w:val="00CB41F2"/>
    <w:rsid w:val="00D02861"/>
    <w:rsid w:val="00D10182"/>
    <w:rsid w:val="00D152DC"/>
    <w:rsid w:val="00D256A6"/>
    <w:rsid w:val="00D30AD5"/>
    <w:rsid w:val="00D35F5E"/>
    <w:rsid w:val="00D61E76"/>
    <w:rsid w:val="00D648EE"/>
    <w:rsid w:val="00D65B43"/>
    <w:rsid w:val="00D666B7"/>
    <w:rsid w:val="00D67F35"/>
    <w:rsid w:val="00D825D7"/>
    <w:rsid w:val="00D84D46"/>
    <w:rsid w:val="00D852E0"/>
    <w:rsid w:val="00D8568F"/>
    <w:rsid w:val="00D9001F"/>
    <w:rsid w:val="00D909FC"/>
    <w:rsid w:val="00D96734"/>
    <w:rsid w:val="00DA4DA7"/>
    <w:rsid w:val="00DB1233"/>
    <w:rsid w:val="00DB345A"/>
    <w:rsid w:val="00DB3EB9"/>
    <w:rsid w:val="00DD5459"/>
    <w:rsid w:val="00DE29B8"/>
    <w:rsid w:val="00DF73F1"/>
    <w:rsid w:val="00E02413"/>
    <w:rsid w:val="00E0753D"/>
    <w:rsid w:val="00E15A9B"/>
    <w:rsid w:val="00E16933"/>
    <w:rsid w:val="00E23564"/>
    <w:rsid w:val="00E251CF"/>
    <w:rsid w:val="00E33F00"/>
    <w:rsid w:val="00E40C46"/>
    <w:rsid w:val="00E473D9"/>
    <w:rsid w:val="00E47F21"/>
    <w:rsid w:val="00E50B1D"/>
    <w:rsid w:val="00E56762"/>
    <w:rsid w:val="00E575A5"/>
    <w:rsid w:val="00E577BC"/>
    <w:rsid w:val="00E64613"/>
    <w:rsid w:val="00E706E7"/>
    <w:rsid w:val="00E85C48"/>
    <w:rsid w:val="00E86C77"/>
    <w:rsid w:val="00E96734"/>
    <w:rsid w:val="00E96FA5"/>
    <w:rsid w:val="00E97FEA"/>
    <w:rsid w:val="00EA7B22"/>
    <w:rsid w:val="00EB0B18"/>
    <w:rsid w:val="00EB6E35"/>
    <w:rsid w:val="00EC2937"/>
    <w:rsid w:val="00ED39C6"/>
    <w:rsid w:val="00EE1A80"/>
    <w:rsid w:val="00EE47B9"/>
    <w:rsid w:val="00EF0FA6"/>
    <w:rsid w:val="00EF101D"/>
    <w:rsid w:val="00EF2E72"/>
    <w:rsid w:val="00F157ED"/>
    <w:rsid w:val="00F17A9A"/>
    <w:rsid w:val="00F23409"/>
    <w:rsid w:val="00F3778B"/>
    <w:rsid w:val="00F41E3C"/>
    <w:rsid w:val="00F44AAA"/>
    <w:rsid w:val="00F518F5"/>
    <w:rsid w:val="00F54D10"/>
    <w:rsid w:val="00F60D4F"/>
    <w:rsid w:val="00F63EE2"/>
    <w:rsid w:val="00F72BA5"/>
    <w:rsid w:val="00F75216"/>
    <w:rsid w:val="00F77297"/>
    <w:rsid w:val="00F80E0A"/>
    <w:rsid w:val="00F90792"/>
    <w:rsid w:val="00F9111B"/>
    <w:rsid w:val="00F91D30"/>
    <w:rsid w:val="00F95839"/>
    <w:rsid w:val="00F95C48"/>
    <w:rsid w:val="00F95DB3"/>
    <w:rsid w:val="00FA77FC"/>
    <w:rsid w:val="00FB3DA4"/>
    <w:rsid w:val="00FC1AC1"/>
    <w:rsid w:val="00FC1B5F"/>
    <w:rsid w:val="00FC2767"/>
    <w:rsid w:val="00FC3501"/>
    <w:rsid w:val="00FE1CFB"/>
    <w:rsid w:val="00FE236A"/>
    <w:rsid w:val="00FE236E"/>
    <w:rsid w:val="00FE68B7"/>
    <w:rsid w:val="00FE6BF0"/>
    <w:rsid w:val="00FF5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AF242D"/>
  <w15:chartTrackingRefBased/>
  <w15:docId w15:val="{869E5245-0FF8-42EB-B691-739E4925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alloonText">
    <w:name w:val="Balloon Text"/>
    <w:basedOn w:val="Normal"/>
    <w:semiHidden/>
    <w:rsid w:val="00C22D2A"/>
    <w:rPr>
      <w:rFonts w:ascii="Tahoma" w:hAnsi="Tahoma" w:cs="Tahoma"/>
      <w:sz w:val="16"/>
      <w:szCs w:val="16"/>
    </w:rPr>
  </w:style>
  <w:style w:type="character" w:styleId="CommentReference">
    <w:name w:val="annotation reference"/>
    <w:rsid w:val="00AB7B1F"/>
    <w:rPr>
      <w:sz w:val="16"/>
      <w:szCs w:val="16"/>
    </w:rPr>
  </w:style>
  <w:style w:type="paragraph" w:styleId="CommentText">
    <w:name w:val="annotation text"/>
    <w:basedOn w:val="Normal"/>
    <w:link w:val="CommentTextChar"/>
    <w:rsid w:val="00AB7B1F"/>
    <w:rPr>
      <w:sz w:val="20"/>
      <w:szCs w:val="20"/>
    </w:rPr>
  </w:style>
  <w:style w:type="paragraph" w:styleId="CommentSubject">
    <w:name w:val="annotation subject"/>
    <w:basedOn w:val="CommentText"/>
    <w:next w:val="CommentText"/>
    <w:semiHidden/>
    <w:rsid w:val="00AB7B1F"/>
    <w:rPr>
      <w:b/>
      <w:bCs/>
    </w:rPr>
  </w:style>
  <w:style w:type="paragraph" w:styleId="Footer">
    <w:name w:val="footer"/>
    <w:basedOn w:val="Normal"/>
    <w:rsid w:val="00A9150D"/>
    <w:pPr>
      <w:tabs>
        <w:tab w:val="center" w:pos="4320"/>
        <w:tab w:val="right" w:pos="8640"/>
      </w:tabs>
    </w:pPr>
  </w:style>
  <w:style w:type="character" w:styleId="PageNumber">
    <w:name w:val="page number"/>
    <w:basedOn w:val="DefaultParagraphFont"/>
    <w:rsid w:val="00A9150D"/>
  </w:style>
  <w:style w:type="paragraph" w:styleId="Header">
    <w:name w:val="header"/>
    <w:basedOn w:val="Normal"/>
    <w:link w:val="HeaderChar"/>
    <w:uiPriority w:val="99"/>
    <w:rsid w:val="00A9150D"/>
    <w:pPr>
      <w:tabs>
        <w:tab w:val="center" w:pos="4320"/>
        <w:tab w:val="right" w:pos="8640"/>
      </w:tabs>
    </w:pPr>
  </w:style>
  <w:style w:type="character" w:customStyle="1" w:styleId="HeaderChar">
    <w:name w:val="Header Char"/>
    <w:link w:val="Header"/>
    <w:uiPriority w:val="99"/>
    <w:rsid w:val="0069766C"/>
    <w:rPr>
      <w:sz w:val="24"/>
      <w:szCs w:val="24"/>
    </w:rPr>
  </w:style>
  <w:style w:type="paragraph" w:styleId="FootnoteText">
    <w:name w:val="footnote text"/>
    <w:basedOn w:val="Normal"/>
    <w:link w:val="FootnoteTextChar"/>
    <w:rsid w:val="00D8568F"/>
    <w:pPr>
      <w:widowControl w:val="0"/>
      <w:autoSpaceDE w:val="0"/>
      <w:autoSpaceDN w:val="0"/>
      <w:adjustRightInd w:val="0"/>
    </w:pPr>
    <w:rPr>
      <w:rFonts w:ascii="Book Antiqua" w:hAnsi="Book Antiqua"/>
      <w:sz w:val="20"/>
      <w:szCs w:val="20"/>
    </w:rPr>
  </w:style>
  <w:style w:type="character" w:customStyle="1" w:styleId="FootnoteTextChar">
    <w:name w:val="Footnote Text Char"/>
    <w:link w:val="FootnoteText"/>
    <w:rsid w:val="00D8568F"/>
    <w:rPr>
      <w:rFonts w:ascii="Book Antiqua" w:hAnsi="Book Antiqua"/>
    </w:rPr>
  </w:style>
  <w:style w:type="character" w:styleId="FootnoteReference">
    <w:name w:val="footnote reference"/>
    <w:rsid w:val="00D8568F"/>
    <w:rPr>
      <w:vertAlign w:val="superscript"/>
    </w:rPr>
  </w:style>
  <w:style w:type="character" w:styleId="Hyperlink">
    <w:name w:val="Hyperlink"/>
    <w:rsid w:val="00D8568F"/>
    <w:rPr>
      <w:color w:val="0000FF"/>
      <w:u w:val="single"/>
    </w:rPr>
  </w:style>
  <w:style w:type="table" w:styleId="TableGrid">
    <w:name w:val="Table Grid"/>
    <w:basedOn w:val="TableNormal"/>
    <w:rsid w:val="00312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5D86"/>
    <w:rPr>
      <w:sz w:val="24"/>
      <w:szCs w:val="24"/>
    </w:rPr>
  </w:style>
  <w:style w:type="paragraph" w:styleId="ListParagraph">
    <w:name w:val="List Paragraph"/>
    <w:basedOn w:val="Normal"/>
    <w:uiPriority w:val="34"/>
    <w:qFormat/>
    <w:rsid w:val="00B56A1A"/>
    <w:pPr>
      <w:ind w:left="720"/>
      <w:contextualSpacing/>
    </w:pPr>
  </w:style>
  <w:style w:type="character" w:styleId="UnresolvedMention">
    <w:name w:val="Unresolved Mention"/>
    <w:basedOn w:val="DefaultParagraphFont"/>
    <w:uiPriority w:val="99"/>
    <w:semiHidden/>
    <w:unhideWhenUsed/>
    <w:rsid w:val="009E4B15"/>
    <w:rPr>
      <w:color w:val="605E5C"/>
      <w:shd w:val="clear" w:color="auto" w:fill="E1DFDD"/>
    </w:rPr>
  </w:style>
  <w:style w:type="character" w:customStyle="1" w:styleId="CommentTextChar">
    <w:name w:val="Comment Text Char"/>
    <w:basedOn w:val="DefaultParagraphFont"/>
    <w:link w:val="CommentText"/>
    <w:rsid w:val="00653669"/>
  </w:style>
  <w:style w:type="character" w:customStyle="1" w:styleId="ui-provider">
    <w:name w:val="ui-provider"/>
    <w:basedOn w:val="DefaultParagraphFont"/>
    <w:rsid w:val="00653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8" ma:contentTypeDescription="Create a new document." ma:contentTypeScope="" ma:versionID="fd8a930f80f8e34a2a1866c48b3bd24a">
  <xsd:schema xmlns:xsd="http://www.w3.org/2001/XMLSchema" xmlns:xs="http://www.w3.org/2001/XMLSchema" xmlns:p="http://schemas.microsoft.com/office/2006/metadata/properties" xmlns:ns3="fe54125e-cb06-40f5-92b5-c28a9d180f01" targetNamespace="http://schemas.microsoft.com/office/2006/metadata/properties" ma:root="true" ma:fieldsID="9ca6497135a76079ea1530a9067e9f28" ns3:_="">
    <xsd:import namespace="fe54125e-cb06-40f5-92b5-c28a9d180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5ACD0-F2D8-4CF1-8730-1055F1463599}">
  <ds:schemaRefs>
    <ds:schemaRef ds:uri="http://schemas.microsoft.com/sharepoint/v3/contenttype/forms"/>
  </ds:schemaRefs>
</ds:datastoreItem>
</file>

<file path=customXml/itemProps2.xml><?xml version="1.0" encoding="utf-8"?>
<ds:datastoreItem xmlns:ds="http://schemas.openxmlformats.org/officeDocument/2006/customXml" ds:itemID="{C27C34D4-08DD-4F33-B68C-8C3CCBC90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6C872-2336-4612-850F-B7E3BA2230DF}">
  <ds:schemaRefs>
    <ds:schemaRef ds:uri="http://schemas.openxmlformats.org/officeDocument/2006/bibliography"/>
  </ds:schemaRefs>
</ds:datastoreItem>
</file>

<file path=customXml/itemProps4.xml><?xml version="1.0" encoding="utf-8"?>
<ds:datastoreItem xmlns:ds="http://schemas.openxmlformats.org/officeDocument/2006/customXml" ds:itemID="{3DCCFD82-51D2-4AEE-B0CD-D154F8D8F7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3353</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franklin.michael</dc:creator>
  <cp:lastModifiedBy>Moore, Joanna - MSHA</cp:lastModifiedBy>
  <cp:revision>4</cp:revision>
  <cp:lastPrinted>2015-07-01T20:43:00Z</cp:lastPrinted>
  <dcterms:created xsi:type="dcterms:W3CDTF">2024-12-04T13:12:00Z</dcterms:created>
  <dcterms:modified xsi:type="dcterms:W3CDTF">2025-02-26T12:31:00Z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ies>
</file>