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721C" w:rsidRPr="008E3DF4" w:rsidP="005F4C54" w14:paraId="4F296D54" w14:textId="4B52EF17">
      <w:pPr>
        <w:jc w:val="center"/>
        <w:rPr>
          <w:rFonts w:ascii="Calibri" w:hAnsi="Calibri"/>
          <w:b/>
          <w:bCs/>
        </w:rPr>
      </w:pPr>
      <w:r w:rsidRPr="008E3DF4">
        <w:rPr>
          <w:rFonts w:ascii="Calibri" w:hAnsi="Calibri"/>
          <w:b/>
          <w:bCs/>
        </w:rPr>
        <w:t>Justification for Non-</w:t>
      </w:r>
      <w:r w:rsidRPr="008E3DF4" w:rsidR="004B583D">
        <w:rPr>
          <w:rFonts w:ascii="Calibri" w:hAnsi="Calibri"/>
          <w:b/>
          <w:bCs/>
        </w:rPr>
        <w:t>Substantive</w:t>
      </w:r>
      <w:r w:rsidRPr="008E3DF4">
        <w:rPr>
          <w:rFonts w:ascii="Calibri" w:hAnsi="Calibri"/>
          <w:b/>
          <w:bCs/>
        </w:rPr>
        <w:t xml:space="preserve"> Change</w:t>
      </w:r>
      <w:r w:rsidRPr="008E3DF4" w:rsidR="004B583D">
        <w:rPr>
          <w:rFonts w:ascii="Calibri" w:hAnsi="Calibri"/>
          <w:b/>
          <w:bCs/>
        </w:rPr>
        <w:t>, Form CA-7</w:t>
      </w:r>
    </w:p>
    <w:p w:rsidR="0046721C" w:rsidP="0046721C" w14:paraId="03541DAA" w14:textId="1CCB5E85">
      <w:r>
        <w:t>The Office of Workers’ Compensation Programs (OWCP) Division of Federal Employees’</w:t>
      </w:r>
      <w:r w:rsidR="004B583D">
        <w:t xml:space="preserve"> Compensation</w:t>
      </w:r>
      <w:r>
        <w:t xml:space="preserve"> (DFEC) is requesting non-material change</w:t>
      </w:r>
      <w:r w:rsidR="004B583D">
        <w:t>s</w:t>
      </w:r>
      <w:r>
        <w:t xml:space="preserve"> to </w:t>
      </w:r>
      <w:r w:rsidR="004B583D">
        <w:t xml:space="preserve">its </w:t>
      </w:r>
      <w:r>
        <w:t>CA-7</w:t>
      </w:r>
      <w:r w:rsidR="00201C0D">
        <w:t xml:space="preserve"> </w:t>
      </w:r>
      <w:r w:rsidR="00A826DA">
        <w:t>f</w:t>
      </w:r>
      <w:r w:rsidR="00201C0D">
        <w:t>orm</w:t>
      </w:r>
      <w:r w:rsidR="008F74DA">
        <w:t xml:space="preserve"> (1240-0046)</w:t>
      </w:r>
      <w:r>
        <w:t>,</w:t>
      </w:r>
      <w:r w:rsidR="00A826DA">
        <w:t xml:space="preserve"> Claim for Compensation,</w:t>
      </w:r>
      <w:r>
        <w:t xml:space="preserve"> </w:t>
      </w:r>
      <w:r w:rsidR="0052339D">
        <w:t>which currently e</w:t>
      </w:r>
      <w:r>
        <w:t xml:space="preserve">xpires </w:t>
      </w:r>
      <w:r w:rsidR="00D877F0">
        <w:t>o</w:t>
      </w:r>
      <w:r>
        <w:t xml:space="preserve">n </w:t>
      </w:r>
      <w:r w:rsidR="006B2CF9">
        <w:t>08/31/</w:t>
      </w:r>
      <w:r w:rsidR="007E4C47">
        <w:t>2026.</w:t>
      </w:r>
      <w:r>
        <w:t xml:space="preserve">  </w:t>
      </w:r>
    </w:p>
    <w:p w:rsidR="006B3062" w:rsidRPr="00C71341" w:rsidP="006B3062" w14:paraId="2063D25F" w14:textId="431BFF2D">
      <w:pPr>
        <w:rPr>
          <w:b/>
          <w:bCs/>
        </w:rPr>
      </w:pPr>
      <w:r w:rsidRPr="00F65AC3">
        <w:rPr>
          <w:b/>
          <w:bCs/>
        </w:rPr>
        <w:t>1.</w:t>
      </w:r>
      <w:r>
        <w:t xml:space="preserve"> </w:t>
      </w:r>
      <w:r>
        <w:rPr>
          <w:b/>
          <w:bCs/>
        </w:rPr>
        <w:t>Removal of the</w:t>
      </w:r>
      <w:r w:rsidRPr="00C71341">
        <w:rPr>
          <w:b/>
          <w:bCs/>
        </w:rPr>
        <w:t xml:space="preserve"> option to claim a schedule award </w:t>
      </w:r>
      <w:r>
        <w:rPr>
          <w:b/>
          <w:bCs/>
        </w:rPr>
        <w:t xml:space="preserve">from </w:t>
      </w:r>
      <w:r w:rsidRPr="00C71341">
        <w:rPr>
          <w:b/>
          <w:bCs/>
        </w:rPr>
        <w:t>Form CA-7</w:t>
      </w:r>
      <w:r>
        <w:rPr>
          <w:b/>
          <w:bCs/>
        </w:rPr>
        <w:t xml:space="preserve"> and removal of the form instructions related to schedule awards. </w:t>
      </w:r>
    </w:p>
    <w:p w:rsidR="00C71341" w14:paraId="424008D1" w14:textId="2CF49C0B">
      <w:r>
        <w:t>Injured workers currently use Form CA-7 to file claims for either disability or schedule award compensation.  However, DFEC has recently created new Form</w:t>
      </w:r>
      <w:r w:rsidR="0081068F">
        <w:t xml:space="preserve"> CA-9</w:t>
      </w:r>
      <w:r w:rsidR="00A84A61">
        <w:t xml:space="preserve"> (1240-0064)</w:t>
      </w:r>
      <w:r w:rsidR="008A2C21">
        <w:t xml:space="preserve">, </w:t>
      </w:r>
      <w:r w:rsidR="00997B31">
        <w:t xml:space="preserve">Claim for Schedule Award, </w:t>
      </w:r>
      <w:r>
        <w:t xml:space="preserve">which </w:t>
      </w:r>
      <w:r w:rsidR="00E406DA">
        <w:t>the Office of Management and Budget</w:t>
      </w:r>
      <w:r w:rsidR="00392B50">
        <w:t xml:space="preserve"> </w:t>
      </w:r>
      <w:r w:rsidR="00A84A61">
        <w:t>approved</w:t>
      </w:r>
      <w:r w:rsidR="00392B50">
        <w:t>,</w:t>
      </w:r>
      <w:r w:rsidR="006B2CF9">
        <w:t xml:space="preserve"> the expiration date </w:t>
      </w:r>
      <w:r w:rsidR="00392B50">
        <w:t xml:space="preserve">is </w:t>
      </w:r>
      <w:r w:rsidR="006B2CF9">
        <w:t>10/31/20</w:t>
      </w:r>
      <w:r w:rsidR="00C476AE">
        <w:t>2</w:t>
      </w:r>
      <w:r w:rsidR="006B2CF9">
        <w:t xml:space="preserve">7.  </w:t>
      </w:r>
      <w:r>
        <w:t>I</w:t>
      </w:r>
      <w:r w:rsidR="00E33916">
        <w:t xml:space="preserve">njured workers will </w:t>
      </w:r>
      <w:r>
        <w:t xml:space="preserve">now </w:t>
      </w:r>
      <w:r w:rsidR="00F61C0A">
        <w:t xml:space="preserve">use </w:t>
      </w:r>
      <w:r>
        <w:t>F</w:t>
      </w:r>
      <w:r w:rsidR="00F61C0A">
        <w:t>orm</w:t>
      </w:r>
      <w:r>
        <w:t xml:space="preserve"> CA-9</w:t>
      </w:r>
      <w:r w:rsidR="00F61C0A">
        <w:t xml:space="preserve"> to file </w:t>
      </w:r>
      <w:r w:rsidR="00F42091">
        <w:t xml:space="preserve">a claim for Schedule Award instead of the CA-7 form.  </w:t>
      </w:r>
      <w:r w:rsidR="005F4C54">
        <w:t xml:space="preserve">As such, </w:t>
      </w:r>
      <w:r w:rsidR="00392B50">
        <w:t>DFEC  is proposing to remove it from the CA-7 form.</w:t>
      </w:r>
      <w:r w:rsidR="005F4C54">
        <w:t xml:space="preserve"> </w:t>
      </w:r>
    </w:p>
    <w:p w:rsidR="00C71341" w:rsidP="004B583D" w14:paraId="576CBAFA" w14:textId="5EABF818">
      <w:r>
        <w:t>Currently, a claim for s</w:t>
      </w:r>
      <w:r w:rsidR="002609B0">
        <w:t xml:space="preserve">chedule </w:t>
      </w:r>
      <w:r>
        <w:t>a</w:t>
      </w:r>
      <w:r w:rsidR="002609B0">
        <w:t xml:space="preserve">ward </w:t>
      </w:r>
      <w:r>
        <w:t>is option</w:t>
      </w:r>
      <w:r w:rsidR="00392B50">
        <w:t xml:space="preserve"> d</w:t>
      </w:r>
      <w:r>
        <w:t xml:space="preserve"> </w:t>
      </w:r>
      <w:r w:rsidR="00392B50">
        <w:t xml:space="preserve">listed </w:t>
      </w:r>
      <w:r w:rsidR="006B3062">
        <w:t>in</w:t>
      </w:r>
      <w:r w:rsidR="000570D4">
        <w:t xml:space="preserve"> </w:t>
      </w:r>
      <w:r w:rsidR="00324E96">
        <w:t xml:space="preserve">page </w:t>
      </w:r>
      <w:r w:rsidR="006B3062">
        <w:t>one, section two</w:t>
      </w:r>
      <w:r w:rsidR="00324E96">
        <w:t xml:space="preserve"> of the</w:t>
      </w:r>
      <w:r w:rsidR="000570D4">
        <w:t xml:space="preserve"> CA-7</w:t>
      </w:r>
      <w:r w:rsidR="00201C0D">
        <w:t xml:space="preserve"> </w:t>
      </w:r>
      <w:r w:rsidR="006B3062">
        <w:t>form</w:t>
      </w:r>
      <w:r w:rsidR="00392B50">
        <w:t xml:space="preserve">. DEFC proposes to remove this and the following on page three paragraph two: The form should also be submitted when the employee reaches maximum improvement and claims a schedule award. </w:t>
      </w:r>
      <w:r w:rsidR="00E406DA">
        <w:t xml:space="preserve"> </w:t>
      </w:r>
      <w:r w:rsidR="00392B50">
        <w:t>Additionally, on page three</w:t>
      </w:r>
      <w:r w:rsidR="00E406DA">
        <w:t xml:space="preserve">, under section number and explanation: “2d. Schedule Award” and “[s]chedule awards are paid for permanent impairment to a member or function of the body.” </w:t>
      </w:r>
    </w:p>
    <w:p w:rsidR="006B3062" w14:paraId="7648A178" w14:textId="70D7D696">
      <w:r w:rsidRPr="006B3062">
        <w:rPr>
          <w:b/>
          <w:bCs/>
        </w:rPr>
        <w:t>Burden Change:</w:t>
      </w:r>
      <w:r>
        <w:rPr>
          <w:b/>
          <w:bCs/>
        </w:rPr>
        <w:t xml:space="preserve">  </w:t>
      </w:r>
      <w:r>
        <w:t xml:space="preserve">Most claimants completing Form CA-7 for purposes of filing a schedule award claim are Federal employees.  There is a small percentage that are not which represents the impact to the public.   DFEC estimates that 775 individuals per year will no longer use Form CA-7 as the result of this change.  </w:t>
      </w:r>
    </w:p>
    <w:p w:rsidR="006B3062" w:rsidP="006B3062" w14:paraId="5F10520F" w14:textId="3AAA3CE1">
      <w:r>
        <w:t>Based on DFEC’s</w:t>
      </w:r>
      <w:r w:rsidRPr="006B3062">
        <w:t xml:space="preserve"> experience with this form</w:t>
      </w:r>
      <w:r>
        <w:t>, it</w:t>
      </w:r>
      <w:r w:rsidRPr="006B3062">
        <w:t xml:space="preserve"> estimates that it </w:t>
      </w:r>
      <w:r>
        <w:t>took</w:t>
      </w:r>
      <w:r w:rsidRPr="006B3062">
        <w:t xml:space="preserve"> approximately 30 minutes (</w:t>
      </w:r>
      <w:r w:rsidR="00E406DA">
        <w:t>0</w:t>
      </w:r>
      <w:r w:rsidRPr="006B3062">
        <w:t xml:space="preserve">.5 hours) for the completion of the form, including reading instructions and providing all requested information. </w:t>
      </w:r>
      <w:r w:rsidR="00E406DA">
        <w:t xml:space="preserve"> </w:t>
      </w:r>
      <w:r w:rsidRPr="006B3062">
        <w:t>Therefore, the estimated</w:t>
      </w:r>
      <w:r>
        <w:t xml:space="preserve"> reduction in</w:t>
      </w:r>
      <w:r w:rsidRPr="006B3062">
        <w:t xml:space="preserve"> burden hours </w:t>
      </w:r>
      <w:r>
        <w:t>as the result of this change is</w:t>
      </w:r>
      <w:r w:rsidRPr="006B3062">
        <w:t xml:space="preserve"> 388 hours as noted below:</w:t>
      </w:r>
    </w:p>
    <w:p w:rsidR="006B3062" w:rsidRPr="006B3062" w:rsidP="006B3062" w14:paraId="1388E526" w14:textId="508A273E">
      <w:r w:rsidRPr="006B3062">
        <w:rPr>
          <w:b/>
          <w:bCs/>
        </w:rPr>
        <w:t>0.5 hours x 775 respondent forms = 387.5 hours, rounded up to 388 hours.</w:t>
      </w:r>
    </w:p>
    <w:p w:rsidR="006B3062" w:rsidRPr="006B3062" w:rsidP="006B3062" w14:paraId="714517D0" w14:textId="77777777">
      <w:r w:rsidRPr="006B3062">
        <w:t>Because the wage category of most of the respondents is not known, we have estimated the cost of the burden hours using the National Average Weekly Wage for non-supervisory workers on private non-agriculture payrolls as computed by Bureau of Labor Statistics (BLS), or $27.06 per hour.</w:t>
      </w:r>
      <w:r>
        <w:rPr>
          <w:vertAlign w:val="superscript"/>
        </w:rPr>
        <w:footnoteReference w:id="2"/>
      </w:r>
      <w:r w:rsidRPr="006B3062">
        <w:t xml:space="preserve"> </w:t>
      </w:r>
    </w:p>
    <w:p w:rsidR="006B3062" w:rsidRPr="008E3DF4" w:rsidP="006B3062" w14:paraId="0D8469F6" w14:textId="05C6838A">
      <w:pPr>
        <w:rPr>
          <w:b/>
          <w:bCs/>
        </w:rPr>
      </w:pPr>
      <w:r w:rsidRPr="006B3062">
        <w:rPr>
          <w:b/>
          <w:bCs/>
        </w:rPr>
        <w:t>$27.06 x 388 hours = $10,499.28 respondent burden hour cost, or $10, 499 (rounded)</w:t>
      </w:r>
      <w:r w:rsidRPr="008E3DF4" w:rsidR="008E3DF4">
        <w:rPr>
          <w:b/>
          <w:bCs/>
        </w:rPr>
        <w:t xml:space="preserve"> </w:t>
      </w:r>
      <w:r w:rsidR="008E3DF4">
        <w:rPr>
          <w:b/>
          <w:bCs/>
        </w:rPr>
        <w:t xml:space="preserve">which represents the reduced cost associated with this change.  </w:t>
      </w:r>
    </w:p>
    <w:p w:rsidR="006B3062" w:rsidRPr="006B3062" w:rsidP="006B3062" w14:paraId="0FA06EEF" w14:textId="4417F688">
      <w:r w:rsidRPr="006B3062">
        <w:t xml:space="preserve">Reference:  </w:t>
      </w:r>
      <w:hyperlink r:id="rId5" w:history="1">
        <w:r w:rsidRPr="006B3062">
          <w:rPr>
            <w:rStyle w:val="Hyperlink"/>
          </w:rPr>
          <w:t>https://www.bls.gov/web/empsit/ceseeb8a.htm</w:t>
        </w:r>
      </w:hyperlink>
      <w:r w:rsidRPr="006B3062">
        <w:t>.</w:t>
      </w:r>
    </w:p>
    <w:p w:rsidR="006B3062" w:rsidRPr="006B3062" w:rsidP="006B3062" w14:paraId="18CC7EE0" w14:textId="77777777">
      <w:pPr>
        <w:rPr>
          <w:b/>
        </w:rPr>
      </w:pPr>
      <w:r w:rsidRPr="006B3062">
        <w:rPr>
          <w:b/>
        </w:rPr>
        <w:tab/>
      </w:r>
      <w:r w:rsidRPr="006B3062">
        <w:rPr>
          <w:b/>
        </w:rPr>
        <w:tab/>
      </w:r>
      <w:r w:rsidRPr="006B3062">
        <w:rPr>
          <w:b/>
        </w:rPr>
        <w:tab/>
        <w:t>Estimated Annualized Respondent Cost and Hour Burden</w:t>
      </w:r>
    </w:p>
    <w:p w:rsidR="006B3062" w:rsidRPr="006B3062" w:rsidP="006B3062" w14:paraId="782C05C1" w14:textId="77777777">
      <w:pPr>
        <w:rPr>
          <w:i/>
        </w:rPr>
      </w:pPr>
    </w:p>
    <w:tbl>
      <w:tblPr>
        <w:tblW w:w="9445" w:type="dxa"/>
        <w:tblLook w:val="04A0"/>
      </w:tblPr>
      <w:tblGrid>
        <w:gridCol w:w="1062"/>
        <w:gridCol w:w="1415"/>
        <w:gridCol w:w="1471"/>
        <w:gridCol w:w="1182"/>
        <w:gridCol w:w="998"/>
        <w:gridCol w:w="977"/>
        <w:gridCol w:w="990"/>
        <w:gridCol w:w="1350"/>
      </w:tblGrid>
      <w:tr w14:paraId="24F28488" w14:textId="77777777" w:rsidTr="006B3062">
        <w:tblPrEx>
          <w:tblW w:w="9445" w:type="dxa"/>
          <w:tblLook w:val="04A0"/>
        </w:tblPrEx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4BE5A7A9" w14:textId="77777777">
            <w:pPr>
              <w:rPr>
                <w:b/>
              </w:rPr>
            </w:pPr>
            <w:r w:rsidRPr="006B3062">
              <w:rPr>
                <w:b/>
              </w:rPr>
              <w:t>Activity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445DE39F" w14:textId="77777777">
            <w:pPr>
              <w:rPr>
                <w:b/>
              </w:rPr>
            </w:pPr>
            <w:r w:rsidRPr="006B3062">
              <w:rPr>
                <w:b/>
              </w:rPr>
              <w:t>Number of Respondents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60F233CF" w14:textId="77777777">
            <w:pPr>
              <w:rPr>
                <w:b/>
              </w:rPr>
            </w:pPr>
            <w:r w:rsidRPr="006B3062">
              <w:rPr>
                <w:b/>
              </w:rPr>
              <w:t xml:space="preserve">No. of Responses </w:t>
            </w:r>
            <w:r w:rsidRPr="006B3062">
              <w:rPr>
                <w:b/>
              </w:rPr>
              <w:t>per Respondent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46BA7F5D" w14:textId="77777777">
            <w:pPr>
              <w:rPr>
                <w:b/>
              </w:rPr>
            </w:pPr>
            <w:r w:rsidRPr="006B3062">
              <w:rPr>
                <w:b/>
              </w:rPr>
              <w:t>Total Responses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7BB4F397" w14:textId="77777777">
            <w:pPr>
              <w:rPr>
                <w:b/>
              </w:rPr>
            </w:pPr>
            <w:r w:rsidRPr="006B3062">
              <w:rPr>
                <w:b/>
              </w:rPr>
              <w:t xml:space="preserve">Average Burden (Hours)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67F1DBC4" w14:textId="77777777">
            <w:pPr>
              <w:rPr>
                <w:b/>
              </w:rPr>
            </w:pPr>
            <w:r w:rsidRPr="006B3062">
              <w:rPr>
                <w:b/>
              </w:rPr>
              <w:t xml:space="preserve">Total Annual </w:t>
            </w:r>
            <w:r w:rsidRPr="006B3062">
              <w:rPr>
                <w:b/>
              </w:rPr>
              <w:t>Burden (Hours)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4488EE68" w14:textId="77777777">
            <w:pPr>
              <w:rPr>
                <w:b/>
              </w:rPr>
            </w:pPr>
            <w:r w:rsidRPr="006B3062">
              <w:rPr>
                <w:b/>
              </w:rPr>
              <w:t>Hourly Wage Rate*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hideMark/>
          </w:tcPr>
          <w:p w:rsidR="006B3062" w:rsidRPr="006B3062" w:rsidP="006B3062" w14:paraId="542EDD74" w14:textId="1207CA7D">
            <w:pPr>
              <w:rPr>
                <w:b/>
              </w:rPr>
            </w:pPr>
            <w:r w:rsidRPr="006B3062">
              <w:rPr>
                <w:b/>
              </w:rPr>
              <w:t xml:space="preserve">Monetized Value of </w:t>
            </w:r>
            <w:r w:rsidRPr="006B3062">
              <w:rPr>
                <w:b/>
              </w:rPr>
              <w:t>Respondent Time</w:t>
            </w:r>
          </w:p>
        </w:tc>
      </w:tr>
      <w:tr w14:paraId="472D0632" w14:textId="77777777" w:rsidTr="006B3062">
        <w:tblPrEx>
          <w:tblW w:w="9445" w:type="dxa"/>
          <w:tblLook w:val="04A0"/>
        </w:tblPrEx>
        <w:trPr>
          <w:trHeight w:val="43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06D323A3" w14:textId="7B35818F">
            <w:r w:rsidRPr="006B3062">
              <w:t>Form CA-</w:t>
            </w:r>
            <w: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6D0AC99A" w14:textId="77777777">
            <w:r w:rsidRPr="006B3062">
              <w:t>775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51E50B49" w14:textId="77777777">
            <w:r w:rsidRPr="006B3062"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5AEED08D" w14:textId="77777777">
            <w:r w:rsidRPr="006B3062">
              <w:t>775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16C393AE" w14:textId="77777777">
            <w:r w:rsidRPr="006B3062">
              <w:t>0.5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6805479C" w14:textId="77777777">
            <w:r w:rsidRPr="006B3062">
              <w:t>388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2D991DDD" w14:textId="77777777">
            <w:r w:rsidRPr="006B3062">
              <w:t>$27.06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062" w:rsidRPr="006B3062" w:rsidP="006B3062" w14:paraId="661B7A3B" w14:textId="77777777">
            <w:r w:rsidRPr="006B3062">
              <w:t>$10, 499.00</w:t>
            </w:r>
          </w:p>
        </w:tc>
      </w:tr>
    </w:tbl>
    <w:p w:rsidR="006B3062" w14:paraId="6E1414D8" w14:textId="77777777"/>
    <w:p w:rsidR="005F4C54" w14:paraId="2F00168D" w14:textId="756E5C85">
      <w:r>
        <w:t xml:space="preserve">As the new CA-9 form specifically addresses a claim for Schedule Award and to avoid any duplication with this new form and the current CA-7 form, DFEC is requesting a nonmaterial change to </w:t>
      </w:r>
      <w:r w:rsidRPr="00D64A07">
        <w:t>OMB No. 1240-0046</w:t>
      </w:r>
      <w:r>
        <w:t xml:space="preserve"> to remove the Schedule Award filing option. </w:t>
      </w:r>
      <w:r w:rsidRPr="005F4C54">
        <w:rPr>
          <w:b/>
          <w:bCs/>
        </w:rPr>
        <w:t xml:space="preserve"> Included with this package are the paper and electronic versions of the proposed revised form.</w:t>
      </w:r>
      <w:r>
        <w:t xml:space="preserve">  </w:t>
      </w:r>
      <w:r>
        <w:br/>
      </w:r>
    </w:p>
    <w:p w:rsidR="008E3DF4" w:rsidP="001E7E60" w14:paraId="274F88E8" w14:textId="77777777">
      <w:pPr>
        <w:rPr>
          <w:b/>
          <w:bCs/>
        </w:rPr>
      </w:pPr>
      <w:r>
        <w:t>2</w:t>
      </w:r>
      <w:r w:rsidR="00320DFB">
        <w:t xml:space="preserve">. </w:t>
      </w:r>
      <w:r>
        <w:rPr>
          <w:b/>
          <w:bCs/>
        </w:rPr>
        <w:t>Change Related to the Implementation of the Postal Services Health Benefit Program (PSHB)</w:t>
      </w:r>
    </w:p>
    <w:p w:rsidR="008E3DF4" w:rsidRPr="00E406DA" w:rsidP="00F65AC3" w14:paraId="21FA3E01" w14:textId="25252608">
      <w:r>
        <w:t xml:space="preserve">In </w:t>
      </w:r>
      <w:r w:rsidR="00E77486">
        <w:t>Section 10</w:t>
      </w:r>
      <w:r w:rsidR="000E3D4D">
        <w:t>a</w:t>
      </w:r>
      <w:r w:rsidR="00E77486">
        <w:t xml:space="preserve">, on page 2, </w:t>
      </w:r>
      <w:r>
        <w:t xml:space="preserve">DFEC is proposing a change to </w:t>
      </w:r>
      <w:r w:rsidR="00082E69">
        <w:t>the question</w:t>
      </w:r>
      <w:r w:rsidR="00E406DA">
        <w:rPr>
          <w:i/>
          <w:iCs/>
        </w:rPr>
        <w:t xml:space="preserve"> “</w:t>
      </w:r>
      <w:r w:rsidRPr="00F65AC3" w:rsidR="00E77486">
        <w:t>Health Benefits under the FEHBP?</w:t>
      </w:r>
      <w:r w:rsidR="00E406DA">
        <w:rPr>
          <w:i/>
          <w:iCs/>
        </w:rPr>
        <w:t>”</w:t>
      </w:r>
      <w:r>
        <w:t xml:space="preserve"> to</w:t>
      </w:r>
      <w:r w:rsidR="00E406DA">
        <w:rPr>
          <w:i/>
          <w:iCs/>
        </w:rPr>
        <w:t xml:space="preserve"> </w:t>
      </w:r>
      <w:r w:rsidRPr="00F65AC3" w:rsidR="00E406DA">
        <w:t>“</w:t>
      </w:r>
      <w:r w:rsidRPr="00F65AC3" w:rsidR="00E77486">
        <w:t>Health Benefits under the FEHBP or PSHB?</w:t>
      </w:r>
      <w:r w:rsidRPr="00E406DA" w:rsidR="00E406DA">
        <w:t>”</w:t>
      </w:r>
    </w:p>
    <w:p w:rsidR="001E7E60" w:rsidP="008E3DF4" w14:paraId="6561C309" w14:textId="5E720050">
      <w:r>
        <w:t>The</w:t>
      </w:r>
      <w:r w:rsidR="00DF13BD">
        <w:t xml:space="preserve"> inclusion of “PSHB” </w:t>
      </w:r>
      <w:r w:rsidR="00F90B56">
        <w:t>is to incorporate the</w:t>
      </w:r>
      <w:r>
        <w:t xml:space="preserve"> </w:t>
      </w:r>
      <w:r w:rsidR="008E3DF4">
        <w:t xml:space="preserve">Office of Personnel Management’s change to health benefits coverage for employees of the United States Postal Service (USPS).  USPS’ employees </w:t>
      </w:r>
      <w:r w:rsidR="00F90B56">
        <w:t xml:space="preserve">health benefits plans </w:t>
      </w:r>
      <w:r w:rsidR="008E3DF4">
        <w:t xml:space="preserve">are changing to </w:t>
      </w:r>
      <w:r w:rsidR="0031494E">
        <w:t>Postal Service Health Benefits (</w:t>
      </w:r>
      <w:r w:rsidR="008F1504">
        <w:t>PSHB</w:t>
      </w:r>
      <w:r w:rsidR="0031494E">
        <w:t>)</w:t>
      </w:r>
      <w:r w:rsidR="008F1504">
        <w:t xml:space="preserve"> plans</w:t>
      </w:r>
      <w:r w:rsidR="008E3DF4">
        <w:t xml:space="preserve"> effective January 1, 2025.  </w:t>
      </w:r>
      <w:r w:rsidR="00BB3693">
        <w:t>The addition of</w:t>
      </w:r>
      <w:r w:rsidR="00B82239">
        <w:t xml:space="preserve"> “PSHB” </w:t>
      </w:r>
      <w:r w:rsidR="00B339F2">
        <w:t xml:space="preserve">will </w:t>
      </w:r>
      <w:r w:rsidR="00711B6F">
        <w:t xml:space="preserve"> </w:t>
      </w:r>
      <w:r w:rsidR="008E3DF4">
        <w:t xml:space="preserve">add clarity to ensure USPS staff submit information on the appropriate health benefit plan.  </w:t>
      </w:r>
    </w:p>
    <w:p w:rsidR="000570D4" w14:paraId="45A18020" w14:textId="25E04FF5">
      <w:r>
        <w:t xml:space="preserve">As the change impacts a component of Form CA-7 completed exclusively by Federal employees, there is no public burden impact. </w:t>
      </w:r>
    </w:p>
    <w:p w:rsidR="000570D4" w14:paraId="0613442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E0EEC" w:rsidP="0046721C" w14:paraId="15745830" w14:textId="77777777">
      <w:pPr>
        <w:spacing w:after="0" w:line="240" w:lineRule="auto"/>
      </w:pPr>
      <w:r>
        <w:separator/>
      </w:r>
    </w:p>
  </w:footnote>
  <w:footnote w:type="continuationSeparator" w:id="1">
    <w:p w:rsidR="00CE0EEC" w:rsidP="0046721C" w14:paraId="4AD20BD6" w14:textId="77777777">
      <w:pPr>
        <w:spacing w:after="0" w:line="240" w:lineRule="auto"/>
      </w:pPr>
      <w:r>
        <w:continuationSeparator/>
      </w:r>
    </w:p>
  </w:footnote>
  <w:footnote w:id="2">
    <w:p w:rsidR="006B3062" w:rsidP="006B3062" w14:paraId="214DD056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 xml:space="preserve">This average hourly wage is based on the most recent non-preliminary data, March 2022.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77825"/>
    <w:multiLevelType w:val="hybridMultilevel"/>
    <w:tmpl w:val="C986B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CF"/>
    <w:rsid w:val="000570D4"/>
    <w:rsid w:val="00082E69"/>
    <w:rsid w:val="0008545B"/>
    <w:rsid w:val="00086E98"/>
    <w:rsid w:val="000A14DA"/>
    <w:rsid w:val="000B69D8"/>
    <w:rsid w:val="000C08C8"/>
    <w:rsid w:val="000D36DB"/>
    <w:rsid w:val="000E3D4D"/>
    <w:rsid w:val="00183771"/>
    <w:rsid w:val="001B4DEB"/>
    <w:rsid w:val="001E7E60"/>
    <w:rsid w:val="00201C0D"/>
    <w:rsid w:val="00203DCC"/>
    <w:rsid w:val="00246DCC"/>
    <w:rsid w:val="002609B0"/>
    <w:rsid w:val="00310914"/>
    <w:rsid w:val="0031494E"/>
    <w:rsid w:val="00320DFB"/>
    <w:rsid w:val="00324E96"/>
    <w:rsid w:val="00383FA1"/>
    <w:rsid w:val="003840E6"/>
    <w:rsid w:val="00392B50"/>
    <w:rsid w:val="003B6242"/>
    <w:rsid w:val="003E5ECF"/>
    <w:rsid w:val="0046721C"/>
    <w:rsid w:val="00495D4E"/>
    <w:rsid w:val="004B583D"/>
    <w:rsid w:val="004B5D93"/>
    <w:rsid w:val="005074FE"/>
    <w:rsid w:val="005232FE"/>
    <w:rsid w:val="0052339D"/>
    <w:rsid w:val="005257FB"/>
    <w:rsid w:val="0053795F"/>
    <w:rsid w:val="0054243B"/>
    <w:rsid w:val="00542C3C"/>
    <w:rsid w:val="00544ADB"/>
    <w:rsid w:val="005775E0"/>
    <w:rsid w:val="005B298F"/>
    <w:rsid w:val="005F4C54"/>
    <w:rsid w:val="00614BD1"/>
    <w:rsid w:val="00615012"/>
    <w:rsid w:val="00615747"/>
    <w:rsid w:val="006B2CF9"/>
    <w:rsid w:val="006B3062"/>
    <w:rsid w:val="006E5C17"/>
    <w:rsid w:val="00711B6F"/>
    <w:rsid w:val="00717B32"/>
    <w:rsid w:val="0073692F"/>
    <w:rsid w:val="007379D3"/>
    <w:rsid w:val="00745949"/>
    <w:rsid w:val="00791B0A"/>
    <w:rsid w:val="007A5E51"/>
    <w:rsid w:val="007C56E1"/>
    <w:rsid w:val="007E02F0"/>
    <w:rsid w:val="007E4C47"/>
    <w:rsid w:val="007F09F4"/>
    <w:rsid w:val="0080175F"/>
    <w:rsid w:val="00807CC9"/>
    <w:rsid w:val="0081068F"/>
    <w:rsid w:val="008317AA"/>
    <w:rsid w:val="008708E6"/>
    <w:rsid w:val="0087252F"/>
    <w:rsid w:val="008852CB"/>
    <w:rsid w:val="008A1CDE"/>
    <w:rsid w:val="008A2C21"/>
    <w:rsid w:val="008E3DF4"/>
    <w:rsid w:val="008F1504"/>
    <w:rsid w:val="008F74DA"/>
    <w:rsid w:val="009166FB"/>
    <w:rsid w:val="0097591E"/>
    <w:rsid w:val="00997B31"/>
    <w:rsid w:val="00A576C9"/>
    <w:rsid w:val="00A826DA"/>
    <w:rsid w:val="00A84A61"/>
    <w:rsid w:val="00A939CD"/>
    <w:rsid w:val="00AD3B43"/>
    <w:rsid w:val="00AE4973"/>
    <w:rsid w:val="00B339F2"/>
    <w:rsid w:val="00B377F8"/>
    <w:rsid w:val="00B56582"/>
    <w:rsid w:val="00B56632"/>
    <w:rsid w:val="00B57FFB"/>
    <w:rsid w:val="00B73DC5"/>
    <w:rsid w:val="00B82239"/>
    <w:rsid w:val="00BB3693"/>
    <w:rsid w:val="00BC1380"/>
    <w:rsid w:val="00BD260E"/>
    <w:rsid w:val="00BD31EE"/>
    <w:rsid w:val="00C21270"/>
    <w:rsid w:val="00C241D7"/>
    <w:rsid w:val="00C476AE"/>
    <w:rsid w:val="00C60C39"/>
    <w:rsid w:val="00C664DC"/>
    <w:rsid w:val="00C71341"/>
    <w:rsid w:val="00C92E9A"/>
    <w:rsid w:val="00CB6F08"/>
    <w:rsid w:val="00CE0EEC"/>
    <w:rsid w:val="00CF289E"/>
    <w:rsid w:val="00D64A07"/>
    <w:rsid w:val="00D83353"/>
    <w:rsid w:val="00D84E87"/>
    <w:rsid w:val="00D877F0"/>
    <w:rsid w:val="00D94D94"/>
    <w:rsid w:val="00DB7D30"/>
    <w:rsid w:val="00DF13BD"/>
    <w:rsid w:val="00E33916"/>
    <w:rsid w:val="00E406DA"/>
    <w:rsid w:val="00E57D35"/>
    <w:rsid w:val="00E70AF6"/>
    <w:rsid w:val="00E77486"/>
    <w:rsid w:val="00E93A66"/>
    <w:rsid w:val="00F15401"/>
    <w:rsid w:val="00F34CF7"/>
    <w:rsid w:val="00F42091"/>
    <w:rsid w:val="00F61C0A"/>
    <w:rsid w:val="00F65AC3"/>
    <w:rsid w:val="00F90B56"/>
    <w:rsid w:val="00FD7E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AD2D6"/>
  <w15:chartTrackingRefBased/>
  <w15:docId w15:val="{1069C43F-4831-4B12-8EB3-AAB0FE9E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1C"/>
  </w:style>
  <w:style w:type="paragraph" w:styleId="Footer">
    <w:name w:val="footer"/>
    <w:basedOn w:val="Normal"/>
    <w:link w:val="FooterChar"/>
    <w:uiPriority w:val="99"/>
    <w:unhideWhenUsed/>
    <w:rsid w:val="00467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1C"/>
  </w:style>
  <w:style w:type="paragraph" w:styleId="Revision">
    <w:name w:val="Revision"/>
    <w:hidden/>
    <w:uiPriority w:val="99"/>
    <w:semiHidden/>
    <w:rsid w:val="0008545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0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062"/>
    <w:rPr>
      <w:sz w:val="20"/>
      <w:szCs w:val="20"/>
    </w:rPr>
  </w:style>
  <w:style w:type="character" w:styleId="FootnoteReference">
    <w:name w:val="footnote reference"/>
    <w:semiHidden/>
    <w:unhideWhenUsed/>
    <w:rsid w:val="006B30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3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https://www.bls.gov/web/empsit/ceseeb8a.ht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Suggs, Anjanette C - OWCP</cp:lastModifiedBy>
  <cp:revision>2</cp:revision>
  <dcterms:created xsi:type="dcterms:W3CDTF">2024-12-05T17:09:00Z</dcterms:created>
  <dcterms:modified xsi:type="dcterms:W3CDTF">2024-12-05T17:09:00Z</dcterms:modified>
</cp:coreProperties>
</file>