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1F5A" w:rsidP="00BF1F5A" w14:paraId="6E242E32" w14:textId="77777777">
      <w:pPr>
        <w:tabs>
          <w:tab w:val="left" w:pos="720"/>
        </w:tabs>
        <w:ind w:left="720" w:hanging="1440"/>
        <w:jc w:val="center"/>
        <w:rPr>
          <w:b/>
          <w:bCs/>
        </w:rPr>
      </w:pPr>
      <w:bookmarkStart w:id="0" w:name="_Toc436939712"/>
    </w:p>
    <w:p w:rsidR="00BF1F5A" w:rsidRPr="00A47DA7" w:rsidP="00BF1F5A" w14:paraId="038E4C51" w14:textId="301D4671">
      <w:pPr>
        <w:tabs>
          <w:tab w:val="left" w:pos="720"/>
        </w:tabs>
        <w:ind w:left="720" w:hanging="1440"/>
        <w:jc w:val="center"/>
        <w:rPr>
          <w:b/>
          <w:bCs/>
        </w:rPr>
      </w:pPr>
      <w:r w:rsidRPr="00A47DA7">
        <w:rPr>
          <w:b/>
          <w:bCs/>
        </w:rPr>
        <w:t>SUPPORTING STATEMENT FOR</w:t>
      </w:r>
    </w:p>
    <w:p w:rsidR="00BF1F5A" w:rsidP="00BF1F5A" w14:paraId="2E6A69A1" w14:textId="77796EF7">
      <w:pPr>
        <w:jc w:val="center"/>
        <w:rPr>
          <w:b/>
          <w:bCs/>
          <w:sz w:val="22"/>
          <w:szCs w:val="22"/>
        </w:rPr>
      </w:pPr>
      <w:r w:rsidRPr="00577D35">
        <w:rPr>
          <w:b/>
          <w:bCs/>
          <w:sz w:val="22"/>
          <w:szCs w:val="22"/>
        </w:rPr>
        <w:t>THE OLDER WORKERS STUDY IMPACT EVALUATION</w:t>
      </w:r>
    </w:p>
    <w:p w:rsidR="00BF1F5A" w:rsidP="00BF1F5A" w14:paraId="3D832AF7" w14:textId="77777777">
      <w:pPr>
        <w:jc w:val="center"/>
        <w:rPr>
          <w:b/>
          <w:bCs/>
        </w:rPr>
      </w:pPr>
    </w:p>
    <w:p w:rsidR="00BF1F5A" w:rsidRPr="00871CA6" w:rsidP="00BF1F5A" w14:paraId="48BC18F8" w14:textId="4E446EE1">
      <w:pPr>
        <w:jc w:val="center"/>
        <w:rPr>
          <w:b/>
          <w:bCs/>
        </w:rPr>
      </w:pPr>
      <w:r w:rsidRPr="00871CA6">
        <w:rPr>
          <w:b/>
          <w:bCs/>
        </w:rPr>
        <w:t>OMB</w:t>
      </w:r>
      <w:r w:rsidR="0049015A">
        <w:rPr>
          <w:b/>
          <w:bCs/>
        </w:rPr>
        <w:t xml:space="preserve"> </w:t>
      </w:r>
      <w:r w:rsidRPr="00871CA6">
        <w:rPr>
          <w:b/>
          <w:bCs/>
        </w:rPr>
        <w:t xml:space="preserve">CONTROL NO. </w:t>
      </w:r>
      <w:r>
        <w:rPr>
          <w:b/>
          <w:bCs/>
        </w:rPr>
        <w:t>XXXX</w:t>
      </w:r>
      <w:r w:rsidRPr="00871CA6">
        <w:rPr>
          <w:b/>
          <w:bCs/>
        </w:rPr>
        <w:t>-</w:t>
      </w:r>
      <w:r>
        <w:rPr>
          <w:b/>
          <w:bCs/>
        </w:rPr>
        <w:t>XXXX</w:t>
      </w:r>
    </w:p>
    <w:p w:rsidR="00BF1F5A" w:rsidRPr="00D53DEB" w:rsidP="00BF1F5A" w14:paraId="7316BC88" w14:textId="77777777">
      <w:pPr>
        <w:jc w:val="center"/>
        <w:rPr>
          <w:bCs/>
        </w:rPr>
      </w:pPr>
    </w:p>
    <w:p w:rsidR="00BF1F5A" w:rsidP="00BF1F5A" w14:paraId="7C278D12" w14:textId="77777777">
      <w:pPr>
        <w:tabs>
          <w:tab w:val="left" w:pos="0"/>
          <w:tab w:val="left" w:pos="360"/>
        </w:tabs>
        <w:spacing w:after="240" w:line="240" w:lineRule="auto"/>
        <w:ind w:firstLine="0"/>
        <w:rPr>
          <w:bCs/>
        </w:rPr>
      </w:pPr>
      <w:r>
        <w:rPr>
          <w:bCs/>
        </w:rPr>
        <w:t xml:space="preserve">In this document, the Department of Labor (DOL) requests clearance from the Office of Management and Budget (OMB) under the Paperwork Reduction Act (PRA) for </w:t>
      </w:r>
      <w:r w:rsidRPr="00A643FE">
        <w:rPr>
          <w:b/>
          <w:bCs/>
        </w:rPr>
        <w:t>a new collection</w:t>
      </w:r>
      <w:r w:rsidRPr="003F5E8C">
        <w:rPr>
          <w:bCs/>
        </w:rPr>
        <w:t xml:space="preserve"> </w:t>
      </w:r>
      <w:r>
        <w:rPr>
          <w:bCs/>
        </w:rPr>
        <w:t xml:space="preserve">associated with the Older Workers Study. </w:t>
      </w:r>
    </w:p>
    <w:p w:rsidR="00610D58" w:rsidRPr="00610D58" w:rsidP="00610D58" w14:paraId="17B2781F" w14:textId="4EB4DD41">
      <w:pPr>
        <w:spacing w:before="240" w:after="160" w:line="259" w:lineRule="auto"/>
        <w:ind w:firstLine="0"/>
        <w:rPr>
          <w:rFonts w:ascii="Arial Black" w:hAnsi="Arial Black" w:eastAsiaTheme="minorHAnsi" w:cstheme="minorBidi"/>
          <w:b/>
          <w:bCs/>
          <w:sz w:val="22"/>
          <w:szCs w:val="22"/>
        </w:rPr>
      </w:pPr>
      <w:r w:rsidRPr="00610D58">
        <w:rPr>
          <w:rFonts w:ascii="Arial Black" w:hAnsi="Arial Black" w:eastAsiaTheme="minorHAnsi" w:cstheme="minorBidi"/>
          <w:b/>
          <w:bCs/>
          <w:sz w:val="22"/>
          <w:szCs w:val="22"/>
        </w:rPr>
        <w:t>PART B: COLLECTION OF INFORMATION EMPLOYING STATISTICAL METHODS</w:t>
      </w:r>
    </w:p>
    <w:p w:rsidR="00582914" w:rsidP="00616302" w14:paraId="11F6F498" w14:textId="6CE38C1A">
      <w:pPr>
        <w:tabs>
          <w:tab w:val="left" w:pos="0"/>
          <w:tab w:val="left" w:pos="360"/>
        </w:tabs>
        <w:spacing w:after="240" w:line="240" w:lineRule="auto"/>
        <w:ind w:firstLine="0"/>
      </w:pPr>
      <w:r>
        <w:t xml:space="preserve">The Senior Community Service Employment Program (SCSEP), administered by the U.S. Department of Labor (DOL), aims to help low-income, seniors ages 55 and older obtain private-sector, unsubsidized employment through job training and placement activities. To learn more about SCSEP and to inform continuous improvement of the program, the DOL Chief Evaluation Office (CEO), in collaboration with </w:t>
      </w:r>
      <w:r w:rsidR="002F6F39">
        <w:t xml:space="preserve">the </w:t>
      </w:r>
      <w:r>
        <w:t>DOL Employment and Training Administration (ETA) funded Urban Institute and its partner, Capital Research Corporation, to conduct the Older Workers Study. The study includes the following components:</w:t>
      </w:r>
    </w:p>
    <w:p w:rsidR="00582914" w:rsidP="004F2646" w14:paraId="6ED5100B" w14:textId="77777777">
      <w:pPr>
        <w:pStyle w:val="ListParagraph"/>
        <w:widowControl w:val="0"/>
        <w:numPr>
          <w:ilvl w:val="0"/>
          <w:numId w:val="15"/>
        </w:numPr>
        <w:spacing w:after="240" w:line="240" w:lineRule="auto"/>
        <w:contextualSpacing w:val="0"/>
        <w:rPr>
          <w:szCs w:val="24"/>
        </w:rPr>
      </w:pPr>
      <w:r>
        <w:rPr>
          <w:szCs w:val="24"/>
        </w:rPr>
        <w:t xml:space="preserve">A </w:t>
      </w:r>
      <w:r w:rsidRPr="00F86C08">
        <w:rPr>
          <w:szCs w:val="24"/>
        </w:rPr>
        <w:t>review of existing knowledge and data to inform evaluation activities</w:t>
      </w:r>
      <w:r>
        <w:rPr>
          <w:szCs w:val="24"/>
        </w:rPr>
        <w:t>,</w:t>
      </w:r>
    </w:p>
    <w:p w:rsidR="00582914" w:rsidP="004F2646" w14:paraId="7ED57BAA" w14:textId="77777777">
      <w:pPr>
        <w:pStyle w:val="ListParagraph"/>
        <w:widowControl w:val="0"/>
        <w:numPr>
          <w:ilvl w:val="0"/>
          <w:numId w:val="15"/>
        </w:numPr>
        <w:spacing w:after="240" w:line="240" w:lineRule="auto"/>
        <w:contextualSpacing w:val="0"/>
        <w:rPr>
          <w:szCs w:val="24"/>
        </w:rPr>
      </w:pPr>
      <w:r>
        <w:rPr>
          <w:szCs w:val="24"/>
        </w:rPr>
        <w:t>A</w:t>
      </w:r>
      <w:r w:rsidRPr="00F86C08">
        <w:rPr>
          <w:szCs w:val="24"/>
        </w:rPr>
        <w:t xml:space="preserve">n implementation evaluation design, </w:t>
      </w:r>
    </w:p>
    <w:p w:rsidR="00582914" w:rsidP="004F2646" w14:paraId="5EF62AC2" w14:textId="77777777">
      <w:pPr>
        <w:pStyle w:val="ListParagraph"/>
        <w:widowControl w:val="0"/>
        <w:numPr>
          <w:ilvl w:val="0"/>
          <w:numId w:val="15"/>
        </w:numPr>
        <w:spacing w:after="240" w:line="240" w:lineRule="auto"/>
        <w:contextualSpacing w:val="0"/>
        <w:rPr>
          <w:szCs w:val="24"/>
        </w:rPr>
      </w:pPr>
      <w:r>
        <w:rPr>
          <w:szCs w:val="24"/>
        </w:rPr>
        <w:t>A</w:t>
      </w:r>
      <w:r w:rsidRPr="00F86C08">
        <w:rPr>
          <w:szCs w:val="24"/>
        </w:rPr>
        <w:t xml:space="preserve">n early implementation study and in-depth implementation study of programs receiving the 2020 DOL SCSEP grants, </w:t>
      </w:r>
    </w:p>
    <w:p w:rsidR="00582914" w:rsidP="004F2646" w14:paraId="24D33403" w14:textId="77777777">
      <w:pPr>
        <w:pStyle w:val="ListParagraph"/>
        <w:widowControl w:val="0"/>
        <w:numPr>
          <w:ilvl w:val="0"/>
          <w:numId w:val="15"/>
        </w:numPr>
        <w:spacing w:after="240" w:line="240" w:lineRule="auto"/>
        <w:contextualSpacing w:val="0"/>
        <w:rPr>
          <w:szCs w:val="24"/>
        </w:rPr>
      </w:pPr>
      <w:r>
        <w:rPr>
          <w:szCs w:val="24"/>
        </w:rPr>
        <w:t>A</w:t>
      </w:r>
      <w:r w:rsidRPr="00F86C08">
        <w:rPr>
          <w:szCs w:val="24"/>
        </w:rPr>
        <w:t xml:space="preserve">n impact evaluation that identifies </w:t>
      </w:r>
      <w:r>
        <w:rPr>
          <w:szCs w:val="24"/>
        </w:rPr>
        <w:t xml:space="preserve">an </w:t>
      </w:r>
      <w:r w:rsidRPr="00F86C08">
        <w:rPr>
          <w:szCs w:val="24"/>
        </w:rPr>
        <w:t xml:space="preserve">intervention for a pilot and rigorously evaluates the impact of the intervention on older workers’ employment outcomes (primarily placement outcomes), and </w:t>
      </w:r>
    </w:p>
    <w:p w:rsidR="00582914" w:rsidRPr="00F86C08" w:rsidP="004F2646" w14:paraId="557F2145" w14:textId="77777777">
      <w:pPr>
        <w:pStyle w:val="ListParagraph"/>
        <w:widowControl w:val="0"/>
        <w:numPr>
          <w:ilvl w:val="0"/>
          <w:numId w:val="15"/>
        </w:numPr>
        <w:spacing w:after="240" w:line="240" w:lineRule="auto"/>
        <w:contextualSpacing w:val="0"/>
        <w:rPr>
          <w:szCs w:val="24"/>
        </w:rPr>
      </w:pPr>
      <w:r>
        <w:rPr>
          <w:szCs w:val="24"/>
        </w:rPr>
        <w:t>A</w:t>
      </w:r>
      <w:r w:rsidRPr="00F86C08">
        <w:rPr>
          <w:szCs w:val="24"/>
        </w:rPr>
        <w:t>n evaluability assessment and potential future research options that would address important gaps in the evidence base related to employment services for older workers.</w:t>
      </w:r>
    </w:p>
    <w:p w:rsidR="002A3C60" w:rsidRPr="00DA5BC9" w:rsidP="00616302" w14:paraId="0FC35C48" w14:textId="1B168FE6">
      <w:pPr>
        <w:tabs>
          <w:tab w:val="left" w:pos="360"/>
        </w:tabs>
        <w:spacing w:after="240" w:line="240" w:lineRule="auto"/>
        <w:ind w:firstLine="0"/>
      </w:pPr>
      <w:r>
        <w:t xml:space="preserve">The next sections </w:t>
      </w:r>
      <w:r w:rsidR="00BF7865">
        <w:t xml:space="preserve">discuss </w:t>
      </w:r>
      <w:r w:rsidR="00582914">
        <w:t xml:space="preserve">the Baseline Information Form </w:t>
      </w:r>
      <w:r w:rsidR="002861E0">
        <w:t xml:space="preserve">that </w:t>
      </w:r>
      <w:r w:rsidR="00582914">
        <w:t>is</w:t>
      </w:r>
      <w:r w:rsidR="002861E0">
        <w:t xml:space="preserve"> part of </w:t>
      </w:r>
      <w:bookmarkStart w:id="1" w:name="_Hlk42787945"/>
      <w:r w:rsidR="001A72F6">
        <w:t>th</w:t>
      </w:r>
      <w:r w:rsidR="00582914">
        <w:t>e impact study (component #4).</w:t>
      </w:r>
    </w:p>
    <w:p w:rsidR="00DD1DE7" w:rsidP="00616302" w14:paraId="3377C3B5" w14:textId="7AC690EA">
      <w:pPr>
        <w:pStyle w:val="H3AlphaNoTOC"/>
        <w:spacing w:after="240"/>
      </w:pPr>
      <w:bookmarkStart w:id="2" w:name="_Hlk42788552"/>
      <w:bookmarkEnd w:id="0"/>
      <w:bookmarkEnd w:id="1"/>
      <w:r>
        <w:t>B.</w:t>
      </w:r>
      <w:r w:rsidR="003C525E">
        <w:t>1</w:t>
      </w:r>
      <w:r>
        <w:t>. Respondent Universe and Sampling</w:t>
      </w:r>
      <w:r w:rsidRPr="0072281D">
        <w:t xml:space="preserve"> </w:t>
      </w:r>
    </w:p>
    <w:p w:rsidR="007F6BA7" w:rsidP="00616302" w14:paraId="71B3624C" w14:textId="3CD580D8">
      <w:pPr>
        <w:pStyle w:val="NormalSS"/>
        <w:ind w:firstLine="0"/>
      </w:pPr>
      <w:r>
        <w:t>This section describes</w:t>
      </w:r>
      <w:r w:rsidRPr="00DA5BC9">
        <w:t xml:space="preserve"> the </w:t>
      </w:r>
      <w:r>
        <w:t xml:space="preserve">respondent universe and sampling </w:t>
      </w:r>
      <w:r w:rsidRPr="00DA5BC9">
        <w:t xml:space="preserve">for each </w:t>
      </w:r>
      <w:r w:rsidR="001A72F6">
        <w:t>instrument</w:t>
      </w:r>
      <w:r w:rsidR="00732409">
        <w:t xml:space="preserve">. </w:t>
      </w:r>
      <w:r>
        <w:t xml:space="preserve">Part “a” discusses </w:t>
      </w:r>
      <w:r w:rsidR="00732409">
        <w:t>participant</w:t>
      </w:r>
      <w:r>
        <w:t xml:space="preserve"> </w:t>
      </w:r>
      <w:r w:rsidR="00732409">
        <w:t>s</w:t>
      </w:r>
      <w:r>
        <w:t>election and</w:t>
      </w:r>
      <w:r w:rsidR="00732409">
        <w:t xml:space="preserve"> part “b”</w:t>
      </w:r>
      <w:r>
        <w:t xml:space="preserve"> describes the expected response rate</w:t>
      </w:r>
      <w:r w:rsidRPr="00DA5BC9">
        <w:t>.</w:t>
      </w:r>
      <w:r w:rsidRPr="00701FC8" w:rsidR="00701FC8">
        <w:rPr>
          <w:szCs w:val="24"/>
        </w:rPr>
        <w:t xml:space="preserve"> </w:t>
      </w:r>
    </w:p>
    <w:p w:rsidR="00732409" w:rsidP="004F2646" w14:paraId="6A1697B9" w14:textId="77777777">
      <w:pPr>
        <w:pStyle w:val="Heading4"/>
        <w:numPr>
          <w:ilvl w:val="0"/>
          <w:numId w:val="14"/>
        </w:numPr>
        <w:spacing w:after="240"/>
      </w:pPr>
      <w:r>
        <w:t>Selection of participants</w:t>
      </w:r>
    </w:p>
    <w:p w:rsidR="00BE44B5" w:rsidRPr="00BE44B5" w:rsidP="00BE44B5" w14:paraId="250BA2B9" w14:textId="35FB09C9">
      <w:pPr>
        <w:autoSpaceDE w:val="0"/>
        <w:autoSpaceDN w:val="0"/>
        <w:adjustRightInd w:val="0"/>
        <w:spacing w:after="240" w:line="240" w:lineRule="auto"/>
        <w:ind w:firstLine="0"/>
        <w:rPr>
          <w:rFonts w:eastAsia="Calibri"/>
          <w:szCs w:val="24"/>
        </w:rPr>
      </w:pPr>
      <w:r>
        <w:rPr>
          <w:bCs/>
          <w:szCs w:val="24"/>
        </w:rPr>
        <w:t xml:space="preserve">The Older Workers Impact Study will </w:t>
      </w:r>
      <w:r w:rsidRPr="00903C72" w:rsidR="00106C27">
        <w:rPr>
          <w:bCs/>
          <w:szCs w:val="24"/>
        </w:rPr>
        <w:t xml:space="preserve">rigorously evaluate the effectiveness of </w:t>
      </w:r>
      <w:r w:rsidRPr="00816C47">
        <w:rPr>
          <w:rFonts w:eastAsia="Malgun Gothic"/>
          <w:color w:val="000000"/>
          <w:szCs w:val="24"/>
        </w:rPr>
        <w:t>an intervention that provides occupational training, on-the-job learning, and job search assistance to interested SCSEP participants</w:t>
      </w:r>
      <w:r>
        <w:rPr>
          <w:rFonts w:eastAsia="Malgun Gothic"/>
          <w:color w:val="000000"/>
          <w:szCs w:val="24"/>
        </w:rPr>
        <w:t xml:space="preserve"> on employment outcomes. </w:t>
      </w:r>
      <w:r w:rsidR="00701FC8">
        <w:rPr>
          <w:rFonts w:eastAsia="Malgun Gothic"/>
          <w:color w:val="000000"/>
          <w:szCs w:val="24"/>
        </w:rPr>
        <w:t>All g</w:t>
      </w:r>
      <w:r w:rsidR="00701FC8">
        <w:rPr>
          <w:szCs w:val="24"/>
        </w:rPr>
        <w:t xml:space="preserve">rantees that receive </w:t>
      </w:r>
      <w:r w:rsidRPr="00E52E47" w:rsidR="00701FC8">
        <w:rPr>
          <w:szCs w:val="24"/>
        </w:rPr>
        <w:t>Sector-Based Training for Low-Income Older Adult Workers</w:t>
      </w:r>
      <w:r w:rsidR="00701FC8">
        <w:rPr>
          <w:szCs w:val="24"/>
        </w:rPr>
        <w:t xml:space="preserve"> Demonstration Grants will participate in the impact study. </w:t>
      </w:r>
      <w:r w:rsidRPr="00E04474" w:rsidR="00701FC8">
        <w:rPr>
          <w:szCs w:val="24"/>
        </w:rPr>
        <w:t xml:space="preserve">The </w:t>
      </w:r>
      <w:r w:rsidR="00701FC8">
        <w:rPr>
          <w:szCs w:val="24"/>
        </w:rPr>
        <w:t xml:space="preserve">evaluation </w:t>
      </w:r>
      <w:r w:rsidRPr="00E04474" w:rsidR="00701FC8">
        <w:rPr>
          <w:szCs w:val="24"/>
        </w:rPr>
        <w:t>team intends to use a randomized controlled trial (RCT) design</w:t>
      </w:r>
      <w:r w:rsidR="00701FC8">
        <w:rPr>
          <w:szCs w:val="24"/>
        </w:rPr>
        <w:t xml:space="preserve">. Grantees will inform new SCSEP enrollees and already enrolled participants about the Demonstration services. </w:t>
      </w:r>
      <w:r w:rsidRPr="00E44F28" w:rsidR="00701FC8">
        <w:t xml:space="preserve">Once informed about the demonstration, </w:t>
      </w:r>
      <w:r w:rsidR="00701FC8">
        <w:t xml:space="preserve">SCSEP </w:t>
      </w:r>
      <w:r w:rsidRPr="00E44F28" w:rsidR="00701FC8">
        <w:t xml:space="preserve">participants will have the option of not participating or agreeing to take part in the </w:t>
      </w:r>
      <w:r w:rsidR="00701FC8">
        <w:t xml:space="preserve">study and thus be </w:t>
      </w:r>
      <w:r w:rsidRPr="00E44F28" w:rsidR="00701FC8">
        <w:t>random</w:t>
      </w:r>
      <w:r w:rsidR="00701FC8">
        <w:t>ly</w:t>
      </w:r>
      <w:r w:rsidRPr="00E44F28" w:rsidR="00701FC8">
        <w:t xml:space="preserve"> assign</w:t>
      </w:r>
      <w:r w:rsidR="00701FC8">
        <w:t>ed</w:t>
      </w:r>
      <w:r w:rsidRPr="00E44F28" w:rsidR="00701FC8">
        <w:t xml:space="preserve"> to </w:t>
      </w:r>
      <w:r w:rsidR="00701FC8">
        <w:t xml:space="preserve">the </w:t>
      </w:r>
      <w:r w:rsidRPr="00E44F28" w:rsidR="00701FC8">
        <w:t>treatment or control group</w:t>
      </w:r>
      <w:r w:rsidR="00701FC8">
        <w:t xml:space="preserve">. Those who consent to be in the study will then sign a form and fill out </w:t>
      </w:r>
      <w:r>
        <w:t>the form we are seeking approval, the “</w:t>
      </w:r>
      <w:bookmarkStart w:id="3" w:name="_Hlk130982414"/>
      <w:bookmarkStart w:id="4" w:name="_Hlk133507838"/>
      <w:r>
        <w:t>I</w:t>
      </w:r>
      <w:r w:rsidRPr="00BE44B5">
        <w:rPr>
          <w:rFonts w:eastAsia="Calibri"/>
          <w:szCs w:val="24"/>
        </w:rPr>
        <w:t>mpact Evaluation of the Senior Community Service Employment Program Sector-based Training Grants Demonstration for Low-income Older Workers Baseline Information Form</w:t>
      </w:r>
      <w:bookmarkEnd w:id="3"/>
      <w:r w:rsidRPr="00BE44B5">
        <w:rPr>
          <w:rFonts w:eastAsia="Calibri"/>
          <w:szCs w:val="24"/>
        </w:rPr>
        <w:t xml:space="preserve"> (referred to as Impact Study Baseline Information Form (BIF))</w:t>
      </w:r>
      <w:r>
        <w:rPr>
          <w:rFonts w:eastAsia="Calibri"/>
          <w:szCs w:val="24"/>
        </w:rPr>
        <w:t>.”</w:t>
      </w:r>
    </w:p>
    <w:bookmarkEnd w:id="4"/>
    <w:p w:rsidR="00106C27" w:rsidP="00A5451F" w14:paraId="73311AFC" w14:textId="3264FBD6">
      <w:pPr>
        <w:pStyle w:val="NormalSS"/>
        <w:ind w:firstLine="0"/>
      </w:pPr>
      <w:r>
        <w:rPr>
          <w:szCs w:val="24"/>
        </w:rPr>
        <w:t>The</w:t>
      </w:r>
      <w:r w:rsidR="00701FC8">
        <w:rPr>
          <w:szCs w:val="24"/>
        </w:rPr>
        <w:t xml:space="preserve"> </w:t>
      </w:r>
      <w:r w:rsidRPr="00E52E47" w:rsidR="00701FC8">
        <w:rPr>
          <w:szCs w:val="24"/>
        </w:rPr>
        <w:t xml:space="preserve">Demonstration Grants on Sector-Based Training for Low-Income Older Adult Workers Funding Opportunity Announcement (FOA) </w:t>
      </w:r>
      <w:r>
        <w:rPr>
          <w:szCs w:val="24"/>
        </w:rPr>
        <w:t xml:space="preserve">states that </w:t>
      </w:r>
      <w:r w:rsidR="00701FC8">
        <w:rPr>
          <w:szCs w:val="24"/>
        </w:rPr>
        <w:t>grant applicants must recruit and enroll a minimum of 400 study participants</w:t>
      </w:r>
      <w:r>
        <w:rPr>
          <w:szCs w:val="24"/>
        </w:rPr>
        <w:t xml:space="preserve"> (200 each in the treatment and control groups)</w:t>
      </w:r>
      <w:r w:rsidRPr="00E52E47" w:rsidR="00701FC8">
        <w:rPr>
          <w:szCs w:val="24"/>
        </w:rPr>
        <w:t>.</w:t>
      </w:r>
      <w:r w:rsidR="00DA4B4B">
        <w:rPr>
          <w:szCs w:val="24"/>
        </w:rPr>
        <w:t xml:space="preserve"> Applicants that recruit and enroll at least 800 study participants </w:t>
      </w:r>
      <w:r>
        <w:rPr>
          <w:szCs w:val="24"/>
        </w:rPr>
        <w:t xml:space="preserve">(400 in each group) </w:t>
      </w:r>
      <w:r w:rsidR="00DA4B4B">
        <w:rPr>
          <w:szCs w:val="24"/>
        </w:rPr>
        <w:t>will receive the maximum amount of funding.</w:t>
      </w:r>
      <w:r w:rsidRPr="00DA4B4B" w:rsidR="00DA4B4B">
        <w:t xml:space="preserve"> </w:t>
      </w:r>
      <w:r w:rsidR="00DA4B4B">
        <w:t xml:space="preserve">Given these parameters, the evaluation team estimates a pooled </w:t>
      </w:r>
      <w:r>
        <w:t xml:space="preserve">minimum </w:t>
      </w:r>
      <w:r w:rsidR="00DA4B4B">
        <w:t xml:space="preserve">sample size of 2,400 (1,200 treatment and 1,200 control) and maximum </w:t>
      </w:r>
      <w:r>
        <w:t xml:space="preserve">sample size </w:t>
      </w:r>
      <w:r w:rsidR="00DA4B4B">
        <w:t xml:space="preserve">of 4,800 (2,400 in each group). </w:t>
      </w:r>
      <w:r w:rsidR="002F09CF">
        <w:t xml:space="preserve">For purposes of burden estimates, we use the maximum sample size. </w:t>
      </w:r>
      <w:r w:rsidR="00732409">
        <w:t>The u</w:t>
      </w:r>
      <w:r>
        <w:t xml:space="preserve">niverse and sample size estimates </w:t>
      </w:r>
      <w:r w:rsidR="00732409">
        <w:t xml:space="preserve">for </w:t>
      </w:r>
      <w:r w:rsidR="00DA4B4B">
        <w:t xml:space="preserve">the BIF is </w:t>
      </w:r>
      <w:r>
        <w:t>provided in Table B.1.</w:t>
      </w:r>
    </w:p>
    <w:p w:rsidR="00106C27" w:rsidP="00616302" w14:paraId="1D8DF59A" w14:textId="0E49459A">
      <w:pPr>
        <w:pStyle w:val="MarkforTableTitle"/>
        <w:spacing w:after="240"/>
      </w:pPr>
      <w:r w:rsidRPr="005278CD">
        <w:t xml:space="preserve">Table </w:t>
      </w:r>
      <w:r>
        <w:t>B.</w:t>
      </w:r>
      <w:r w:rsidRPr="005278CD">
        <w:t xml:space="preserve">1. </w:t>
      </w:r>
      <w:r>
        <w:t>Summary of u</w:t>
      </w:r>
      <w:r w:rsidRPr="005278CD">
        <w:t>niverse and sample counts</w:t>
      </w:r>
    </w:p>
    <w:tbl>
      <w:tblPr>
        <w:tblStyle w:val="LightList"/>
        <w:tblW w:w="4904" w:type="pct"/>
        <w:tblBorders>
          <w:top w:val="none" w:sz="0" w:space="0" w:color="auto"/>
          <w:left w:val="none" w:sz="0" w:space="0" w:color="auto"/>
          <w:bottom w:val="none" w:sz="0" w:space="0" w:color="auto"/>
          <w:right w:val="none" w:sz="0" w:space="0" w:color="auto"/>
        </w:tblBorders>
        <w:tblLook w:val="0620"/>
      </w:tblPr>
      <w:tblGrid>
        <w:gridCol w:w="3008"/>
        <w:gridCol w:w="2212"/>
        <w:gridCol w:w="1078"/>
        <w:gridCol w:w="1017"/>
        <w:gridCol w:w="1865"/>
      </w:tblGrid>
      <w:tr w14:paraId="7DE5DFB1" w14:textId="6FA45FD9" w:rsidTr="00DA4B4B">
        <w:tblPrEx>
          <w:tblW w:w="4904" w:type="pct"/>
          <w:tblBorders>
            <w:top w:val="none" w:sz="0" w:space="0" w:color="auto"/>
            <w:left w:val="none" w:sz="0" w:space="0" w:color="auto"/>
            <w:bottom w:val="none" w:sz="0" w:space="0" w:color="auto"/>
            <w:right w:val="none" w:sz="0" w:space="0" w:color="auto"/>
          </w:tblBorders>
          <w:tblLook w:val="0620"/>
        </w:tblPrEx>
        <w:trPr>
          <w:tblHeader/>
        </w:trPr>
        <w:tc>
          <w:tcPr>
            <w:tcW w:w="1638" w:type="pct"/>
            <w:tcBorders>
              <w:top w:val="single" w:sz="8" w:space="0" w:color="FFFFFF" w:themeColor="background1"/>
              <w:bottom w:val="dashSmallGap" w:sz="4" w:space="0" w:color="000000" w:themeColor="text1"/>
            </w:tcBorders>
            <w:shd w:val="clear" w:color="auto" w:fill="6C6F70"/>
          </w:tcPr>
          <w:p w:rsidR="003C22BB" w:rsidRPr="00F878AA" w:rsidP="00616302" w14:paraId="6A13C3D9" w14:textId="77777777">
            <w:pPr>
              <w:pStyle w:val="TableHeaderLeft"/>
              <w:spacing w:before="0" w:after="240"/>
              <w:rPr>
                <w:b/>
              </w:rPr>
            </w:pPr>
            <w:r>
              <w:rPr>
                <w:b/>
              </w:rPr>
              <w:t>Evaluation component</w:t>
            </w:r>
          </w:p>
        </w:tc>
        <w:tc>
          <w:tcPr>
            <w:tcW w:w="1204" w:type="pct"/>
            <w:tcBorders>
              <w:top w:val="single" w:sz="8" w:space="0" w:color="FFFFFF" w:themeColor="background1"/>
              <w:bottom w:val="dashSmallGap" w:sz="4" w:space="0" w:color="000000" w:themeColor="text1"/>
            </w:tcBorders>
            <w:shd w:val="clear" w:color="auto" w:fill="6C6F70"/>
          </w:tcPr>
          <w:p w:rsidR="003C22BB" w:rsidRPr="00F878AA" w:rsidP="00616302" w14:paraId="134D50CC" w14:textId="77777777">
            <w:pPr>
              <w:pStyle w:val="TableHeaderCenter"/>
              <w:spacing w:before="0" w:after="240"/>
              <w:rPr>
                <w:b/>
              </w:rPr>
            </w:pPr>
            <w:r>
              <w:rPr>
                <w:b/>
              </w:rPr>
              <w:t>Universe Description</w:t>
            </w:r>
          </w:p>
        </w:tc>
        <w:tc>
          <w:tcPr>
            <w:tcW w:w="587" w:type="pct"/>
            <w:tcBorders>
              <w:top w:val="single" w:sz="8" w:space="0" w:color="FFFFFF" w:themeColor="background1"/>
              <w:bottom w:val="dashSmallGap" w:sz="4" w:space="0" w:color="000000" w:themeColor="text1"/>
            </w:tcBorders>
            <w:shd w:val="clear" w:color="auto" w:fill="6C6F70"/>
          </w:tcPr>
          <w:p w:rsidR="003C22BB" w:rsidRPr="00F878AA" w:rsidP="00616302" w14:paraId="18216A58" w14:textId="77777777">
            <w:pPr>
              <w:pStyle w:val="TableHeaderCenter"/>
              <w:spacing w:before="0" w:after="240"/>
              <w:rPr>
                <w:b/>
              </w:rPr>
            </w:pPr>
            <w:r>
              <w:rPr>
                <w:b/>
              </w:rPr>
              <w:t>Estimated Size of Universe</w:t>
            </w:r>
          </w:p>
        </w:tc>
        <w:tc>
          <w:tcPr>
            <w:tcW w:w="554" w:type="pct"/>
            <w:tcBorders>
              <w:top w:val="single" w:sz="8" w:space="0" w:color="FFFFFF" w:themeColor="background1"/>
              <w:bottom w:val="dashSmallGap" w:sz="4" w:space="0" w:color="000000" w:themeColor="text1"/>
            </w:tcBorders>
            <w:shd w:val="clear" w:color="auto" w:fill="6C6F70"/>
          </w:tcPr>
          <w:p w:rsidR="003C22BB" w:rsidRPr="00707BAC" w:rsidP="00616302" w14:paraId="54F96957" w14:textId="2B478480">
            <w:pPr>
              <w:pStyle w:val="TableHeaderCenter"/>
              <w:spacing w:before="0" w:after="240"/>
              <w:rPr>
                <w:rFonts w:ascii="Arial Bold" w:hAnsi="Arial Bold"/>
                <w:b/>
                <w:vertAlign w:val="superscript"/>
              </w:rPr>
            </w:pPr>
            <w:r w:rsidRPr="00707BAC">
              <w:rPr>
                <w:b/>
              </w:rPr>
              <w:t xml:space="preserve">Expected Sample Size </w:t>
            </w:r>
            <w:r w:rsidRPr="00707BAC" w:rsidR="00707BAC">
              <w:rPr>
                <w:b/>
              </w:rPr>
              <w:t>1</w:t>
            </w:r>
          </w:p>
        </w:tc>
        <w:tc>
          <w:tcPr>
            <w:tcW w:w="1016" w:type="pct"/>
            <w:tcBorders>
              <w:top w:val="single" w:sz="8" w:space="0" w:color="FFFFFF" w:themeColor="background1"/>
              <w:bottom w:val="dashSmallGap" w:sz="4" w:space="0" w:color="000000" w:themeColor="text1"/>
            </w:tcBorders>
            <w:shd w:val="clear" w:color="auto" w:fill="6C6F70"/>
          </w:tcPr>
          <w:p w:rsidR="003C22BB" w:rsidRPr="00F878AA" w:rsidP="00616302" w14:paraId="7F4B115B" w14:textId="77777777">
            <w:pPr>
              <w:pStyle w:val="TableHeaderCenter"/>
              <w:spacing w:before="0" w:after="240"/>
              <w:rPr>
                <w:b/>
              </w:rPr>
            </w:pPr>
            <w:r>
              <w:rPr>
                <w:b/>
              </w:rPr>
              <w:t>Sampling method</w:t>
            </w:r>
          </w:p>
        </w:tc>
      </w:tr>
      <w:tr w14:paraId="5B6B9E56" w14:textId="3E1CE078" w:rsidTr="00DA4B4B">
        <w:tblPrEx>
          <w:tblW w:w="4904" w:type="pct"/>
          <w:tblLook w:val="0620"/>
        </w:tblPrEx>
        <w:tc>
          <w:tcPr>
            <w:tcW w:w="163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616302" w14:paraId="410A7DFB" w14:textId="08DCC163">
            <w:pPr>
              <w:pStyle w:val="TableText"/>
            </w:pPr>
            <w:r w:rsidRPr="00E53681">
              <w:rPr>
                <w:rFonts w:cs="Arial"/>
                <w:szCs w:val="18"/>
              </w:rPr>
              <w:t xml:space="preserve">Impact </w:t>
            </w:r>
            <w:r w:rsidR="00BE44B5">
              <w:rPr>
                <w:rFonts w:cs="Arial"/>
                <w:szCs w:val="18"/>
              </w:rPr>
              <w:t xml:space="preserve">Study </w:t>
            </w:r>
            <w:r w:rsidRPr="00E53681">
              <w:rPr>
                <w:rFonts w:cs="Arial"/>
                <w:szCs w:val="18"/>
              </w:rPr>
              <w:t xml:space="preserve">Baseline </w:t>
            </w:r>
            <w:r w:rsidR="00DA4B4B">
              <w:rPr>
                <w:rFonts w:cs="Arial"/>
                <w:szCs w:val="18"/>
              </w:rPr>
              <w:t>Information Form</w:t>
            </w:r>
          </w:p>
        </w:tc>
        <w:tc>
          <w:tcPr>
            <w:tcW w:w="1204"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616302" w14:paraId="4A8FEE2F" w14:textId="744AC2F3">
            <w:pPr>
              <w:pStyle w:val="TableText"/>
              <w:rPr>
                <w:iCs/>
              </w:rPr>
            </w:pPr>
            <w:r>
              <w:rPr>
                <w:rFonts w:eastAsiaTheme="minorEastAsia"/>
                <w:color w:val="000000"/>
                <w:szCs w:val="18"/>
              </w:rPr>
              <w:t xml:space="preserve">All </w:t>
            </w:r>
            <w:r w:rsidR="00DA4B4B">
              <w:rPr>
                <w:rFonts w:eastAsiaTheme="minorEastAsia"/>
                <w:color w:val="000000"/>
                <w:szCs w:val="18"/>
              </w:rPr>
              <w:t>new and ongoing SCSEP enrollees that consent to be in the impact study</w:t>
            </w:r>
            <w:r>
              <w:rPr>
                <w:rFonts w:eastAsiaTheme="minorEastAsia"/>
                <w:color w:val="000000"/>
                <w:szCs w:val="18"/>
              </w:rPr>
              <w:t xml:space="preserve"> </w:t>
            </w:r>
          </w:p>
        </w:tc>
        <w:tc>
          <w:tcPr>
            <w:tcW w:w="58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616302" w14:paraId="0EB15F6A" w14:textId="1464F9AA">
            <w:pPr>
              <w:pStyle w:val="TableText"/>
              <w:jc w:val="center"/>
            </w:pPr>
            <w:r>
              <w:t>4,800</w:t>
            </w:r>
          </w:p>
        </w:tc>
        <w:tc>
          <w:tcPr>
            <w:tcW w:w="554"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616302" w14:paraId="45A60CEC" w14:textId="052D249D">
            <w:pPr>
              <w:pStyle w:val="TableText"/>
              <w:jc w:val="center"/>
            </w:pPr>
            <w:r>
              <w:t>4,800</w:t>
            </w:r>
          </w:p>
        </w:tc>
        <w:tc>
          <w:tcPr>
            <w:tcW w:w="1016"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616302" w14:paraId="0E4A820B" w14:textId="4D3AA051">
            <w:pPr>
              <w:pStyle w:val="TableText"/>
              <w:jc w:val="center"/>
              <w:rPr>
                <w:iCs/>
              </w:rPr>
            </w:pPr>
            <w:r>
              <w:rPr>
                <w:iCs/>
              </w:rPr>
              <w:t>Universe of all SCSEP participants who consent to be in the study</w:t>
            </w:r>
          </w:p>
        </w:tc>
      </w:tr>
    </w:tbl>
    <w:p w:rsidR="00106C27" w:rsidP="004F2646" w14:paraId="7E9082B5" w14:textId="77777777">
      <w:pPr>
        <w:pStyle w:val="NormalSS"/>
        <w:numPr>
          <w:ilvl w:val="0"/>
          <w:numId w:val="14"/>
        </w:numPr>
        <w:spacing w:before="240"/>
        <w:rPr>
          <w:b/>
          <w:bCs/>
        </w:rPr>
      </w:pPr>
      <w:r w:rsidRPr="009A3878">
        <w:rPr>
          <w:b/>
          <w:bCs/>
        </w:rPr>
        <w:t>Response rates</w:t>
      </w:r>
    </w:p>
    <w:p w:rsidR="002C53C3" w:rsidP="00616302" w14:paraId="09B9F85E" w14:textId="452B409D">
      <w:pPr>
        <w:autoSpaceDE w:val="0"/>
        <w:autoSpaceDN w:val="0"/>
        <w:adjustRightInd w:val="0"/>
        <w:spacing w:after="240" w:line="240" w:lineRule="auto"/>
        <w:ind w:firstLine="0"/>
        <w:rPr>
          <w:szCs w:val="24"/>
        </w:rPr>
      </w:pPr>
      <w:r>
        <w:rPr>
          <w:szCs w:val="24"/>
        </w:rPr>
        <w:t xml:space="preserve">Potential study participants will </w:t>
      </w:r>
      <w:r w:rsidRPr="009A3878" w:rsidR="00106C27">
        <w:rPr>
          <w:szCs w:val="24"/>
        </w:rPr>
        <w:t xml:space="preserve">only be enrolled in the study and randomly assigned if they </w:t>
      </w:r>
      <w:r>
        <w:rPr>
          <w:szCs w:val="24"/>
        </w:rPr>
        <w:t xml:space="preserve">consent to be in the study and </w:t>
      </w:r>
      <w:r w:rsidRPr="009A3878" w:rsidR="00106C27">
        <w:rPr>
          <w:szCs w:val="24"/>
        </w:rPr>
        <w:t xml:space="preserve">complete the </w:t>
      </w:r>
      <w:r>
        <w:rPr>
          <w:szCs w:val="24"/>
        </w:rPr>
        <w:t>BIF</w:t>
      </w:r>
      <w:r w:rsidRPr="009A3878" w:rsidR="00106C27">
        <w:rPr>
          <w:szCs w:val="24"/>
        </w:rPr>
        <w:t xml:space="preserve"> as part of the </w:t>
      </w:r>
      <w:r>
        <w:rPr>
          <w:szCs w:val="24"/>
        </w:rPr>
        <w:t xml:space="preserve">study </w:t>
      </w:r>
      <w:r w:rsidRPr="009A3878" w:rsidR="00106C27">
        <w:rPr>
          <w:szCs w:val="24"/>
        </w:rPr>
        <w:t>intake process. The</w:t>
      </w:r>
      <w:r w:rsidR="008F136B">
        <w:rPr>
          <w:szCs w:val="24"/>
        </w:rPr>
        <w:t xml:space="preserve"> </w:t>
      </w:r>
      <w:r w:rsidRPr="009A3878" w:rsidR="00106C27">
        <w:rPr>
          <w:szCs w:val="24"/>
        </w:rPr>
        <w:t>project team</w:t>
      </w:r>
      <w:r w:rsidR="00606C47">
        <w:rPr>
          <w:szCs w:val="24"/>
        </w:rPr>
        <w:t xml:space="preserve"> therefore</w:t>
      </w:r>
      <w:r w:rsidRPr="009A3878" w:rsidR="00106C27">
        <w:rPr>
          <w:szCs w:val="24"/>
        </w:rPr>
        <w:t xml:space="preserve"> anticipates that </w:t>
      </w:r>
      <w:r w:rsidR="00766CE2">
        <w:rPr>
          <w:szCs w:val="24"/>
        </w:rPr>
        <w:t xml:space="preserve">the response rate to </w:t>
      </w:r>
      <w:r w:rsidR="00486BCF">
        <w:rPr>
          <w:szCs w:val="24"/>
        </w:rPr>
        <w:t>the BIF</w:t>
      </w:r>
      <w:r w:rsidR="00766CE2">
        <w:rPr>
          <w:szCs w:val="24"/>
        </w:rPr>
        <w:t xml:space="preserve"> will be</w:t>
      </w:r>
      <w:r w:rsidRPr="009A3878" w:rsidR="00106C27">
        <w:rPr>
          <w:szCs w:val="24"/>
        </w:rPr>
        <w:t>100 percent of study participants</w:t>
      </w:r>
      <w:r w:rsidR="005A6403">
        <w:rPr>
          <w:szCs w:val="24"/>
        </w:rPr>
        <w:t xml:space="preserve">. </w:t>
      </w:r>
      <w:r>
        <w:rPr>
          <w:szCs w:val="24"/>
        </w:rPr>
        <w:t xml:space="preserve">However, potential study participants </w:t>
      </w:r>
      <w:r w:rsidRPr="002C53C3">
        <w:rPr>
          <w:szCs w:val="24"/>
        </w:rPr>
        <w:t xml:space="preserve">may choose not to respond to particular </w:t>
      </w:r>
      <w:r>
        <w:rPr>
          <w:szCs w:val="24"/>
        </w:rPr>
        <w:t>BIF questions</w:t>
      </w:r>
      <w:r w:rsidRPr="002C53C3">
        <w:rPr>
          <w:szCs w:val="24"/>
        </w:rPr>
        <w:t xml:space="preserve">. In these situations, </w:t>
      </w:r>
      <w:r>
        <w:rPr>
          <w:szCs w:val="24"/>
        </w:rPr>
        <w:t xml:space="preserve">the project team </w:t>
      </w:r>
      <w:r w:rsidRPr="002C53C3">
        <w:rPr>
          <w:szCs w:val="24"/>
        </w:rPr>
        <w:t xml:space="preserve">will still include </w:t>
      </w:r>
      <w:r>
        <w:rPr>
          <w:szCs w:val="24"/>
        </w:rPr>
        <w:t xml:space="preserve">study participants </w:t>
      </w:r>
      <w:r w:rsidRPr="002C53C3">
        <w:rPr>
          <w:szCs w:val="24"/>
        </w:rPr>
        <w:t xml:space="preserve">in </w:t>
      </w:r>
      <w:r>
        <w:rPr>
          <w:szCs w:val="24"/>
        </w:rPr>
        <w:t xml:space="preserve">the </w:t>
      </w:r>
      <w:r w:rsidRPr="002C53C3">
        <w:rPr>
          <w:szCs w:val="24"/>
        </w:rPr>
        <w:t xml:space="preserve">analyses. </w:t>
      </w:r>
      <w:r>
        <w:rPr>
          <w:szCs w:val="24"/>
        </w:rPr>
        <w:t xml:space="preserve">The project will </w:t>
      </w:r>
      <w:r w:rsidRPr="002C53C3">
        <w:rPr>
          <w:szCs w:val="24"/>
        </w:rPr>
        <w:t>impute any missing variables separately for</w:t>
      </w:r>
      <w:r>
        <w:rPr>
          <w:szCs w:val="24"/>
        </w:rPr>
        <w:t xml:space="preserve"> the</w:t>
      </w:r>
      <w:r w:rsidRPr="002C53C3">
        <w:rPr>
          <w:szCs w:val="24"/>
        </w:rPr>
        <w:t xml:space="preserve"> treated and control groups so that </w:t>
      </w:r>
      <w:r>
        <w:rPr>
          <w:szCs w:val="24"/>
        </w:rPr>
        <w:t xml:space="preserve">the </w:t>
      </w:r>
      <w:r w:rsidRPr="002C53C3">
        <w:rPr>
          <w:szCs w:val="24"/>
        </w:rPr>
        <w:t xml:space="preserve">information </w:t>
      </w:r>
      <w:r>
        <w:rPr>
          <w:szCs w:val="24"/>
        </w:rPr>
        <w:t xml:space="preserve">can be used </w:t>
      </w:r>
      <w:r w:rsidRPr="002C53C3">
        <w:rPr>
          <w:szCs w:val="24"/>
        </w:rPr>
        <w:t xml:space="preserve">in pre-program data without excluding individuals from the sample. </w:t>
      </w:r>
    </w:p>
    <w:bookmarkEnd w:id="2"/>
    <w:p w:rsidR="0072281D" w:rsidP="00616302" w14:paraId="662E5B84" w14:textId="7BA73E84">
      <w:pPr>
        <w:pStyle w:val="H3AlphaNoTOC"/>
        <w:spacing w:after="240"/>
      </w:pPr>
      <w:r>
        <w:t>B.</w:t>
      </w:r>
      <w:r>
        <w:t>2. Procedures</w:t>
      </w:r>
      <w:r w:rsidRPr="0072281D">
        <w:t xml:space="preserve"> for the collection of information </w:t>
      </w:r>
    </w:p>
    <w:p w:rsidR="00616302" w:rsidP="00486BCF" w14:paraId="1D3FE64F" w14:textId="2A4D0B61">
      <w:pPr>
        <w:pStyle w:val="NormalSS"/>
        <w:ind w:firstLine="0"/>
      </w:pPr>
      <w:r>
        <w:rPr>
          <w:bCs/>
        </w:rPr>
        <w:t xml:space="preserve">The BIF </w:t>
      </w:r>
      <w:r w:rsidRPr="00616302" w:rsidR="00C97E1A">
        <w:rPr>
          <w:bCs/>
        </w:rPr>
        <w:t xml:space="preserve">will be a one-time data collection. </w:t>
      </w:r>
      <w:r>
        <w:rPr>
          <w:bCs/>
        </w:rPr>
        <w:t>Data collection will begin in January 2025</w:t>
      </w:r>
      <w:r w:rsidRPr="00616302" w:rsidR="00FD7EFC">
        <w:rPr>
          <w:bCs/>
        </w:rPr>
        <w:t>.</w:t>
      </w:r>
      <w:r w:rsidR="00A5451F">
        <w:rPr>
          <w:bCs/>
        </w:rPr>
        <w:t xml:space="preserve"> </w:t>
      </w:r>
      <w:r>
        <w:t xml:space="preserve">Grantee staff will recruit potential study participants interested in </w:t>
      </w:r>
      <w:r w:rsidR="00486BCF">
        <w:t xml:space="preserve">the </w:t>
      </w:r>
      <w:r>
        <w:t xml:space="preserve">sectoral training </w:t>
      </w:r>
      <w:r w:rsidR="00486BCF">
        <w:t>demonstration</w:t>
      </w:r>
      <w:r>
        <w:t xml:space="preserve">, either from new enrollees or already enrolled participants with at least 12 months of remaining eligibility. Using talking points developed by the evaluation team, staff will describe the Demonstration using varying methods, depending on if the potential participant is a new or current SCSEP participant. Staff will stress the following points: (1) access to Demonstration services will be determined by a lottery; (2) to enter the lottery, participants must consent to be in the study; and (3) those who do not consent to be in the study will receive </w:t>
      </w:r>
      <w:r w:rsidRPr="00616302">
        <w:rPr>
          <w:szCs w:val="24"/>
        </w:rPr>
        <w:t>standard</w:t>
      </w:r>
      <w:r>
        <w:t xml:space="preserve"> SCSEP services and will not participate in data collection.</w:t>
      </w:r>
      <w:r w:rsidR="00486BCF">
        <w:t xml:space="preserve"> Participants who sign an informed consent form will complete the BIF and then be randomly assigned to </w:t>
      </w:r>
      <w:r>
        <w:t>the treatment group or the control group.</w:t>
      </w:r>
    </w:p>
    <w:p w:rsidR="00623FF5" w:rsidP="00616302" w14:paraId="495EE810" w14:textId="77777777">
      <w:pPr>
        <w:pStyle w:val="H5Lower"/>
        <w:spacing w:after="240"/>
      </w:pPr>
      <w:r>
        <w:t xml:space="preserve">a. </w:t>
      </w:r>
      <w:r>
        <w:tab/>
        <w:t>Estimation procedures</w:t>
      </w:r>
      <w:r w:rsidRPr="009018B3">
        <w:t xml:space="preserve"> </w:t>
      </w:r>
    </w:p>
    <w:p w:rsidR="00616302" w:rsidP="009C6802" w14:paraId="6BE7DD49" w14:textId="661703D5">
      <w:pPr>
        <w:spacing w:after="240" w:line="240" w:lineRule="auto"/>
        <w:ind w:firstLine="0"/>
        <w:rPr>
          <w:szCs w:val="24"/>
        </w:rPr>
      </w:pPr>
      <w:r>
        <w:rPr>
          <w:szCs w:val="24"/>
        </w:rPr>
        <w:t xml:space="preserve">The data collected through the BIF will supplement information gathered through the DOL </w:t>
      </w:r>
      <w:r w:rsidRPr="00E04474">
        <w:rPr>
          <w:szCs w:val="24"/>
        </w:rPr>
        <w:t>Grants Performance Management Data System (GPMS)</w:t>
      </w:r>
      <w:r>
        <w:rPr>
          <w:szCs w:val="24"/>
        </w:rPr>
        <w:t>, which</w:t>
      </w:r>
      <w:r w:rsidRPr="00A17BD0">
        <w:t xml:space="preserve"> </w:t>
      </w:r>
      <w:r w:rsidRPr="00A17BD0">
        <w:rPr>
          <w:szCs w:val="24"/>
        </w:rPr>
        <w:t>houses SCSEP participant records beginning at the time of application.</w:t>
      </w:r>
      <w:r>
        <w:rPr>
          <w:szCs w:val="24"/>
        </w:rPr>
        <w:t xml:space="preserve"> Specifically, t</w:t>
      </w:r>
      <w:r w:rsidRPr="00E04474">
        <w:rPr>
          <w:szCs w:val="24"/>
        </w:rPr>
        <w:t>he BIF will gather information not available through GPMS, such as</w:t>
      </w:r>
      <w:r w:rsidRPr="006B7E93">
        <w:t xml:space="preserve"> </w:t>
      </w:r>
      <w:r w:rsidRPr="006B7E93">
        <w:rPr>
          <w:szCs w:val="24"/>
        </w:rPr>
        <w:t xml:space="preserve">details about their longest pre-SCSEP job, reasons </w:t>
      </w:r>
      <w:r>
        <w:rPr>
          <w:szCs w:val="24"/>
        </w:rPr>
        <w:t xml:space="preserve">they are </w:t>
      </w:r>
      <w:r w:rsidRPr="006B7E93">
        <w:rPr>
          <w:szCs w:val="24"/>
        </w:rPr>
        <w:t>interested in the Demonstration services, and quality of life.</w:t>
      </w:r>
      <w:r w:rsidR="00486BCF">
        <w:rPr>
          <w:szCs w:val="24"/>
        </w:rPr>
        <w:t xml:space="preserve"> The BIF will also collect participants’ Social Security Number, which is required for the evaluation team to access participant employment and earnings records through the National Directory of New Hires, a national database of quarterly employment and earnings data maintained by the Office of Child Support Services in U.S. Department of Health and Human Services Administration for Children and Families.</w:t>
      </w:r>
    </w:p>
    <w:p w:rsidR="00616302" w:rsidP="009C6802" w14:paraId="6852166C" w14:textId="4B55EB8A">
      <w:pPr>
        <w:spacing w:after="240" w:line="240" w:lineRule="auto"/>
        <w:ind w:firstLine="0"/>
      </w:pPr>
      <w:r w:rsidRPr="00E04474">
        <w:rPr>
          <w:szCs w:val="24"/>
        </w:rPr>
        <w:t>The</w:t>
      </w:r>
      <w:r>
        <w:rPr>
          <w:szCs w:val="24"/>
        </w:rPr>
        <w:t xml:space="preserve"> BIF</w:t>
      </w:r>
      <w:r w:rsidRPr="00E04474">
        <w:rPr>
          <w:szCs w:val="24"/>
        </w:rPr>
        <w:t xml:space="preserve"> data will be used </w:t>
      </w:r>
      <w:r w:rsidRPr="00A17BD0">
        <w:rPr>
          <w:szCs w:val="24"/>
        </w:rPr>
        <w:t xml:space="preserve">to profile the study population, test for systematic differences between the treatment and control groups, define subgroups, </w:t>
      </w:r>
      <w:r>
        <w:rPr>
          <w:szCs w:val="24"/>
        </w:rPr>
        <w:t xml:space="preserve">and </w:t>
      </w:r>
      <w:r w:rsidRPr="00A17BD0">
        <w:rPr>
          <w:szCs w:val="24"/>
        </w:rPr>
        <w:t>improve the precision of impact estimates</w:t>
      </w:r>
      <w:r>
        <w:rPr>
          <w:szCs w:val="24"/>
        </w:rPr>
        <w:t xml:space="preserve">. </w:t>
      </w:r>
      <w:r>
        <w:t xml:space="preserve">The evaluation team will conduct t-tests on each baseline measure in isolation to examine differences between the research groups due to random sampling. </w:t>
      </w:r>
      <w:r w:rsidR="00486BCF">
        <w:t xml:space="preserve">The evaluation team </w:t>
      </w:r>
      <w:r>
        <w:t xml:space="preserve">will also conduct a joint F-test to assess the joint significance of the baseline differences. The </w:t>
      </w:r>
      <w:r w:rsidR="00486BCF">
        <w:t xml:space="preserve">impact </w:t>
      </w:r>
      <w:r>
        <w:t>analys</w:t>
      </w:r>
      <w:r w:rsidR="00486BCF">
        <w:t>e</w:t>
      </w:r>
      <w:r>
        <w:t>s will control for baseline characteristics, correlated with the outcomes, to improve the precision of the estimates.</w:t>
      </w:r>
    </w:p>
    <w:p w:rsidR="001F4A89" w:rsidRPr="001F4A89" w:rsidP="001F4A89" w14:paraId="10BC339D" w14:textId="5314EA0A">
      <w:pPr>
        <w:spacing w:after="240" w:line="240" w:lineRule="auto"/>
        <w:ind w:firstLine="0"/>
      </w:pPr>
      <w:r w:rsidRPr="001F4A89">
        <w:t>T</w:t>
      </w:r>
      <w:r>
        <w:t>o</w:t>
      </w:r>
      <w:r w:rsidRPr="001F4A89">
        <w:t xml:space="preserve"> impute missing </w:t>
      </w:r>
      <w:r>
        <w:t xml:space="preserve">responses on the BIF the project will use </w:t>
      </w:r>
      <w:r w:rsidRPr="001F4A89">
        <w:t xml:space="preserve">a chained stochastic regression approach </w:t>
      </w:r>
      <w:r>
        <w:t>to</w:t>
      </w:r>
      <w:r w:rsidRPr="001F4A89">
        <w:t xml:space="preserve"> impute variables using information from other variables.</w:t>
      </w:r>
      <w:r>
        <w:rPr>
          <w:rStyle w:val="FootnoteReference"/>
        </w:rPr>
        <w:footnoteReference w:id="3"/>
      </w:r>
      <w:r w:rsidRPr="001F4A89">
        <w:t xml:space="preserve"> The chained equation method runs a series of regression models that temporarily fill in missing values of variables when predicting other ones. This updating process continues until the change to the newly predicted values are below a pre-specified stopping criterion. </w:t>
      </w:r>
      <w:r>
        <w:t xml:space="preserve">The project </w:t>
      </w:r>
      <w:r w:rsidRPr="001F4A89">
        <w:t xml:space="preserve">will then use predictive </w:t>
      </w:r>
      <w:r w:rsidRPr="001F4A89">
        <w:t>mean matching to impute missing observations. This method works, for example, by filling in a person’s missing education level by (1) identifying a group of individuals with similar predicted education values, based on a combination of other background characteristics, to those of the person with the missing value and (2) using the actual education level of a randomly selected person in that group as the imputed value. This method is valid under the assumption that data are missing at random, conditional on the variables included in the imputation model.</w:t>
      </w:r>
    </w:p>
    <w:p w:rsidR="00623FF5" w:rsidP="00616302" w14:paraId="3966FE3C" w14:textId="29052070">
      <w:pPr>
        <w:pStyle w:val="H5Lower"/>
        <w:spacing w:after="240"/>
      </w:pPr>
      <w:r>
        <w:t xml:space="preserve">b. </w:t>
      </w:r>
      <w:r>
        <w:tab/>
        <w:t xml:space="preserve">Statistical </w:t>
      </w:r>
      <w:r w:rsidR="00913973">
        <w:t>p</w:t>
      </w:r>
      <w:r>
        <w:t>ower</w:t>
      </w:r>
    </w:p>
    <w:p w:rsidR="002F09CF" w:rsidP="002F09CF" w14:paraId="30A93AE3" w14:textId="1B27BA9A">
      <w:pPr>
        <w:spacing w:after="240" w:line="240" w:lineRule="auto"/>
        <w:ind w:firstLine="0"/>
      </w:pPr>
      <w:r>
        <w:t xml:space="preserve">This section documents the expected sample sizes for the </w:t>
      </w:r>
      <w:r>
        <w:t>study</w:t>
      </w:r>
      <w:r>
        <w:t xml:space="preserve"> and the minimum detectable effects (MDE) for the primary </w:t>
      </w:r>
      <w:r>
        <w:t xml:space="preserve">impact study </w:t>
      </w:r>
      <w:r>
        <w:t>outcome: unsubsidized employment</w:t>
      </w:r>
      <w:r w:rsidR="00DD22D0">
        <w:t xml:space="preserve"> in the fifth quarter post random assignment</w:t>
      </w:r>
      <w:r>
        <w:t>.</w:t>
      </w:r>
      <w:r w:rsidR="00486BCF">
        <w:t xml:space="preserve"> </w:t>
      </w:r>
      <w:r>
        <w:t xml:space="preserve">Table </w:t>
      </w:r>
      <w:r w:rsidR="00DD22D0">
        <w:t>B.2</w:t>
      </w:r>
      <w:r>
        <w:t xml:space="preserve"> shows the estimated MDE based on th</w:t>
      </w:r>
      <w:r w:rsidR="00486BCF">
        <w:t>e</w:t>
      </w:r>
      <w:r>
        <w:t xml:space="preserve"> minimum</w:t>
      </w:r>
      <w:r w:rsidR="00486BCF">
        <w:t xml:space="preserve"> (2,400)</w:t>
      </w:r>
      <w:r>
        <w:t xml:space="preserve"> </w:t>
      </w:r>
      <w:r w:rsidR="00486BCF">
        <w:t xml:space="preserve">and maximum (4,800) </w:t>
      </w:r>
      <w:r>
        <w:t xml:space="preserve">projected sample </w:t>
      </w:r>
      <w:r w:rsidR="00486BCF">
        <w:t>sizes</w:t>
      </w:r>
      <w:r>
        <w:t xml:space="preserve">. The true sample size will likely be somewhere in between. </w:t>
      </w:r>
    </w:p>
    <w:p w:rsidR="002F09CF" w:rsidP="002F09CF" w14:paraId="6744E3A4" w14:textId="625BFF0E">
      <w:pPr>
        <w:spacing w:after="240" w:line="240" w:lineRule="auto"/>
        <w:ind w:firstLine="0"/>
      </w:pPr>
      <w:r>
        <w:t xml:space="preserve">Rigorous studies of job training programs over the last decade generally </w:t>
      </w:r>
      <w:r w:rsidR="00486BCF">
        <w:t xml:space="preserve">have </w:t>
      </w:r>
      <w:r>
        <w:t>found effects on employment rates of about 5 percentage points.</w:t>
      </w:r>
      <w:r>
        <w:rPr>
          <w:rStyle w:val="FootnoteReference"/>
        </w:rPr>
        <w:footnoteReference w:id="4"/>
      </w:r>
      <w:r>
        <w:t xml:space="preserve"> These programs broadly treated an adult population. Adults ages 25 to 54 have about an 80 percent labor force participation rate; adults 55 to 64 and 65 and older have </w:t>
      </w:r>
      <w:r w:rsidR="00486BCF">
        <w:t xml:space="preserve">lower </w:t>
      </w:r>
      <w:r>
        <w:t xml:space="preserve">participation rates </w:t>
      </w:r>
      <w:r w:rsidR="00486BCF">
        <w:t>(</w:t>
      </w:r>
      <w:r>
        <w:t>65 and 27 percent, respectively</w:t>
      </w:r>
      <w:r w:rsidR="00486BCF">
        <w:t>)</w:t>
      </w:r>
      <w:r>
        <w:t>. The impact of a sector training program on older workers—and particularly SCSEP participants, who face additional multiple barriers to obtaining subsidized employment—is unknown.</w:t>
      </w:r>
      <w:r>
        <w:rPr>
          <w:rStyle w:val="FootnoteReference"/>
        </w:rPr>
        <w:footnoteReference w:id="5"/>
      </w:r>
      <w:r>
        <w:t xml:space="preserve"> </w:t>
      </w:r>
    </w:p>
    <w:p w:rsidR="002F09CF" w:rsidP="002F09CF" w14:paraId="58DDE7DD" w14:textId="40233236">
      <w:pPr>
        <w:spacing w:after="240" w:line="240" w:lineRule="auto"/>
        <w:ind w:firstLine="0"/>
      </w:pPr>
      <w:r>
        <w:t>The percentage of SCSEP participants exiting the program into unsubsidized employment hovered around 15 percent between 2010 and 2016.</w:t>
      </w:r>
      <w:r>
        <w:rPr>
          <w:rStyle w:val="FootnoteReference"/>
        </w:rPr>
        <w:footnoteReference w:id="6"/>
      </w:r>
      <w:r>
        <w:t xml:space="preserve"> Because SCSEP participants have not been screened for interest, there is presently no good measure of this employment rate, so the </w:t>
      </w:r>
      <w:r w:rsidR="00C04709">
        <w:t xml:space="preserve">evaluation team used </w:t>
      </w:r>
      <w:r>
        <w:t>two assumptions, 15 and 25 percent.</w:t>
      </w:r>
    </w:p>
    <w:p w:rsidR="002F09CF" w:rsidP="002F09CF" w14:paraId="55E4D688" w14:textId="513FEFBC">
      <w:pPr>
        <w:spacing w:after="240" w:line="240" w:lineRule="auto"/>
        <w:ind w:firstLine="0"/>
      </w:pPr>
      <w:r>
        <w:t>The first MDE column of</w:t>
      </w:r>
      <w:r w:rsidR="00DD22D0">
        <w:t xml:space="preserve"> Table B.2</w:t>
      </w:r>
      <w:r>
        <w:t xml:space="preserve"> shows the study could detect a 4.1 percentage point difference in employment assuming the minimum sample size (2,400) and base employment rate for control group (15 percent). The second column shows the MDE with a larger sample size. In this scenario, the MDE is 3.2 percentage points.</w:t>
      </w:r>
      <w:r w:rsidR="00DD22D0">
        <w:t xml:space="preserve"> </w:t>
      </w:r>
      <w:r>
        <w:t xml:space="preserve">The third and fourth columns show the MDE if the base employment rate increases 25 percent. As shown, the MDE increases to 5.0 percentage </w:t>
      </w:r>
      <w:r>
        <w:t>points for the smaller sample and 3.5 percentage points for the larger one. The study is likely to be able detect between a 5.0 and 3.2 percentage point or more increase in employment.</w:t>
      </w:r>
    </w:p>
    <w:p w:rsidR="00623FF5" w:rsidRPr="009018B3" w:rsidP="00616302" w14:paraId="07291B91" w14:textId="1B2E9AB0">
      <w:pPr>
        <w:pStyle w:val="MarkforTableTitle"/>
        <w:spacing w:after="240"/>
        <w:rPr>
          <w:szCs w:val="24"/>
        </w:rPr>
      </w:pPr>
      <w:r w:rsidRPr="009018B3">
        <w:t>Table B.</w:t>
      </w:r>
      <w:r>
        <w:t>2</w:t>
      </w:r>
      <w:r w:rsidRPr="009018B3">
        <w:t>.</w:t>
      </w:r>
      <w:r w:rsidRPr="002F09CF" w:rsidR="002F09CF">
        <w:rPr>
          <w:b/>
          <w:bCs/>
        </w:rPr>
        <w:t xml:space="preserve"> </w:t>
      </w:r>
      <w:r w:rsidRPr="00B01EE4" w:rsidR="002F09CF">
        <w:rPr>
          <w:b/>
          <w:bCs/>
        </w:rPr>
        <w:t>Minimum Detectable Effects</w:t>
      </w:r>
      <w:r w:rsidR="002F09CF">
        <w:rPr>
          <w:b/>
          <w:bCs/>
        </w:rPr>
        <w:t xml:space="preserve"> for Employment, by Baseline Assumptions</w:t>
      </w:r>
    </w:p>
    <w:tbl>
      <w:tblPr>
        <w:tblW w:w="5000" w:type="pct"/>
        <w:tblLook w:val="06A0"/>
      </w:tblPr>
      <w:tblGrid>
        <w:gridCol w:w="3440"/>
        <w:gridCol w:w="1419"/>
        <w:gridCol w:w="1556"/>
        <w:gridCol w:w="1556"/>
        <w:gridCol w:w="1389"/>
      </w:tblGrid>
      <w:tr w14:paraId="035F8F64" w14:textId="77777777" w:rsidTr="002F09CF">
        <w:tblPrEx>
          <w:tblW w:w="5000" w:type="pct"/>
          <w:tblLook w:val="06A0"/>
        </w:tblPrEx>
        <w:tc>
          <w:tcPr>
            <w:tcW w:w="1838" w:type="pct"/>
            <w:tcBorders>
              <w:top w:val="nil"/>
              <w:bottom w:val="single" w:sz="4" w:space="0" w:color="365F91"/>
              <w:right w:val="single" w:sz="4" w:space="0" w:color="365F91"/>
            </w:tcBorders>
            <w:shd w:val="clear" w:color="auto" w:fill="BFBFBF" w:themeFill="background1" w:themeFillShade="BF"/>
          </w:tcPr>
          <w:p w:rsidR="002F09CF" w:rsidRPr="00F33BF5" w:rsidP="005D306F" w14:paraId="066F5F9E" w14:textId="77777777">
            <w:pPr>
              <w:pStyle w:val="BodyText"/>
              <w:rPr>
                <w:rFonts w:ascii="Arial" w:hAnsi="Arial" w:cs="Arial"/>
                <w:sz w:val="18"/>
                <w:szCs w:val="18"/>
              </w:rPr>
            </w:pPr>
          </w:p>
        </w:tc>
        <w:tc>
          <w:tcPr>
            <w:tcW w:w="3162" w:type="pct"/>
            <w:gridSpan w:val="4"/>
            <w:tcBorders>
              <w:top w:val="nil"/>
              <w:left w:val="single" w:sz="4" w:space="0" w:color="365F91"/>
              <w:bottom w:val="single" w:sz="4" w:space="0" w:color="365F91"/>
            </w:tcBorders>
            <w:shd w:val="clear" w:color="auto" w:fill="BFBFBF" w:themeFill="background1" w:themeFillShade="BF"/>
            <w:vAlign w:val="bottom"/>
          </w:tcPr>
          <w:p w:rsidR="002F09CF" w:rsidRPr="00F33BF5" w:rsidP="005D306F" w14:paraId="79B3D782" w14:textId="77777777">
            <w:pPr>
              <w:pStyle w:val="BodyText"/>
              <w:jc w:val="center"/>
              <w:rPr>
                <w:rFonts w:ascii="Arial" w:hAnsi="Arial" w:cs="Arial"/>
                <w:sz w:val="18"/>
                <w:szCs w:val="18"/>
              </w:rPr>
            </w:pPr>
            <w:r w:rsidRPr="00F33BF5">
              <w:rPr>
                <w:rFonts w:ascii="Arial" w:hAnsi="Arial" w:cs="Arial"/>
                <w:sz w:val="18"/>
                <w:szCs w:val="18"/>
              </w:rPr>
              <w:t xml:space="preserve">Minimum Detectable Effects </w:t>
            </w:r>
          </w:p>
        </w:tc>
      </w:tr>
      <w:tr w14:paraId="7E991722" w14:textId="77777777" w:rsidTr="005D306F">
        <w:tblPrEx>
          <w:tblW w:w="5000" w:type="pct"/>
          <w:tblLook w:val="06A0"/>
        </w:tblPrEx>
        <w:tc>
          <w:tcPr>
            <w:tcW w:w="1838" w:type="pct"/>
            <w:tcBorders>
              <w:top w:val="nil"/>
              <w:bottom w:val="single" w:sz="4" w:space="0" w:color="365F91"/>
              <w:right w:val="single" w:sz="4" w:space="0" w:color="365F91"/>
            </w:tcBorders>
          </w:tcPr>
          <w:p w:rsidR="002F09CF" w:rsidRPr="00F33BF5" w:rsidP="005D306F" w14:paraId="040C97DE" w14:textId="77777777">
            <w:pPr>
              <w:pStyle w:val="BodyText"/>
              <w:rPr>
                <w:rFonts w:ascii="Arial" w:hAnsi="Arial" w:cs="Arial"/>
                <w:sz w:val="18"/>
                <w:szCs w:val="18"/>
              </w:rPr>
            </w:pPr>
            <w:r w:rsidRPr="00F33BF5">
              <w:rPr>
                <w:rFonts w:ascii="Arial" w:hAnsi="Arial" w:cs="Arial"/>
                <w:sz w:val="18"/>
                <w:szCs w:val="18"/>
              </w:rPr>
              <w:t xml:space="preserve">Employment outcome Q5 </w:t>
            </w:r>
          </w:p>
        </w:tc>
        <w:tc>
          <w:tcPr>
            <w:tcW w:w="758" w:type="pct"/>
            <w:tcBorders>
              <w:top w:val="nil"/>
              <w:left w:val="nil"/>
              <w:bottom w:val="single" w:sz="4" w:space="0" w:color="365F91"/>
            </w:tcBorders>
            <w:vAlign w:val="bottom"/>
          </w:tcPr>
          <w:p w:rsidR="002F09CF" w:rsidRPr="00F33BF5" w:rsidP="005D306F" w14:paraId="722ADD63" w14:textId="77777777">
            <w:pPr>
              <w:pStyle w:val="BodyText"/>
              <w:rPr>
                <w:rFonts w:ascii="Arial" w:hAnsi="Arial" w:cs="Arial"/>
                <w:sz w:val="18"/>
                <w:szCs w:val="18"/>
              </w:rPr>
            </w:pPr>
            <w:r w:rsidRPr="00F33BF5">
              <w:rPr>
                <w:rFonts w:ascii="Arial" w:hAnsi="Arial" w:cs="Arial"/>
                <w:sz w:val="18"/>
                <w:szCs w:val="18"/>
              </w:rPr>
              <w:t>4.1 pp</w:t>
            </w:r>
          </w:p>
        </w:tc>
        <w:tc>
          <w:tcPr>
            <w:tcW w:w="831" w:type="pct"/>
            <w:tcBorders>
              <w:top w:val="nil"/>
              <w:left w:val="nil"/>
              <w:bottom w:val="single" w:sz="4" w:space="0" w:color="365F91"/>
              <w:right w:val="nil"/>
            </w:tcBorders>
          </w:tcPr>
          <w:p w:rsidR="002F09CF" w:rsidRPr="00F33BF5" w:rsidP="005D306F" w14:paraId="717C1294" w14:textId="77777777">
            <w:pPr>
              <w:pStyle w:val="BodyText"/>
              <w:rPr>
                <w:rFonts w:ascii="Arial" w:hAnsi="Arial" w:cs="Arial"/>
                <w:sz w:val="18"/>
                <w:szCs w:val="18"/>
              </w:rPr>
            </w:pPr>
            <w:r w:rsidRPr="00F33BF5">
              <w:rPr>
                <w:rFonts w:ascii="Arial" w:hAnsi="Arial" w:cs="Arial"/>
                <w:sz w:val="18"/>
                <w:szCs w:val="18"/>
              </w:rPr>
              <w:t>3.2 pp</w:t>
            </w:r>
          </w:p>
        </w:tc>
        <w:tc>
          <w:tcPr>
            <w:tcW w:w="831" w:type="pct"/>
            <w:tcBorders>
              <w:top w:val="nil"/>
              <w:left w:val="nil"/>
              <w:bottom w:val="single" w:sz="4" w:space="0" w:color="365F91"/>
            </w:tcBorders>
            <w:vAlign w:val="bottom"/>
          </w:tcPr>
          <w:p w:rsidR="002F09CF" w:rsidRPr="00F33BF5" w:rsidP="005D306F" w14:paraId="3FE19C18" w14:textId="77777777">
            <w:pPr>
              <w:pStyle w:val="BodyText"/>
              <w:rPr>
                <w:rFonts w:ascii="Arial" w:hAnsi="Arial" w:cs="Arial"/>
                <w:sz w:val="18"/>
                <w:szCs w:val="18"/>
              </w:rPr>
            </w:pPr>
            <w:r w:rsidRPr="00F33BF5">
              <w:rPr>
                <w:rFonts w:ascii="Arial" w:hAnsi="Arial" w:cs="Arial"/>
                <w:sz w:val="18"/>
                <w:szCs w:val="18"/>
              </w:rPr>
              <w:t>5.0 pp</w:t>
            </w:r>
          </w:p>
        </w:tc>
        <w:tc>
          <w:tcPr>
            <w:tcW w:w="742" w:type="pct"/>
            <w:tcBorders>
              <w:top w:val="nil"/>
              <w:left w:val="nil"/>
              <w:bottom w:val="single" w:sz="4" w:space="0" w:color="365F91"/>
            </w:tcBorders>
          </w:tcPr>
          <w:p w:rsidR="002F09CF" w:rsidRPr="00F33BF5" w:rsidP="005D306F" w14:paraId="4D2E26F3" w14:textId="77777777">
            <w:pPr>
              <w:pStyle w:val="BodyText"/>
              <w:rPr>
                <w:rFonts w:ascii="Arial" w:hAnsi="Arial" w:cs="Arial"/>
                <w:sz w:val="18"/>
                <w:szCs w:val="18"/>
              </w:rPr>
            </w:pPr>
            <w:r w:rsidRPr="00F33BF5">
              <w:rPr>
                <w:rFonts w:ascii="Arial" w:hAnsi="Arial" w:cs="Arial"/>
                <w:sz w:val="18"/>
                <w:szCs w:val="18"/>
              </w:rPr>
              <w:t>3.5 pp</w:t>
            </w:r>
          </w:p>
        </w:tc>
      </w:tr>
      <w:tr w14:paraId="76234EE4" w14:textId="77777777" w:rsidTr="005D306F">
        <w:tblPrEx>
          <w:tblW w:w="5000" w:type="pct"/>
          <w:tblLook w:val="06A0"/>
        </w:tblPrEx>
        <w:tc>
          <w:tcPr>
            <w:tcW w:w="1838" w:type="pct"/>
            <w:tcBorders>
              <w:top w:val="nil"/>
              <w:bottom w:val="single" w:sz="4" w:space="0" w:color="365F91"/>
              <w:right w:val="single" w:sz="4" w:space="0" w:color="365F91"/>
            </w:tcBorders>
          </w:tcPr>
          <w:p w:rsidR="002F09CF" w:rsidRPr="00F33BF5" w:rsidP="005D306F" w14:paraId="521971E8" w14:textId="77777777">
            <w:pPr>
              <w:pStyle w:val="BodyText"/>
              <w:rPr>
                <w:rFonts w:ascii="Arial" w:hAnsi="Arial" w:cs="Arial"/>
                <w:sz w:val="18"/>
                <w:szCs w:val="18"/>
              </w:rPr>
            </w:pPr>
            <w:r w:rsidRPr="00F33BF5">
              <w:rPr>
                <w:rFonts w:ascii="Arial" w:hAnsi="Arial" w:cs="Arial"/>
                <w:sz w:val="18"/>
                <w:szCs w:val="18"/>
              </w:rPr>
              <w:t>Sample Size</w:t>
            </w:r>
          </w:p>
        </w:tc>
        <w:tc>
          <w:tcPr>
            <w:tcW w:w="758" w:type="pct"/>
            <w:tcBorders>
              <w:top w:val="nil"/>
              <w:left w:val="nil"/>
              <w:bottom w:val="single" w:sz="4" w:space="0" w:color="365F91"/>
            </w:tcBorders>
            <w:vAlign w:val="bottom"/>
          </w:tcPr>
          <w:p w:rsidR="002F09CF" w:rsidRPr="00F33BF5" w:rsidP="005D306F" w14:paraId="3533A32E" w14:textId="77777777">
            <w:pPr>
              <w:pStyle w:val="BodyText"/>
              <w:rPr>
                <w:rFonts w:ascii="Arial" w:hAnsi="Arial" w:cs="Arial"/>
                <w:sz w:val="18"/>
                <w:szCs w:val="18"/>
              </w:rPr>
            </w:pPr>
            <w:r w:rsidRPr="00F33BF5">
              <w:rPr>
                <w:rFonts w:ascii="Arial" w:hAnsi="Arial" w:cs="Arial"/>
                <w:sz w:val="18"/>
                <w:szCs w:val="18"/>
              </w:rPr>
              <w:t>2,400</w:t>
            </w:r>
          </w:p>
        </w:tc>
        <w:tc>
          <w:tcPr>
            <w:tcW w:w="831" w:type="pct"/>
            <w:tcBorders>
              <w:top w:val="nil"/>
              <w:left w:val="nil"/>
              <w:bottom w:val="single" w:sz="4" w:space="0" w:color="365F91"/>
              <w:right w:val="nil"/>
            </w:tcBorders>
          </w:tcPr>
          <w:p w:rsidR="002F09CF" w:rsidRPr="00F33BF5" w:rsidP="005D306F" w14:paraId="1907E3A5" w14:textId="77777777">
            <w:pPr>
              <w:pStyle w:val="BodyText"/>
              <w:rPr>
                <w:rFonts w:ascii="Arial" w:hAnsi="Arial" w:cs="Arial"/>
                <w:sz w:val="18"/>
                <w:szCs w:val="18"/>
              </w:rPr>
            </w:pPr>
            <w:r w:rsidRPr="00F33BF5">
              <w:rPr>
                <w:rFonts w:ascii="Arial" w:hAnsi="Arial" w:cs="Arial"/>
                <w:sz w:val="18"/>
                <w:szCs w:val="18"/>
              </w:rPr>
              <w:t>4,800</w:t>
            </w:r>
          </w:p>
        </w:tc>
        <w:tc>
          <w:tcPr>
            <w:tcW w:w="831" w:type="pct"/>
            <w:tcBorders>
              <w:top w:val="nil"/>
              <w:left w:val="nil"/>
              <w:bottom w:val="single" w:sz="4" w:space="0" w:color="365F91"/>
            </w:tcBorders>
            <w:vAlign w:val="bottom"/>
          </w:tcPr>
          <w:p w:rsidR="002F09CF" w:rsidRPr="00F33BF5" w:rsidP="005D306F" w14:paraId="5EB4F2CD" w14:textId="77777777">
            <w:pPr>
              <w:pStyle w:val="BodyText"/>
              <w:rPr>
                <w:rFonts w:ascii="Arial" w:hAnsi="Arial" w:cs="Arial"/>
                <w:sz w:val="18"/>
                <w:szCs w:val="18"/>
              </w:rPr>
            </w:pPr>
            <w:r w:rsidRPr="00F33BF5">
              <w:rPr>
                <w:rFonts w:ascii="Arial" w:hAnsi="Arial" w:cs="Arial"/>
                <w:sz w:val="18"/>
                <w:szCs w:val="18"/>
              </w:rPr>
              <w:t>2,400</w:t>
            </w:r>
          </w:p>
        </w:tc>
        <w:tc>
          <w:tcPr>
            <w:tcW w:w="742" w:type="pct"/>
            <w:tcBorders>
              <w:top w:val="nil"/>
              <w:left w:val="nil"/>
              <w:bottom w:val="single" w:sz="4" w:space="0" w:color="365F91"/>
            </w:tcBorders>
          </w:tcPr>
          <w:p w:rsidR="002F09CF" w:rsidRPr="00F33BF5" w:rsidP="005D306F" w14:paraId="5ED395B6" w14:textId="77777777">
            <w:pPr>
              <w:pStyle w:val="BodyText"/>
              <w:rPr>
                <w:rFonts w:ascii="Arial" w:hAnsi="Arial" w:cs="Arial"/>
                <w:sz w:val="18"/>
                <w:szCs w:val="18"/>
              </w:rPr>
            </w:pPr>
            <w:r w:rsidRPr="00F33BF5">
              <w:rPr>
                <w:rFonts w:ascii="Arial" w:hAnsi="Arial" w:cs="Arial"/>
                <w:sz w:val="18"/>
                <w:szCs w:val="18"/>
              </w:rPr>
              <w:t>4,800</w:t>
            </w:r>
          </w:p>
        </w:tc>
      </w:tr>
      <w:tr w14:paraId="1EF4E0AF" w14:textId="77777777" w:rsidTr="005D306F">
        <w:tblPrEx>
          <w:tblW w:w="5000" w:type="pct"/>
          <w:tblLook w:val="06A0"/>
        </w:tblPrEx>
        <w:tc>
          <w:tcPr>
            <w:tcW w:w="1838" w:type="pct"/>
            <w:tcBorders>
              <w:top w:val="nil"/>
              <w:bottom w:val="single" w:sz="4" w:space="0" w:color="365F91"/>
              <w:right w:val="single" w:sz="4" w:space="0" w:color="365F91"/>
            </w:tcBorders>
            <w:shd w:val="clear" w:color="auto" w:fill="auto"/>
          </w:tcPr>
          <w:p w:rsidR="002F09CF" w:rsidRPr="00F33BF5" w:rsidP="005D306F" w14:paraId="4396709F" w14:textId="77777777">
            <w:pPr>
              <w:pStyle w:val="BodyText"/>
              <w:rPr>
                <w:rFonts w:ascii="Arial" w:hAnsi="Arial" w:cs="Arial"/>
                <w:sz w:val="18"/>
                <w:szCs w:val="18"/>
              </w:rPr>
            </w:pPr>
            <w:r w:rsidRPr="00F33BF5">
              <w:rPr>
                <w:rFonts w:ascii="Arial" w:hAnsi="Arial" w:cs="Arial"/>
                <w:sz w:val="18"/>
                <w:szCs w:val="18"/>
              </w:rPr>
              <w:t>Control group employment assumptions</w:t>
            </w:r>
          </w:p>
        </w:tc>
        <w:tc>
          <w:tcPr>
            <w:tcW w:w="758" w:type="pct"/>
            <w:tcBorders>
              <w:top w:val="nil"/>
              <w:left w:val="nil"/>
              <w:bottom w:val="single" w:sz="4" w:space="0" w:color="365F91"/>
            </w:tcBorders>
            <w:shd w:val="clear" w:color="auto" w:fill="auto"/>
            <w:vAlign w:val="bottom"/>
          </w:tcPr>
          <w:p w:rsidR="002F09CF" w:rsidRPr="00F33BF5" w:rsidP="005D306F" w14:paraId="7D6B5DE6" w14:textId="77777777">
            <w:pPr>
              <w:pStyle w:val="BodyText"/>
              <w:rPr>
                <w:rFonts w:ascii="Arial" w:hAnsi="Arial" w:cs="Arial"/>
                <w:sz w:val="18"/>
                <w:szCs w:val="18"/>
              </w:rPr>
            </w:pPr>
            <w:r w:rsidRPr="00F33BF5">
              <w:rPr>
                <w:rFonts w:ascii="Arial" w:hAnsi="Arial" w:cs="Arial"/>
                <w:sz w:val="18"/>
                <w:szCs w:val="18"/>
              </w:rPr>
              <w:t>15 percent</w:t>
            </w:r>
          </w:p>
        </w:tc>
        <w:tc>
          <w:tcPr>
            <w:tcW w:w="831" w:type="pct"/>
            <w:tcBorders>
              <w:top w:val="nil"/>
              <w:left w:val="nil"/>
              <w:bottom w:val="single" w:sz="4" w:space="0" w:color="365F91"/>
              <w:right w:val="nil"/>
            </w:tcBorders>
            <w:vAlign w:val="bottom"/>
          </w:tcPr>
          <w:p w:rsidR="002F09CF" w:rsidRPr="00F33BF5" w:rsidP="005D306F" w14:paraId="1AFE2E1A" w14:textId="77777777">
            <w:pPr>
              <w:pStyle w:val="BodyText"/>
              <w:rPr>
                <w:rFonts w:ascii="Arial" w:hAnsi="Arial" w:cs="Arial"/>
                <w:sz w:val="18"/>
                <w:szCs w:val="18"/>
              </w:rPr>
            </w:pPr>
            <w:r w:rsidRPr="00F33BF5">
              <w:rPr>
                <w:rFonts w:ascii="Arial" w:hAnsi="Arial" w:cs="Arial"/>
                <w:sz w:val="18"/>
                <w:szCs w:val="18"/>
              </w:rPr>
              <w:t>15 percent</w:t>
            </w:r>
          </w:p>
        </w:tc>
        <w:tc>
          <w:tcPr>
            <w:tcW w:w="831" w:type="pct"/>
            <w:tcBorders>
              <w:top w:val="nil"/>
              <w:left w:val="nil"/>
              <w:bottom w:val="single" w:sz="4" w:space="0" w:color="365F91"/>
            </w:tcBorders>
            <w:shd w:val="clear" w:color="auto" w:fill="auto"/>
            <w:vAlign w:val="bottom"/>
          </w:tcPr>
          <w:p w:rsidR="002F09CF" w:rsidRPr="00F33BF5" w:rsidP="005D306F" w14:paraId="243B6481" w14:textId="77777777">
            <w:pPr>
              <w:pStyle w:val="BodyText"/>
              <w:rPr>
                <w:rFonts w:ascii="Arial" w:hAnsi="Arial" w:cs="Arial"/>
                <w:sz w:val="18"/>
                <w:szCs w:val="18"/>
              </w:rPr>
            </w:pPr>
            <w:r w:rsidRPr="00F33BF5">
              <w:rPr>
                <w:rFonts w:ascii="Arial" w:hAnsi="Arial" w:cs="Arial"/>
                <w:sz w:val="18"/>
                <w:szCs w:val="18"/>
              </w:rPr>
              <w:t>25 percent</w:t>
            </w:r>
          </w:p>
        </w:tc>
        <w:tc>
          <w:tcPr>
            <w:tcW w:w="742" w:type="pct"/>
            <w:tcBorders>
              <w:top w:val="nil"/>
              <w:left w:val="nil"/>
              <w:bottom w:val="single" w:sz="4" w:space="0" w:color="365F91"/>
            </w:tcBorders>
            <w:shd w:val="clear" w:color="auto" w:fill="auto"/>
            <w:vAlign w:val="bottom"/>
          </w:tcPr>
          <w:p w:rsidR="002F09CF" w:rsidRPr="00F33BF5" w:rsidP="005D306F" w14:paraId="158B602A" w14:textId="77777777">
            <w:pPr>
              <w:pStyle w:val="BodyText"/>
              <w:rPr>
                <w:rFonts w:ascii="Arial" w:hAnsi="Arial" w:cs="Arial"/>
                <w:sz w:val="18"/>
                <w:szCs w:val="18"/>
              </w:rPr>
            </w:pPr>
            <w:r w:rsidRPr="00F33BF5">
              <w:rPr>
                <w:rFonts w:ascii="Arial" w:hAnsi="Arial" w:cs="Arial"/>
                <w:sz w:val="18"/>
                <w:szCs w:val="18"/>
              </w:rPr>
              <w:t>25 percent</w:t>
            </w:r>
          </w:p>
        </w:tc>
      </w:tr>
    </w:tbl>
    <w:p w:rsidR="002F09CF" w:rsidRPr="00B01EE4" w:rsidP="002F09CF" w14:paraId="335C609B" w14:textId="77777777">
      <w:pPr>
        <w:pStyle w:val="FigureTableNotes"/>
      </w:pPr>
      <w:r w:rsidRPr="007753E0">
        <w:rPr>
          <w:b/>
          <w:bCs/>
        </w:rPr>
        <w:t>Notes:</w:t>
      </w:r>
      <w:r>
        <w:t xml:space="preserve"> Q5 refers</w:t>
      </w:r>
      <w:r w:rsidRPr="0045440D">
        <w:t xml:space="preserve"> to the </w:t>
      </w:r>
      <w:r>
        <w:t>fifth quarter after</w:t>
      </w:r>
      <w:r w:rsidRPr="0045440D">
        <w:t xml:space="preserve"> randomization. The MD</w:t>
      </w:r>
      <w:r>
        <w:t>E</w:t>
      </w:r>
      <w:r w:rsidRPr="0045440D">
        <w:t>s are calculated based</w:t>
      </w:r>
      <w:r>
        <w:t xml:space="preserve"> on the </w:t>
      </w:r>
      <w:r w:rsidRPr="0045440D">
        <w:t>assumptions</w:t>
      </w:r>
      <w:r>
        <w:t xml:space="preserve"> that</w:t>
      </w:r>
      <w:r w:rsidRPr="0045440D">
        <w:t xml:space="preserve"> grantee enrollment and control group size </w:t>
      </w:r>
      <w:r>
        <w:t>are the same size</w:t>
      </w:r>
      <w:r w:rsidRPr="0045440D">
        <w:t xml:space="preserve">, </w:t>
      </w:r>
      <w:r>
        <w:t xml:space="preserve">a .05 significance level, and 80 percent power. pp stands for percentage points. </w:t>
      </w:r>
    </w:p>
    <w:p w:rsidR="00623FF5" w:rsidRPr="009018B3" w:rsidP="00616302" w14:paraId="53CEFDF6" w14:textId="77777777">
      <w:pPr>
        <w:pStyle w:val="H5Lower"/>
        <w:spacing w:after="240"/>
      </w:pPr>
      <w:bookmarkStart w:id="5" w:name="_Toc396726848"/>
      <w:bookmarkStart w:id="6" w:name="_Toc436939714"/>
      <w:r>
        <w:t>c.</w:t>
      </w:r>
      <w:r>
        <w:tab/>
        <w:t>Statistical methodology for sample selection</w:t>
      </w:r>
      <w:bookmarkEnd w:id="5"/>
      <w:bookmarkEnd w:id="6"/>
    </w:p>
    <w:p w:rsidR="00720B4C" w:rsidP="00616302" w14:paraId="2FEEB545" w14:textId="0ED17005">
      <w:pPr>
        <w:pStyle w:val="NormalSS"/>
        <w:ind w:firstLine="0"/>
        <w:rPr>
          <w:b/>
          <w:bCs/>
          <w:i/>
          <w:iCs/>
        </w:rPr>
      </w:pPr>
      <w:r w:rsidRPr="00E212E3">
        <w:rPr>
          <w:szCs w:val="24"/>
        </w:rPr>
        <w:t xml:space="preserve">All </w:t>
      </w:r>
      <w:r w:rsidR="00C04709">
        <w:rPr>
          <w:szCs w:val="24"/>
        </w:rPr>
        <w:t xml:space="preserve">SCSEP </w:t>
      </w:r>
      <w:r w:rsidRPr="00E212E3">
        <w:rPr>
          <w:szCs w:val="24"/>
        </w:rPr>
        <w:t xml:space="preserve">participants who consent to be part of the study will be subject to random assignment. </w:t>
      </w:r>
      <w:r w:rsidR="00C04709">
        <w:rPr>
          <w:szCs w:val="24"/>
        </w:rPr>
        <w:t>R</w:t>
      </w:r>
      <w:r>
        <w:rPr>
          <w:szCs w:val="24"/>
        </w:rPr>
        <w:t xml:space="preserve">andom assignment will be conducted online using </w:t>
      </w:r>
      <w:r w:rsidR="00C04709">
        <w:rPr>
          <w:szCs w:val="24"/>
        </w:rPr>
        <w:t xml:space="preserve">a system </w:t>
      </w:r>
      <w:r>
        <w:t xml:space="preserve">with pre-specified random assignment strings, developed separately for each sample intake location. Strata will be formed using information from the </w:t>
      </w:r>
      <w:r w:rsidR="00DD22D0">
        <w:t>BIF and GPMS</w:t>
      </w:r>
      <w:r>
        <w:t xml:space="preserve"> to ensure the research groups are balanced along key dimensions such as age, </w:t>
      </w:r>
      <w:r w:rsidR="00DD22D0">
        <w:t>sex, race, highest level of education, and SCSEP priority of service factors (e.g</w:t>
      </w:r>
      <w:r w:rsidR="00C04709">
        <w:t>.</w:t>
      </w:r>
      <w:r w:rsidR="00DD22D0">
        <w:t>, Veteran, disability, limited English proficiency).</w:t>
      </w:r>
    </w:p>
    <w:p w:rsidR="004C1EDF" w:rsidRPr="004C1EDF" w:rsidP="00616302" w14:paraId="111B7950" w14:textId="5C2517FD">
      <w:pPr>
        <w:pStyle w:val="H4Number"/>
        <w:spacing w:after="240"/>
      </w:pPr>
      <w:bookmarkStart w:id="7" w:name="_Hlk63929524"/>
      <w:r w:rsidRPr="004C1EDF">
        <w:t>B.3. Methods to maximize response rates and minimize nonresponse</w:t>
      </w:r>
    </w:p>
    <w:bookmarkEnd w:id="7"/>
    <w:p w:rsidR="008B2CDC" w:rsidRPr="009018B3" w:rsidP="00F33BF5" w14:paraId="5302BF3A" w14:textId="0568709B">
      <w:pPr>
        <w:spacing w:after="240" w:line="240" w:lineRule="auto"/>
        <w:ind w:firstLine="0"/>
      </w:pPr>
      <w:r>
        <w:rPr>
          <w:rFonts w:eastAsiaTheme="minorEastAsia"/>
          <w:szCs w:val="24"/>
        </w:rPr>
        <w:t xml:space="preserve">The study team expects a 100 percent response rate on the BIF. </w:t>
      </w:r>
      <w:r w:rsidR="00DD22D0">
        <w:rPr>
          <w:rFonts w:eastAsiaTheme="minorEastAsia"/>
          <w:szCs w:val="24"/>
        </w:rPr>
        <w:t xml:space="preserve">Grantee staff will be trained to describe the study, including random assignment and data collected, how the data will be used, and to answer any questions from potential participants. </w:t>
      </w:r>
      <w:r w:rsidRPr="004223B5" w:rsidR="00C35BD4">
        <w:t xml:space="preserve">Data from completed </w:t>
      </w:r>
      <w:r>
        <w:t>BIFs</w:t>
      </w:r>
      <w:r w:rsidRPr="004223B5" w:rsidR="00C35BD4">
        <w:t xml:space="preserve"> will be reviewed throughout the fielding period for accuracy and consistency. </w:t>
      </w:r>
    </w:p>
    <w:p w:rsidR="00C35BD4" w:rsidRPr="009018B3" w:rsidP="00616302" w14:paraId="4658D3E3" w14:textId="0870D77B">
      <w:pPr>
        <w:pStyle w:val="H3Alpha"/>
        <w:spacing w:after="240"/>
      </w:pPr>
      <w:r>
        <w:t>B.</w:t>
      </w:r>
      <w:r w:rsidRPr="009018B3">
        <w:t>4. Tests of procedures or methods to be undertaken</w:t>
      </w:r>
    </w:p>
    <w:p w:rsidR="00C35BD4" w:rsidP="00F33BF5" w14:paraId="0E34379A" w14:textId="2D5600A0">
      <w:pPr>
        <w:pStyle w:val="NormalSS"/>
        <w:ind w:firstLine="0"/>
      </w:pPr>
      <w:r>
        <w:t xml:space="preserve">The </w:t>
      </w:r>
      <w:r>
        <w:t xml:space="preserve">data collection </w:t>
      </w:r>
      <w:r w:rsidRPr="009018B3">
        <w:t>procedures</w:t>
      </w:r>
      <w:r>
        <w:t xml:space="preserve"> </w:t>
      </w:r>
      <w:r w:rsidRPr="009018B3">
        <w:t xml:space="preserve">and </w:t>
      </w:r>
      <w:r>
        <w:t xml:space="preserve">instrument included in this request </w:t>
      </w:r>
      <w:r w:rsidRPr="009018B3">
        <w:t>to be used in the</w:t>
      </w:r>
      <w:r>
        <w:t xml:space="preserve"> evaluation have been </w:t>
      </w:r>
      <w:r w:rsidRPr="009018B3">
        <w:t>reviewed by content and methodological experts to ensure clarity and optimal ordering of the questions.</w:t>
      </w:r>
      <w:r>
        <w:t xml:space="preserve"> The questions are </w:t>
      </w:r>
      <w:r>
        <w:t xml:space="preserve">based closely on prior surveys that have been extensively tested </w:t>
      </w:r>
      <w:r w:rsidRPr="004629F9">
        <w:t>to evaluate the clarity of the questions to be asked</w:t>
      </w:r>
      <w:r>
        <w:t>. T</w:t>
      </w:r>
      <w:r>
        <w:t xml:space="preserve">he procedures used to collect the data will be based closely on the procedures used successfully for similar </w:t>
      </w:r>
      <w:r>
        <w:t>studies</w:t>
      </w:r>
      <w:r>
        <w:t xml:space="preserve">, which ensures that they can be </w:t>
      </w:r>
      <w:r w:rsidRPr="009018B3">
        <w:t>used effectively</w:t>
      </w:r>
      <w:r w:rsidRPr="004629F9">
        <w:t xml:space="preserve"> </w:t>
      </w:r>
      <w:r>
        <w:t>to conduct the data collection for this study.</w:t>
      </w:r>
    </w:p>
    <w:p w:rsidR="004C1EDF" w:rsidRPr="004C1EDF" w:rsidP="00616302" w14:paraId="1104FAD8" w14:textId="6642D48D">
      <w:pPr>
        <w:pStyle w:val="H4NumberNoTOC"/>
        <w:spacing w:after="240"/>
      </w:pPr>
      <w:r w:rsidRPr="004C1EDF">
        <w:t>B.</w:t>
      </w:r>
      <w:r w:rsidR="00C35BD4">
        <w:t>5</w:t>
      </w:r>
      <w:r w:rsidRPr="004C1EDF">
        <w:t>. Individuals consulted on statistical aspects of design and on collecting and/or analyzing data</w:t>
      </w:r>
    </w:p>
    <w:p w:rsidR="00203F7F" w:rsidRPr="009018B3" w:rsidP="00616302" w14:paraId="0494C8E7" w14:textId="27D69976">
      <w:pPr>
        <w:pStyle w:val="NormalSS"/>
        <w:ind w:firstLine="0"/>
      </w:pPr>
      <w:r w:rsidRPr="009018B3">
        <w:t>Staff responsible for overseeing the collection and analysis of data are listed in Table B.</w:t>
      </w:r>
      <w:r w:rsidR="0015147D">
        <w:t>3</w:t>
      </w:r>
      <w:r w:rsidR="003970EB">
        <w:t xml:space="preserve"> and </w:t>
      </w:r>
      <w:r w:rsidR="00F11815">
        <w:t>indiv</w:t>
      </w:r>
      <w:r w:rsidR="005638D5">
        <w:t>iduals consulting</w:t>
      </w:r>
      <w:r w:rsidR="00F11815">
        <w:t xml:space="preserve"> on the </w:t>
      </w:r>
      <w:r w:rsidR="00DD22D0">
        <w:t xml:space="preserve">impact study data collection </w:t>
      </w:r>
      <w:r w:rsidR="00F11815">
        <w:t xml:space="preserve">efforts are </w:t>
      </w:r>
      <w:r>
        <w:t xml:space="preserve">listed in </w:t>
      </w:r>
      <w:r w:rsidRPr="009018B3">
        <w:t>Table B.</w:t>
      </w:r>
      <w:r w:rsidR="0015147D">
        <w:t>4</w:t>
      </w:r>
      <w:r w:rsidRPr="009018B3">
        <w:t>.</w:t>
      </w:r>
      <w:r w:rsidRPr="004C63E0">
        <w:t xml:space="preserve"> </w:t>
      </w:r>
    </w:p>
    <w:p w:rsidR="00997EA4" w:rsidP="00616302" w14:paraId="3D089AA5" w14:textId="6CD571BF">
      <w:pPr>
        <w:pStyle w:val="MarkforTableTitle"/>
        <w:spacing w:after="240"/>
      </w:pPr>
      <w:r w:rsidRPr="009018B3">
        <w:t>Table B</w:t>
      </w:r>
      <w:r w:rsidR="00D65670">
        <w:t>.</w:t>
      </w:r>
      <w:r w:rsidR="0015147D">
        <w:t>3</w:t>
      </w:r>
      <w:r w:rsidR="00D65670">
        <w:t xml:space="preserve"> </w:t>
      </w:r>
      <w:r w:rsidR="005638D5">
        <w:t xml:space="preserve">Individuals </w:t>
      </w:r>
      <w:r w:rsidRPr="009018B3">
        <w:t>oversee</w:t>
      </w:r>
      <w:r w:rsidR="005638D5">
        <w:t>ing</w:t>
      </w:r>
      <w:r w:rsidRPr="009018B3">
        <w:t xml:space="preserve"> the collection and analysis of data for the </w:t>
      </w:r>
      <w:bookmarkStart w:id="8" w:name="_Hlk92816279"/>
      <w:r w:rsidR="00C04709">
        <w:t xml:space="preserve">Older Workers Impact </w:t>
      </w:r>
      <w:r w:rsidR="00927451">
        <w:t>Study</w:t>
      </w:r>
      <w:bookmarkEnd w:id="8"/>
    </w:p>
    <w:tbl>
      <w:tblPr>
        <w:tblW w:w="5001" w:type="pct"/>
        <w:tblCellMar>
          <w:left w:w="0" w:type="dxa"/>
          <w:right w:w="0" w:type="dxa"/>
        </w:tblCellMar>
        <w:tblLook w:val="04A0"/>
      </w:tblPr>
      <w:tblGrid>
        <w:gridCol w:w="3423"/>
        <w:gridCol w:w="5939"/>
      </w:tblGrid>
      <w:tr w14:paraId="2B60F11B" w14:textId="77777777" w:rsidTr="00D40C57">
        <w:tblPrEx>
          <w:tblW w:w="5001" w:type="pct"/>
          <w:tblCellMar>
            <w:left w:w="0" w:type="dxa"/>
            <w:right w:w="0" w:type="dxa"/>
          </w:tblCellMar>
          <w:tblLook w:val="04A0"/>
        </w:tblPrEx>
        <w:trPr>
          <w:cantSplit/>
        </w:trPr>
        <w:tc>
          <w:tcPr>
            <w:tcW w:w="1828" w:type="pct"/>
            <w:tcBorders>
              <w:top w:val="single" w:sz="4" w:space="0" w:color="auto"/>
              <w:left w:val="nil"/>
              <w:right w:val="nil"/>
            </w:tcBorders>
            <w:tcMar>
              <w:top w:w="0" w:type="dxa"/>
              <w:left w:w="108" w:type="dxa"/>
              <w:bottom w:w="0" w:type="dxa"/>
              <w:right w:w="108" w:type="dxa"/>
            </w:tcMar>
            <w:hideMark/>
          </w:tcPr>
          <w:p w:rsidR="00D40C57" w:rsidRPr="00B61EED" w:rsidP="00616302" w14:paraId="0E218B41" w14:textId="77777777">
            <w:pPr>
              <w:pStyle w:val="TableText"/>
              <w:spacing w:after="240"/>
              <w:rPr>
                <w:rFonts w:cs="Arial"/>
                <w:szCs w:val="18"/>
              </w:rPr>
            </w:pPr>
            <w:r>
              <w:rPr>
                <w:rFonts w:cs="Arial"/>
                <w:szCs w:val="18"/>
              </w:rPr>
              <w:t>The Urban Institute</w:t>
            </w:r>
            <w:r>
              <w:rPr>
                <w:rFonts w:cs="Arial"/>
                <w:szCs w:val="18"/>
              </w:rPr>
              <w:br/>
            </w:r>
          </w:p>
        </w:tc>
        <w:tc>
          <w:tcPr>
            <w:tcW w:w="3172" w:type="pct"/>
            <w:tcBorders>
              <w:top w:val="single" w:sz="4" w:space="0" w:color="auto"/>
              <w:left w:val="nil"/>
              <w:right w:val="nil"/>
            </w:tcBorders>
            <w:vAlign w:val="center"/>
          </w:tcPr>
          <w:p w:rsidR="00D40C57" w:rsidP="00C04709" w14:paraId="4AEA104A" w14:textId="6100AFBC">
            <w:pPr>
              <w:pStyle w:val="TableText"/>
              <w:spacing w:after="240"/>
              <w:rPr>
                <w:rFonts w:cs="Arial"/>
                <w:szCs w:val="18"/>
              </w:rPr>
            </w:pPr>
            <w:r>
              <w:rPr>
                <w:rFonts w:cs="Arial"/>
                <w:szCs w:val="18"/>
              </w:rPr>
              <w:t>Barbara Butr</w:t>
            </w:r>
            <w:r w:rsidR="00894AF1">
              <w:rPr>
                <w:rFonts w:cs="Arial"/>
                <w:szCs w:val="18"/>
              </w:rPr>
              <w:t>ica</w:t>
            </w:r>
            <w:r w:rsidR="00C04709">
              <w:rPr>
                <w:rFonts w:cs="Arial"/>
                <w:szCs w:val="18"/>
              </w:rPr>
              <w:t xml:space="preserve">, Co-Principal Investigator </w:t>
            </w:r>
            <w:r>
              <w:rPr>
                <w:rFonts w:cs="Arial"/>
                <w:szCs w:val="18"/>
              </w:rPr>
              <w:t xml:space="preserve"> </w:t>
            </w:r>
          </w:p>
          <w:p w:rsidR="00C04709" w:rsidP="00C04709" w14:paraId="2F3601DD" w14:textId="6D565F09">
            <w:pPr>
              <w:pStyle w:val="TableText"/>
              <w:spacing w:after="240"/>
            </w:pPr>
            <w:r>
              <w:t>Pam</w:t>
            </w:r>
            <w:r w:rsidR="00894AF1">
              <w:t>ela</w:t>
            </w:r>
            <w:r>
              <w:t xml:space="preserve"> Loprest, Project Director</w:t>
            </w:r>
          </w:p>
          <w:p w:rsidR="00C04709" w:rsidRPr="00D40C57" w:rsidP="000162AC" w14:paraId="673875AC" w14:textId="7E6F8627">
            <w:pPr>
              <w:pStyle w:val="TableText"/>
              <w:spacing w:after="240"/>
            </w:pPr>
            <w:r>
              <w:t>Karen Gardiner, Impact Study Lead</w:t>
            </w:r>
          </w:p>
        </w:tc>
      </w:tr>
      <w:tr w14:paraId="26577AC3" w14:textId="77777777" w:rsidTr="00D40C57">
        <w:tblPrEx>
          <w:tblW w:w="5001" w:type="pct"/>
          <w:tblCellMar>
            <w:left w:w="0" w:type="dxa"/>
            <w:right w:w="0" w:type="dxa"/>
          </w:tblCellMar>
          <w:tblLook w:val="04A0"/>
        </w:tblPrEx>
        <w:trPr>
          <w:cantSplit/>
        </w:trPr>
        <w:tc>
          <w:tcPr>
            <w:tcW w:w="1828" w:type="pct"/>
            <w:tcBorders>
              <w:left w:val="nil"/>
              <w:bottom w:val="single" w:sz="4" w:space="0" w:color="auto"/>
              <w:right w:val="nil"/>
            </w:tcBorders>
            <w:shd w:val="clear" w:color="auto" w:fill="auto"/>
            <w:tcMar>
              <w:top w:w="0" w:type="dxa"/>
              <w:left w:w="108" w:type="dxa"/>
              <w:bottom w:w="0" w:type="dxa"/>
              <w:right w:w="108" w:type="dxa"/>
            </w:tcMar>
          </w:tcPr>
          <w:p w:rsidR="00D40C57" w:rsidRPr="00B61EED" w:rsidP="00616302" w14:paraId="3A1E9D35" w14:textId="277FE930">
            <w:pPr>
              <w:pStyle w:val="TableText"/>
              <w:spacing w:after="240"/>
              <w:rPr>
                <w:rFonts w:cs="Arial"/>
                <w:szCs w:val="18"/>
              </w:rPr>
            </w:pPr>
            <w:r>
              <w:rPr>
                <w:rFonts w:cs="Arial"/>
                <w:szCs w:val="18"/>
              </w:rPr>
              <w:t>Capital Research Corporation</w:t>
            </w:r>
            <w:r>
              <w:rPr>
                <w:rFonts w:cs="Arial"/>
                <w:szCs w:val="18"/>
              </w:rPr>
              <w:t xml:space="preserve"> </w:t>
            </w:r>
          </w:p>
        </w:tc>
        <w:tc>
          <w:tcPr>
            <w:tcW w:w="3172" w:type="pct"/>
            <w:tcBorders>
              <w:left w:val="nil"/>
              <w:bottom w:val="single" w:sz="4" w:space="0" w:color="auto"/>
              <w:right w:val="nil"/>
            </w:tcBorders>
          </w:tcPr>
          <w:p w:rsidR="00D40C57" w:rsidRPr="00D40C57" w:rsidP="00C04709" w14:paraId="3A39EBF1" w14:textId="2812879B">
            <w:pPr>
              <w:pStyle w:val="TableText"/>
              <w:spacing w:after="240"/>
            </w:pPr>
            <w:r>
              <w:rPr>
                <w:rFonts w:cs="Arial"/>
                <w:szCs w:val="18"/>
              </w:rPr>
              <w:t>John Trutko,</w:t>
            </w:r>
            <w:r w:rsidR="00894AF1">
              <w:rPr>
                <w:rFonts w:cs="Arial"/>
                <w:szCs w:val="18"/>
              </w:rPr>
              <w:t xml:space="preserve"> Researcher</w:t>
            </w:r>
          </w:p>
        </w:tc>
      </w:tr>
    </w:tbl>
    <w:p w:rsidR="00676B13" w:rsidRPr="000F2E30" w:rsidP="00C04709" w14:paraId="79E4F342" w14:textId="498DBDF7">
      <w:pPr>
        <w:pStyle w:val="MarkforTableTitle"/>
        <w:spacing w:before="240" w:after="240"/>
      </w:pPr>
      <w:r w:rsidRPr="009018B3">
        <w:t>Table B.</w:t>
      </w:r>
      <w:r w:rsidR="0015147D">
        <w:t>4</w:t>
      </w:r>
      <w:r w:rsidR="00F11815">
        <w:t xml:space="preserve"> Individuals </w:t>
      </w:r>
      <w:r w:rsidR="005638D5">
        <w:t>consulting on</w:t>
      </w:r>
      <w:r w:rsidRPr="009018B3" w:rsidR="005638D5">
        <w:t xml:space="preserve"> the collecti</w:t>
      </w:r>
      <w:r w:rsidR="005638D5">
        <w:t xml:space="preserve">on and analysis of data for </w:t>
      </w:r>
      <w:r w:rsidRPr="009018B3">
        <w:t xml:space="preserve">the </w:t>
      </w:r>
      <w:r w:rsidR="00ED0DDE">
        <w:t>Older Workers Impact Study</w:t>
      </w:r>
    </w:p>
    <w:tbl>
      <w:tblPr>
        <w:tblW w:w="5000" w:type="pct"/>
        <w:tblCellMar>
          <w:left w:w="0" w:type="dxa"/>
          <w:right w:w="0" w:type="dxa"/>
        </w:tblCellMar>
        <w:tblLook w:val="04A0"/>
      </w:tblPr>
      <w:tblGrid>
        <w:gridCol w:w="3420"/>
        <w:gridCol w:w="5940"/>
      </w:tblGrid>
      <w:tr w14:paraId="6E16BF53" w14:textId="77777777" w:rsidTr="00ED0DDE">
        <w:tblPrEx>
          <w:tblW w:w="5000" w:type="pct"/>
          <w:tblCellMar>
            <w:left w:w="0" w:type="dxa"/>
            <w:right w:w="0" w:type="dxa"/>
          </w:tblCellMar>
          <w:tblLook w:val="04A0"/>
        </w:tblPrEx>
        <w:trPr>
          <w:cantSplit/>
        </w:trPr>
        <w:tc>
          <w:tcPr>
            <w:tcW w:w="1827" w:type="pct"/>
            <w:tcBorders>
              <w:top w:val="single" w:sz="4" w:space="0" w:color="auto"/>
              <w:left w:val="nil"/>
              <w:right w:val="nil"/>
            </w:tcBorders>
            <w:tcMar>
              <w:top w:w="0" w:type="dxa"/>
              <w:left w:w="108" w:type="dxa"/>
              <w:bottom w:w="0" w:type="dxa"/>
              <w:right w:w="108" w:type="dxa"/>
            </w:tcMar>
            <w:hideMark/>
          </w:tcPr>
          <w:p w:rsidR="00676B13" w:rsidRPr="00B61EED" w:rsidP="00616302" w14:paraId="5F551779" w14:textId="77777777">
            <w:pPr>
              <w:pStyle w:val="TableText"/>
              <w:spacing w:after="240"/>
              <w:rPr>
                <w:rFonts w:eastAsiaTheme="minorHAnsi" w:cs="Arial"/>
                <w:szCs w:val="18"/>
              </w:rPr>
            </w:pPr>
            <w:r>
              <w:rPr>
                <w:rFonts w:cs="Arial"/>
                <w:szCs w:val="18"/>
              </w:rPr>
              <w:t>The Urban Institute</w:t>
            </w:r>
          </w:p>
          <w:p w:rsidR="00676B13" w:rsidRPr="00B61EED" w:rsidP="00616302" w14:paraId="5E725765" w14:textId="77777777">
            <w:pPr>
              <w:pStyle w:val="TableText"/>
              <w:spacing w:after="240"/>
              <w:rPr>
                <w:rFonts w:cs="Arial"/>
                <w:szCs w:val="18"/>
              </w:rPr>
            </w:pPr>
          </w:p>
        </w:tc>
        <w:tc>
          <w:tcPr>
            <w:tcW w:w="3173" w:type="pct"/>
            <w:tcBorders>
              <w:top w:val="single" w:sz="4" w:space="0" w:color="auto"/>
              <w:left w:val="nil"/>
              <w:right w:val="nil"/>
            </w:tcBorders>
            <w:tcMar>
              <w:top w:w="0" w:type="dxa"/>
              <w:left w:w="108" w:type="dxa"/>
              <w:bottom w:w="0" w:type="dxa"/>
              <w:right w:w="108" w:type="dxa"/>
            </w:tcMar>
            <w:vAlign w:val="center"/>
          </w:tcPr>
          <w:p w:rsidR="00ED0DDE" w:rsidP="00ED0DDE" w14:paraId="6E6585A8" w14:textId="5F11BD10">
            <w:pPr>
              <w:pStyle w:val="TableText"/>
              <w:spacing w:after="240"/>
              <w:rPr>
                <w:rFonts w:cs="Arial"/>
                <w:szCs w:val="18"/>
              </w:rPr>
            </w:pPr>
            <w:r>
              <w:rPr>
                <w:rFonts w:cs="Arial"/>
                <w:szCs w:val="18"/>
              </w:rPr>
              <w:t>Barbara</w:t>
            </w:r>
            <w:r w:rsidR="00894AF1">
              <w:rPr>
                <w:rFonts w:cs="Arial"/>
                <w:szCs w:val="18"/>
              </w:rPr>
              <w:t xml:space="preserve"> Butrica</w:t>
            </w:r>
            <w:r>
              <w:rPr>
                <w:rFonts w:cs="Arial"/>
                <w:szCs w:val="18"/>
              </w:rPr>
              <w:t xml:space="preserve">, Co-Principal Investigator  </w:t>
            </w:r>
          </w:p>
          <w:p w:rsidR="00ED0DDE" w:rsidP="00ED0DDE" w14:paraId="47C56AAD" w14:textId="77777777">
            <w:pPr>
              <w:pStyle w:val="TableText"/>
              <w:spacing w:after="240"/>
            </w:pPr>
            <w:r>
              <w:t>Pam Loprest, Project Director</w:t>
            </w:r>
          </w:p>
          <w:p w:rsidR="00676B13" w:rsidRPr="00894AF1" w:rsidP="00ED0DDE" w14:paraId="098FD623" w14:textId="714AD672">
            <w:pPr>
              <w:pStyle w:val="TableText"/>
              <w:spacing w:after="240"/>
            </w:pPr>
            <w:r>
              <w:t>Karen Gardiner, Impact Study Lea</w:t>
            </w:r>
            <w:r w:rsidR="00C31969">
              <w:t>d</w:t>
            </w:r>
          </w:p>
        </w:tc>
      </w:tr>
      <w:tr w14:paraId="395A2041" w14:textId="77777777" w:rsidTr="002D7B5C">
        <w:tblPrEx>
          <w:tblW w:w="5000" w:type="pct"/>
          <w:tblCellMar>
            <w:left w:w="0" w:type="dxa"/>
            <w:right w:w="0" w:type="dxa"/>
          </w:tblCellMar>
          <w:tblLook w:val="04A0"/>
        </w:tblPrEx>
        <w:trPr>
          <w:cantSplit/>
        </w:trPr>
        <w:tc>
          <w:tcPr>
            <w:tcW w:w="1827" w:type="pct"/>
            <w:tcBorders>
              <w:left w:val="nil"/>
              <w:bottom w:val="single" w:sz="4" w:space="0" w:color="auto"/>
              <w:right w:val="nil"/>
            </w:tcBorders>
            <w:shd w:val="clear" w:color="auto" w:fill="auto"/>
            <w:tcMar>
              <w:top w:w="0" w:type="dxa"/>
              <w:left w:w="108" w:type="dxa"/>
              <w:bottom w:w="0" w:type="dxa"/>
              <w:right w:w="108" w:type="dxa"/>
            </w:tcMar>
          </w:tcPr>
          <w:p w:rsidR="00ED0DDE" w:rsidRPr="00B61EED" w:rsidP="00ED0DDE" w14:paraId="708B7880" w14:textId="47857CA6">
            <w:pPr>
              <w:pStyle w:val="TableText"/>
              <w:spacing w:after="240"/>
              <w:rPr>
                <w:rFonts w:cs="Arial"/>
                <w:szCs w:val="18"/>
              </w:rPr>
            </w:pPr>
            <w:bookmarkStart w:id="9" w:name="_Hlk30677850"/>
            <w:r>
              <w:rPr>
                <w:rFonts w:cs="Arial"/>
                <w:szCs w:val="18"/>
              </w:rPr>
              <w:t xml:space="preserve">Capital Research Corporation </w:t>
            </w:r>
          </w:p>
        </w:tc>
        <w:tc>
          <w:tcPr>
            <w:tcW w:w="3173" w:type="pct"/>
            <w:tcBorders>
              <w:left w:val="nil"/>
              <w:bottom w:val="single" w:sz="4" w:space="0" w:color="auto"/>
              <w:right w:val="nil"/>
            </w:tcBorders>
            <w:shd w:val="clear" w:color="auto" w:fill="auto"/>
            <w:tcMar>
              <w:top w:w="0" w:type="dxa"/>
              <w:left w:w="108" w:type="dxa"/>
              <w:bottom w:w="0" w:type="dxa"/>
              <w:right w:w="108" w:type="dxa"/>
            </w:tcMar>
          </w:tcPr>
          <w:p w:rsidR="00ED0DDE" w:rsidP="00ED0DDE" w14:paraId="77169B8B" w14:textId="7E98AF1D">
            <w:pPr>
              <w:pStyle w:val="TableText"/>
              <w:spacing w:after="240"/>
              <w:rPr>
                <w:rFonts w:cs="Arial"/>
                <w:szCs w:val="18"/>
              </w:rPr>
            </w:pPr>
            <w:r>
              <w:rPr>
                <w:rFonts w:cs="Arial"/>
                <w:szCs w:val="18"/>
              </w:rPr>
              <w:t xml:space="preserve">John Trutko, </w:t>
            </w:r>
            <w:r w:rsidR="00894AF1">
              <w:rPr>
                <w:rFonts w:cs="Arial"/>
                <w:szCs w:val="18"/>
              </w:rPr>
              <w:t>Researcher</w:t>
            </w:r>
          </w:p>
        </w:tc>
      </w:tr>
      <w:tr w14:paraId="374C1D24" w14:textId="77777777" w:rsidTr="002D7B5C">
        <w:tblPrEx>
          <w:tblW w:w="5000" w:type="pct"/>
          <w:tblCellMar>
            <w:left w:w="0" w:type="dxa"/>
            <w:right w:w="0" w:type="dxa"/>
          </w:tblCellMar>
          <w:tblLook w:val="04A0"/>
        </w:tblPrEx>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ED0DDE" w:rsidP="00ED0DDE" w14:paraId="519421B9" w14:textId="77777777">
            <w:pPr>
              <w:pStyle w:val="TableText"/>
              <w:spacing w:after="240"/>
              <w:rPr>
                <w:rFonts w:cs="Arial"/>
                <w:szCs w:val="18"/>
              </w:rPr>
            </w:pPr>
            <w:r>
              <w:rPr>
                <w:rFonts w:cs="Arial"/>
                <w:szCs w:val="18"/>
              </w:rPr>
              <w:t>Technical Work Group Members</w:t>
            </w: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ED0DDE" w:rsidRPr="00A83518" w:rsidP="00ED0DDE" w14:paraId="0D6DC0DA" w14:textId="77777777">
            <w:pPr>
              <w:spacing w:after="240" w:line="240" w:lineRule="auto"/>
              <w:ind w:left="360" w:hanging="360"/>
              <w:rPr>
                <w:rFonts w:ascii="Arial" w:hAnsi="Arial" w:cs="Arial"/>
                <w:sz w:val="18"/>
                <w:szCs w:val="18"/>
              </w:rPr>
            </w:pPr>
            <w:r w:rsidRPr="00A83518">
              <w:rPr>
                <w:rFonts w:ascii="Arial" w:hAnsi="Arial" w:cs="Arial"/>
                <w:sz w:val="18"/>
                <w:szCs w:val="18"/>
              </w:rPr>
              <w:t>Jacqueline L. Angel</w:t>
            </w:r>
            <w:r>
              <w:rPr>
                <w:rFonts w:ascii="Arial" w:hAnsi="Arial" w:cs="Arial"/>
                <w:sz w:val="18"/>
                <w:szCs w:val="18"/>
              </w:rPr>
              <w:t xml:space="preserve">, </w:t>
            </w:r>
            <w:r w:rsidRPr="00A83518">
              <w:rPr>
                <w:rFonts w:ascii="Arial" w:hAnsi="Arial" w:cs="Arial"/>
                <w:sz w:val="18"/>
                <w:szCs w:val="18"/>
              </w:rPr>
              <w:t>Wilbur J. Cohen Professor in Health and Social Policy, LBJ School of Public Affairs, The University of Texas at Austin</w:t>
            </w:r>
          </w:p>
          <w:p w:rsidR="00ED0DDE" w:rsidRPr="00A83518" w:rsidP="00ED0DDE" w14:paraId="468C184D" w14:textId="77777777">
            <w:pPr>
              <w:spacing w:after="240" w:line="240" w:lineRule="auto"/>
              <w:ind w:left="360" w:hanging="360"/>
              <w:rPr>
                <w:rFonts w:ascii="Arial" w:hAnsi="Arial" w:cs="Arial"/>
                <w:sz w:val="18"/>
                <w:szCs w:val="18"/>
              </w:rPr>
            </w:pPr>
            <w:r w:rsidRPr="00A83518">
              <w:rPr>
                <w:rFonts w:ascii="Arial" w:hAnsi="Arial" w:cs="Arial"/>
                <w:sz w:val="18"/>
                <w:szCs w:val="18"/>
              </w:rPr>
              <w:t>Cal J. Halvorsen</w:t>
            </w:r>
            <w:r>
              <w:rPr>
                <w:rFonts w:ascii="Arial" w:hAnsi="Arial" w:cs="Arial"/>
                <w:sz w:val="18"/>
                <w:szCs w:val="18"/>
              </w:rPr>
              <w:t xml:space="preserve">, </w:t>
            </w:r>
            <w:r w:rsidRPr="00A83518">
              <w:rPr>
                <w:rFonts w:ascii="Arial" w:hAnsi="Arial" w:cs="Arial"/>
                <w:sz w:val="18"/>
                <w:szCs w:val="18"/>
              </w:rPr>
              <w:t>Assistant Professor, Boston College School of Social Work and affiliate of the Center for Aging &amp; Work at Boston College</w:t>
            </w:r>
          </w:p>
          <w:p w:rsidR="00ED0DDE" w:rsidRPr="00A83518" w:rsidP="00ED0DDE" w14:paraId="078D2927" w14:textId="45884768">
            <w:pPr>
              <w:spacing w:after="240" w:line="240" w:lineRule="auto"/>
              <w:ind w:left="360" w:hanging="360"/>
              <w:rPr>
                <w:rFonts w:ascii="Arial" w:hAnsi="Arial" w:cs="Arial"/>
                <w:sz w:val="18"/>
                <w:szCs w:val="18"/>
              </w:rPr>
            </w:pPr>
            <w:r w:rsidRPr="00A83518">
              <w:rPr>
                <w:rFonts w:ascii="Arial" w:hAnsi="Arial" w:cs="Arial"/>
                <w:sz w:val="18"/>
                <w:szCs w:val="18"/>
              </w:rPr>
              <w:t>Maria Heidkamp</w:t>
            </w:r>
            <w:r w:rsidR="00894AF1">
              <w:rPr>
                <w:rFonts w:ascii="Arial" w:hAnsi="Arial" w:cs="Arial"/>
                <w:sz w:val="18"/>
                <w:szCs w:val="18"/>
              </w:rPr>
              <w:t xml:space="preserve">, </w:t>
            </w:r>
            <w:r w:rsidRPr="00894AF1" w:rsidR="00894AF1">
              <w:rPr>
                <w:rFonts w:ascii="Arial" w:eastAsia="Calibri" w:hAnsi="Arial" w:cs="Arial"/>
                <w:sz w:val="18"/>
                <w:szCs w:val="18"/>
              </w:rPr>
              <w:t>Chief Innovation and Policy Officer · New Jersey Council of County Colleges</w:t>
            </w:r>
          </w:p>
          <w:p w:rsidR="00ED0DDE" w:rsidRPr="00A83518" w:rsidP="00ED0DDE" w14:paraId="4D707537" w14:textId="77777777">
            <w:pPr>
              <w:spacing w:after="240" w:line="240" w:lineRule="auto"/>
              <w:ind w:left="360" w:hanging="360"/>
              <w:rPr>
                <w:rFonts w:ascii="Arial" w:hAnsi="Arial" w:cs="Arial"/>
                <w:sz w:val="18"/>
                <w:szCs w:val="18"/>
              </w:rPr>
            </w:pPr>
            <w:r w:rsidRPr="00A83518">
              <w:rPr>
                <w:rFonts w:ascii="Arial" w:hAnsi="Arial" w:cs="Arial"/>
                <w:sz w:val="18"/>
                <w:szCs w:val="18"/>
              </w:rPr>
              <w:t>Susan Houseman</w:t>
            </w:r>
            <w:r>
              <w:rPr>
                <w:rFonts w:ascii="Arial" w:hAnsi="Arial" w:cs="Arial"/>
                <w:sz w:val="18"/>
                <w:szCs w:val="18"/>
              </w:rPr>
              <w:t xml:space="preserve">, </w:t>
            </w:r>
            <w:r w:rsidRPr="00A83518">
              <w:rPr>
                <w:rFonts w:ascii="Arial" w:hAnsi="Arial" w:cs="Arial"/>
                <w:sz w:val="18"/>
                <w:szCs w:val="18"/>
              </w:rPr>
              <w:t>Vice-President and Director of Research, Upjohn Institute for Employment Research</w:t>
            </w:r>
          </w:p>
          <w:p w:rsidR="00ED0DDE" w:rsidP="00ED0DDE" w14:paraId="2FE31FEA" w14:textId="576E3966">
            <w:pPr>
              <w:spacing w:after="240" w:line="240" w:lineRule="auto"/>
              <w:ind w:firstLine="0"/>
              <w:rPr>
                <w:rFonts w:cs="Arial"/>
                <w:szCs w:val="18"/>
              </w:rPr>
            </w:pPr>
            <w:r w:rsidRPr="00A83518">
              <w:rPr>
                <w:rFonts w:ascii="Arial" w:hAnsi="Arial" w:cs="Arial"/>
                <w:sz w:val="18"/>
                <w:szCs w:val="18"/>
              </w:rPr>
              <w:t>David Judkins</w:t>
            </w:r>
            <w:r>
              <w:rPr>
                <w:rFonts w:ascii="Arial" w:hAnsi="Arial" w:cs="Arial"/>
                <w:sz w:val="18"/>
                <w:szCs w:val="18"/>
              </w:rPr>
              <w:t xml:space="preserve">, </w:t>
            </w:r>
            <w:r w:rsidRPr="00A83518">
              <w:rPr>
                <w:rFonts w:ascii="Arial" w:hAnsi="Arial" w:cs="Arial"/>
                <w:sz w:val="18"/>
                <w:szCs w:val="18"/>
              </w:rPr>
              <w:t>Principal Associate, Abt Associates</w:t>
            </w:r>
            <w:r>
              <w:rPr>
                <w:rFonts w:eastAsia="Calibri" w:cs="Arial"/>
                <w:szCs w:val="18"/>
              </w:rPr>
              <w:t xml:space="preserve"> </w:t>
            </w:r>
          </w:p>
        </w:tc>
      </w:tr>
      <w:bookmarkEnd w:id="9"/>
    </w:tbl>
    <w:p w:rsidR="000A7609" w:rsidRPr="000A7609" w:rsidP="00616302" w14:paraId="10D4CD42" w14:textId="77777777">
      <w:pPr>
        <w:pStyle w:val="NormalSS"/>
        <w:ind w:firstLine="0"/>
      </w:pPr>
    </w:p>
    <w:sectPr w:rsidSect="00D523F6">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5303423"/>
      <w:docPartObj>
        <w:docPartGallery w:val="Page Numbers (Bottom of Page)"/>
        <w:docPartUnique/>
      </w:docPartObj>
    </w:sdtPr>
    <w:sdtEndPr>
      <w:rPr>
        <w:noProof/>
      </w:rPr>
    </w:sdtEndPr>
    <w:sdtContent>
      <w:p w:rsidR="002D7B5C" w14:paraId="10A797FC" w14:textId="737087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7B5C" w:rsidP="002D7B5C" w14:paraId="21C3FB01" w14:textId="77777777">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91D" w:rsidP="002E3E35" w14:paraId="5512E281" w14:textId="77777777">
      <w:pPr>
        <w:spacing w:line="240" w:lineRule="auto"/>
      </w:pPr>
      <w:r>
        <w:separator/>
      </w:r>
    </w:p>
  </w:footnote>
  <w:footnote w:type="continuationSeparator" w:id="1">
    <w:p w:rsidR="00DB091D" w:rsidP="002E3E35" w14:paraId="1AF4A98D" w14:textId="77777777">
      <w:pPr>
        <w:spacing w:line="240" w:lineRule="auto"/>
      </w:pPr>
      <w:r>
        <w:continuationSeparator/>
      </w:r>
    </w:p>
  </w:footnote>
  <w:footnote w:type="continuationNotice" w:id="2">
    <w:p w:rsidR="00DB091D" w14:paraId="60AFD834" w14:textId="77777777">
      <w:pPr>
        <w:spacing w:line="240" w:lineRule="auto"/>
      </w:pPr>
    </w:p>
  </w:footnote>
  <w:footnote w:id="3">
    <w:p w:rsidR="001F4A89" w14:paraId="689542E9" w14:textId="35E5CB24">
      <w:pPr>
        <w:pStyle w:val="FootnoteText"/>
      </w:pPr>
      <w:r>
        <w:rPr>
          <w:rStyle w:val="FootnoteReference"/>
        </w:rPr>
        <w:footnoteRef/>
      </w:r>
      <w:r>
        <w:t xml:space="preserve"> </w:t>
      </w:r>
      <w:r w:rsidRPr="001F4A89">
        <w:t>Rubin, D.B. 1987</w:t>
      </w:r>
      <w:r>
        <w:t>.</w:t>
      </w:r>
      <w:r w:rsidRPr="001F4A89">
        <w:t xml:space="preserve"> Multiple Imputation for Nonresponse in Surveys. John Wiley &amp; Sons Inc., New York.</w:t>
      </w:r>
      <w:r w:rsidRPr="001F4A89">
        <w:br/>
      </w:r>
      <w:hyperlink r:id="rId1" w:history="1">
        <w:r w:rsidRPr="00FB6CD9">
          <w:rPr>
            <w:rStyle w:val="Hyperlink"/>
          </w:rPr>
          <w:t>http://dx.doi.org/10.1002/9780470316696</w:t>
        </w:r>
      </w:hyperlink>
    </w:p>
    <w:p w:rsidR="001F4A89" w:rsidRPr="001F4A89" w:rsidP="008310D4" w14:paraId="3C6580DB" w14:textId="0B1B3E07">
      <w:pPr>
        <w:pStyle w:val="FootnoteText"/>
      </w:pPr>
      <w:r w:rsidRPr="001F4A89">
        <w:t>Raghunathan T.W., Lepkowksi J.M., Van Hoewyk J., Solenbeger P. 2001</w:t>
      </w:r>
      <w:r>
        <w:t xml:space="preserve">. </w:t>
      </w:r>
      <w:r w:rsidRPr="001F4A89">
        <w:t>A multivariate technique for multiply imputing missing values using a sequence of regression models.</w:t>
      </w:r>
      <w:r>
        <w:t xml:space="preserve"> </w:t>
      </w:r>
      <w:r w:rsidRPr="001F4A89">
        <w:rPr>
          <w:i/>
          <w:iCs/>
        </w:rPr>
        <w:t>Survey Methodology</w:t>
      </w:r>
      <w:r w:rsidRPr="001F4A89">
        <w:t>,</w:t>
      </w:r>
      <w:r>
        <w:t xml:space="preserve"> </w:t>
      </w:r>
      <w:r w:rsidRPr="001F4A89">
        <w:t>27, 85–95.</w:t>
      </w:r>
      <w:r>
        <w:t xml:space="preserve"> </w:t>
      </w:r>
      <w:r w:rsidRPr="001F4A89">
        <w:t>[</w:t>
      </w:r>
      <w:hyperlink r:id="rId2" w:tgtFrame="_blank" w:history="1">
        <w:r w:rsidRPr="001F4A89">
          <w:rPr>
            <w:rStyle w:val="Hyperlink"/>
          </w:rPr>
          <w:t>Google Scholar</w:t>
        </w:r>
      </w:hyperlink>
      <w:r w:rsidRPr="001F4A89">
        <w:t>]</w:t>
      </w:r>
    </w:p>
    <w:p w:rsidR="001F4A89" w14:paraId="0CA3DB89" w14:textId="77777777">
      <w:pPr>
        <w:pStyle w:val="FootnoteText"/>
      </w:pPr>
    </w:p>
  </w:footnote>
  <w:footnote w:id="4">
    <w:p w:rsidR="009939BB" w14:paraId="37A37275" w14:textId="77777777">
      <w:pPr>
        <w:pStyle w:val="FootnoteText"/>
      </w:pPr>
      <w:r>
        <w:rPr>
          <w:rStyle w:val="FootnoteReference"/>
        </w:rPr>
        <w:footnoteRef/>
      </w:r>
      <w:r>
        <w:t xml:space="preserve"> </w:t>
      </w:r>
      <w:r w:rsidRPr="009939BB">
        <w:t xml:space="preserve">Katz, L.F., J. Roth, R. Hendra, and K. Schaberg. 2020. “Why Do Sectoral Employment Programs Work? Lessons from WorkAdvance.” NBER Working Paper 28248. Cambridge, MA: National Bureau of Economic Research. </w:t>
      </w:r>
      <w:hyperlink r:id="rId3" w:history="1">
        <w:r w:rsidRPr="00446300">
          <w:rPr>
            <w:rStyle w:val="Hyperlink"/>
          </w:rPr>
          <w:t>http://doi.org/10.3386/w28248</w:t>
        </w:r>
      </w:hyperlink>
      <w:r>
        <w:t xml:space="preserve">; </w:t>
      </w:r>
    </w:p>
    <w:p w:rsidR="009939BB" w14:paraId="5CB4905D" w14:textId="77777777">
      <w:pPr>
        <w:pStyle w:val="FootnoteText"/>
      </w:pPr>
      <w:r w:rsidRPr="007B6423">
        <w:t>Barnow, B.S., and J. Smith. 2016. “Employment and Training Programs.” In Economics of Means-Tested Transfer Programs in the United States, Volume II, edited by Robert A. Moffitt, 127-234. Chicago: University of Chicago Press</w:t>
      </w:r>
      <w:r>
        <w:t xml:space="preserve">; </w:t>
      </w:r>
    </w:p>
    <w:p w:rsidR="009939BB" w14:paraId="1F317D45" w14:textId="5CA90F15">
      <w:pPr>
        <w:pStyle w:val="FootnoteText"/>
      </w:pPr>
      <w:r w:rsidRPr="007B6423">
        <w:t>Maguire, S., Freely, J., Clymer, C., Conway, M. &amp; Schwartz, D. 2010. Tuning in to local labor markets: Findings from the Sectoral Employment impact study. Philadelphia: Public/Private Ventures. [Wisconsin Regional Training Partnership]</w:t>
      </w:r>
    </w:p>
  </w:footnote>
  <w:footnote w:id="5">
    <w:p w:rsidR="009939BB" w14:paraId="1DB236F3" w14:textId="7521892C">
      <w:pPr>
        <w:pStyle w:val="FootnoteText"/>
      </w:pPr>
      <w:r>
        <w:rPr>
          <w:rStyle w:val="FootnoteReference"/>
        </w:rPr>
        <w:footnoteRef/>
      </w:r>
      <w:r>
        <w:t xml:space="preserve"> </w:t>
      </w:r>
      <w:r w:rsidRPr="007B6423">
        <w:t>Butrica, Barbara A. 2022. “Senior Community Service Employment Program: Background to Inform the Older Workers Implementation and Descriptive Study.” Washington, DC: Urban Institute.</w:t>
      </w:r>
    </w:p>
  </w:footnote>
  <w:footnote w:id="6">
    <w:p w:rsidR="009939BB" w14:paraId="214A22A7" w14:textId="21B1AA58">
      <w:pPr>
        <w:pStyle w:val="FootnoteText"/>
      </w:pPr>
      <w:r>
        <w:rPr>
          <w:rStyle w:val="FootnoteReference"/>
        </w:rPr>
        <w:footnoteRef/>
      </w:r>
      <w:r>
        <w:t xml:space="preserve"> Butrica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0D58" w:rsidRPr="007E758E" w:rsidP="00610D58" w14:paraId="3451FF96" w14:textId="3D4DEFDE">
    <w:pPr>
      <w:pStyle w:val="Header"/>
      <w:pBdr>
        <w:bottom w:val="none" w:sz="0" w:space="0" w:color="auto"/>
      </w:pBdr>
      <w:rPr>
        <w:rFonts w:ascii="Times New Roman" w:hAnsi="Times New Roman"/>
        <w:sz w:val="20"/>
      </w:rPr>
    </w:pPr>
    <w:r w:rsidRPr="007E758E">
      <w:rPr>
        <w:rFonts w:ascii="Times New Roman" w:hAnsi="Times New Roman"/>
        <w:sz w:val="20"/>
      </w:rPr>
      <w:t xml:space="preserve">PART B: COLLECTION OF INFORMATION EMPLOYING STATISTICAL METHODS </w:t>
    </w:r>
  </w:p>
  <w:p w:rsidR="00610D58" w:rsidRPr="007E758E" w:rsidP="00610D58" w14:paraId="48C6EF63" w14:textId="29898287">
    <w:pPr>
      <w:pStyle w:val="Header"/>
      <w:pBdr>
        <w:bottom w:val="none" w:sz="0" w:space="0" w:color="auto"/>
      </w:pBdr>
      <w:rPr>
        <w:rFonts w:ascii="Times New Roman" w:hAnsi="Times New Roman"/>
        <w:sz w:val="20"/>
      </w:rPr>
    </w:pPr>
    <w:r w:rsidRPr="007E758E">
      <w:rPr>
        <w:rFonts w:ascii="Times New Roman" w:hAnsi="Times New Roman"/>
        <w:sz w:val="20"/>
      </w:rPr>
      <w:t>OMB</w:t>
    </w:r>
    <w:r w:rsidRPr="007E758E" w:rsidR="007E758E">
      <w:rPr>
        <w:rFonts w:ascii="Times New Roman" w:hAnsi="Times New Roman"/>
        <w:sz w:val="20"/>
      </w:rPr>
      <w:t xml:space="preserve"> Control</w:t>
    </w:r>
    <w:r w:rsidRPr="007E758E">
      <w:rPr>
        <w:rFonts w:ascii="Times New Roman" w:hAnsi="Times New Roman"/>
        <w:sz w:val="20"/>
      </w:rPr>
      <w:t xml:space="preserve"> N</w:t>
    </w:r>
    <w:r w:rsidRPr="007E758E" w:rsidR="007E758E">
      <w:rPr>
        <w:rFonts w:ascii="Times New Roman" w:hAnsi="Times New Roman"/>
        <w:sz w:val="20"/>
      </w:rPr>
      <w:t>umber</w:t>
    </w:r>
    <w:r w:rsidRPr="007E758E">
      <w:rPr>
        <w:rFonts w:ascii="Times New Roman" w:hAnsi="Times New Roman"/>
        <w:sz w:val="20"/>
      </w:rPr>
      <w:t>. XXX</w:t>
    </w:r>
  </w:p>
  <w:p w:rsidR="002B31FD" w:rsidRPr="007E758E" w:rsidP="00610D58" w14:paraId="17CA1FB0" w14:textId="6B8C465B">
    <w:pPr>
      <w:pStyle w:val="Header"/>
      <w:pBdr>
        <w:bottom w:val="none" w:sz="0" w:space="0" w:color="auto"/>
      </w:pBdr>
      <w:rPr>
        <w:rFonts w:ascii="Times New Roman" w:hAnsi="Times New Roman"/>
        <w:sz w:val="20"/>
      </w:rPr>
    </w:pPr>
    <w:r w:rsidRPr="007E758E">
      <w:rPr>
        <w:rFonts w:ascii="Times New Roman" w:hAnsi="Times New Roman"/>
        <w:sz w:val="20"/>
      </w:rPr>
      <w:t>omb 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5140"/>
    <w:multiLevelType w:val="hybridMultilevel"/>
    <w:tmpl w:val="B44C4848"/>
    <w:lvl w:ilvl="0">
      <w:start w:val="1"/>
      <w:numFmt w:val="bullet"/>
      <w:pStyle w:val="BulletBlackLastSS"/>
      <w:lvlText w:val=""/>
      <w:lvlJc w:val="left"/>
      <w:pPr>
        <w:ind w:left="792"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A4A67"/>
    <w:multiLevelType w:val="hybridMultilevel"/>
    <w:tmpl w:val="75F238A0"/>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CC576B3"/>
    <w:multiLevelType w:val="hybridMultilevel"/>
    <w:tmpl w:val="EF1A58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2DE20156"/>
    <w:multiLevelType w:val="multilevel"/>
    <w:tmpl w:val="F1DC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6E24283F"/>
    <w:multiLevelType w:val="hybridMultilevel"/>
    <w:tmpl w:val="09C87CB8"/>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num w:numId="1" w16cid:durableId="394623134">
    <w:abstractNumId w:val="12"/>
  </w:num>
  <w:num w:numId="2" w16cid:durableId="1663968669">
    <w:abstractNumId w:val="9"/>
  </w:num>
  <w:num w:numId="3" w16cid:durableId="1207446060">
    <w:abstractNumId w:val="14"/>
  </w:num>
  <w:num w:numId="4" w16cid:durableId="1597132595">
    <w:abstractNumId w:val="2"/>
  </w:num>
  <w:num w:numId="5" w16cid:durableId="564608040">
    <w:abstractNumId w:val="13"/>
  </w:num>
  <w:num w:numId="6" w16cid:durableId="630135699">
    <w:abstractNumId w:val="10"/>
  </w:num>
  <w:num w:numId="7" w16cid:durableId="522859379">
    <w:abstractNumId w:val="6"/>
  </w:num>
  <w:num w:numId="8" w16cid:durableId="226501771">
    <w:abstractNumId w:val="4"/>
  </w:num>
  <w:num w:numId="9" w16cid:durableId="1836605266">
    <w:abstractNumId w:val="8"/>
    <w:lvlOverride w:ilvl="0">
      <w:startOverride w:val="1"/>
    </w:lvlOverride>
  </w:num>
  <w:num w:numId="10" w16cid:durableId="448740623">
    <w:abstractNumId w:val="11"/>
  </w:num>
  <w:num w:numId="11" w16cid:durableId="1113747081">
    <w:abstractNumId w:val="15"/>
  </w:num>
  <w:num w:numId="12" w16cid:durableId="1603369569">
    <w:abstractNumId w:val="0"/>
  </w:num>
  <w:num w:numId="13" w16cid:durableId="1114716242">
    <w:abstractNumId w:val="5"/>
  </w:num>
  <w:num w:numId="14" w16cid:durableId="891770257">
    <w:abstractNumId w:val="1"/>
  </w:num>
  <w:num w:numId="15" w16cid:durableId="1865174385">
    <w:abstractNumId w:val="3"/>
  </w:num>
  <w:num w:numId="16" w16cid:durableId="8535427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10CEE"/>
    <w:rsid w:val="00011E73"/>
    <w:rsid w:val="0001384A"/>
    <w:rsid w:val="0001426D"/>
    <w:rsid w:val="0001587F"/>
    <w:rsid w:val="000162AC"/>
    <w:rsid w:val="000168F9"/>
    <w:rsid w:val="00017232"/>
    <w:rsid w:val="000174D2"/>
    <w:rsid w:val="0001764F"/>
    <w:rsid w:val="0001771D"/>
    <w:rsid w:val="00017BA2"/>
    <w:rsid w:val="00017D2E"/>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6B2F"/>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4FEF"/>
    <w:rsid w:val="00056BC1"/>
    <w:rsid w:val="00057172"/>
    <w:rsid w:val="000575D5"/>
    <w:rsid w:val="000578BB"/>
    <w:rsid w:val="00057AB2"/>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04F2"/>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BEC"/>
    <w:rsid w:val="00094F02"/>
    <w:rsid w:val="0009508D"/>
    <w:rsid w:val="000950CB"/>
    <w:rsid w:val="00097453"/>
    <w:rsid w:val="00097CDB"/>
    <w:rsid w:val="00097D7E"/>
    <w:rsid w:val="000A00B5"/>
    <w:rsid w:val="000A04A7"/>
    <w:rsid w:val="000A0B31"/>
    <w:rsid w:val="000A1D8E"/>
    <w:rsid w:val="000A2330"/>
    <w:rsid w:val="000A260E"/>
    <w:rsid w:val="000A2E41"/>
    <w:rsid w:val="000A38D8"/>
    <w:rsid w:val="000A5A8D"/>
    <w:rsid w:val="000A64EA"/>
    <w:rsid w:val="000A6591"/>
    <w:rsid w:val="000A6B2C"/>
    <w:rsid w:val="000A7609"/>
    <w:rsid w:val="000B00D3"/>
    <w:rsid w:val="000B06CD"/>
    <w:rsid w:val="000B07B6"/>
    <w:rsid w:val="000B118D"/>
    <w:rsid w:val="000B1F3C"/>
    <w:rsid w:val="000B27BD"/>
    <w:rsid w:val="000B2D6B"/>
    <w:rsid w:val="000B3931"/>
    <w:rsid w:val="000B3E0E"/>
    <w:rsid w:val="000B4AEB"/>
    <w:rsid w:val="000B4CDF"/>
    <w:rsid w:val="000B555A"/>
    <w:rsid w:val="000B5D0C"/>
    <w:rsid w:val="000B63DB"/>
    <w:rsid w:val="000B6858"/>
    <w:rsid w:val="000B764C"/>
    <w:rsid w:val="000C0C1C"/>
    <w:rsid w:val="000C28B2"/>
    <w:rsid w:val="000C2E3B"/>
    <w:rsid w:val="000C413E"/>
    <w:rsid w:val="000C43B8"/>
    <w:rsid w:val="000C6216"/>
    <w:rsid w:val="000C63A3"/>
    <w:rsid w:val="000C7383"/>
    <w:rsid w:val="000C763F"/>
    <w:rsid w:val="000C7D4D"/>
    <w:rsid w:val="000D11F1"/>
    <w:rsid w:val="000D1E05"/>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17C"/>
    <w:rsid w:val="000E5AF8"/>
    <w:rsid w:val="000E662E"/>
    <w:rsid w:val="000E6BC0"/>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BCE"/>
    <w:rsid w:val="00100C26"/>
    <w:rsid w:val="00101A31"/>
    <w:rsid w:val="00101D27"/>
    <w:rsid w:val="0010212C"/>
    <w:rsid w:val="0010233E"/>
    <w:rsid w:val="00104571"/>
    <w:rsid w:val="001046F2"/>
    <w:rsid w:val="00104936"/>
    <w:rsid w:val="00104A13"/>
    <w:rsid w:val="0010517F"/>
    <w:rsid w:val="00105D07"/>
    <w:rsid w:val="00106C27"/>
    <w:rsid w:val="0010722F"/>
    <w:rsid w:val="00107F20"/>
    <w:rsid w:val="00111832"/>
    <w:rsid w:val="001119F8"/>
    <w:rsid w:val="00112182"/>
    <w:rsid w:val="001124C0"/>
    <w:rsid w:val="0011344E"/>
    <w:rsid w:val="00113ADD"/>
    <w:rsid w:val="00115B91"/>
    <w:rsid w:val="00116AFC"/>
    <w:rsid w:val="0012077A"/>
    <w:rsid w:val="00120E60"/>
    <w:rsid w:val="00124B9E"/>
    <w:rsid w:val="001256D1"/>
    <w:rsid w:val="00125B6E"/>
    <w:rsid w:val="0012600E"/>
    <w:rsid w:val="0012795D"/>
    <w:rsid w:val="00127E18"/>
    <w:rsid w:val="00130056"/>
    <w:rsid w:val="001307BB"/>
    <w:rsid w:val="00130C03"/>
    <w:rsid w:val="00130E88"/>
    <w:rsid w:val="00130E9F"/>
    <w:rsid w:val="0013184F"/>
    <w:rsid w:val="00131F00"/>
    <w:rsid w:val="00132CB7"/>
    <w:rsid w:val="00134BF1"/>
    <w:rsid w:val="00135888"/>
    <w:rsid w:val="00135A56"/>
    <w:rsid w:val="00135E26"/>
    <w:rsid w:val="001365AE"/>
    <w:rsid w:val="00137533"/>
    <w:rsid w:val="001378D7"/>
    <w:rsid w:val="0014041C"/>
    <w:rsid w:val="00142780"/>
    <w:rsid w:val="001427BE"/>
    <w:rsid w:val="001434D1"/>
    <w:rsid w:val="00147515"/>
    <w:rsid w:val="00147A74"/>
    <w:rsid w:val="00150F00"/>
    <w:rsid w:val="0015147D"/>
    <w:rsid w:val="001535D5"/>
    <w:rsid w:val="0015432E"/>
    <w:rsid w:val="00154DCC"/>
    <w:rsid w:val="00155612"/>
    <w:rsid w:val="00155E18"/>
    <w:rsid w:val="00156CC3"/>
    <w:rsid w:val="00157644"/>
    <w:rsid w:val="001577DD"/>
    <w:rsid w:val="001610FF"/>
    <w:rsid w:val="00161340"/>
    <w:rsid w:val="00162330"/>
    <w:rsid w:val="001635BC"/>
    <w:rsid w:val="00163B97"/>
    <w:rsid w:val="00163D09"/>
    <w:rsid w:val="0016415B"/>
    <w:rsid w:val="001649D5"/>
    <w:rsid w:val="00164BC2"/>
    <w:rsid w:val="00164E89"/>
    <w:rsid w:val="00165A9A"/>
    <w:rsid w:val="00165E92"/>
    <w:rsid w:val="00166176"/>
    <w:rsid w:val="00167216"/>
    <w:rsid w:val="0016741F"/>
    <w:rsid w:val="00167536"/>
    <w:rsid w:val="001677FD"/>
    <w:rsid w:val="001702DB"/>
    <w:rsid w:val="00170DA5"/>
    <w:rsid w:val="0017126B"/>
    <w:rsid w:val="0017184D"/>
    <w:rsid w:val="00171D94"/>
    <w:rsid w:val="001735B2"/>
    <w:rsid w:val="0017390D"/>
    <w:rsid w:val="001739F1"/>
    <w:rsid w:val="00173D53"/>
    <w:rsid w:val="00176180"/>
    <w:rsid w:val="0017698F"/>
    <w:rsid w:val="0017754F"/>
    <w:rsid w:val="00177D55"/>
    <w:rsid w:val="0018096D"/>
    <w:rsid w:val="001811B2"/>
    <w:rsid w:val="001819E6"/>
    <w:rsid w:val="00181AC8"/>
    <w:rsid w:val="00182392"/>
    <w:rsid w:val="00182427"/>
    <w:rsid w:val="00182E0C"/>
    <w:rsid w:val="00183E8C"/>
    <w:rsid w:val="00184421"/>
    <w:rsid w:val="001849D4"/>
    <w:rsid w:val="00184B41"/>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67A"/>
    <w:rsid w:val="001969F1"/>
    <w:rsid w:val="00196E5A"/>
    <w:rsid w:val="00197503"/>
    <w:rsid w:val="00197DFE"/>
    <w:rsid w:val="00197E0E"/>
    <w:rsid w:val="001A0494"/>
    <w:rsid w:val="001A121F"/>
    <w:rsid w:val="001A2EA2"/>
    <w:rsid w:val="001A3332"/>
    <w:rsid w:val="001A367D"/>
    <w:rsid w:val="001A3BDC"/>
    <w:rsid w:val="001A406C"/>
    <w:rsid w:val="001A4896"/>
    <w:rsid w:val="001A5240"/>
    <w:rsid w:val="001A72F6"/>
    <w:rsid w:val="001A7BDE"/>
    <w:rsid w:val="001B0244"/>
    <w:rsid w:val="001B036D"/>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207D"/>
    <w:rsid w:val="001C30D3"/>
    <w:rsid w:val="001C3C3F"/>
    <w:rsid w:val="001C473A"/>
    <w:rsid w:val="001C7FBE"/>
    <w:rsid w:val="001D1A8D"/>
    <w:rsid w:val="001D3014"/>
    <w:rsid w:val="001D3544"/>
    <w:rsid w:val="001D39AA"/>
    <w:rsid w:val="001D39EC"/>
    <w:rsid w:val="001D53CE"/>
    <w:rsid w:val="001D5A40"/>
    <w:rsid w:val="001D5B16"/>
    <w:rsid w:val="001D6AB8"/>
    <w:rsid w:val="001D72ED"/>
    <w:rsid w:val="001D7758"/>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13B"/>
    <w:rsid w:val="001E7EA5"/>
    <w:rsid w:val="001F0613"/>
    <w:rsid w:val="001F13AF"/>
    <w:rsid w:val="001F27B5"/>
    <w:rsid w:val="001F2D51"/>
    <w:rsid w:val="001F356B"/>
    <w:rsid w:val="001F3C2F"/>
    <w:rsid w:val="001F4003"/>
    <w:rsid w:val="001F4A89"/>
    <w:rsid w:val="001F4F65"/>
    <w:rsid w:val="001F57C8"/>
    <w:rsid w:val="001F6ECF"/>
    <w:rsid w:val="00200B6C"/>
    <w:rsid w:val="00201DD0"/>
    <w:rsid w:val="00201E7E"/>
    <w:rsid w:val="002023DF"/>
    <w:rsid w:val="0020315D"/>
    <w:rsid w:val="00203F7F"/>
    <w:rsid w:val="00204AB9"/>
    <w:rsid w:val="00204B23"/>
    <w:rsid w:val="00204D07"/>
    <w:rsid w:val="00205929"/>
    <w:rsid w:val="00205EFC"/>
    <w:rsid w:val="00207152"/>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5D89"/>
    <w:rsid w:val="0025629D"/>
    <w:rsid w:val="0025692F"/>
    <w:rsid w:val="00256D04"/>
    <w:rsid w:val="0025736C"/>
    <w:rsid w:val="0026025C"/>
    <w:rsid w:val="00260ADB"/>
    <w:rsid w:val="00260D48"/>
    <w:rsid w:val="002610E7"/>
    <w:rsid w:val="002616F4"/>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8418B"/>
    <w:rsid w:val="002861E0"/>
    <w:rsid w:val="00286315"/>
    <w:rsid w:val="00286CD6"/>
    <w:rsid w:val="0029042C"/>
    <w:rsid w:val="00290895"/>
    <w:rsid w:val="00290BBC"/>
    <w:rsid w:val="00290D02"/>
    <w:rsid w:val="00290E94"/>
    <w:rsid w:val="00291463"/>
    <w:rsid w:val="00292A7F"/>
    <w:rsid w:val="00292AF7"/>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158"/>
    <w:rsid w:val="002A3C60"/>
    <w:rsid w:val="002A47AD"/>
    <w:rsid w:val="002A4F27"/>
    <w:rsid w:val="002A50F8"/>
    <w:rsid w:val="002A5519"/>
    <w:rsid w:val="002A6552"/>
    <w:rsid w:val="002A6676"/>
    <w:rsid w:val="002A7CAB"/>
    <w:rsid w:val="002A7F07"/>
    <w:rsid w:val="002B06B0"/>
    <w:rsid w:val="002B0FB1"/>
    <w:rsid w:val="002B10F0"/>
    <w:rsid w:val="002B1A10"/>
    <w:rsid w:val="002B2506"/>
    <w:rsid w:val="002B2734"/>
    <w:rsid w:val="002B2F5A"/>
    <w:rsid w:val="002B31FD"/>
    <w:rsid w:val="002B4F33"/>
    <w:rsid w:val="002B59B8"/>
    <w:rsid w:val="002B63A3"/>
    <w:rsid w:val="002B647D"/>
    <w:rsid w:val="002B666B"/>
    <w:rsid w:val="002B71CD"/>
    <w:rsid w:val="002B74E4"/>
    <w:rsid w:val="002B76AB"/>
    <w:rsid w:val="002B7C37"/>
    <w:rsid w:val="002C017D"/>
    <w:rsid w:val="002C069A"/>
    <w:rsid w:val="002C18B5"/>
    <w:rsid w:val="002C1A3B"/>
    <w:rsid w:val="002C217F"/>
    <w:rsid w:val="002C281E"/>
    <w:rsid w:val="002C2E7E"/>
    <w:rsid w:val="002C3CA5"/>
    <w:rsid w:val="002C3D59"/>
    <w:rsid w:val="002C3E46"/>
    <w:rsid w:val="002C3F17"/>
    <w:rsid w:val="002C41DF"/>
    <w:rsid w:val="002C4B01"/>
    <w:rsid w:val="002C5162"/>
    <w:rsid w:val="002C53C3"/>
    <w:rsid w:val="002C5F35"/>
    <w:rsid w:val="002C61D2"/>
    <w:rsid w:val="002D2513"/>
    <w:rsid w:val="002D262A"/>
    <w:rsid w:val="002D288C"/>
    <w:rsid w:val="002D2F4F"/>
    <w:rsid w:val="002D386C"/>
    <w:rsid w:val="002D556F"/>
    <w:rsid w:val="002D578A"/>
    <w:rsid w:val="002D596D"/>
    <w:rsid w:val="002D7242"/>
    <w:rsid w:val="002D7B5C"/>
    <w:rsid w:val="002E05EA"/>
    <w:rsid w:val="002E0664"/>
    <w:rsid w:val="002E06F1"/>
    <w:rsid w:val="002E3161"/>
    <w:rsid w:val="002E3E35"/>
    <w:rsid w:val="002E5024"/>
    <w:rsid w:val="002E65C2"/>
    <w:rsid w:val="002E68F0"/>
    <w:rsid w:val="002E6D0D"/>
    <w:rsid w:val="002E7C53"/>
    <w:rsid w:val="002F09CF"/>
    <w:rsid w:val="002F0B1A"/>
    <w:rsid w:val="002F1BF2"/>
    <w:rsid w:val="002F2591"/>
    <w:rsid w:val="002F274D"/>
    <w:rsid w:val="002F2BC6"/>
    <w:rsid w:val="002F2E17"/>
    <w:rsid w:val="002F3514"/>
    <w:rsid w:val="002F3FF7"/>
    <w:rsid w:val="002F44E5"/>
    <w:rsid w:val="002F4780"/>
    <w:rsid w:val="002F61EB"/>
    <w:rsid w:val="002F6E35"/>
    <w:rsid w:val="002F6F39"/>
    <w:rsid w:val="002F7342"/>
    <w:rsid w:val="002F7C35"/>
    <w:rsid w:val="00300655"/>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786"/>
    <w:rsid w:val="00315DEC"/>
    <w:rsid w:val="00316854"/>
    <w:rsid w:val="00316BA3"/>
    <w:rsid w:val="0031740A"/>
    <w:rsid w:val="00317FDB"/>
    <w:rsid w:val="00320D68"/>
    <w:rsid w:val="0032229F"/>
    <w:rsid w:val="003236C9"/>
    <w:rsid w:val="0032425D"/>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2EF0"/>
    <w:rsid w:val="00354AA0"/>
    <w:rsid w:val="003555C7"/>
    <w:rsid w:val="003568E8"/>
    <w:rsid w:val="00357691"/>
    <w:rsid w:val="00357B5C"/>
    <w:rsid w:val="00357D51"/>
    <w:rsid w:val="003601AF"/>
    <w:rsid w:val="0036057F"/>
    <w:rsid w:val="00360607"/>
    <w:rsid w:val="00360A7C"/>
    <w:rsid w:val="00360E44"/>
    <w:rsid w:val="00361582"/>
    <w:rsid w:val="00362702"/>
    <w:rsid w:val="00362DD3"/>
    <w:rsid w:val="00362E92"/>
    <w:rsid w:val="00363410"/>
    <w:rsid w:val="00363464"/>
    <w:rsid w:val="00363A19"/>
    <w:rsid w:val="00363CD0"/>
    <w:rsid w:val="0036552B"/>
    <w:rsid w:val="003656C4"/>
    <w:rsid w:val="00366ADD"/>
    <w:rsid w:val="00366F93"/>
    <w:rsid w:val="00367221"/>
    <w:rsid w:val="003672F1"/>
    <w:rsid w:val="00370490"/>
    <w:rsid w:val="00370B9E"/>
    <w:rsid w:val="00370BC5"/>
    <w:rsid w:val="00370D5B"/>
    <w:rsid w:val="0037234A"/>
    <w:rsid w:val="00373D0B"/>
    <w:rsid w:val="003776F0"/>
    <w:rsid w:val="00380368"/>
    <w:rsid w:val="003815F1"/>
    <w:rsid w:val="0038203F"/>
    <w:rsid w:val="00382A1A"/>
    <w:rsid w:val="0038377C"/>
    <w:rsid w:val="00383799"/>
    <w:rsid w:val="00383B4C"/>
    <w:rsid w:val="003844F4"/>
    <w:rsid w:val="0038468A"/>
    <w:rsid w:val="00384A00"/>
    <w:rsid w:val="00385280"/>
    <w:rsid w:val="00385C3B"/>
    <w:rsid w:val="00387657"/>
    <w:rsid w:val="00390403"/>
    <w:rsid w:val="0039149F"/>
    <w:rsid w:val="003921CA"/>
    <w:rsid w:val="003944EE"/>
    <w:rsid w:val="00394CF2"/>
    <w:rsid w:val="0039518E"/>
    <w:rsid w:val="003969F2"/>
    <w:rsid w:val="00396FD7"/>
    <w:rsid w:val="003970D1"/>
    <w:rsid w:val="003970EB"/>
    <w:rsid w:val="00397965"/>
    <w:rsid w:val="003A0E84"/>
    <w:rsid w:val="003A11A3"/>
    <w:rsid w:val="003A22E9"/>
    <w:rsid w:val="003A2800"/>
    <w:rsid w:val="003A3E8B"/>
    <w:rsid w:val="003A46BB"/>
    <w:rsid w:val="003A501E"/>
    <w:rsid w:val="003A5DAF"/>
    <w:rsid w:val="003A5F71"/>
    <w:rsid w:val="003A61CA"/>
    <w:rsid w:val="003A63C1"/>
    <w:rsid w:val="003A6423"/>
    <w:rsid w:val="003A675E"/>
    <w:rsid w:val="003B086A"/>
    <w:rsid w:val="003B0961"/>
    <w:rsid w:val="003B0CA6"/>
    <w:rsid w:val="003B1F04"/>
    <w:rsid w:val="003B268A"/>
    <w:rsid w:val="003B2DA4"/>
    <w:rsid w:val="003B3E0E"/>
    <w:rsid w:val="003B4194"/>
    <w:rsid w:val="003B5674"/>
    <w:rsid w:val="003B5E76"/>
    <w:rsid w:val="003B6B09"/>
    <w:rsid w:val="003C0979"/>
    <w:rsid w:val="003C0C19"/>
    <w:rsid w:val="003C1635"/>
    <w:rsid w:val="003C1EB6"/>
    <w:rsid w:val="003C22BB"/>
    <w:rsid w:val="003C2360"/>
    <w:rsid w:val="003C3464"/>
    <w:rsid w:val="003C3D79"/>
    <w:rsid w:val="003C3D8B"/>
    <w:rsid w:val="003C3FFA"/>
    <w:rsid w:val="003C525E"/>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3C9"/>
    <w:rsid w:val="003D48B7"/>
    <w:rsid w:val="003D4A43"/>
    <w:rsid w:val="003D5C93"/>
    <w:rsid w:val="003D6449"/>
    <w:rsid w:val="003D6901"/>
    <w:rsid w:val="003E0168"/>
    <w:rsid w:val="003E01FC"/>
    <w:rsid w:val="003E0ABC"/>
    <w:rsid w:val="003E1520"/>
    <w:rsid w:val="003E2266"/>
    <w:rsid w:val="003E3864"/>
    <w:rsid w:val="003E4567"/>
    <w:rsid w:val="003E463E"/>
    <w:rsid w:val="003E532D"/>
    <w:rsid w:val="003E5B66"/>
    <w:rsid w:val="003E5C22"/>
    <w:rsid w:val="003E694F"/>
    <w:rsid w:val="003E74D0"/>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829"/>
    <w:rsid w:val="003F7AE2"/>
    <w:rsid w:val="003F7D6D"/>
    <w:rsid w:val="00401056"/>
    <w:rsid w:val="00402B0D"/>
    <w:rsid w:val="004037C8"/>
    <w:rsid w:val="00403E83"/>
    <w:rsid w:val="00405936"/>
    <w:rsid w:val="00405DCD"/>
    <w:rsid w:val="00406845"/>
    <w:rsid w:val="00407D81"/>
    <w:rsid w:val="00407D9A"/>
    <w:rsid w:val="00407F46"/>
    <w:rsid w:val="00411012"/>
    <w:rsid w:val="00411117"/>
    <w:rsid w:val="00411816"/>
    <w:rsid w:val="0041473B"/>
    <w:rsid w:val="0041674E"/>
    <w:rsid w:val="004168B2"/>
    <w:rsid w:val="00416A59"/>
    <w:rsid w:val="004171BC"/>
    <w:rsid w:val="004174A7"/>
    <w:rsid w:val="00417656"/>
    <w:rsid w:val="00420804"/>
    <w:rsid w:val="00420995"/>
    <w:rsid w:val="004211BB"/>
    <w:rsid w:val="0042182D"/>
    <w:rsid w:val="00421A5B"/>
    <w:rsid w:val="004223B5"/>
    <w:rsid w:val="0042245C"/>
    <w:rsid w:val="00423DCC"/>
    <w:rsid w:val="004257EC"/>
    <w:rsid w:val="00425B61"/>
    <w:rsid w:val="004261ED"/>
    <w:rsid w:val="004276EC"/>
    <w:rsid w:val="004279A3"/>
    <w:rsid w:val="004309CE"/>
    <w:rsid w:val="00430A83"/>
    <w:rsid w:val="00431084"/>
    <w:rsid w:val="00431544"/>
    <w:rsid w:val="00433D46"/>
    <w:rsid w:val="0043400A"/>
    <w:rsid w:val="004343B9"/>
    <w:rsid w:val="0043489C"/>
    <w:rsid w:val="00434D4B"/>
    <w:rsid w:val="004353DB"/>
    <w:rsid w:val="00435886"/>
    <w:rsid w:val="00435D5C"/>
    <w:rsid w:val="004369D1"/>
    <w:rsid w:val="00436BEA"/>
    <w:rsid w:val="0043702F"/>
    <w:rsid w:val="004371F9"/>
    <w:rsid w:val="00437868"/>
    <w:rsid w:val="0043799E"/>
    <w:rsid w:val="00437D13"/>
    <w:rsid w:val="0044041B"/>
    <w:rsid w:val="004406E3"/>
    <w:rsid w:val="0044190C"/>
    <w:rsid w:val="004419E6"/>
    <w:rsid w:val="00441E0C"/>
    <w:rsid w:val="00442FAA"/>
    <w:rsid w:val="0044335E"/>
    <w:rsid w:val="00443439"/>
    <w:rsid w:val="00443694"/>
    <w:rsid w:val="00443EEE"/>
    <w:rsid w:val="00444399"/>
    <w:rsid w:val="004455A8"/>
    <w:rsid w:val="0044592D"/>
    <w:rsid w:val="00446300"/>
    <w:rsid w:val="0044677E"/>
    <w:rsid w:val="00446AD2"/>
    <w:rsid w:val="00447F2C"/>
    <w:rsid w:val="00450088"/>
    <w:rsid w:val="00450F27"/>
    <w:rsid w:val="0045188F"/>
    <w:rsid w:val="00451EE0"/>
    <w:rsid w:val="0045254B"/>
    <w:rsid w:val="004533D4"/>
    <w:rsid w:val="004533DB"/>
    <w:rsid w:val="0045405A"/>
    <w:rsid w:val="0045440D"/>
    <w:rsid w:val="004551FC"/>
    <w:rsid w:val="00455B43"/>
    <w:rsid w:val="00455D47"/>
    <w:rsid w:val="00456AD5"/>
    <w:rsid w:val="0045784E"/>
    <w:rsid w:val="004579E4"/>
    <w:rsid w:val="004602E7"/>
    <w:rsid w:val="0046045A"/>
    <w:rsid w:val="00460826"/>
    <w:rsid w:val="00460DC5"/>
    <w:rsid w:val="0046190F"/>
    <w:rsid w:val="004620FF"/>
    <w:rsid w:val="00462212"/>
    <w:rsid w:val="004629F9"/>
    <w:rsid w:val="0046375F"/>
    <w:rsid w:val="00464109"/>
    <w:rsid w:val="004641C2"/>
    <w:rsid w:val="00464FB9"/>
    <w:rsid w:val="004655C1"/>
    <w:rsid w:val="00465777"/>
    <w:rsid w:val="00465789"/>
    <w:rsid w:val="004662C5"/>
    <w:rsid w:val="00466815"/>
    <w:rsid w:val="00466B62"/>
    <w:rsid w:val="00466CCA"/>
    <w:rsid w:val="0046780B"/>
    <w:rsid w:val="00470839"/>
    <w:rsid w:val="004726F0"/>
    <w:rsid w:val="00474DAC"/>
    <w:rsid w:val="004751F1"/>
    <w:rsid w:val="0047599E"/>
    <w:rsid w:val="00476618"/>
    <w:rsid w:val="00480667"/>
    <w:rsid w:val="00480779"/>
    <w:rsid w:val="00480BC8"/>
    <w:rsid w:val="00480C8D"/>
    <w:rsid w:val="00482358"/>
    <w:rsid w:val="00482D41"/>
    <w:rsid w:val="00482EB7"/>
    <w:rsid w:val="00484877"/>
    <w:rsid w:val="00484E89"/>
    <w:rsid w:val="0048524E"/>
    <w:rsid w:val="0048593A"/>
    <w:rsid w:val="00485D0B"/>
    <w:rsid w:val="00486243"/>
    <w:rsid w:val="00486735"/>
    <w:rsid w:val="004867C2"/>
    <w:rsid w:val="00486BCF"/>
    <w:rsid w:val="00486DEF"/>
    <w:rsid w:val="00487647"/>
    <w:rsid w:val="0049015A"/>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96CA8"/>
    <w:rsid w:val="004A02CE"/>
    <w:rsid w:val="004A05B5"/>
    <w:rsid w:val="004A2272"/>
    <w:rsid w:val="004A255C"/>
    <w:rsid w:val="004A3597"/>
    <w:rsid w:val="004A39F1"/>
    <w:rsid w:val="004A4935"/>
    <w:rsid w:val="004A50CB"/>
    <w:rsid w:val="004A531A"/>
    <w:rsid w:val="004A5801"/>
    <w:rsid w:val="004A593A"/>
    <w:rsid w:val="004A6386"/>
    <w:rsid w:val="004A6D9F"/>
    <w:rsid w:val="004A7248"/>
    <w:rsid w:val="004B164F"/>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3E0"/>
    <w:rsid w:val="004C67B1"/>
    <w:rsid w:val="004C67C2"/>
    <w:rsid w:val="004C6B5B"/>
    <w:rsid w:val="004C6D65"/>
    <w:rsid w:val="004C767F"/>
    <w:rsid w:val="004C7CA1"/>
    <w:rsid w:val="004D00EE"/>
    <w:rsid w:val="004D0618"/>
    <w:rsid w:val="004D2C35"/>
    <w:rsid w:val="004D3075"/>
    <w:rsid w:val="004D3C32"/>
    <w:rsid w:val="004D4656"/>
    <w:rsid w:val="004D4CB6"/>
    <w:rsid w:val="004D50C0"/>
    <w:rsid w:val="004D6B97"/>
    <w:rsid w:val="004D6F72"/>
    <w:rsid w:val="004D702A"/>
    <w:rsid w:val="004D7319"/>
    <w:rsid w:val="004D7576"/>
    <w:rsid w:val="004D7B54"/>
    <w:rsid w:val="004E0A78"/>
    <w:rsid w:val="004E196C"/>
    <w:rsid w:val="004E20D0"/>
    <w:rsid w:val="004E25CC"/>
    <w:rsid w:val="004E33B5"/>
    <w:rsid w:val="004E4122"/>
    <w:rsid w:val="004E4E8E"/>
    <w:rsid w:val="004E502A"/>
    <w:rsid w:val="004E5987"/>
    <w:rsid w:val="004E5AB9"/>
    <w:rsid w:val="004E74D0"/>
    <w:rsid w:val="004E74D1"/>
    <w:rsid w:val="004E764E"/>
    <w:rsid w:val="004E7977"/>
    <w:rsid w:val="004E7CBF"/>
    <w:rsid w:val="004F0E30"/>
    <w:rsid w:val="004F20C9"/>
    <w:rsid w:val="004F2646"/>
    <w:rsid w:val="004F2890"/>
    <w:rsid w:val="004F32D3"/>
    <w:rsid w:val="004F33AF"/>
    <w:rsid w:val="004F3B74"/>
    <w:rsid w:val="004F447F"/>
    <w:rsid w:val="004F5CDF"/>
    <w:rsid w:val="004F6256"/>
    <w:rsid w:val="004F6272"/>
    <w:rsid w:val="004F65A4"/>
    <w:rsid w:val="004F665D"/>
    <w:rsid w:val="004F6DFB"/>
    <w:rsid w:val="004F7C7B"/>
    <w:rsid w:val="00500015"/>
    <w:rsid w:val="00500C52"/>
    <w:rsid w:val="0050135D"/>
    <w:rsid w:val="00501573"/>
    <w:rsid w:val="005025E1"/>
    <w:rsid w:val="00502DFF"/>
    <w:rsid w:val="00503369"/>
    <w:rsid w:val="00503EDD"/>
    <w:rsid w:val="005046D8"/>
    <w:rsid w:val="00506E09"/>
    <w:rsid w:val="00506F79"/>
    <w:rsid w:val="005075E7"/>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8CD"/>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5C53"/>
    <w:rsid w:val="00546149"/>
    <w:rsid w:val="0054644F"/>
    <w:rsid w:val="005478E7"/>
    <w:rsid w:val="00550372"/>
    <w:rsid w:val="005505E3"/>
    <w:rsid w:val="005516BA"/>
    <w:rsid w:val="00551D48"/>
    <w:rsid w:val="00552D96"/>
    <w:rsid w:val="00553599"/>
    <w:rsid w:val="00554075"/>
    <w:rsid w:val="005547CA"/>
    <w:rsid w:val="00555DAF"/>
    <w:rsid w:val="00555F68"/>
    <w:rsid w:val="0055611E"/>
    <w:rsid w:val="005613D5"/>
    <w:rsid w:val="00561B3F"/>
    <w:rsid w:val="00562368"/>
    <w:rsid w:val="00562AF6"/>
    <w:rsid w:val="005638D5"/>
    <w:rsid w:val="00563C1A"/>
    <w:rsid w:val="00565F62"/>
    <w:rsid w:val="005662C2"/>
    <w:rsid w:val="005715A6"/>
    <w:rsid w:val="005716F1"/>
    <w:rsid w:val="0057175B"/>
    <w:rsid w:val="00571E48"/>
    <w:rsid w:val="0057219F"/>
    <w:rsid w:val="0057258F"/>
    <w:rsid w:val="005725B9"/>
    <w:rsid w:val="00572F1C"/>
    <w:rsid w:val="00572F69"/>
    <w:rsid w:val="005738BB"/>
    <w:rsid w:val="00573C29"/>
    <w:rsid w:val="00573CD4"/>
    <w:rsid w:val="00574D2B"/>
    <w:rsid w:val="0057510A"/>
    <w:rsid w:val="00575341"/>
    <w:rsid w:val="00575648"/>
    <w:rsid w:val="00576104"/>
    <w:rsid w:val="00576446"/>
    <w:rsid w:val="005767DD"/>
    <w:rsid w:val="00576A64"/>
    <w:rsid w:val="00576C72"/>
    <w:rsid w:val="0057717C"/>
    <w:rsid w:val="00577D35"/>
    <w:rsid w:val="00580A6C"/>
    <w:rsid w:val="0058148D"/>
    <w:rsid w:val="00581E7D"/>
    <w:rsid w:val="00582721"/>
    <w:rsid w:val="0058279C"/>
    <w:rsid w:val="00582914"/>
    <w:rsid w:val="00582BDA"/>
    <w:rsid w:val="00583050"/>
    <w:rsid w:val="00583F23"/>
    <w:rsid w:val="00584913"/>
    <w:rsid w:val="005856B2"/>
    <w:rsid w:val="00585F60"/>
    <w:rsid w:val="00587273"/>
    <w:rsid w:val="00590187"/>
    <w:rsid w:val="005903AC"/>
    <w:rsid w:val="00590EA7"/>
    <w:rsid w:val="00591803"/>
    <w:rsid w:val="00591E38"/>
    <w:rsid w:val="00592B88"/>
    <w:rsid w:val="00592CFB"/>
    <w:rsid w:val="00593044"/>
    <w:rsid w:val="005930B8"/>
    <w:rsid w:val="0059580A"/>
    <w:rsid w:val="00595B72"/>
    <w:rsid w:val="00596161"/>
    <w:rsid w:val="005965AE"/>
    <w:rsid w:val="005966B2"/>
    <w:rsid w:val="005968FF"/>
    <w:rsid w:val="00597378"/>
    <w:rsid w:val="005975FE"/>
    <w:rsid w:val="00597A21"/>
    <w:rsid w:val="00597B8D"/>
    <w:rsid w:val="005A04AA"/>
    <w:rsid w:val="005A138D"/>
    <w:rsid w:val="005A14E3"/>
    <w:rsid w:val="005A151B"/>
    <w:rsid w:val="005A1786"/>
    <w:rsid w:val="005A1AF8"/>
    <w:rsid w:val="005A33A4"/>
    <w:rsid w:val="005A3C13"/>
    <w:rsid w:val="005A6403"/>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4649"/>
    <w:rsid w:val="005C53C6"/>
    <w:rsid w:val="005C66C1"/>
    <w:rsid w:val="005C6E43"/>
    <w:rsid w:val="005C770B"/>
    <w:rsid w:val="005C7AB2"/>
    <w:rsid w:val="005D020B"/>
    <w:rsid w:val="005D02A2"/>
    <w:rsid w:val="005D0E0D"/>
    <w:rsid w:val="005D19A1"/>
    <w:rsid w:val="005D1DEB"/>
    <w:rsid w:val="005D306F"/>
    <w:rsid w:val="005D37FA"/>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7B7"/>
    <w:rsid w:val="005F05EF"/>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0D72"/>
    <w:rsid w:val="006039B8"/>
    <w:rsid w:val="00603CE3"/>
    <w:rsid w:val="00603D2B"/>
    <w:rsid w:val="006044B0"/>
    <w:rsid w:val="006044B6"/>
    <w:rsid w:val="00605C4E"/>
    <w:rsid w:val="00606519"/>
    <w:rsid w:val="0060681B"/>
    <w:rsid w:val="00606BCF"/>
    <w:rsid w:val="00606C47"/>
    <w:rsid w:val="00606E13"/>
    <w:rsid w:val="006075CC"/>
    <w:rsid w:val="006075E8"/>
    <w:rsid w:val="00610372"/>
    <w:rsid w:val="00610D58"/>
    <w:rsid w:val="00610F0D"/>
    <w:rsid w:val="0061244C"/>
    <w:rsid w:val="00612B89"/>
    <w:rsid w:val="0061417A"/>
    <w:rsid w:val="0061417D"/>
    <w:rsid w:val="0061469F"/>
    <w:rsid w:val="00615316"/>
    <w:rsid w:val="00615374"/>
    <w:rsid w:val="00615420"/>
    <w:rsid w:val="00616302"/>
    <w:rsid w:val="00616DA3"/>
    <w:rsid w:val="00616DE6"/>
    <w:rsid w:val="00617F1C"/>
    <w:rsid w:val="00617F35"/>
    <w:rsid w:val="00621419"/>
    <w:rsid w:val="00621980"/>
    <w:rsid w:val="0062229C"/>
    <w:rsid w:val="00622310"/>
    <w:rsid w:val="006230DE"/>
    <w:rsid w:val="00623683"/>
    <w:rsid w:val="00623704"/>
    <w:rsid w:val="00623E13"/>
    <w:rsid w:val="00623FF5"/>
    <w:rsid w:val="00624BEE"/>
    <w:rsid w:val="0062539E"/>
    <w:rsid w:val="00625826"/>
    <w:rsid w:val="00625B3B"/>
    <w:rsid w:val="00625DB4"/>
    <w:rsid w:val="00626447"/>
    <w:rsid w:val="006269B9"/>
    <w:rsid w:val="00627FF6"/>
    <w:rsid w:val="0063009F"/>
    <w:rsid w:val="006311E7"/>
    <w:rsid w:val="006312F5"/>
    <w:rsid w:val="00634529"/>
    <w:rsid w:val="00634B90"/>
    <w:rsid w:val="0063534D"/>
    <w:rsid w:val="0063644E"/>
    <w:rsid w:val="006369C6"/>
    <w:rsid w:val="00636D6D"/>
    <w:rsid w:val="006371A1"/>
    <w:rsid w:val="00637794"/>
    <w:rsid w:val="006404FF"/>
    <w:rsid w:val="0064052C"/>
    <w:rsid w:val="0064097D"/>
    <w:rsid w:val="0064120F"/>
    <w:rsid w:val="00642937"/>
    <w:rsid w:val="00642BCB"/>
    <w:rsid w:val="00642C46"/>
    <w:rsid w:val="00644EBE"/>
    <w:rsid w:val="00646150"/>
    <w:rsid w:val="00646E7F"/>
    <w:rsid w:val="0064782F"/>
    <w:rsid w:val="00647F3E"/>
    <w:rsid w:val="00650580"/>
    <w:rsid w:val="0065139E"/>
    <w:rsid w:val="00651C8B"/>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73C"/>
    <w:rsid w:val="0066276C"/>
    <w:rsid w:val="006632B8"/>
    <w:rsid w:val="006633DB"/>
    <w:rsid w:val="006637DD"/>
    <w:rsid w:val="006651AA"/>
    <w:rsid w:val="00665203"/>
    <w:rsid w:val="00665744"/>
    <w:rsid w:val="006659B3"/>
    <w:rsid w:val="00665C12"/>
    <w:rsid w:val="00665C1B"/>
    <w:rsid w:val="006675BA"/>
    <w:rsid w:val="00667B61"/>
    <w:rsid w:val="00667BE3"/>
    <w:rsid w:val="006704E7"/>
    <w:rsid w:val="00671099"/>
    <w:rsid w:val="00671660"/>
    <w:rsid w:val="00671AC3"/>
    <w:rsid w:val="00672987"/>
    <w:rsid w:val="0067317C"/>
    <w:rsid w:val="006733F2"/>
    <w:rsid w:val="0067358F"/>
    <w:rsid w:val="0067395C"/>
    <w:rsid w:val="006739B6"/>
    <w:rsid w:val="00673F89"/>
    <w:rsid w:val="006741B4"/>
    <w:rsid w:val="006743FC"/>
    <w:rsid w:val="00674EA0"/>
    <w:rsid w:val="0067554E"/>
    <w:rsid w:val="00675DE7"/>
    <w:rsid w:val="00676A56"/>
    <w:rsid w:val="00676B13"/>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1786"/>
    <w:rsid w:val="0069200A"/>
    <w:rsid w:val="00692B40"/>
    <w:rsid w:val="0069315A"/>
    <w:rsid w:val="00693547"/>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ACE"/>
    <w:rsid w:val="006B3D7B"/>
    <w:rsid w:val="006B4617"/>
    <w:rsid w:val="006B4E3F"/>
    <w:rsid w:val="006B5465"/>
    <w:rsid w:val="006B54DE"/>
    <w:rsid w:val="006B5C3A"/>
    <w:rsid w:val="006B5F79"/>
    <w:rsid w:val="006B68BE"/>
    <w:rsid w:val="006B6D4A"/>
    <w:rsid w:val="006B726E"/>
    <w:rsid w:val="006B7E93"/>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308E"/>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5C4"/>
    <w:rsid w:val="006F265F"/>
    <w:rsid w:val="006F2AB0"/>
    <w:rsid w:val="006F2C74"/>
    <w:rsid w:val="006F2D6F"/>
    <w:rsid w:val="006F36F8"/>
    <w:rsid w:val="006F3785"/>
    <w:rsid w:val="006F3880"/>
    <w:rsid w:val="006F4AFC"/>
    <w:rsid w:val="006F5684"/>
    <w:rsid w:val="006F595B"/>
    <w:rsid w:val="006F5AD6"/>
    <w:rsid w:val="006F730C"/>
    <w:rsid w:val="006F73F3"/>
    <w:rsid w:val="0070108D"/>
    <w:rsid w:val="00701702"/>
    <w:rsid w:val="00701A47"/>
    <w:rsid w:val="00701FC8"/>
    <w:rsid w:val="00702D74"/>
    <w:rsid w:val="00702EB1"/>
    <w:rsid w:val="007043FD"/>
    <w:rsid w:val="00704C42"/>
    <w:rsid w:val="00705B50"/>
    <w:rsid w:val="007060E7"/>
    <w:rsid w:val="00707736"/>
    <w:rsid w:val="00707AEC"/>
    <w:rsid w:val="00707BAC"/>
    <w:rsid w:val="00710D0B"/>
    <w:rsid w:val="007110D6"/>
    <w:rsid w:val="00711496"/>
    <w:rsid w:val="00711B96"/>
    <w:rsid w:val="007126C1"/>
    <w:rsid w:val="00712B4F"/>
    <w:rsid w:val="00713518"/>
    <w:rsid w:val="007139D4"/>
    <w:rsid w:val="00713BB4"/>
    <w:rsid w:val="00714C86"/>
    <w:rsid w:val="00715149"/>
    <w:rsid w:val="007162C7"/>
    <w:rsid w:val="00716536"/>
    <w:rsid w:val="007206AE"/>
    <w:rsid w:val="00720B4C"/>
    <w:rsid w:val="00720C3B"/>
    <w:rsid w:val="00720EE0"/>
    <w:rsid w:val="00721117"/>
    <w:rsid w:val="007222A0"/>
    <w:rsid w:val="0072281D"/>
    <w:rsid w:val="00722D24"/>
    <w:rsid w:val="0072325E"/>
    <w:rsid w:val="007238B9"/>
    <w:rsid w:val="00723D01"/>
    <w:rsid w:val="00725105"/>
    <w:rsid w:val="00725C69"/>
    <w:rsid w:val="00727BDA"/>
    <w:rsid w:val="0073028D"/>
    <w:rsid w:val="00730E7E"/>
    <w:rsid w:val="007312FD"/>
    <w:rsid w:val="00731BA1"/>
    <w:rsid w:val="00731C07"/>
    <w:rsid w:val="00732409"/>
    <w:rsid w:val="007325BC"/>
    <w:rsid w:val="00734F96"/>
    <w:rsid w:val="007352E3"/>
    <w:rsid w:val="00735DDF"/>
    <w:rsid w:val="007369F6"/>
    <w:rsid w:val="007371F2"/>
    <w:rsid w:val="0074044E"/>
    <w:rsid w:val="007404E3"/>
    <w:rsid w:val="00740794"/>
    <w:rsid w:val="00741155"/>
    <w:rsid w:val="00743455"/>
    <w:rsid w:val="00743F50"/>
    <w:rsid w:val="007440B7"/>
    <w:rsid w:val="007476D1"/>
    <w:rsid w:val="00747F7D"/>
    <w:rsid w:val="00750DA7"/>
    <w:rsid w:val="00751931"/>
    <w:rsid w:val="00752EAE"/>
    <w:rsid w:val="0075304B"/>
    <w:rsid w:val="007546A8"/>
    <w:rsid w:val="0075488B"/>
    <w:rsid w:val="00755D62"/>
    <w:rsid w:val="007602D3"/>
    <w:rsid w:val="00760A51"/>
    <w:rsid w:val="00761378"/>
    <w:rsid w:val="00761451"/>
    <w:rsid w:val="007614D4"/>
    <w:rsid w:val="00761C9D"/>
    <w:rsid w:val="00761CAF"/>
    <w:rsid w:val="00762ECA"/>
    <w:rsid w:val="00763E4C"/>
    <w:rsid w:val="00765DAD"/>
    <w:rsid w:val="00766CE2"/>
    <w:rsid w:val="0077004E"/>
    <w:rsid w:val="007700B1"/>
    <w:rsid w:val="007701C0"/>
    <w:rsid w:val="00772DD6"/>
    <w:rsid w:val="00772E5C"/>
    <w:rsid w:val="007742A6"/>
    <w:rsid w:val="007742BE"/>
    <w:rsid w:val="007753E0"/>
    <w:rsid w:val="00775BB0"/>
    <w:rsid w:val="00776AD7"/>
    <w:rsid w:val="00780A45"/>
    <w:rsid w:val="00780B38"/>
    <w:rsid w:val="0078124C"/>
    <w:rsid w:val="007812C6"/>
    <w:rsid w:val="00781B1F"/>
    <w:rsid w:val="00781F52"/>
    <w:rsid w:val="007825D9"/>
    <w:rsid w:val="00782CFA"/>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0F9A"/>
    <w:rsid w:val="007A1056"/>
    <w:rsid w:val="007A1493"/>
    <w:rsid w:val="007A1C07"/>
    <w:rsid w:val="007A27CF"/>
    <w:rsid w:val="007A28DE"/>
    <w:rsid w:val="007A2D95"/>
    <w:rsid w:val="007A3178"/>
    <w:rsid w:val="007A36A4"/>
    <w:rsid w:val="007A3EA8"/>
    <w:rsid w:val="007A3F56"/>
    <w:rsid w:val="007A46F9"/>
    <w:rsid w:val="007A4FD7"/>
    <w:rsid w:val="007A4FF6"/>
    <w:rsid w:val="007A52FA"/>
    <w:rsid w:val="007A53F6"/>
    <w:rsid w:val="007A5920"/>
    <w:rsid w:val="007A7AA0"/>
    <w:rsid w:val="007B0E70"/>
    <w:rsid w:val="007B1192"/>
    <w:rsid w:val="007B1305"/>
    <w:rsid w:val="007B192D"/>
    <w:rsid w:val="007B4688"/>
    <w:rsid w:val="007B4D24"/>
    <w:rsid w:val="007B52D2"/>
    <w:rsid w:val="007B632E"/>
    <w:rsid w:val="007B6423"/>
    <w:rsid w:val="007B654E"/>
    <w:rsid w:val="007B703B"/>
    <w:rsid w:val="007C0BD5"/>
    <w:rsid w:val="007C1629"/>
    <w:rsid w:val="007C2826"/>
    <w:rsid w:val="007C28C9"/>
    <w:rsid w:val="007C2CF6"/>
    <w:rsid w:val="007C3536"/>
    <w:rsid w:val="007C35BD"/>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21BD"/>
    <w:rsid w:val="007E3FE1"/>
    <w:rsid w:val="007E4893"/>
    <w:rsid w:val="007E5440"/>
    <w:rsid w:val="007E574B"/>
    <w:rsid w:val="007E5750"/>
    <w:rsid w:val="007E6923"/>
    <w:rsid w:val="007E758E"/>
    <w:rsid w:val="007E7BB0"/>
    <w:rsid w:val="007F02BF"/>
    <w:rsid w:val="007F050E"/>
    <w:rsid w:val="007F072B"/>
    <w:rsid w:val="007F08F8"/>
    <w:rsid w:val="007F09E0"/>
    <w:rsid w:val="007F0E73"/>
    <w:rsid w:val="007F1613"/>
    <w:rsid w:val="007F1BF3"/>
    <w:rsid w:val="007F21F3"/>
    <w:rsid w:val="007F29AA"/>
    <w:rsid w:val="007F358F"/>
    <w:rsid w:val="007F3660"/>
    <w:rsid w:val="007F3B42"/>
    <w:rsid w:val="007F3EE4"/>
    <w:rsid w:val="007F47DE"/>
    <w:rsid w:val="007F494A"/>
    <w:rsid w:val="007F5740"/>
    <w:rsid w:val="007F6BA7"/>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4CAB"/>
    <w:rsid w:val="00815382"/>
    <w:rsid w:val="0081554A"/>
    <w:rsid w:val="008157ED"/>
    <w:rsid w:val="008159B1"/>
    <w:rsid w:val="00816139"/>
    <w:rsid w:val="00816993"/>
    <w:rsid w:val="00816C47"/>
    <w:rsid w:val="008171AA"/>
    <w:rsid w:val="00817313"/>
    <w:rsid w:val="0081734B"/>
    <w:rsid w:val="008178F3"/>
    <w:rsid w:val="00820156"/>
    <w:rsid w:val="008205DD"/>
    <w:rsid w:val="008206A7"/>
    <w:rsid w:val="00820AEC"/>
    <w:rsid w:val="00822159"/>
    <w:rsid w:val="00822FF6"/>
    <w:rsid w:val="0082471D"/>
    <w:rsid w:val="00824F21"/>
    <w:rsid w:val="00825948"/>
    <w:rsid w:val="00826205"/>
    <w:rsid w:val="0082620B"/>
    <w:rsid w:val="0082687E"/>
    <w:rsid w:val="00830296"/>
    <w:rsid w:val="00830468"/>
    <w:rsid w:val="00830BF1"/>
    <w:rsid w:val="008310D4"/>
    <w:rsid w:val="00831269"/>
    <w:rsid w:val="0083155C"/>
    <w:rsid w:val="00831EA2"/>
    <w:rsid w:val="008321D0"/>
    <w:rsid w:val="008329C3"/>
    <w:rsid w:val="00833171"/>
    <w:rsid w:val="0083470C"/>
    <w:rsid w:val="0083482B"/>
    <w:rsid w:val="008350E4"/>
    <w:rsid w:val="00835230"/>
    <w:rsid w:val="0083527A"/>
    <w:rsid w:val="008358A4"/>
    <w:rsid w:val="00836142"/>
    <w:rsid w:val="008361F7"/>
    <w:rsid w:val="00837397"/>
    <w:rsid w:val="008403DE"/>
    <w:rsid w:val="008403EE"/>
    <w:rsid w:val="008405D8"/>
    <w:rsid w:val="00840EA7"/>
    <w:rsid w:val="00841251"/>
    <w:rsid w:val="00841793"/>
    <w:rsid w:val="0084230D"/>
    <w:rsid w:val="00844413"/>
    <w:rsid w:val="00844C44"/>
    <w:rsid w:val="00845127"/>
    <w:rsid w:val="008462B2"/>
    <w:rsid w:val="008462E9"/>
    <w:rsid w:val="00846BD0"/>
    <w:rsid w:val="008470B9"/>
    <w:rsid w:val="00847265"/>
    <w:rsid w:val="008513BB"/>
    <w:rsid w:val="008522BA"/>
    <w:rsid w:val="00852D7A"/>
    <w:rsid w:val="008532BA"/>
    <w:rsid w:val="00853416"/>
    <w:rsid w:val="00853FB4"/>
    <w:rsid w:val="008540D9"/>
    <w:rsid w:val="00854B26"/>
    <w:rsid w:val="00854C58"/>
    <w:rsid w:val="00854FD1"/>
    <w:rsid w:val="00856BB2"/>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1CA6"/>
    <w:rsid w:val="008729D2"/>
    <w:rsid w:val="00872A9C"/>
    <w:rsid w:val="0087337A"/>
    <w:rsid w:val="00873906"/>
    <w:rsid w:val="0087558A"/>
    <w:rsid w:val="0087589A"/>
    <w:rsid w:val="008760D6"/>
    <w:rsid w:val="00876B09"/>
    <w:rsid w:val="008777A7"/>
    <w:rsid w:val="008779FA"/>
    <w:rsid w:val="00877B02"/>
    <w:rsid w:val="00877C22"/>
    <w:rsid w:val="00880593"/>
    <w:rsid w:val="008813C2"/>
    <w:rsid w:val="008815FF"/>
    <w:rsid w:val="00881631"/>
    <w:rsid w:val="008818F8"/>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1FF9"/>
    <w:rsid w:val="00892DB2"/>
    <w:rsid w:val="00893C66"/>
    <w:rsid w:val="008949F3"/>
    <w:rsid w:val="00894AF1"/>
    <w:rsid w:val="0089611E"/>
    <w:rsid w:val="00896BEB"/>
    <w:rsid w:val="00896EC9"/>
    <w:rsid w:val="00896ED5"/>
    <w:rsid w:val="00897DD8"/>
    <w:rsid w:val="008A14A2"/>
    <w:rsid w:val="008A14E8"/>
    <w:rsid w:val="008A1FEE"/>
    <w:rsid w:val="008A2473"/>
    <w:rsid w:val="008A3938"/>
    <w:rsid w:val="008A63D8"/>
    <w:rsid w:val="008A6553"/>
    <w:rsid w:val="008A68BF"/>
    <w:rsid w:val="008A705A"/>
    <w:rsid w:val="008A71A5"/>
    <w:rsid w:val="008A7368"/>
    <w:rsid w:val="008A79F4"/>
    <w:rsid w:val="008B07B5"/>
    <w:rsid w:val="008B1DE7"/>
    <w:rsid w:val="008B1FC7"/>
    <w:rsid w:val="008B2BAC"/>
    <w:rsid w:val="008B2CDC"/>
    <w:rsid w:val="008B35C9"/>
    <w:rsid w:val="008B4482"/>
    <w:rsid w:val="008B5ADA"/>
    <w:rsid w:val="008B663D"/>
    <w:rsid w:val="008B694E"/>
    <w:rsid w:val="008B7DFF"/>
    <w:rsid w:val="008C0044"/>
    <w:rsid w:val="008C16FA"/>
    <w:rsid w:val="008C1F7B"/>
    <w:rsid w:val="008C3538"/>
    <w:rsid w:val="008C3799"/>
    <w:rsid w:val="008C39E1"/>
    <w:rsid w:val="008C42DA"/>
    <w:rsid w:val="008C4992"/>
    <w:rsid w:val="008C5795"/>
    <w:rsid w:val="008C5855"/>
    <w:rsid w:val="008C5FB5"/>
    <w:rsid w:val="008C6497"/>
    <w:rsid w:val="008C64D6"/>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0A93"/>
    <w:rsid w:val="008E1327"/>
    <w:rsid w:val="008E17F3"/>
    <w:rsid w:val="008E2AEF"/>
    <w:rsid w:val="008E2DDC"/>
    <w:rsid w:val="008E3610"/>
    <w:rsid w:val="008E3FE3"/>
    <w:rsid w:val="008E4C62"/>
    <w:rsid w:val="008E5001"/>
    <w:rsid w:val="008E6384"/>
    <w:rsid w:val="008E6EF5"/>
    <w:rsid w:val="008E725C"/>
    <w:rsid w:val="008E7423"/>
    <w:rsid w:val="008E7C93"/>
    <w:rsid w:val="008E7CD2"/>
    <w:rsid w:val="008F0F9E"/>
    <w:rsid w:val="008F103C"/>
    <w:rsid w:val="008F136B"/>
    <w:rsid w:val="008F2984"/>
    <w:rsid w:val="008F2D6A"/>
    <w:rsid w:val="008F2F46"/>
    <w:rsid w:val="008F35D9"/>
    <w:rsid w:val="008F3FBE"/>
    <w:rsid w:val="008F4230"/>
    <w:rsid w:val="008F44C3"/>
    <w:rsid w:val="008F6817"/>
    <w:rsid w:val="008F6B98"/>
    <w:rsid w:val="008F739D"/>
    <w:rsid w:val="00900374"/>
    <w:rsid w:val="00900796"/>
    <w:rsid w:val="0090083C"/>
    <w:rsid w:val="009013A3"/>
    <w:rsid w:val="0090163D"/>
    <w:rsid w:val="009018B3"/>
    <w:rsid w:val="009026D3"/>
    <w:rsid w:val="00902A8B"/>
    <w:rsid w:val="00903C72"/>
    <w:rsid w:val="00903CD2"/>
    <w:rsid w:val="009054B0"/>
    <w:rsid w:val="009059B9"/>
    <w:rsid w:val="00907D39"/>
    <w:rsid w:val="009125BB"/>
    <w:rsid w:val="009128C3"/>
    <w:rsid w:val="009129C5"/>
    <w:rsid w:val="00912A29"/>
    <w:rsid w:val="00912B69"/>
    <w:rsid w:val="00913973"/>
    <w:rsid w:val="00914A39"/>
    <w:rsid w:val="00915E9F"/>
    <w:rsid w:val="00916721"/>
    <w:rsid w:val="00916B78"/>
    <w:rsid w:val="0091711A"/>
    <w:rsid w:val="00917280"/>
    <w:rsid w:val="0091728C"/>
    <w:rsid w:val="00917872"/>
    <w:rsid w:val="00917B00"/>
    <w:rsid w:val="00917E8C"/>
    <w:rsid w:val="00917F77"/>
    <w:rsid w:val="00920E71"/>
    <w:rsid w:val="00920F04"/>
    <w:rsid w:val="00921267"/>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27451"/>
    <w:rsid w:val="00927FA3"/>
    <w:rsid w:val="00931483"/>
    <w:rsid w:val="00931CF1"/>
    <w:rsid w:val="0093204A"/>
    <w:rsid w:val="0093239F"/>
    <w:rsid w:val="00932E4E"/>
    <w:rsid w:val="00933632"/>
    <w:rsid w:val="00933FA7"/>
    <w:rsid w:val="0093416C"/>
    <w:rsid w:val="00934841"/>
    <w:rsid w:val="00935E49"/>
    <w:rsid w:val="00935EB6"/>
    <w:rsid w:val="009371D1"/>
    <w:rsid w:val="009416E6"/>
    <w:rsid w:val="009417AF"/>
    <w:rsid w:val="00941AF8"/>
    <w:rsid w:val="00941B22"/>
    <w:rsid w:val="00941E26"/>
    <w:rsid w:val="00944530"/>
    <w:rsid w:val="009447C2"/>
    <w:rsid w:val="009448D5"/>
    <w:rsid w:val="009452BB"/>
    <w:rsid w:val="00946001"/>
    <w:rsid w:val="00946184"/>
    <w:rsid w:val="00946D89"/>
    <w:rsid w:val="00946FA7"/>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0669"/>
    <w:rsid w:val="009718B4"/>
    <w:rsid w:val="009722F3"/>
    <w:rsid w:val="00972460"/>
    <w:rsid w:val="009727E5"/>
    <w:rsid w:val="009735A4"/>
    <w:rsid w:val="0097375B"/>
    <w:rsid w:val="009754B1"/>
    <w:rsid w:val="009755E4"/>
    <w:rsid w:val="00975769"/>
    <w:rsid w:val="0097623B"/>
    <w:rsid w:val="009763D8"/>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9BB"/>
    <w:rsid w:val="00993C95"/>
    <w:rsid w:val="009956F0"/>
    <w:rsid w:val="00995AE5"/>
    <w:rsid w:val="00996B8D"/>
    <w:rsid w:val="00997EA4"/>
    <w:rsid w:val="009A0592"/>
    <w:rsid w:val="009A05B2"/>
    <w:rsid w:val="009A06ED"/>
    <w:rsid w:val="009A10EB"/>
    <w:rsid w:val="009A144A"/>
    <w:rsid w:val="009A1F7B"/>
    <w:rsid w:val="009A2640"/>
    <w:rsid w:val="009A310B"/>
    <w:rsid w:val="009A3339"/>
    <w:rsid w:val="009A3406"/>
    <w:rsid w:val="009A3878"/>
    <w:rsid w:val="009A3B2F"/>
    <w:rsid w:val="009A5F5D"/>
    <w:rsid w:val="009A5FC8"/>
    <w:rsid w:val="009A7C66"/>
    <w:rsid w:val="009B15B3"/>
    <w:rsid w:val="009B2231"/>
    <w:rsid w:val="009B30D6"/>
    <w:rsid w:val="009B4881"/>
    <w:rsid w:val="009B5C34"/>
    <w:rsid w:val="009B69E2"/>
    <w:rsid w:val="009B7AA1"/>
    <w:rsid w:val="009B7F02"/>
    <w:rsid w:val="009C1D24"/>
    <w:rsid w:val="009C24F6"/>
    <w:rsid w:val="009C29B1"/>
    <w:rsid w:val="009C31DB"/>
    <w:rsid w:val="009C3D30"/>
    <w:rsid w:val="009C3E1B"/>
    <w:rsid w:val="009C54FB"/>
    <w:rsid w:val="009C594C"/>
    <w:rsid w:val="009C6194"/>
    <w:rsid w:val="009C6802"/>
    <w:rsid w:val="009D011F"/>
    <w:rsid w:val="009D0315"/>
    <w:rsid w:val="009D13E2"/>
    <w:rsid w:val="009D1642"/>
    <w:rsid w:val="009D18C3"/>
    <w:rsid w:val="009D30E4"/>
    <w:rsid w:val="009D3199"/>
    <w:rsid w:val="009D3C8F"/>
    <w:rsid w:val="009D4ACC"/>
    <w:rsid w:val="009D4B11"/>
    <w:rsid w:val="009D5957"/>
    <w:rsid w:val="009E00CD"/>
    <w:rsid w:val="009E0D09"/>
    <w:rsid w:val="009E175E"/>
    <w:rsid w:val="009E2852"/>
    <w:rsid w:val="009E4D29"/>
    <w:rsid w:val="009E5BAA"/>
    <w:rsid w:val="009E61C2"/>
    <w:rsid w:val="009E6297"/>
    <w:rsid w:val="009E658F"/>
    <w:rsid w:val="009E69BF"/>
    <w:rsid w:val="009E6C29"/>
    <w:rsid w:val="009E715C"/>
    <w:rsid w:val="009E759C"/>
    <w:rsid w:val="009E7A74"/>
    <w:rsid w:val="009E7C89"/>
    <w:rsid w:val="009F039E"/>
    <w:rsid w:val="009F047B"/>
    <w:rsid w:val="009F24F1"/>
    <w:rsid w:val="009F33C2"/>
    <w:rsid w:val="009F3746"/>
    <w:rsid w:val="009F4358"/>
    <w:rsid w:val="009F5488"/>
    <w:rsid w:val="009F71BE"/>
    <w:rsid w:val="009F7557"/>
    <w:rsid w:val="009F7A6F"/>
    <w:rsid w:val="00A005F2"/>
    <w:rsid w:val="00A037C4"/>
    <w:rsid w:val="00A03BDF"/>
    <w:rsid w:val="00A046E1"/>
    <w:rsid w:val="00A0629F"/>
    <w:rsid w:val="00A064A6"/>
    <w:rsid w:val="00A06B0F"/>
    <w:rsid w:val="00A075E4"/>
    <w:rsid w:val="00A10C1B"/>
    <w:rsid w:val="00A11B0D"/>
    <w:rsid w:val="00A125A0"/>
    <w:rsid w:val="00A12B4E"/>
    <w:rsid w:val="00A12D22"/>
    <w:rsid w:val="00A131C6"/>
    <w:rsid w:val="00A132EE"/>
    <w:rsid w:val="00A13451"/>
    <w:rsid w:val="00A13539"/>
    <w:rsid w:val="00A135E0"/>
    <w:rsid w:val="00A13A32"/>
    <w:rsid w:val="00A141CF"/>
    <w:rsid w:val="00A153FD"/>
    <w:rsid w:val="00A16137"/>
    <w:rsid w:val="00A16E10"/>
    <w:rsid w:val="00A172A4"/>
    <w:rsid w:val="00A17BD0"/>
    <w:rsid w:val="00A20B92"/>
    <w:rsid w:val="00A219A4"/>
    <w:rsid w:val="00A22218"/>
    <w:rsid w:val="00A23411"/>
    <w:rsid w:val="00A23BA0"/>
    <w:rsid w:val="00A2410C"/>
    <w:rsid w:val="00A24D9F"/>
    <w:rsid w:val="00A25330"/>
    <w:rsid w:val="00A25844"/>
    <w:rsid w:val="00A2625F"/>
    <w:rsid w:val="00A26E0C"/>
    <w:rsid w:val="00A275E3"/>
    <w:rsid w:val="00A278CC"/>
    <w:rsid w:val="00A311D6"/>
    <w:rsid w:val="00A32DF2"/>
    <w:rsid w:val="00A336B9"/>
    <w:rsid w:val="00A34D65"/>
    <w:rsid w:val="00A3715B"/>
    <w:rsid w:val="00A402BD"/>
    <w:rsid w:val="00A40C02"/>
    <w:rsid w:val="00A40FBE"/>
    <w:rsid w:val="00A420B1"/>
    <w:rsid w:val="00A4221B"/>
    <w:rsid w:val="00A4488D"/>
    <w:rsid w:val="00A44F50"/>
    <w:rsid w:val="00A456DE"/>
    <w:rsid w:val="00A46404"/>
    <w:rsid w:val="00A46729"/>
    <w:rsid w:val="00A469D3"/>
    <w:rsid w:val="00A46AB1"/>
    <w:rsid w:val="00A47DA7"/>
    <w:rsid w:val="00A50727"/>
    <w:rsid w:val="00A50C8B"/>
    <w:rsid w:val="00A521E8"/>
    <w:rsid w:val="00A52B95"/>
    <w:rsid w:val="00A5389F"/>
    <w:rsid w:val="00A5451F"/>
    <w:rsid w:val="00A546DC"/>
    <w:rsid w:val="00A562E9"/>
    <w:rsid w:val="00A56322"/>
    <w:rsid w:val="00A56DD6"/>
    <w:rsid w:val="00A57DB9"/>
    <w:rsid w:val="00A57FE2"/>
    <w:rsid w:val="00A606CF"/>
    <w:rsid w:val="00A6098F"/>
    <w:rsid w:val="00A61693"/>
    <w:rsid w:val="00A61B6D"/>
    <w:rsid w:val="00A62DCF"/>
    <w:rsid w:val="00A6309F"/>
    <w:rsid w:val="00A637DE"/>
    <w:rsid w:val="00A63BB5"/>
    <w:rsid w:val="00A63C50"/>
    <w:rsid w:val="00A643FE"/>
    <w:rsid w:val="00A65C3B"/>
    <w:rsid w:val="00A660EA"/>
    <w:rsid w:val="00A66515"/>
    <w:rsid w:val="00A66A4E"/>
    <w:rsid w:val="00A670DA"/>
    <w:rsid w:val="00A67D0D"/>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3518"/>
    <w:rsid w:val="00A851E3"/>
    <w:rsid w:val="00A85BE9"/>
    <w:rsid w:val="00A86013"/>
    <w:rsid w:val="00A866E4"/>
    <w:rsid w:val="00A86F15"/>
    <w:rsid w:val="00A87205"/>
    <w:rsid w:val="00A900BC"/>
    <w:rsid w:val="00A92B9F"/>
    <w:rsid w:val="00A92CB1"/>
    <w:rsid w:val="00A92D6A"/>
    <w:rsid w:val="00A92E2F"/>
    <w:rsid w:val="00A93165"/>
    <w:rsid w:val="00A95234"/>
    <w:rsid w:val="00A96CD2"/>
    <w:rsid w:val="00AA0220"/>
    <w:rsid w:val="00AA09B6"/>
    <w:rsid w:val="00AA0CA6"/>
    <w:rsid w:val="00AA1231"/>
    <w:rsid w:val="00AA3966"/>
    <w:rsid w:val="00AA3B46"/>
    <w:rsid w:val="00AA40C7"/>
    <w:rsid w:val="00AA563A"/>
    <w:rsid w:val="00AA66C3"/>
    <w:rsid w:val="00AA795E"/>
    <w:rsid w:val="00AA7990"/>
    <w:rsid w:val="00AB084E"/>
    <w:rsid w:val="00AB1E54"/>
    <w:rsid w:val="00AB37A6"/>
    <w:rsid w:val="00AB3F60"/>
    <w:rsid w:val="00AB4B54"/>
    <w:rsid w:val="00AB56F4"/>
    <w:rsid w:val="00AB637E"/>
    <w:rsid w:val="00AB76E4"/>
    <w:rsid w:val="00AB7AB9"/>
    <w:rsid w:val="00AB7DAD"/>
    <w:rsid w:val="00AC04D1"/>
    <w:rsid w:val="00AC22DB"/>
    <w:rsid w:val="00AC2FF0"/>
    <w:rsid w:val="00AC4D9C"/>
    <w:rsid w:val="00AC55BF"/>
    <w:rsid w:val="00AC5885"/>
    <w:rsid w:val="00AC6012"/>
    <w:rsid w:val="00AC603E"/>
    <w:rsid w:val="00AC73ED"/>
    <w:rsid w:val="00AD06DF"/>
    <w:rsid w:val="00AD082D"/>
    <w:rsid w:val="00AD08DC"/>
    <w:rsid w:val="00AD1563"/>
    <w:rsid w:val="00AD15BE"/>
    <w:rsid w:val="00AD16F3"/>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3F1D"/>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1515"/>
    <w:rsid w:val="00B01BC4"/>
    <w:rsid w:val="00B01CA0"/>
    <w:rsid w:val="00B01CB5"/>
    <w:rsid w:val="00B01EE4"/>
    <w:rsid w:val="00B02237"/>
    <w:rsid w:val="00B023D9"/>
    <w:rsid w:val="00B0283E"/>
    <w:rsid w:val="00B02C9E"/>
    <w:rsid w:val="00B0329A"/>
    <w:rsid w:val="00B03617"/>
    <w:rsid w:val="00B036C9"/>
    <w:rsid w:val="00B03D26"/>
    <w:rsid w:val="00B03FC6"/>
    <w:rsid w:val="00B03FDC"/>
    <w:rsid w:val="00B04DDB"/>
    <w:rsid w:val="00B05251"/>
    <w:rsid w:val="00B053A4"/>
    <w:rsid w:val="00B0787E"/>
    <w:rsid w:val="00B07A4D"/>
    <w:rsid w:val="00B07B7B"/>
    <w:rsid w:val="00B1007B"/>
    <w:rsid w:val="00B1024F"/>
    <w:rsid w:val="00B106CA"/>
    <w:rsid w:val="00B10B8C"/>
    <w:rsid w:val="00B11C13"/>
    <w:rsid w:val="00B11F80"/>
    <w:rsid w:val="00B1267A"/>
    <w:rsid w:val="00B1268E"/>
    <w:rsid w:val="00B12B08"/>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5AD1"/>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0B9"/>
    <w:rsid w:val="00B60EF6"/>
    <w:rsid w:val="00B613ED"/>
    <w:rsid w:val="00B61704"/>
    <w:rsid w:val="00B617A9"/>
    <w:rsid w:val="00B61AEE"/>
    <w:rsid w:val="00B61EED"/>
    <w:rsid w:val="00B625FB"/>
    <w:rsid w:val="00B62626"/>
    <w:rsid w:val="00B645EC"/>
    <w:rsid w:val="00B64A8A"/>
    <w:rsid w:val="00B6539D"/>
    <w:rsid w:val="00B6765D"/>
    <w:rsid w:val="00B702B5"/>
    <w:rsid w:val="00B702EA"/>
    <w:rsid w:val="00B70AEB"/>
    <w:rsid w:val="00B70B69"/>
    <w:rsid w:val="00B710CE"/>
    <w:rsid w:val="00B72C2C"/>
    <w:rsid w:val="00B73A68"/>
    <w:rsid w:val="00B73D4C"/>
    <w:rsid w:val="00B7412A"/>
    <w:rsid w:val="00B756DC"/>
    <w:rsid w:val="00B76C2B"/>
    <w:rsid w:val="00B7715B"/>
    <w:rsid w:val="00B80570"/>
    <w:rsid w:val="00B805D5"/>
    <w:rsid w:val="00B80F39"/>
    <w:rsid w:val="00B81D5F"/>
    <w:rsid w:val="00B823B4"/>
    <w:rsid w:val="00B82F0D"/>
    <w:rsid w:val="00B83B64"/>
    <w:rsid w:val="00B83E33"/>
    <w:rsid w:val="00B85266"/>
    <w:rsid w:val="00B85318"/>
    <w:rsid w:val="00B8643D"/>
    <w:rsid w:val="00B86797"/>
    <w:rsid w:val="00B86B9B"/>
    <w:rsid w:val="00B86E7E"/>
    <w:rsid w:val="00B901E0"/>
    <w:rsid w:val="00B9069A"/>
    <w:rsid w:val="00B90783"/>
    <w:rsid w:val="00B90E0F"/>
    <w:rsid w:val="00B90F38"/>
    <w:rsid w:val="00B9120D"/>
    <w:rsid w:val="00B91C9E"/>
    <w:rsid w:val="00B91D6D"/>
    <w:rsid w:val="00B91FC4"/>
    <w:rsid w:val="00B9203F"/>
    <w:rsid w:val="00B92689"/>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1AD"/>
    <w:rsid w:val="00BB32B2"/>
    <w:rsid w:val="00BB4727"/>
    <w:rsid w:val="00BB48A2"/>
    <w:rsid w:val="00BB4F8E"/>
    <w:rsid w:val="00BB5573"/>
    <w:rsid w:val="00BB55A6"/>
    <w:rsid w:val="00BB5649"/>
    <w:rsid w:val="00BB6AEF"/>
    <w:rsid w:val="00BB6CE2"/>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D2A"/>
    <w:rsid w:val="00BD6763"/>
    <w:rsid w:val="00BD6963"/>
    <w:rsid w:val="00BE0B3A"/>
    <w:rsid w:val="00BE0CDF"/>
    <w:rsid w:val="00BE18C8"/>
    <w:rsid w:val="00BE28E4"/>
    <w:rsid w:val="00BE2BB8"/>
    <w:rsid w:val="00BE33C8"/>
    <w:rsid w:val="00BE4344"/>
    <w:rsid w:val="00BE44B5"/>
    <w:rsid w:val="00BE5C80"/>
    <w:rsid w:val="00BE5ECC"/>
    <w:rsid w:val="00BE662F"/>
    <w:rsid w:val="00BE67EE"/>
    <w:rsid w:val="00BE6894"/>
    <w:rsid w:val="00BF14C6"/>
    <w:rsid w:val="00BF1539"/>
    <w:rsid w:val="00BF1C70"/>
    <w:rsid w:val="00BF1CE7"/>
    <w:rsid w:val="00BF1F5A"/>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709"/>
    <w:rsid w:val="00C04E79"/>
    <w:rsid w:val="00C06ACB"/>
    <w:rsid w:val="00C07BF2"/>
    <w:rsid w:val="00C10398"/>
    <w:rsid w:val="00C107AE"/>
    <w:rsid w:val="00C11EE1"/>
    <w:rsid w:val="00C12273"/>
    <w:rsid w:val="00C1246B"/>
    <w:rsid w:val="00C133AB"/>
    <w:rsid w:val="00C14552"/>
    <w:rsid w:val="00C145D6"/>
    <w:rsid w:val="00C14871"/>
    <w:rsid w:val="00C15B81"/>
    <w:rsid w:val="00C15E17"/>
    <w:rsid w:val="00C16415"/>
    <w:rsid w:val="00C164E5"/>
    <w:rsid w:val="00C20594"/>
    <w:rsid w:val="00C207F4"/>
    <w:rsid w:val="00C2170E"/>
    <w:rsid w:val="00C21903"/>
    <w:rsid w:val="00C2289F"/>
    <w:rsid w:val="00C23779"/>
    <w:rsid w:val="00C23907"/>
    <w:rsid w:val="00C23E6B"/>
    <w:rsid w:val="00C2469B"/>
    <w:rsid w:val="00C247F2"/>
    <w:rsid w:val="00C25CF7"/>
    <w:rsid w:val="00C26282"/>
    <w:rsid w:val="00C263B7"/>
    <w:rsid w:val="00C2750B"/>
    <w:rsid w:val="00C2769F"/>
    <w:rsid w:val="00C2798C"/>
    <w:rsid w:val="00C31279"/>
    <w:rsid w:val="00C31969"/>
    <w:rsid w:val="00C3221C"/>
    <w:rsid w:val="00C3231E"/>
    <w:rsid w:val="00C3246B"/>
    <w:rsid w:val="00C32549"/>
    <w:rsid w:val="00C33108"/>
    <w:rsid w:val="00C33392"/>
    <w:rsid w:val="00C34273"/>
    <w:rsid w:val="00C35023"/>
    <w:rsid w:val="00C35275"/>
    <w:rsid w:val="00C356E9"/>
    <w:rsid w:val="00C35BD4"/>
    <w:rsid w:val="00C408E5"/>
    <w:rsid w:val="00C4142C"/>
    <w:rsid w:val="00C41BCD"/>
    <w:rsid w:val="00C41C53"/>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857"/>
    <w:rsid w:val="00C47A9D"/>
    <w:rsid w:val="00C512EA"/>
    <w:rsid w:val="00C51B04"/>
    <w:rsid w:val="00C51BAA"/>
    <w:rsid w:val="00C5247B"/>
    <w:rsid w:val="00C52B12"/>
    <w:rsid w:val="00C52CA2"/>
    <w:rsid w:val="00C52D09"/>
    <w:rsid w:val="00C536C6"/>
    <w:rsid w:val="00C545FE"/>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596B"/>
    <w:rsid w:val="00C762E6"/>
    <w:rsid w:val="00C7691F"/>
    <w:rsid w:val="00C80613"/>
    <w:rsid w:val="00C8061D"/>
    <w:rsid w:val="00C80BCC"/>
    <w:rsid w:val="00C80CAF"/>
    <w:rsid w:val="00C80F82"/>
    <w:rsid w:val="00C81C15"/>
    <w:rsid w:val="00C827F5"/>
    <w:rsid w:val="00C83353"/>
    <w:rsid w:val="00C833AF"/>
    <w:rsid w:val="00C8361A"/>
    <w:rsid w:val="00C8523F"/>
    <w:rsid w:val="00C85860"/>
    <w:rsid w:val="00C8771E"/>
    <w:rsid w:val="00C90FA2"/>
    <w:rsid w:val="00C910D0"/>
    <w:rsid w:val="00C92247"/>
    <w:rsid w:val="00C93637"/>
    <w:rsid w:val="00C94176"/>
    <w:rsid w:val="00C94B60"/>
    <w:rsid w:val="00C95148"/>
    <w:rsid w:val="00C95A39"/>
    <w:rsid w:val="00C96238"/>
    <w:rsid w:val="00C971DE"/>
    <w:rsid w:val="00C974B9"/>
    <w:rsid w:val="00C977EA"/>
    <w:rsid w:val="00C97E1A"/>
    <w:rsid w:val="00CA0FD5"/>
    <w:rsid w:val="00CA1EC4"/>
    <w:rsid w:val="00CA1FFC"/>
    <w:rsid w:val="00CA2B5D"/>
    <w:rsid w:val="00CA3B5B"/>
    <w:rsid w:val="00CA5AE0"/>
    <w:rsid w:val="00CA5EAF"/>
    <w:rsid w:val="00CA6373"/>
    <w:rsid w:val="00CA6471"/>
    <w:rsid w:val="00CA6993"/>
    <w:rsid w:val="00CA6E23"/>
    <w:rsid w:val="00CA7F45"/>
    <w:rsid w:val="00CB0CAD"/>
    <w:rsid w:val="00CB200A"/>
    <w:rsid w:val="00CB25B0"/>
    <w:rsid w:val="00CB2B17"/>
    <w:rsid w:val="00CB3552"/>
    <w:rsid w:val="00CB4AFD"/>
    <w:rsid w:val="00CB5272"/>
    <w:rsid w:val="00CB5665"/>
    <w:rsid w:val="00CB5B4D"/>
    <w:rsid w:val="00CB71BB"/>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3946"/>
    <w:rsid w:val="00CD5652"/>
    <w:rsid w:val="00CD5722"/>
    <w:rsid w:val="00CD59D6"/>
    <w:rsid w:val="00CD60C3"/>
    <w:rsid w:val="00CD764B"/>
    <w:rsid w:val="00CE3341"/>
    <w:rsid w:val="00CE347E"/>
    <w:rsid w:val="00CE3F2F"/>
    <w:rsid w:val="00CE4B7D"/>
    <w:rsid w:val="00CE56BB"/>
    <w:rsid w:val="00CE614C"/>
    <w:rsid w:val="00CE6920"/>
    <w:rsid w:val="00CF1A6F"/>
    <w:rsid w:val="00CF1E18"/>
    <w:rsid w:val="00CF2AD8"/>
    <w:rsid w:val="00CF3BBB"/>
    <w:rsid w:val="00CF4E24"/>
    <w:rsid w:val="00CF5A8A"/>
    <w:rsid w:val="00CF6E72"/>
    <w:rsid w:val="00CF719A"/>
    <w:rsid w:val="00CF773F"/>
    <w:rsid w:val="00CF77F2"/>
    <w:rsid w:val="00CF7F2C"/>
    <w:rsid w:val="00D01C38"/>
    <w:rsid w:val="00D024EB"/>
    <w:rsid w:val="00D02661"/>
    <w:rsid w:val="00D02A1A"/>
    <w:rsid w:val="00D02E2B"/>
    <w:rsid w:val="00D02F9D"/>
    <w:rsid w:val="00D03F62"/>
    <w:rsid w:val="00D04B30"/>
    <w:rsid w:val="00D04B5A"/>
    <w:rsid w:val="00D04CDE"/>
    <w:rsid w:val="00D05004"/>
    <w:rsid w:val="00D0592B"/>
    <w:rsid w:val="00D05BD4"/>
    <w:rsid w:val="00D06D81"/>
    <w:rsid w:val="00D1014A"/>
    <w:rsid w:val="00D11878"/>
    <w:rsid w:val="00D1203F"/>
    <w:rsid w:val="00D12DF2"/>
    <w:rsid w:val="00D13A18"/>
    <w:rsid w:val="00D14FA8"/>
    <w:rsid w:val="00D154AE"/>
    <w:rsid w:val="00D15EC8"/>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1FAF"/>
    <w:rsid w:val="00D3206B"/>
    <w:rsid w:val="00D32D01"/>
    <w:rsid w:val="00D332D9"/>
    <w:rsid w:val="00D33E1A"/>
    <w:rsid w:val="00D3465F"/>
    <w:rsid w:val="00D347CE"/>
    <w:rsid w:val="00D34870"/>
    <w:rsid w:val="00D362D4"/>
    <w:rsid w:val="00D376B0"/>
    <w:rsid w:val="00D37823"/>
    <w:rsid w:val="00D40C57"/>
    <w:rsid w:val="00D426AD"/>
    <w:rsid w:val="00D4393A"/>
    <w:rsid w:val="00D44594"/>
    <w:rsid w:val="00D44EB0"/>
    <w:rsid w:val="00D45450"/>
    <w:rsid w:val="00D45D7C"/>
    <w:rsid w:val="00D46CC5"/>
    <w:rsid w:val="00D47192"/>
    <w:rsid w:val="00D523F6"/>
    <w:rsid w:val="00D53C49"/>
    <w:rsid w:val="00D53DEB"/>
    <w:rsid w:val="00D541E7"/>
    <w:rsid w:val="00D54343"/>
    <w:rsid w:val="00D54780"/>
    <w:rsid w:val="00D55D1D"/>
    <w:rsid w:val="00D57837"/>
    <w:rsid w:val="00D6101E"/>
    <w:rsid w:val="00D611B3"/>
    <w:rsid w:val="00D61496"/>
    <w:rsid w:val="00D6258D"/>
    <w:rsid w:val="00D6292C"/>
    <w:rsid w:val="00D62F14"/>
    <w:rsid w:val="00D63144"/>
    <w:rsid w:val="00D63180"/>
    <w:rsid w:val="00D634E4"/>
    <w:rsid w:val="00D63677"/>
    <w:rsid w:val="00D6548C"/>
    <w:rsid w:val="00D65670"/>
    <w:rsid w:val="00D65701"/>
    <w:rsid w:val="00D66D0B"/>
    <w:rsid w:val="00D66FC6"/>
    <w:rsid w:val="00D672A4"/>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86960"/>
    <w:rsid w:val="00D914BE"/>
    <w:rsid w:val="00D915C5"/>
    <w:rsid w:val="00D93433"/>
    <w:rsid w:val="00D93D6B"/>
    <w:rsid w:val="00D94389"/>
    <w:rsid w:val="00D9439C"/>
    <w:rsid w:val="00D95344"/>
    <w:rsid w:val="00D954F5"/>
    <w:rsid w:val="00D963AC"/>
    <w:rsid w:val="00D96403"/>
    <w:rsid w:val="00D96495"/>
    <w:rsid w:val="00D96B7F"/>
    <w:rsid w:val="00D97DC4"/>
    <w:rsid w:val="00DA1272"/>
    <w:rsid w:val="00DA2A98"/>
    <w:rsid w:val="00DA2B68"/>
    <w:rsid w:val="00DA2F26"/>
    <w:rsid w:val="00DA48FD"/>
    <w:rsid w:val="00DA4B4B"/>
    <w:rsid w:val="00DA4E74"/>
    <w:rsid w:val="00DA5BBE"/>
    <w:rsid w:val="00DA5BC9"/>
    <w:rsid w:val="00DA5CE0"/>
    <w:rsid w:val="00DA5D33"/>
    <w:rsid w:val="00DA7560"/>
    <w:rsid w:val="00DB0385"/>
    <w:rsid w:val="00DB04FB"/>
    <w:rsid w:val="00DB091D"/>
    <w:rsid w:val="00DB2324"/>
    <w:rsid w:val="00DB2D9F"/>
    <w:rsid w:val="00DB2FC3"/>
    <w:rsid w:val="00DB33DE"/>
    <w:rsid w:val="00DB345B"/>
    <w:rsid w:val="00DB3760"/>
    <w:rsid w:val="00DB3D77"/>
    <w:rsid w:val="00DB4121"/>
    <w:rsid w:val="00DB4497"/>
    <w:rsid w:val="00DB533E"/>
    <w:rsid w:val="00DB58A2"/>
    <w:rsid w:val="00DB634C"/>
    <w:rsid w:val="00DB7CC0"/>
    <w:rsid w:val="00DC00A3"/>
    <w:rsid w:val="00DC02C5"/>
    <w:rsid w:val="00DC0518"/>
    <w:rsid w:val="00DC161C"/>
    <w:rsid w:val="00DC1E62"/>
    <w:rsid w:val="00DC1F96"/>
    <w:rsid w:val="00DC2044"/>
    <w:rsid w:val="00DC24BE"/>
    <w:rsid w:val="00DC3ABF"/>
    <w:rsid w:val="00DC47FC"/>
    <w:rsid w:val="00DC4D08"/>
    <w:rsid w:val="00DC5153"/>
    <w:rsid w:val="00DC5EA3"/>
    <w:rsid w:val="00DC6B15"/>
    <w:rsid w:val="00DC721D"/>
    <w:rsid w:val="00DC73D1"/>
    <w:rsid w:val="00DD0AD7"/>
    <w:rsid w:val="00DD148A"/>
    <w:rsid w:val="00DD1DE7"/>
    <w:rsid w:val="00DD22D0"/>
    <w:rsid w:val="00DD2475"/>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5CA"/>
    <w:rsid w:val="00DF4330"/>
    <w:rsid w:val="00DF4A8B"/>
    <w:rsid w:val="00DF4F75"/>
    <w:rsid w:val="00DF5A62"/>
    <w:rsid w:val="00DF5E32"/>
    <w:rsid w:val="00DF636D"/>
    <w:rsid w:val="00DF65C4"/>
    <w:rsid w:val="00DF7006"/>
    <w:rsid w:val="00DF70F4"/>
    <w:rsid w:val="00DF7962"/>
    <w:rsid w:val="00E00372"/>
    <w:rsid w:val="00E0149C"/>
    <w:rsid w:val="00E01E6F"/>
    <w:rsid w:val="00E02B88"/>
    <w:rsid w:val="00E02F94"/>
    <w:rsid w:val="00E03063"/>
    <w:rsid w:val="00E038E5"/>
    <w:rsid w:val="00E03DB4"/>
    <w:rsid w:val="00E04474"/>
    <w:rsid w:val="00E04E3C"/>
    <w:rsid w:val="00E04F9C"/>
    <w:rsid w:val="00E0595A"/>
    <w:rsid w:val="00E06171"/>
    <w:rsid w:val="00E07280"/>
    <w:rsid w:val="00E10170"/>
    <w:rsid w:val="00E112CD"/>
    <w:rsid w:val="00E12658"/>
    <w:rsid w:val="00E127E7"/>
    <w:rsid w:val="00E12ED6"/>
    <w:rsid w:val="00E13F84"/>
    <w:rsid w:val="00E141D5"/>
    <w:rsid w:val="00E14BF9"/>
    <w:rsid w:val="00E14FE0"/>
    <w:rsid w:val="00E159A1"/>
    <w:rsid w:val="00E15A4E"/>
    <w:rsid w:val="00E15AD4"/>
    <w:rsid w:val="00E16443"/>
    <w:rsid w:val="00E16770"/>
    <w:rsid w:val="00E1690D"/>
    <w:rsid w:val="00E175D2"/>
    <w:rsid w:val="00E2006E"/>
    <w:rsid w:val="00E2007D"/>
    <w:rsid w:val="00E2017F"/>
    <w:rsid w:val="00E202FA"/>
    <w:rsid w:val="00E212E3"/>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230"/>
    <w:rsid w:val="00E41A21"/>
    <w:rsid w:val="00E41D08"/>
    <w:rsid w:val="00E41FF2"/>
    <w:rsid w:val="00E42570"/>
    <w:rsid w:val="00E43BCF"/>
    <w:rsid w:val="00E43BD1"/>
    <w:rsid w:val="00E4410F"/>
    <w:rsid w:val="00E4482D"/>
    <w:rsid w:val="00E44971"/>
    <w:rsid w:val="00E44F28"/>
    <w:rsid w:val="00E44F5C"/>
    <w:rsid w:val="00E45518"/>
    <w:rsid w:val="00E4573A"/>
    <w:rsid w:val="00E4587F"/>
    <w:rsid w:val="00E458CA"/>
    <w:rsid w:val="00E463E3"/>
    <w:rsid w:val="00E465E9"/>
    <w:rsid w:val="00E4754C"/>
    <w:rsid w:val="00E51604"/>
    <w:rsid w:val="00E5279F"/>
    <w:rsid w:val="00E52E47"/>
    <w:rsid w:val="00E53681"/>
    <w:rsid w:val="00E55240"/>
    <w:rsid w:val="00E55441"/>
    <w:rsid w:val="00E569F7"/>
    <w:rsid w:val="00E56E8F"/>
    <w:rsid w:val="00E5726E"/>
    <w:rsid w:val="00E57389"/>
    <w:rsid w:val="00E57A14"/>
    <w:rsid w:val="00E57C1D"/>
    <w:rsid w:val="00E57F8A"/>
    <w:rsid w:val="00E606DD"/>
    <w:rsid w:val="00E6337E"/>
    <w:rsid w:val="00E63B1C"/>
    <w:rsid w:val="00E63FF7"/>
    <w:rsid w:val="00E64130"/>
    <w:rsid w:val="00E64671"/>
    <w:rsid w:val="00E652C6"/>
    <w:rsid w:val="00E656E9"/>
    <w:rsid w:val="00E65753"/>
    <w:rsid w:val="00E65D21"/>
    <w:rsid w:val="00E667AF"/>
    <w:rsid w:val="00E67AF9"/>
    <w:rsid w:val="00E70F61"/>
    <w:rsid w:val="00E71EDC"/>
    <w:rsid w:val="00E72910"/>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6D90"/>
    <w:rsid w:val="00EA7190"/>
    <w:rsid w:val="00EA75D8"/>
    <w:rsid w:val="00EA7D03"/>
    <w:rsid w:val="00EA7D5A"/>
    <w:rsid w:val="00EB171B"/>
    <w:rsid w:val="00EB2311"/>
    <w:rsid w:val="00EB3A10"/>
    <w:rsid w:val="00EB69F2"/>
    <w:rsid w:val="00EB6DF1"/>
    <w:rsid w:val="00EB7B14"/>
    <w:rsid w:val="00EC04FC"/>
    <w:rsid w:val="00EC37A9"/>
    <w:rsid w:val="00EC445E"/>
    <w:rsid w:val="00EC4A25"/>
    <w:rsid w:val="00EC4AF7"/>
    <w:rsid w:val="00EC7026"/>
    <w:rsid w:val="00ED00F2"/>
    <w:rsid w:val="00ED02C5"/>
    <w:rsid w:val="00ED0DDE"/>
    <w:rsid w:val="00ED15F2"/>
    <w:rsid w:val="00ED2147"/>
    <w:rsid w:val="00ED2F53"/>
    <w:rsid w:val="00ED4910"/>
    <w:rsid w:val="00ED4FBD"/>
    <w:rsid w:val="00ED66A0"/>
    <w:rsid w:val="00ED74DD"/>
    <w:rsid w:val="00ED7698"/>
    <w:rsid w:val="00ED7ABB"/>
    <w:rsid w:val="00EE044B"/>
    <w:rsid w:val="00EE11F8"/>
    <w:rsid w:val="00EE1A29"/>
    <w:rsid w:val="00EE3424"/>
    <w:rsid w:val="00EE34B5"/>
    <w:rsid w:val="00EE38BC"/>
    <w:rsid w:val="00EE3C1D"/>
    <w:rsid w:val="00EE575F"/>
    <w:rsid w:val="00EE5799"/>
    <w:rsid w:val="00EE59EE"/>
    <w:rsid w:val="00EE5EF0"/>
    <w:rsid w:val="00EF0012"/>
    <w:rsid w:val="00EF0FDB"/>
    <w:rsid w:val="00EF14AC"/>
    <w:rsid w:val="00EF1943"/>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815"/>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266F8"/>
    <w:rsid w:val="00F30174"/>
    <w:rsid w:val="00F30842"/>
    <w:rsid w:val="00F318F6"/>
    <w:rsid w:val="00F326A0"/>
    <w:rsid w:val="00F329AE"/>
    <w:rsid w:val="00F33342"/>
    <w:rsid w:val="00F33363"/>
    <w:rsid w:val="00F339D3"/>
    <w:rsid w:val="00F33A50"/>
    <w:rsid w:val="00F33BF5"/>
    <w:rsid w:val="00F340D8"/>
    <w:rsid w:val="00F348D5"/>
    <w:rsid w:val="00F34B21"/>
    <w:rsid w:val="00F34FDC"/>
    <w:rsid w:val="00F3640E"/>
    <w:rsid w:val="00F36B8C"/>
    <w:rsid w:val="00F37101"/>
    <w:rsid w:val="00F376F8"/>
    <w:rsid w:val="00F379CB"/>
    <w:rsid w:val="00F40B05"/>
    <w:rsid w:val="00F42209"/>
    <w:rsid w:val="00F43593"/>
    <w:rsid w:val="00F43F18"/>
    <w:rsid w:val="00F44272"/>
    <w:rsid w:val="00F45F6B"/>
    <w:rsid w:val="00F460C9"/>
    <w:rsid w:val="00F46241"/>
    <w:rsid w:val="00F462D3"/>
    <w:rsid w:val="00F4654B"/>
    <w:rsid w:val="00F4763F"/>
    <w:rsid w:val="00F526EB"/>
    <w:rsid w:val="00F53EA1"/>
    <w:rsid w:val="00F541C6"/>
    <w:rsid w:val="00F54ED3"/>
    <w:rsid w:val="00F551B6"/>
    <w:rsid w:val="00F551E1"/>
    <w:rsid w:val="00F553C3"/>
    <w:rsid w:val="00F567E2"/>
    <w:rsid w:val="00F56A65"/>
    <w:rsid w:val="00F57764"/>
    <w:rsid w:val="00F579BD"/>
    <w:rsid w:val="00F6098F"/>
    <w:rsid w:val="00F609A0"/>
    <w:rsid w:val="00F6168D"/>
    <w:rsid w:val="00F616A2"/>
    <w:rsid w:val="00F61A8C"/>
    <w:rsid w:val="00F626E9"/>
    <w:rsid w:val="00F6274E"/>
    <w:rsid w:val="00F6311F"/>
    <w:rsid w:val="00F641BF"/>
    <w:rsid w:val="00F64243"/>
    <w:rsid w:val="00F6521D"/>
    <w:rsid w:val="00F65257"/>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073"/>
    <w:rsid w:val="00F73ABB"/>
    <w:rsid w:val="00F73CA5"/>
    <w:rsid w:val="00F756C3"/>
    <w:rsid w:val="00F75BFA"/>
    <w:rsid w:val="00F75FAA"/>
    <w:rsid w:val="00F7637D"/>
    <w:rsid w:val="00F766D1"/>
    <w:rsid w:val="00F76C89"/>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6C08"/>
    <w:rsid w:val="00F878AA"/>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14C6"/>
    <w:rsid w:val="00FA2565"/>
    <w:rsid w:val="00FA28E4"/>
    <w:rsid w:val="00FA2C53"/>
    <w:rsid w:val="00FA2CD5"/>
    <w:rsid w:val="00FA3CDB"/>
    <w:rsid w:val="00FA53A3"/>
    <w:rsid w:val="00FA57BD"/>
    <w:rsid w:val="00FA5B97"/>
    <w:rsid w:val="00FA6F95"/>
    <w:rsid w:val="00FA71DF"/>
    <w:rsid w:val="00FA74BA"/>
    <w:rsid w:val="00FA78C0"/>
    <w:rsid w:val="00FA7B9D"/>
    <w:rsid w:val="00FB0524"/>
    <w:rsid w:val="00FB0C27"/>
    <w:rsid w:val="00FB1EB1"/>
    <w:rsid w:val="00FB1F10"/>
    <w:rsid w:val="00FB2F36"/>
    <w:rsid w:val="00FB30D6"/>
    <w:rsid w:val="00FB44D2"/>
    <w:rsid w:val="00FB4C7A"/>
    <w:rsid w:val="00FB4F3B"/>
    <w:rsid w:val="00FB523A"/>
    <w:rsid w:val="00FB55B1"/>
    <w:rsid w:val="00FB663C"/>
    <w:rsid w:val="00FB66DC"/>
    <w:rsid w:val="00FB6957"/>
    <w:rsid w:val="00FB6CD9"/>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D7EFC"/>
    <w:rsid w:val="00FE1900"/>
    <w:rsid w:val="00FE2857"/>
    <w:rsid w:val="00FE2D3E"/>
    <w:rsid w:val="00FE3270"/>
    <w:rsid w:val="00FE4247"/>
    <w:rsid w:val="00FE5257"/>
    <w:rsid w:val="00FE5E54"/>
    <w:rsid w:val="00FE5EA3"/>
    <w:rsid w:val="00FF00DD"/>
    <w:rsid w:val="00FF052A"/>
    <w:rsid w:val="00FF230D"/>
    <w:rsid w:val="00FF2404"/>
    <w:rsid w:val="00FF27F4"/>
    <w:rsid w:val="00FF2FAD"/>
    <w:rsid w:val="00FF4446"/>
    <w:rsid w:val="00FF465D"/>
    <w:rsid w:val="00FF53C9"/>
    <w:rsid w:val="00FF5881"/>
    <w:rsid w:val="00FF6CF3"/>
    <w:rsid w:val="00FF6D2F"/>
    <w:rsid w:val="00FF79E4"/>
    <w:rsid w:val="00FF7E2A"/>
    <w:rsid w:val="0C040041"/>
    <w:rsid w:val="0F3A02D4"/>
    <w:rsid w:val="13AC18A4"/>
    <w:rsid w:val="2441F4BA"/>
    <w:rsid w:val="3C5FD06A"/>
    <w:rsid w:val="4C8D4150"/>
    <w:rsid w:val="59EAE52C"/>
    <w:rsid w:val="6A6C0E34"/>
    <w:rsid w:val="711C168E"/>
    <w:rsid w:val="7C6B72CF"/>
  </w:rsids>
  <m:mathPr>
    <m:mathFont m:val="Cambria Math"/>
  </m:mathPr>
  <w:themeFontLang w:val="en-US" w:eastAsia="ko-KR" w:bidi="hi-IN"/>
  <w:clrSchemeMapping w:bg1="light1" w:t1="dark1" w:bg2="light2" w:t2="dark2" w:accent1="accent1" w:accent2="accent2" w:accent3="accent3" w:accent4="accent4" w:accent5="accent5" w:accent6="accent6" w:hyperlink="hyperlink" w:followedHyperlink="followedHyperlink"/>
  <w14:docId w14:val="48E10C00"/>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1C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eastAsia="Times New Roman" w:asciiTheme="majorHAnsi"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9"/>
      </w:numPr>
      <w:tabs>
        <w:tab w:val="left" w:pos="432"/>
        <w:tab w:val="clear" w:pos="79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1"/>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8"/>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hAnsi="Arial" w:eastAsiaTheme="minorHAnsi"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10"/>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11"/>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12"/>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13"/>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F46241"/>
    <w:rPr>
      <w:rFonts w:ascii="Consolas" w:hAnsi="Consolas" w:eastAsiaTheme="minorHAnsi"/>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eastAsia="Times New Roman" w:asciiTheme="minorBidi"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EE3424"/>
    <w:pPr>
      <w:spacing w:before="0" w:after="0" w:line="264" w:lineRule="auto"/>
    </w:pPr>
    <w:rPr>
      <w:rFonts w:ascii="Times New Roman" w:eastAsia="Times New Roman" w:hAnsi="Times New Roman" w:cs="Times New Roman"/>
      <w:sz w:val="22"/>
      <w:szCs w:val="20"/>
    </w:rPr>
  </w:style>
  <w:style w:type="character" w:customStyle="1" w:styleId="highlight">
    <w:name w:val="highlight"/>
    <w:basedOn w:val="DefaultParagraphFont"/>
    <w:rsid w:val="00B10B8C"/>
  </w:style>
  <w:style w:type="paragraph" w:styleId="BodyTextFirstIndent">
    <w:name w:val="Body Text First Indent"/>
    <w:basedOn w:val="BodyText"/>
    <w:link w:val="BodyTextFirstIndentChar"/>
    <w:uiPriority w:val="99"/>
    <w:semiHidden/>
    <w:unhideWhenUsed/>
    <w:rsid w:val="00692B40"/>
    <w:pPr>
      <w:spacing w:before="0" w:after="0" w:line="480" w:lineRule="auto"/>
      <w:ind w:firstLine="360"/>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uiPriority w:val="99"/>
    <w:semiHidden/>
    <w:rsid w:val="00692B40"/>
    <w:rPr>
      <w:rFonts w:eastAsia="Times New Roman" w:asciiTheme="minorHAnsi" w:hAnsiTheme="minorHAnsi" w:cs="Times New Roman"/>
      <w:szCs w:val="20"/>
    </w:rPr>
  </w:style>
  <w:style w:type="paragraph" w:customStyle="1" w:styleId="paragraph">
    <w:name w:val="paragraph"/>
    <w:basedOn w:val="Normal"/>
    <w:rsid w:val="000A7609"/>
    <w:pPr>
      <w:spacing w:before="100" w:beforeAutospacing="1" w:after="100" w:afterAutospacing="1" w:line="240" w:lineRule="auto"/>
      <w:ind w:firstLine="0"/>
    </w:pPr>
    <w:rPr>
      <w:szCs w:val="24"/>
    </w:rPr>
  </w:style>
  <w:style w:type="character" w:customStyle="1" w:styleId="normaltextrun">
    <w:name w:val="normaltextrun"/>
    <w:basedOn w:val="DefaultParagraphFont"/>
    <w:rsid w:val="000A7609"/>
  </w:style>
  <w:style w:type="character" w:customStyle="1" w:styleId="eop">
    <w:name w:val="eop"/>
    <w:basedOn w:val="DefaultParagraphFont"/>
    <w:rsid w:val="000A7609"/>
  </w:style>
  <w:style w:type="character" w:styleId="UnresolvedMention">
    <w:name w:val="Unresolved Mention"/>
    <w:basedOn w:val="DefaultParagraphFont"/>
    <w:uiPriority w:val="99"/>
    <w:semiHidden/>
    <w:unhideWhenUsed/>
    <w:rsid w:val="00574D2B"/>
    <w:rPr>
      <w:color w:val="605E5C"/>
      <w:shd w:val="clear" w:color="auto" w:fill="E1DFDD"/>
    </w:rPr>
  </w:style>
  <w:style w:type="character" w:styleId="SubtleEmphasis">
    <w:name w:val="Subtle Emphasis"/>
    <w:basedOn w:val="DefaultParagraphFont"/>
    <w:uiPriority w:val="19"/>
    <w:qFormat/>
    <w:rsid w:val="00E606DD"/>
    <w:rPr>
      <w:i/>
      <w:iCs/>
      <w:color w:val="404040" w:themeColor="text1" w:themeTint="BF"/>
    </w:rPr>
  </w:style>
  <w:style w:type="character" w:customStyle="1" w:styleId="markedcontent">
    <w:name w:val="markedcontent"/>
    <w:basedOn w:val="DefaultParagraphFont"/>
    <w:rsid w:val="001A3BDC"/>
  </w:style>
  <w:style w:type="paragraph" w:customStyle="1" w:styleId="western">
    <w:name w:val="western"/>
    <w:basedOn w:val="Normal"/>
    <w:rsid w:val="008B2CDC"/>
    <w:pPr>
      <w:spacing w:line="240" w:lineRule="auto"/>
      <w:ind w:firstLine="0"/>
    </w:pPr>
    <w:rPr>
      <w:rFonts w:ascii="Calibri" w:hAnsi="Calibri" w:eastAsiaTheme="minorHAnsi" w:cs="Calibri"/>
      <w:sz w:val="22"/>
      <w:szCs w:val="22"/>
    </w:rPr>
  </w:style>
  <w:style w:type="paragraph" w:customStyle="1" w:styleId="FigureTableNotes">
    <w:name w:val="Figure/Table Notes"/>
    <w:basedOn w:val="Normal"/>
    <w:qFormat/>
    <w:rsid w:val="002F09CF"/>
    <w:pPr>
      <w:spacing w:before="60" w:after="320" w:line="240" w:lineRule="exact"/>
      <w:ind w:firstLine="0"/>
      <w:contextualSpacing/>
    </w:pPr>
    <w:rPr>
      <w:rFonts w:ascii="Lato" w:hAnsi="Lato" w:eastAsiaTheme="minorHAnsi" w:cstheme="minorBidi"/>
      <w:i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dx.doi.org/10.1002/9780470316696" TargetMode="External" /><Relationship Id="rId2" Type="http://schemas.openxmlformats.org/officeDocument/2006/relationships/hyperlink" Target="https://scholar.google.com/scholar_lookup?journal=Survey+Methodology&amp;title=A+multivariate+technique+for+multiply+imputing+missing+values+using+a+sequence+of+regression+models&amp;volume=27&amp;publication_year=2001&amp;pages=85-95&amp;" TargetMode="External" /><Relationship Id="rId3" Type="http://schemas.openxmlformats.org/officeDocument/2006/relationships/hyperlink" Target="http://doi.org/10.3386/w2824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7328E-67E0-4400-A692-857E4F829340}">
  <ds:schemaRefs>
    <ds:schemaRef ds:uri="http://schemas.openxmlformats.org/officeDocument/2006/bibliography"/>
  </ds:schemaRefs>
</ds:datastoreItem>
</file>

<file path=customXml/itemProps4.xml><?xml version="1.0" encoding="utf-8"?>
<ds:datastoreItem xmlns:ds="http://schemas.openxmlformats.org/officeDocument/2006/customXml" ds:itemID="{D29FC248-A9F5-451F-86FA-963E8E778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6</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Ehounou, Marie-Ellen S - ASP</cp:lastModifiedBy>
  <cp:revision>4</cp:revision>
  <cp:lastPrinted>2024-08-12T14:15:00Z</cp:lastPrinted>
  <dcterms:created xsi:type="dcterms:W3CDTF">2024-12-05T15:26:00Z</dcterms:created>
  <dcterms:modified xsi:type="dcterms:W3CDTF">2024-12-05T18:41:00Z</dcterms:modified>
</cp:coreProperties>
</file>