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2598" w:rsidRPr="00CB1C78" w:rsidP="00A83745" w14:paraId="2EBFCB13" w14:textId="47F6C4AD">
      <w:pPr>
        <w:spacing w:after="360"/>
        <w:jc w:val="center"/>
        <w:rPr>
          <w:rFonts w:ascii="Times New Roman" w:eastAsia="Times New Roman" w:hAnsi="Times New Roman" w:cs="Times New Roman"/>
          <w:b/>
          <w:color w:val="000000" w:themeColor="text1"/>
          <w:sz w:val="28"/>
          <w:szCs w:val="28"/>
        </w:rPr>
      </w:pPr>
      <w:r w:rsidRPr="00CB1C78">
        <w:rPr>
          <w:rFonts w:ascii="Times New Roman" w:eastAsia="Times New Roman" w:hAnsi="Times New Roman" w:cs="Times New Roman"/>
          <w:b/>
          <w:sz w:val="28"/>
          <w:szCs w:val="28"/>
        </w:rPr>
        <w:t xml:space="preserve">SUPPORTING STATEMENT FOR </w:t>
      </w:r>
      <w:r w:rsidRPr="00CB1C78">
        <w:rPr>
          <w:rFonts w:ascii="Times New Roman" w:eastAsia="Times New Roman" w:hAnsi="Times New Roman" w:cs="Times New Roman"/>
          <w:b/>
          <w:sz w:val="28"/>
          <w:szCs w:val="28"/>
        </w:rPr>
        <w:br/>
        <w:t>PAPERWORK REDUCTION ACT SUBMISSION</w:t>
      </w:r>
      <w:r w:rsidRPr="00CB1C78">
        <w:rPr>
          <w:rFonts w:ascii="Times New Roman" w:eastAsia="Times New Roman" w:hAnsi="Times New Roman" w:cs="Times New Roman"/>
          <w:b/>
          <w:sz w:val="28"/>
          <w:szCs w:val="28"/>
        </w:rPr>
        <w:br/>
      </w:r>
      <w:r w:rsidRPr="00CB1C78">
        <w:rPr>
          <w:rFonts w:ascii="Times New Roman" w:eastAsia="Times New Roman" w:hAnsi="Times New Roman" w:cs="Times New Roman"/>
          <w:b/>
          <w:sz w:val="28"/>
          <w:szCs w:val="28"/>
        </w:rPr>
        <w:br/>
      </w:r>
      <w:r w:rsidRPr="00CB1C78" w:rsidR="00A83745">
        <w:rPr>
          <w:rFonts w:ascii="Times New Roman" w:eastAsia="Times New Roman" w:hAnsi="Times New Roman" w:cs="Times New Roman"/>
          <w:b/>
          <w:color w:val="000000" w:themeColor="text1"/>
          <w:sz w:val="28"/>
          <w:szCs w:val="28"/>
        </w:rPr>
        <w:t xml:space="preserve">Statement of Consent:  U.S. Passport </w:t>
      </w:r>
      <w:r w:rsidR="00017EFE">
        <w:rPr>
          <w:rFonts w:ascii="Times New Roman" w:eastAsia="Times New Roman" w:hAnsi="Times New Roman" w:cs="Times New Roman"/>
          <w:b/>
          <w:color w:val="000000" w:themeColor="text1"/>
          <w:sz w:val="28"/>
          <w:szCs w:val="28"/>
        </w:rPr>
        <w:t xml:space="preserve">Issuance </w:t>
      </w:r>
      <w:r w:rsidRPr="00CB1C78" w:rsidR="00A83745">
        <w:rPr>
          <w:rFonts w:ascii="Times New Roman" w:eastAsia="Times New Roman" w:hAnsi="Times New Roman" w:cs="Times New Roman"/>
          <w:b/>
          <w:color w:val="000000" w:themeColor="text1"/>
          <w:sz w:val="28"/>
          <w:szCs w:val="28"/>
        </w:rPr>
        <w:t xml:space="preserve">to a </w:t>
      </w:r>
      <w:r w:rsidR="00CB1C78">
        <w:rPr>
          <w:rFonts w:ascii="Times New Roman" w:eastAsia="Times New Roman" w:hAnsi="Times New Roman" w:cs="Times New Roman"/>
          <w:b/>
          <w:color w:val="000000" w:themeColor="text1"/>
          <w:sz w:val="28"/>
          <w:szCs w:val="28"/>
        </w:rPr>
        <w:t>Child</w:t>
      </w:r>
      <w:r w:rsidRPr="00CB1C78" w:rsidR="00A83745">
        <w:rPr>
          <w:rFonts w:ascii="Times New Roman" w:eastAsia="Times New Roman" w:hAnsi="Times New Roman" w:cs="Times New Roman"/>
          <w:b/>
          <w:color w:val="000000" w:themeColor="text1"/>
          <w:sz w:val="28"/>
          <w:szCs w:val="28"/>
        </w:rPr>
        <w:br/>
        <w:t>OMB N</w:t>
      </w:r>
      <w:r w:rsidR="00CB1C78">
        <w:rPr>
          <w:rFonts w:ascii="Times New Roman" w:eastAsia="Times New Roman" w:hAnsi="Times New Roman" w:cs="Times New Roman"/>
          <w:b/>
          <w:color w:val="000000" w:themeColor="text1"/>
          <w:sz w:val="28"/>
          <w:szCs w:val="28"/>
        </w:rPr>
        <w:t>o.</w:t>
      </w:r>
      <w:r w:rsidRPr="00CB1C78" w:rsidR="00A83745">
        <w:rPr>
          <w:rFonts w:ascii="Times New Roman" w:eastAsia="Times New Roman" w:hAnsi="Times New Roman" w:cs="Times New Roman"/>
          <w:b/>
          <w:color w:val="000000" w:themeColor="text1"/>
          <w:sz w:val="28"/>
          <w:szCs w:val="28"/>
        </w:rPr>
        <w:t xml:space="preserve"> 1405-0129</w:t>
      </w:r>
      <w:r w:rsidRPr="00CB1C78" w:rsidR="00A83745">
        <w:rPr>
          <w:rFonts w:ascii="Times New Roman" w:eastAsia="Times New Roman" w:hAnsi="Times New Roman" w:cs="Times New Roman"/>
          <w:b/>
          <w:color w:val="000000" w:themeColor="text1"/>
          <w:sz w:val="28"/>
          <w:szCs w:val="28"/>
        </w:rPr>
        <w:br/>
      </w:r>
      <w:r w:rsidR="00CB1C78">
        <w:rPr>
          <w:rFonts w:ascii="Times New Roman" w:eastAsia="Times New Roman" w:hAnsi="Times New Roman" w:cs="Times New Roman"/>
          <w:b/>
          <w:color w:val="000000" w:themeColor="text1"/>
          <w:sz w:val="28"/>
          <w:szCs w:val="28"/>
        </w:rPr>
        <w:t xml:space="preserve">Form </w:t>
      </w:r>
      <w:r w:rsidRPr="00CB1C78" w:rsidR="00A83745">
        <w:rPr>
          <w:rFonts w:ascii="Times New Roman" w:eastAsia="Times New Roman" w:hAnsi="Times New Roman" w:cs="Times New Roman"/>
          <w:b/>
          <w:color w:val="000000" w:themeColor="text1"/>
          <w:sz w:val="28"/>
          <w:szCs w:val="28"/>
        </w:rPr>
        <w:t>DS-3053</w:t>
      </w:r>
    </w:p>
    <w:p w:rsidR="00EB2598" w:rsidRPr="006007AB" w:rsidP="00EB2598" w14:paraId="0EDE75A4" w14:textId="77777777">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rsidR="00EB2598" w:rsidRPr="006007AB" w:rsidP="00EB2598" w14:paraId="0753D0F9"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rsidR="00EB2598" w:rsidP="003C16C7" w14:paraId="3584A35E" w14:textId="4E46129A">
      <w:pPr>
        <w:spacing w:after="120" w:line="240" w:lineRule="auto"/>
        <w:ind w:left="720"/>
        <w:rPr>
          <w:rFonts w:ascii="Times New Roman" w:eastAsia="Times New Roman" w:hAnsi="Times New Roman" w:cs="Times New Roman"/>
          <w:szCs w:val="24"/>
        </w:rPr>
      </w:pPr>
      <w:r w:rsidRPr="00A83745">
        <w:rPr>
          <w:rFonts w:ascii="Times New Roman" w:eastAsia="Times New Roman" w:hAnsi="Times New Roman" w:cs="Times New Roman"/>
          <w:szCs w:val="24"/>
        </w:rPr>
        <w:t xml:space="preserve">The Statement of Consent: U.S. Passport </w:t>
      </w:r>
      <w:r w:rsidRPr="00A83745" w:rsidR="00017EFE">
        <w:rPr>
          <w:rFonts w:ascii="Times New Roman" w:eastAsia="Times New Roman" w:hAnsi="Times New Roman" w:cs="Times New Roman"/>
          <w:szCs w:val="24"/>
        </w:rPr>
        <w:t xml:space="preserve">Issuance </w:t>
      </w:r>
      <w:r w:rsidRPr="00A83745">
        <w:rPr>
          <w:rFonts w:ascii="Times New Roman" w:eastAsia="Times New Roman" w:hAnsi="Times New Roman" w:cs="Times New Roman"/>
          <w:szCs w:val="24"/>
        </w:rPr>
        <w:t xml:space="preserve">to a </w:t>
      </w:r>
      <w:r w:rsidR="00CB1C78">
        <w:rPr>
          <w:rFonts w:ascii="Times New Roman" w:eastAsia="Times New Roman" w:hAnsi="Times New Roman" w:cs="Times New Roman"/>
          <w:szCs w:val="24"/>
        </w:rPr>
        <w:t>Child</w:t>
      </w:r>
      <w:r w:rsidRPr="00A83745">
        <w:rPr>
          <w:rFonts w:ascii="Times New Roman" w:eastAsia="Times New Roman" w:hAnsi="Times New Roman" w:cs="Times New Roman"/>
          <w:szCs w:val="24"/>
        </w:rPr>
        <w:t xml:space="preserve"> (DS-3053) is used in conjunction with the Application for a U.S. Passport (DS-11).  This form is used when both legal parents and/or legal guardian(s) of a </w:t>
      </w:r>
      <w:r w:rsidR="00CB1C78">
        <w:rPr>
          <w:rFonts w:ascii="Times New Roman" w:eastAsia="Times New Roman" w:hAnsi="Times New Roman" w:cs="Times New Roman"/>
          <w:szCs w:val="24"/>
        </w:rPr>
        <w:t>child</w:t>
      </w:r>
      <w:r w:rsidRPr="00A83745">
        <w:rPr>
          <w:rFonts w:ascii="Times New Roman" w:eastAsia="Times New Roman" w:hAnsi="Times New Roman" w:cs="Times New Roman"/>
          <w:szCs w:val="24"/>
        </w:rPr>
        <w:t xml:space="preserve"> under age 16 cannot be present at the time the application is executed.  The non-applying legal parent or legal guardian completes the form to give their statutorily required consent to the issuance of a passport to the </w:t>
      </w:r>
      <w:r w:rsidR="00CB1C78">
        <w:rPr>
          <w:rFonts w:ascii="Times New Roman" w:eastAsia="Times New Roman" w:hAnsi="Times New Roman" w:cs="Times New Roman"/>
          <w:szCs w:val="24"/>
        </w:rPr>
        <w:t>child</w:t>
      </w:r>
      <w:r w:rsidRPr="00A83745">
        <w:rPr>
          <w:rFonts w:ascii="Times New Roman" w:eastAsia="Times New Roman" w:hAnsi="Times New Roman" w:cs="Times New Roman"/>
          <w:szCs w:val="24"/>
        </w:rPr>
        <w:t xml:space="preserve">.  For </w:t>
      </w:r>
      <w:r w:rsidR="00CB1C78">
        <w:rPr>
          <w:rFonts w:ascii="Times New Roman" w:eastAsia="Times New Roman" w:hAnsi="Times New Roman" w:cs="Times New Roman"/>
          <w:szCs w:val="24"/>
        </w:rPr>
        <w:t>children</w:t>
      </w:r>
      <w:r w:rsidRPr="00A83745">
        <w:rPr>
          <w:rFonts w:ascii="Times New Roman" w:eastAsia="Times New Roman" w:hAnsi="Times New Roman" w:cs="Times New Roman"/>
          <w:szCs w:val="24"/>
        </w:rPr>
        <w:t xml:space="preserve"> 16 to 17</w:t>
      </w:r>
      <w:r w:rsidR="000A10A3">
        <w:rPr>
          <w:rFonts w:ascii="Times New Roman" w:eastAsia="Times New Roman" w:hAnsi="Times New Roman" w:cs="Times New Roman"/>
          <w:szCs w:val="24"/>
        </w:rPr>
        <w:t xml:space="preserve"> </w:t>
      </w:r>
      <w:r w:rsidRPr="00A83745">
        <w:rPr>
          <w:rFonts w:ascii="Times New Roman" w:eastAsia="Times New Roman" w:hAnsi="Times New Roman" w:cs="Times New Roman"/>
          <w:szCs w:val="24"/>
        </w:rPr>
        <w:t>years</w:t>
      </w:r>
      <w:r w:rsidR="00CB1C78">
        <w:rPr>
          <w:rFonts w:ascii="Times New Roman" w:eastAsia="Times New Roman" w:hAnsi="Times New Roman" w:cs="Times New Roman"/>
          <w:szCs w:val="24"/>
        </w:rPr>
        <w:t xml:space="preserve"> </w:t>
      </w:r>
      <w:r w:rsidRPr="00A83745">
        <w:rPr>
          <w:rFonts w:ascii="Times New Roman" w:eastAsia="Times New Roman" w:hAnsi="Times New Roman" w:cs="Times New Roman"/>
          <w:szCs w:val="24"/>
        </w:rPr>
        <w:t>old, the form can satisfy one legal parent/legal guardian consent for passport applicants 16 or 17 years of age.</w:t>
      </w:r>
    </w:p>
    <w:p w:rsidR="00A83745" w:rsidP="003C16C7" w14:paraId="3C7C2EDB" w14:textId="473E53D7">
      <w:pPr>
        <w:spacing w:after="120" w:line="240" w:lineRule="auto"/>
        <w:ind w:left="720"/>
        <w:rPr>
          <w:rFonts w:ascii="Times New Roman" w:eastAsia="Times New Roman" w:hAnsi="Times New Roman" w:cs="Times New Roman"/>
          <w:szCs w:val="20"/>
        </w:rPr>
      </w:pPr>
      <w:r w:rsidRPr="00A83745">
        <w:rPr>
          <w:rFonts w:ascii="Times New Roman" w:eastAsia="Times New Roman" w:hAnsi="Times New Roman" w:cs="Times New Roman"/>
          <w:szCs w:val="20"/>
        </w:rPr>
        <w:t xml:space="preserve">The DS-3053 form assists the Department of State to administer the regulations in 22 C.F.R. 51.28 requiring that parents and/or any guardian consent to the issuance of a passport to a </w:t>
      </w:r>
      <w:r w:rsidR="00CB1C78">
        <w:rPr>
          <w:rFonts w:ascii="Times New Roman" w:eastAsia="Times New Roman" w:hAnsi="Times New Roman" w:cs="Times New Roman"/>
          <w:szCs w:val="20"/>
        </w:rPr>
        <w:t>child</w:t>
      </w:r>
      <w:r w:rsidRPr="00A83745">
        <w:rPr>
          <w:rFonts w:ascii="Times New Roman" w:eastAsia="Times New Roman" w:hAnsi="Times New Roman" w:cs="Times New Roman"/>
          <w:szCs w:val="20"/>
        </w:rPr>
        <w:t xml:space="preserve"> under the age of </w:t>
      </w:r>
      <w:r w:rsidRPr="00A83745">
        <w:rPr>
          <w:rFonts w:ascii="Times New Roman" w:eastAsia="Times New Roman" w:hAnsi="Times New Roman" w:cs="Times New Roman"/>
          <w:szCs w:val="20"/>
        </w:rPr>
        <w:t>16, unless</w:t>
      </w:r>
      <w:r w:rsidRPr="00A83745">
        <w:rPr>
          <w:rFonts w:ascii="Times New Roman" w:eastAsia="Times New Roman" w:hAnsi="Times New Roman" w:cs="Times New Roman"/>
          <w:szCs w:val="20"/>
        </w:rPr>
        <w:t xml:space="preserve"> certain exceptions apply. This regulation was drafted to implement Section 236 of the Admiral James W. Nance and Meg Donovan Foreign Relations authorization Act, Fiscal Year 2000 and 2001 (enacted by Public Law 106-113, Div. B, Section 1000 (a)(7)), and helps to prevent international parental child abduction, as well as child trafficking and other forms of passport fraud.</w:t>
      </w:r>
    </w:p>
    <w:p w:rsidR="003A42BC" w:rsidRPr="006007AB" w:rsidP="00EB2598" w14:paraId="50B33DCD" w14:textId="77777777">
      <w:pPr>
        <w:spacing w:after="120" w:line="240" w:lineRule="auto"/>
        <w:ind w:left="360"/>
        <w:rPr>
          <w:rFonts w:ascii="Times New Roman" w:eastAsia="Times New Roman" w:hAnsi="Times New Roman" w:cs="Times New Roman"/>
          <w:i/>
          <w:color w:val="000000" w:themeColor="text1"/>
          <w:szCs w:val="24"/>
        </w:rPr>
      </w:pPr>
    </w:p>
    <w:p w:rsidR="00EB2598" w:rsidRPr="006007AB" w:rsidP="00EB2598" w14:paraId="031E5C02"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rsidR="00EB2598" w:rsidP="006362B5" w14:paraId="3EBC610A" w14:textId="5BCF4B20">
      <w:pPr>
        <w:spacing w:after="120" w:line="240" w:lineRule="auto"/>
        <w:ind w:left="720"/>
        <w:rPr>
          <w:rFonts w:ascii="Times New Roman" w:eastAsia="Times New Roman" w:hAnsi="Times New Roman" w:cs="Times New Roman"/>
          <w:szCs w:val="24"/>
        </w:rPr>
      </w:pPr>
      <w:r w:rsidRPr="00A83745">
        <w:rPr>
          <w:rFonts w:ascii="Times New Roman" w:eastAsia="Times New Roman" w:hAnsi="Times New Roman" w:cs="Times New Roman"/>
          <w:szCs w:val="24"/>
        </w:rPr>
        <w:t xml:space="preserve">Form DS-3053 is used by the Department to assist in determining that legal parents and/or legal guardian(s) have given consent to the issuance of a U.S. passport to a </w:t>
      </w:r>
      <w:r w:rsidR="00CB1C78">
        <w:rPr>
          <w:rFonts w:ascii="Times New Roman" w:eastAsia="Times New Roman" w:hAnsi="Times New Roman" w:cs="Times New Roman"/>
          <w:szCs w:val="24"/>
        </w:rPr>
        <w:t>child</w:t>
      </w:r>
      <w:r w:rsidRPr="00A83745">
        <w:rPr>
          <w:rFonts w:ascii="Times New Roman" w:eastAsia="Times New Roman" w:hAnsi="Times New Roman" w:cs="Times New Roman"/>
          <w:szCs w:val="24"/>
        </w:rPr>
        <w:t>.</w:t>
      </w:r>
    </w:p>
    <w:p w:rsidR="003A42BC" w:rsidRPr="006007AB" w:rsidP="00EB2598" w14:paraId="1E077046" w14:textId="77777777">
      <w:pPr>
        <w:spacing w:after="120" w:line="240" w:lineRule="auto"/>
        <w:ind w:left="360"/>
        <w:rPr>
          <w:rFonts w:ascii="Times New Roman" w:eastAsia="Times New Roman" w:hAnsi="Times New Roman" w:cs="Times New Roman"/>
          <w:i/>
          <w:color w:val="000000" w:themeColor="text1"/>
          <w:szCs w:val="24"/>
        </w:rPr>
      </w:pPr>
    </w:p>
    <w:p w:rsidR="00EB2598" w:rsidRPr="006007AB" w:rsidP="00EB2598" w14:paraId="5BE38BD5"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w:t>
      </w:r>
      <w:r w:rsidRPr="006007AB">
        <w:rPr>
          <w:rFonts w:ascii="Times New Roman" w:eastAsia="Times New Roman" w:hAnsi="Times New Roman" w:cs="Times New Roman"/>
          <w:i/>
          <w:color w:val="000000" w:themeColor="text1"/>
          <w:szCs w:val="24"/>
        </w:rPr>
        <w:t>e.g.</w:t>
      </w:r>
      <w:r w:rsidRPr="006007AB">
        <w:rPr>
          <w:rFonts w:ascii="Times New Roman" w:eastAsia="Times New Roman" w:hAnsi="Times New Roman" w:cs="Times New Roman"/>
          <w:i/>
          <w:color w:val="000000" w:themeColor="text1"/>
          <w:szCs w:val="24"/>
        </w:rPr>
        <w:t xml:space="preserve"> through a website or application)?</w:t>
      </w:r>
    </w:p>
    <w:p w:rsidR="00EB2598" w:rsidP="003C16C7" w14:paraId="43785AFF" w14:textId="1B1D4D4A">
      <w:pPr>
        <w:spacing w:after="120" w:line="240" w:lineRule="auto"/>
        <w:ind w:left="720"/>
        <w:rPr>
          <w:rFonts w:ascii="Times New Roman" w:eastAsia="Times New Roman" w:hAnsi="Times New Roman" w:cs="Times New Roman"/>
          <w:szCs w:val="24"/>
        </w:rPr>
      </w:pPr>
      <w:r w:rsidRPr="00A83745">
        <w:rPr>
          <w:rFonts w:ascii="Times New Roman" w:eastAsia="Times New Roman" w:hAnsi="Times New Roman" w:cs="Times New Roman"/>
          <w:szCs w:val="24"/>
        </w:rPr>
        <w:t xml:space="preserve">The DS-3053 is intended to be submitted with the DS-11, which cannot be submitted electronically.  If a DS-11 is submitted without the required two-parent consent, the DS-3053 can be mailed in response to an Information Request Letter (IRL).  As required by 22 C.F.R. Part 51, all DS-11 applicants must appear in person for the execution of a passport.  In addition, </w:t>
      </w:r>
      <w:r w:rsidRPr="00A83745">
        <w:rPr>
          <w:rFonts w:ascii="Times New Roman" w:eastAsia="Times New Roman" w:hAnsi="Times New Roman" w:cs="Times New Roman"/>
          <w:bCs/>
          <w:szCs w:val="24"/>
        </w:rPr>
        <w:t>the DS-3053 requires a notarization statement and notary signature, as well as a non-applying parent or legal guardian’s signature in the presence of the notary public.  The DS-3053 is</w:t>
      </w:r>
      <w:r w:rsidRPr="00A83745">
        <w:rPr>
          <w:rFonts w:ascii="Times New Roman" w:eastAsia="Times New Roman" w:hAnsi="Times New Roman" w:cs="Times New Roman"/>
          <w:szCs w:val="24"/>
        </w:rPr>
        <w:t xml:space="preserve"> on the Department’s website, </w:t>
      </w:r>
      <w:hyperlink r:id="rId10" w:history="1">
        <w:r w:rsidRPr="00A83745">
          <w:rPr>
            <w:rStyle w:val="Hyperlink"/>
            <w:rFonts w:ascii="Times New Roman" w:eastAsia="Times New Roman" w:hAnsi="Times New Roman" w:cs="Times New Roman"/>
            <w:szCs w:val="24"/>
          </w:rPr>
          <w:t>www.travel.state.gov</w:t>
        </w:r>
      </w:hyperlink>
      <w:r w:rsidRPr="00A83745">
        <w:rPr>
          <w:rFonts w:ascii="Times New Roman" w:eastAsia="Times New Roman" w:hAnsi="Times New Roman" w:cs="Times New Roman"/>
          <w:szCs w:val="24"/>
        </w:rPr>
        <w:t>, and can be filled out online and printed for manual signature, notarization, and submission.</w:t>
      </w:r>
    </w:p>
    <w:p w:rsidR="003A42BC" w:rsidP="00EB2598" w14:paraId="4E2AC35C" w14:textId="076783A4">
      <w:pPr>
        <w:spacing w:after="120" w:line="240" w:lineRule="auto"/>
        <w:ind w:left="360"/>
        <w:rPr>
          <w:rFonts w:ascii="Times New Roman" w:eastAsia="Times New Roman" w:hAnsi="Times New Roman" w:cs="Times New Roman"/>
          <w:szCs w:val="24"/>
        </w:rPr>
      </w:pPr>
    </w:p>
    <w:p w:rsidR="003A42BC" w:rsidP="00EB2598" w14:paraId="2931DC68" w14:textId="667CEB45">
      <w:pPr>
        <w:spacing w:after="120" w:line="240" w:lineRule="auto"/>
        <w:ind w:left="360"/>
        <w:rPr>
          <w:rFonts w:ascii="Times New Roman" w:eastAsia="Times New Roman" w:hAnsi="Times New Roman" w:cs="Times New Roman"/>
          <w:szCs w:val="24"/>
        </w:rPr>
      </w:pPr>
    </w:p>
    <w:p w:rsidR="003A42BC" w:rsidRPr="006007AB" w:rsidP="00EB2598" w14:paraId="615A9094" w14:textId="77777777">
      <w:pPr>
        <w:spacing w:after="120" w:line="240" w:lineRule="auto"/>
        <w:ind w:left="360"/>
        <w:rPr>
          <w:rFonts w:ascii="Times New Roman" w:eastAsia="Times New Roman" w:hAnsi="Times New Roman" w:cs="Times New Roman"/>
          <w:szCs w:val="24"/>
        </w:rPr>
      </w:pPr>
    </w:p>
    <w:p w:rsidR="00EB2598" w:rsidRPr="006007AB" w:rsidP="00EB2598" w14:paraId="7B47C2B2"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rsidR="00EB2598" w:rsidP="003C16C7" w14:paraId="0B05339C" w14:textId="5B1F9B9C">
      <w:pPr>
        <w:spacing w:after="120" w:line="240" w:lineRule="auto"/>
        <w:ind w:left="720"/>
        <w:rPr>
          <w:rFonts w:ascii="Times New Roman" w:eastAsia="Times New Roman" w:hAnsi="Times New Roman" w:cs="Times New Roman"/>
          <w:szCs w:val="24"/>
        </w:rPr>
      </w:pPr>
      <w:r w:rsidRPr="00A83745">
        <w:rPr>
          <w:rFonts w:ascii="Times New Roman" w:eastAsia="Times New Roman" w:hAnsi="Times New Roman" w:cs="Times New Roman"/>
          <w:szCs w:val="24"/>
        </w:rPr>
        <w:t>Aside from necessary basic self-identification data, the information requested does not duplicate information otherwise available.</w:t>
      </w:r>
    </w:p>
    <w:p w:rsidR="003A42BC" w:rsidRPr="006007AB" w:rsidP="00EB2598" w14:paraId="66A18D8E" w14:textId="77777777">
      <w:pPr>
        <w:spacing w:after="120" w:line="240" w:lineRule="auto"/>
        <w:ind w:left="360"/>
        <w:rPr>
          <w:rFonts w:ascii="Times New Roman" w:eastAsia="Times New Roman" w:hAnsi="Times New Roman" w:cs="Times New Roman"/>
          <w:i/>
          <w:color w:val="000000" w:themeColor="text1"/>
          <w:szCs w:val="24"/>
        </w:rPr>
      </w:pPr>
    </w:p>
    <w:p w:rsidR="00EB2598" w:rsidRPr="006007AB" w:rsidP="00EB2598" w14:paraId="61998E68"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rsidR="00EB2598" w:rsidP="003C16C7" w14:paraId="5AF92876" w14:textId="17DED271">
      <w:pPr>
        <w:spacing w:after="120" w:line="240" w:lineRule="auto"/>
        <w:ind w:left="360" w:firstLine="360"/>
        <w:rPr>
          <w:rFonts w:ascii="Times New Roman" w:eastAsia="Times New Roman" w:hAnsi="Times New Roman" w:cs="Times New Roman"/>
          <w:szCs w:val="24"/>
        </w:rPr>
      </w:pPr>
      <w:r w:rsidRPr="00A83745">
        <w:rPr>
          <w:rFonts w:ascii="Times New Roman" w:eastAsia="Times New Roman" w:hAnsi="Times New Roman" w:cs="Times New Roman"/>
          <w:szCs w:val="24"/>
        </w:rPr>
        <w:t>The DS-3053 does not involve small businesses or other small entities.</w:t>
      </w:r>
    </w:p>
    <w:p w:rsidR="003A42BC" w:rsidRPr="006007AB" w:rsidP="00EB2598" w14:paraId="5A3C0554" w14:textId="77777777">
      <w:pPr>
        <w:spacing w:after="120" w:line="240" w:lineRule="auto"/>
        <w:ind w:left="360"/>
        <w:rPr>
          <w:rFonts w:ascii="Times New Roman" w:eastAsia="Times New Roman" w:hAnsi="Times New Roman" w:cs="Times New Roman"/>
          <w:szCs w:val="24"/>
        </w:rPr>
      </w:pPr>
    </w:p>
    <w:p w:rsidR="00EB2598" w:rsidRPr="006007AB" w:rsidP="00EB2598" w14:paraId="23921A4D"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rsidR="00A83745" w:rsidP="003C16C7" w14:paraId="3D193DFE" w14:textId="117871CC">
      <w:pPr>
        <w:spacing w:after="120" w:line="240" w:lineRule="auto"/>
        <w:ind w:left="720"/>
        <w:rPr>
          <w:rFonts w:ascii="Times New Roman" w:eastAsia="Times New Roman" w:hAnsi="Times New Roman" w:cs="Times New Roman"/>
          <w:szCs w:val="24"/>
        </w:rPr>
      </w:pPr>
      <w:r w:rsidRPr="00A83745">
        <w:rPr>
          <w:rFonts w:ascii="Times New Roman" w:eastAsia="Times New Roman" w:hAnsi="Times New Roman" w:cs="Times New Roman"/>
          <w:szCs w:val="24"/>
        </w:rPr>
        <w:t xml:space="preserve">If consent is not established when required, the </w:t>
      </w:r>
      <w:r w:rsidR="00CB1C78">
        <w:rPr>
          <w:rFonts w:ascii="Times New Roman" w:eastAsia="Times New Roman" w:hAnsi="Times New Roman" w:cs="Times New Roman"/>
          <w:szCs w:val="24"/>
        </w:rPr>
        <w:t>child</w:t>
      </w:r>
      <w:r w:rsidRPr="00A83745">
        <w:rPr>
          <w:rFonts w:ascii="Times New Roman" w:eastAsia="Times New Roman" w:hAnsi="Times New Roman" w:cs="Times New Roman"/>
          <w:szCs w:val="24"/>
        </w:rPr>
        <w:t xml:space="preserve"> may not receive a U.S. passport. The statement of consent may be submitted in other formats provided they meet statutory and regulatory requirements.  Use of the DS-3053 is not mandatory.</w:t>
      </w:r>
    </w:p>
    <w:p w:rsidR="003A42BC" w:rsidRPr="006007AB" w:rsidP="00EB2598" w14:paraId="4AE0EB2B" w14:textId="77777777">
      <w:pPr>
        <w:spacing w:after="120" w:line="240" w:lineRule="auto"/>
        <w:ind w:left="360"/>
        <w:rPr>
          <w:rFonts w:ascii="Times New Roman" w:eastAsia="Times New Roman" w:hAnsi="Times New Roman" w:cs="Times New Roman"/>
          <w:szCs w:val="24"/>
        </w:rPr>
      </w:pPr>
    </w:p>
    <w:p w:rsidR="00EB2598" w:rsidRPr="006007AB" w:rsidP="00EB2598" w14:paraId="0C6C1118"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rsidR="00EB2598" w:rsidP="003C16C7" w14:paraId="28D874B3" w14:textId="146DD82D">
      <w:pPr>
        <w:spacing w:before="60" w:after="60" w:line="240" w:lineRule="auto"/>
        <w:ind w:left="360" w:firstLine="360"/>
        <w:rPr>
          <w:rFonts w:ascii="Times New Roman" w:eastAsia="Arial Unicode MS" w:hAnsi="Times New Roman" w:cs="Times New Roman"/>
          <w:bCs/>
          <w:szCs w:val="24"/>
        </w:rPr>
      </w:pPr>
      <w:r w:rsidRPr="00A83745">
        <w:rPr>
          <w:rFonts w:ascii="Times New Roman" w:eastAsia="Arial Unicode MS" w:hAnsi="Times New Roman" w:cs="Times New Roman"/>
          <w:bCs/>
          <w:szCs w:val="24"/>
        </w:rPr>
        <w:t>No such special circumstances exist.</w:t>
      </w:r>
    </w:p>
    <w:p w:rsidR="003A42BC" w:rsidP="00EB2598" w14:paraId="550AF117" w14:textId="77777777">
      <w:pPr>
        <w:spacing w:before="60" w:after="60" w:line="240" w:lineRule="auto"/>
        <w:ind w:left="360"/>
        <w:rPr>
          <w:rFonts w:ascii="Times New Roman" w:eastAsia="Arial Unicode MS" w:hAnsi="Times New Roman" w:cs="Times New Roman"/>
          <w:bCs/>
          <w:szCs w:val="24"/>
        </w:rPr>
      </w:pPr>
    </w:p>
    <w:p w:rsidR="00EB2598" w:rsidRPr="006007AB" w:rsidP="00EB2598" w14:paraId="1301CC99"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rsidR="00EB2598" w:rsidP="003C16C7" w14:paraId="4712CDB1" w14:textId="1122596D">
      <w:pPr>
        <w:spacing w:after="120" w:line="240" w:lineRule="auto"/>
        <w:ind w:left="720"/>
        <w:rPr>
          <w:rFonts w:ascii="Times New Roman" w:eastAsia="Times New Roman" w:hAnsi="Times New Roman" w:cs="Times New Roman"/>
          <w:color w:val="000000" w:themeColor="text1"/>
          <w:szCs w:val="24"/>
        </w:rPr>
      </w:pPr>
      <w:r w:rsidRPr="00CF0FF2">
        <w:rPr>
          <w:rFonts w:ascii="Times New Roman" w:eastAsia="Times New Roman" w:hAnsi="Times New Roman" w:cs="Times New Roman"/>
          <w:szCs w:val="20"/>
        </w:rPr>
        <w:t xml:space="preserve">The Department of State published a 60-day notice in the </w:t>
      </w:r>
      <w:r w:rsidRPr="00CF0FF2">
        <w:rPr>
          <w:rFonts w:ascii="Times New Roman" w:eastAsia="Times New Roman" w:hAnsi="Times New Roman" w:cs="Times New Roman"/>
          <w:i/>
          <w:szCs w:val="20"/>
        </w:rPr>
        <w:t>Federal Register</w:t>
      </w:r>
      <w:r w:rsidRPr="00CF0FF2">
        <w:rPr>
          <w:rFonts w:ascii="Times New Roman" w:eastAsia="Times New Roman" w:hAnsi="Times New Roman" w:cs="Times New Roman"/>
          <w:szCs w:val="20"/>
        </w:rPr>
        <w:t xml:space="preserve"> to solicit    public comments on </w:t>
      </w:r>
      <w:r>
        <w:rPr>
          <w:rFonts w:ascii="Times New Roman" w:eastAsia="Times New Roman" w:hAnsi="Times New Roman" w:cs="Times New Roman"/>
          <w:szCs w:val="20"/>
        </w:rPr>
        <w:t>October 20, 2022.</w:t>
      </w:r>
      <w:r w:rsidRPr="00CF0FF2">
        <w:rPr>
          <w:rFonts w:ascii="Times New Roman" w:eastAsia="Times New Roman" w:hAnsi="Times New Roman" w:cs="Times New Roman"/>
          <w:szCs w:val="20"/>
        </w:rPr>
        <w:t xml:space="preserve"> (Public Notice: 11</w:t>
      </w:r>
      <w:r>
        <w:rPr>
          <w:rFonts w:ascii="Times New Roman" w:eastAsia="Times New Roman" w:hAnsi="Times New Roman" w:cs="Times New Roman"/>
          <w:szCs w:val="20"/>
        </w:rPr>
        <w:t>299</w:t>
      </w:r>
      <w:r w:rsidR="006D42EB">
        <w:rPr>
          <w:rFonts w:ascii="Times New Roman" w:eastAsia="Times New Roman" w:hAnsi="Times New Roman" w:cs="Times New Roman"/>
          <w:szCs w:val="20"/>
        </w:rPr>
        <w:t>; NPRM AF10</w:t>
      </w:r>
      <w:r w:rsidRPr="00CF0FF2">
        <w:rPr>
          <w:rFonts w:ascii="Times New Roman" w:eastAsia="Times New Roman" w:hAnsi="Times New Roman" w:cs="Times New Roman"/>
          <w:szCs w:val="20"/>
        </w:rPr>
        <w:t xml:space="preserve">).  </w:t>
      </w:r>
      <w:r w:rsidRPr="00F002D4" w:rsidR="00F002D4">
        <w:rPr>
          <w:rFonts w:ascii="Times New Roman" w:eastAsia="Times New Roman" w:hAnsi="Times New Roman" w:cs="Times New Roman"/>
          <w:szCs w:val="20"/>
        </w:rPr>
        <w:t>Two comments were received from the public and did not express opposition</w:t>
      </w:r>
      <w:r w:rsidR="000750E8">
        <w:rPr>
          <w:rFonts w:ascii="Times New Roman" w:eastAsia="Times New Roman" w:hAnsi="Times New Roman" w:cs="Times New Roman"/>
          <w:color w:val="000000" w:themeColor="text1"/>
          <w:szCs w:val="24"/>
        </w:rPr>
        <w:t xml:space="preserve">.  </w:t>
      </w:r>
    </w:p>
    <w:p w:rsidR="003A42BC" w:rsidRPr="006007AB" w:rsidP="00EB2598" w14:paraId="274FA07A" w14:textId="77777777">
      <w:pPr>
        <w:spacing w:after="120" w:line="240" w:lineRule="auto"/>
        <w:ind w:left="360"/>
        <w:rPr>
          <w:rFonts w:ascii="Times New Roman" w:eastAsia="Times New Roman" w:hAnsi="Times New Roman" w:cs="Times New Roman"/>
          <w:color w:val="000000" w:themeColor="text1"/>
          <w:szCs w:val="24"/>
        </w:rPr>
      </w:pPr>
    </w:p>
    <w:p w:rsidR="00EB2598" w:rsidRPr="006007AB" w:rsidP="00EB2598" w14:paraId="3769DD69"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rsidR="00EB2598" w:rsidP="003C16C7" w14:paraId="735FE460" w14:textId="3CB1290A">
      <w:pPr>
        <w:spacing w:after="120" w:line="240" w:lineRule="auto"/>
        <w:ind w:left="360" w:firstLine="360"/>
        <w:rPr>
          <w:rFonts w:ascii="Times New Roman" w:eastAsia="Times New Roman" w:hAnsi="Times New Roman" w:cs="Times New Roman"/>
          <w:szCs w:val="24"/>
        </w:rPr>
      </w:pPr>
      <w:r w:rsidRPr="00A83745">
        <w:rPr>
          <w:rFonts w:ascii="Times New Roman" w:eastAsia="Times New Roman" w:hAnsi="Times New Roman" w:cs="Times New Roman"/>
          <w:szCs w:val="24"/>
        </w:rPr>
        <w:t>This information collection does not provide any payment or gift to respondents.</w:t>
      </w:r>
    </w:p>
    <w:p w:rsidR="003A42BC" w:rsidRPr="006007AB" w:rsidP="00EB2598" w14:paraId="73804A3C" w14:textId="77777777">
      <w:pPr>
        <w:spacing w:after="120" w:line="240" w:lineRule="auto"/>
        <w:ind w:left="360"/>
        <w:rPr>
          <w:rFonts w:ascii="Times New Roman" w:eastAsia="Times New Roman" w:hAnsi="Times New Roman" w:cs="Times New Roman"/>
          <w:i/>
          <w:color w:val="000000" w:themeColor="text1"/>
          <w:szCs w:val="24"/>
        </w:rPr>
      </w:pPr>
    </w:p>
    <w:p w:rsidR="00EB2598" w:rsidRPr="006007AB" w:rsidP="00EB2598" w14:paraId="40C931E8"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rsidR="00EB2598" w:rsidP="003C16C7" w14:paraId="018C7504" w14:textId="6082A62A">
      <w:pPr>
        <w:spacing w:after="120" w:line="240" w:lineRule="auto"/>
        <w:ind w:left="720"/>
        <w:rPr>
          <w:rFonts w:ascii="Times New Roman" w:eastAsia="Times New Roman" w:hAnsi="Times New Roman" w:cs="Times New Roman"/>
          <w:szCs w:val="24"/>
        </w:rPr>
      </w:pPr>
      <w:r w:rsidRPr="00381915">
        <w:rPr>
          <w:rFonts w:ascii="Times New Roman" w:eastAsia="Times New Roman" w:hAnsi="Times New Roman" w:cs="Times New Roman"/>
          <w:szCs w:val="24"/>
        </w:rPr>
        <w:t>This form includes a Privacy Act Statement explaining the routine uses of the information collected under the Act.  No assurances of confidentiality are provided to respondents.</w:t>
      </w:r>
    </w:p>
    <w:p w:rsidR="003A42BC" w:rsidRPr="00BB5AB4" w:rsidP="00EB2598" w14:paraId="0F2D9677" w14:textId="77777777">
      <w:pPr>
        <w:spacing w:after="120" w:line="240" w:lineRule="auto"/>
        <w:ind w:left="360"/>
        <w:rPr>
          <w:rFonts w:ascii="Times New Roman" w:eastAsia="Times New Roman" w:hAnsi="Times New Roman" w:cs="Times New Roman"/>
          <w:szCs w:val="24"/>
        </w:rPr>
      </w:pPr>
    </w:p>
    <w:p w:rsidR="00EB2598" w:rsidRPr="006007AB" w:rsidP="00EB2598" w14:paraId="0471C4DE"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rsidR="00EB2598" w:rsidRPr="006007AB" w:rsidP="003C16C7" w14:paraId="1B9A24C9" w14:textId="77777777">
      <w:pPr>
        <w:spacing w:after="120" w:line="240" w:lineRule="auto"/>
        <w:ind w:left="360" w:firstLine="360"/>
        <w:rPr>
          <w:rFonts w:ascii="Times New Roman" w:eastAsia="Times New Roman" w:hAnsi="Times New Roman" w:cs="Times New Roman"/>
          <w:i/>
          <w:color w:val="000000" w:themeColor="text1"/>
          <w:szCs w:val="24"/>
        </w:rPr>
      </w:pPr>
      <w:r w:rsidRPr="00A83745">
        <w:rPr>
          <w:rFonts w:ascii="Times New Roman" w:eastAsia="Times New Roman" w:hAnsi="Times New Roman" w:cs="Times New Roman"/>
          <w:szCs w:val="24"/>
        </w:rPr>
        <w:t>The DS-3053 does not ask questions of a sensitive nature.</w:t>
      </w:r>
    </w:p>
    <w:p w:rsidR="00EB2598" w:rsidP="00EB2598" w14:paraId="0381F179"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p>
    <w:p w:rsidR="00D73C54" w:rsidP="004D2C31" w14:paraId="727C7BF2" w14:textId="77777777">
      <w:pPr>
        <w:pStyle w:val="ListParagraph"/>
        <w:rPr>
          <w:color w:val="000000"/>
        </w:rPr>
      </w:pPr>
    </w:p>
    <w:p w:rsidR="00D73C54" w:rsidP="004D2C31" w14:paraId="7007EE5C" w14:textId="40B8BE62">
      <w:pPr>
        <w:pStyle w:val="ListParagraph"/>
        <w:rPr>
          <w:color w:val="000000"/>
        </w:rPr>
      </w:pPr>
      <w:r w:rsidRPr="00D73C54">
        <w:rPr>
          <w:b/>
          <w:color w:val="000000"/>
        </w:rPr>
        <w:t xml:space="preserve">Hour </w:t>
      </w:r>
      <w:r>
        <w:rPr>
          <w:b/>
          <w:color w:val="000000"/>
        </w:rPr>
        <w:t>time</w:t>
      </w:r>
      <w:r w:rsidRPr="00D73C54">
        <w:rPr>
          <w:b/>
          <w:color w:val="000000"/>
        </w:rPr>
        <w:t xml:space="preserve"> burden</w:t>
      </w:r>
      <w:r>
        <w:rPr>
          <w:b/>
          <w:color w:val="000000"/>
        </w:rPr>
        <w:t>:</w:t>
      </w:r>
    </w:p>
    <w:p w:rsidR="00D73C54" w:rsidP="004D2C31" w14:paraId="261004E5" w14:textId="77777777">
      <w:pPr>
        <w:pStyle w:val="ListParagraph"/>
        <w:rPr>
          <w:color w:val="000000"/>
        </w:rPr>
      </w:pPr>
    </w:p>
    <w:p w:rsidR="004D2C31" w:rsidRPr="00871E27" w:rsidP="004D2C31" w14:paraId="7F11A0A3" w14:textId="618E95C4">
      <w:pPr>
        <w:pStyle w:val="ListParagraph"/>
        <w:rPr>
          <w:b/>
          <w:bCs/>
          <w:color w:val="000000"/>
        </w:rPr>
      </w:pPr>
      <w:r>
        <w:rPr>
          <w:color w:val="000000"/>
        </w:rPr>
        <w:t xml:space="preserve">For </w:t>
      </w:r>
      <w:r w:rsidRPr="0053768A">
        <w:rPr>
          <w:color w:val="000000"/>
        </w:rPr>
        <w:t>FY23-25</w:t>
      </w:r>
      <w:r>
        <w:rPr>
          <w:color w:val="000000"/>
        </w:rPr>
        <w:t>, t</w:t>
      </w:r>
      <w:r w:rsidRPr="00CF4D9D" w:rsidR="00CF4D9D">
        <w:rPr>
          <w:color w:val="000000"/>
        </w:rPr>
        <w:t xml:space="preserve">he projected </w:t>
      </w:r>
      <w:r w:rsidRPr="0053768A" w:rsidR="00CF4D9D">
        <w:rPr>
          <w:color w:val="000000"/>
        </w:rPr>
        <w:t xml:space="preserve">average </w:t>
      </w:r>
      <w:r>
        <w:rPr>
          <w:color w:val="000000"/>
        </w:rPr>
        <w:t xml:space="preserve">annual </w:t>
      </w:r>
      <w:r w:rsidRPr="00CF4D9D" w:rsidR="00CF4D9D">
        <w:rPr>
          <w:color w:val="000000"/>
        </w:rPr>
        <w:t>number of respondents for Form DS-11 is 12,055,600</w:t>
      </w:r>
      <w:r w:rsidR="00CF4D9D">
        <w:rPr>
          <w:color w:val="000000"/>
        </w:rPr>
        <w:t xml:space="preserve">.  </w:t>
      </w:r>
      <w:r w:rsidRPr="00DA7A45" w:rsidR="00DA7A45">
        <w:rPr>
          <w:color w:val="000000"/>
        </w:rPr>
        <w:t xml:space="preserve">Through a </w:t>
      </w:r>
      <w:r w:rsidRPr="00DA7A45" w:rsidR="00DA7A45">
        <w:rPr>
          <w:color w:val="000000"/>
        </w:rPr>
        <w:t>Department</w:t>
      </w:r>
      <w:r w:rsidRPr="00DA7A45" w:rsidR="00DA7A45">
        <w:rPr>
          <w:color w:val="000000"/>
        </w:rPr>
        <w:t>-led time and motion study, it was determined that Form DS-</w:t>
      </w:r>
      <w:r w:rsidR="00DA7A45">
        <w:rPr>
          <w:color w:val="000000"/>
        </w:rPr>
        <w:t>3053</w:t>
      </w:r>
      <w:r w:rsidRPr="00DA7A45" w:rsidR="00DA7A45">
        <w:rPr>
          <w:color w:val="000000"/>
        </w:rPr>
        <w:t xml:space="preserve"> </w:t>
      </w:r>
      <w:r>
        <w:rPr>
          <w:color w:val="000000"/>
        </w:rPr>
        <w:t xml:space="preserve">is </w:t>
      </w:r>
      <w:r w:rsidRPr="00DA7A45" w:rsidR="00DA7A45">
        <w:rPr>
          <w:color w:val="000000"/>
        </w:rPr>
        <w:t xml:space="preserve">attached to </w:t>
      </w:r>
      <w:r w:rsidR="00DA7A45">
        <w:rPr>
          <w:color w:val="000000"/>
        </w:rPr>
        <w:t>3.01%</w:t>
      </w:r>
      <w:r w:rsidRPr="00DA7A45" w:rsidR="00DA7A45">
        <w:rPr>
          <w:color w:val="000000"/>
        </w:rPr>
        <w:t xml:space="preserve"> of Form DS-11 receipts</w:t>
      </w:r>
      <w:r w:rsidR="00DA7A45">
        <w:rPr>
          <w:color w:val="000000"/>
        </w:rPr>
        <w:t>.</w:t>
      </w:r>
      <w:r>
        <w:rPr>
          <w:color w:val="000000" w:themeColor="text1"/>
        </w:rPr>
        <w:t xml:space="preserve"> </w:t>
      </w:r>
      <w:r w:rsidR="00AC4FC7">
        <w:rPr>
          <w:color w:val="000000" w:themeColor="text1"/>
        </w:rPr>
        <w:t xml:space="preserve"> </w:t>
      </w:r>
      <w:r w:rsidRPr="001A38B0" w:rsidR="00AC4FC7">
        <w:rPr>
          <w:color w:val="000000"/>
        </w:rPr>
        <w:t>T</w:t>
      </w:r>
      <w:r w:rsidRPr="001A38B0">
        <w:rPr>
          <w:color w:val="000000"/>
        </w:rPr>
        <w:t>he</w:t>
      </w:r>
      <w:r w:rsidRPr="00871E27">
        <w:rPr>
          <w:b/>
          <w:bCs/>
          <w:color w:val="000000"/>
        </w:rPr>
        <w:t xml:space="preserve"> </w:t>
      </w:r>
      <w:r w:rsidRPr="00F07749">
        <w:rPr>
          <w:b/>
          <w:bCs/>
          <w:color w:val="000000"/>
        </w:rPr>
        <w:t>projected</w:t>
      </w:r>
      <w:r w:rsidRPr="00871E27">
        <w:rPr>
          <w:b/>
          <w:bCs/>
          <w:color w:val="000000"/>
        </w:rPr>
        <w:t xml:space="preserve"> number of annual respondents is </w:t>
      </w:r>
      <w:bookmarkStart w:id="0" w:name="_Hlk141784879"/>
      <w:r w:rsidRPr="00871E27" w:rsidR="00DA7A45">
        <w:rPr>
          <w:b/>
          <w:bCs/>
          <w:color w:val="000000"/>
        </w:rPr>
        <w:t>362,900</w:t>
      </w:r>
      <w:bookmarkEnd w:id="0"/>
      <w:r w:rsidRPr="00871E27">
        <w:rPr>
          <w:b/>
          <w:bCs/>
          <w:color w:val="000000"/>
        </w:rPr>
        <w:t>.</w:t>
      </w:r>
    </w:p>
    <w:p w:rsidR="00D73C54" w:rsidP="001B0403" w14:paraId="02BEB00F" w14:textId="77777777">
      <w:pPr>
        <w:spacing w:after="120" w:line="240" w:lineRule="auto"/>
        <w:ind w:left="720"/>
        <w:rPr>
          <w:rFonts w:ascii="Times New Roman" w:eastAsia="Times New Roman" w:hAnsi="Times New Roman" w:cs="Times New Roman"/>
          <w:color w:val="000000"/>
          <w:szCs w:val="24"/>
        </w:rPr>
      </w:pPr>
      <w:bookmarkStart w:id="1" w:name="_Hlk131002326"/>
    </w:p>
    <w:p w:rsidR="001B0403" w:rsidRPr="001B0403" w:rsidP="001B0403" w14:paraId="2AC03F10" w14:textId="6E5B4C0B">
      <w:pPr>
        <w:spacing w:after="120" w:line="240" w:lineRule="auto"/>
        <w:ind w:left="720"/>
        <w:rPr>
          <w:rFonts w:ascii="Times New Roman" w:eastAsia="Times New Roman" w:hAnsi="Times New Roman" w:cs="Times New Roman"/>
          <w:color w:val="000000"/>
          <w:szCs w:val="24"/>
        </w:rPr>
      </w:pPr>
      <w:r w:rsidRPr="001B0403">
        <w:rPr>
          <w:rFonts w:ascii="Times New Roman" w:eastAsia="Times New Roman" w:hAnsi="Times New Roman" w:cs="Times New Roman"/>
          <w:color w:val="000000"/>
          <w:szCs w:val="24"/>
        </w:rPr>
        <w:t>Passport Services estimates that the average time required for this information collection is 20 minutes</w:t>
      </w:r>
      <w:r w:rsidR="00AC4FC7">
        <w:rPr>
          <w:rFonts w:ascii="Times New Roman" w:eastAsia="Times New Roman" w:hAnsi="Times New Roman" w:cs="Times New Roman"/>
          <w:color w:val="000000"/>
          <w:szCs w:val="24"/>
        </w:rPr>
        <w:t xml:space="preserve"> </w:t>
      </w:r>
      <w:r w:rsidRPr="001B0403">
        <w:rPr>
          <w:rFonts w:ascii="Times New Roman" w:eastAsia="Times New Roman" w:hAnsi="Times New Roman" w:cs="Times New Roman"/>
          <w:color w:val="000000"/>
          <w:szCs w:val="24"/>
        </w:rPr>
        <w:t xml:space="preserve">per response.  </w:t>
      </w:r>
      <w:bookmarkStart w:id="2" w:name="_Hlk130997901"/>
      <w:r w:rsidRPr="001B0403">
        <w:rPr>
          <w:rFonts w:ascii="Times New Roman" w:eastAsia="Times New Roman" w:hAnsi="Times New Roman" w:cs="Times New Roman"/>
          <w:color w:val="000000"/>
          <w:szCs w:val="24"/>
        </w:rPr>
        <w:t xml:space="preserve">The </w:t>
      </w:r>
      <w:r w:rsidRPr="00F07749">
        <w:rPr>
          <w:rFonts w:ascii="Times New Roman" w:eastAsia="Times New Roman" w:hAnsi="Times New Roman" w:cs="Times New Roman"/>
          <w:b/>
          <w:bCs/>
          <w:color w:val="000000"/>
          <w:szCs w:val="24"/>
        </w:rPr>
        <w:t>estimated</w:t>
      </w:r>
      <w:r w:rsidRPr="001B0403">
        <w:rPr>
          <w:rFonts w:ascii="Times New Roman" w:eastAsia="Times New Roman" w:hAnsi="Times New Roman" w:cs="Times New Roman"/>
          <w:b/>
          <w:bCs/>
          <w:color w:val="000000"/>
          <w:szCs w:val="24"/>
        </w:rPr>
        <w:t xml:space="preserve"> total annual respondent hour time burden is </w:t>
      </w:r>
      <w:r w:rsidR="00871E27">
        <w:rPr>
          <w:rFonts w:ascii="Times New Roman" w:eastAsia="Times New Roman" w:hAnsi="Times New Roman" w:cs="Times New Roman"/>
          <w:b/>
          <w:bCs/>
          <w:color w:val="000000"/>
          <w:szCs w:val="24"/>
        </w:rPr>
        <w:t>121,000</w:t>
      </w:r>
      <w:r w:rsidRPr="001B0403">
        <w:rPr>
          <w:rFonts w:ascii="Times New Roman" w:eastAsia="Times New Roman" w:hAnsi="Times New Roman" w:cs="Times New Roman"/>
          <w:b/>
          <w:bCs/>
          <w:color w:val="000000"/>
          <w:szCs w:val="24"/>
        </w:rPr>
        <w:t xml:space="preserve"> hours.</w:t>
      </w:r>
    </w:p>
    <w:bookmarkEnd w:id="1"/>
    <w:bookmarkEnd w:id="2"/>
    <w:p w:rsidR="001B0403" w:rsidRPr="001B0403" w:rsidP="001B0403" w14:paraId="2C4020DB" w14:textId="4C0335D6">
      <w:pPr>
        <w:spacing w:after="120" w:line="240" w:lineRule="auto"/>
        <w:ind w:left="720"/>
        <w:rPr>
          <w:rFonts w:ascii="Times New Roman" w:eastAsia="Times New Roman" w:hAnsi="Times New Roman" w:cs="Times New Roman"/>
          <w:color w:val="000000"/>
          <w:szCs w:val="24"/>
        </w:rPr>
      </w:pPr>
      <w:r w:rsidRPr="001B0403">
        <w:rPr>
          <w:rFonts w:ascii="Times New Roman" w:eastAsia="Times New Roman" w:hAnsi="Times New Roman" w:cs="Times New Roman"/>
          <w:color w:val="000000"/>
          <w:szCs w:val="24"/>
        </w:rPr>
        <w:t>(</w:t>
      </w:r>
      <w:bookmarkStart w:id="3" w:name="_Hlk141785409"/>
      <w:r w:rsidRPr="001B0403">
        <w:rPr>
          <w:rFonts w:ascii="Times New Roman" w:eastAsia="Times New Roman" w:hAnsi="Times New Roman" w:cs="Times New Roman"/>
          <w:color w:val="000000"/>
          <w:szCs w:val="24"/>
        </w:rPr>
        <w:t>362,900</w:t>
      </w:r>
      <w:bookmarkEnd w:id="3"/>
      <w:r>
        <w:rPr>
          <w:rFonts w:ascii="Times New Roman" w:eastAsia="Times New Roman" w:hAnsi="Times New Roman" w:cs="Times New Roman"/>
          <w:color w:val="000000"/>
          <w:szCs w:val="24"/>
        </w:rPr>
        <w:t xml:space="preserve"> </w:t>
      </w:r>
      <w:r w:rsidRPr="001B0403">
        <w:rPr>
          <w:rFonts w:ascii="Times New Roman" w:eastAsia="Times New Roman" w:hAnsi="Times New Roman" w:cs="Times New Roman"/>
          <w:color w:val="000000"/>
          <w:szCs w:val="24"/>
        </w:rPr>
        <w:t xml:space="preserve">annual respondents x </w:t>
      </w:r>
      <w:r>
        <w:rPr>
          <w:rFonts w:ascii="Times New Roman" w:eastAsia="Times New Roman" w:hAnsi="Times New Roman" w:cs="Times New Roman"/>
          <w:color w:val="000000"/>
          <w:szCs w:val="24"/>
        </w:rPr>
        <w:t>2</w:t>
      </w:r>
      <w:r w:rsidRPr="001B0403">
        <w:rPr>
          <w:rFonts w:ascii="Times New Roman" w:eastAsia="Times New Roman" w:hAnsi="Times New Roman" w:cs="Times New Roman"/>
          <w:color w:val="000000"/>
          <w:szCs w:val="24"/>
        </w:rPr>
        <w:t xml:space="preserve">0 minutes / 60 = </w:t>
      </w:r>
      <w:r>
        <w:rPr>
          <w:rFonts w:ascii="Times New Roman" w:eastAsia="Times New Roman" w:hAnsi="Times New Roman" w:cs="Times New Roman"/>
          <w:color w:val="000000"/>
          <w:szCs w:val="24"/>
        </w:rPr>
        <w:t>12</w:t>
      </w:r>
      <w:r w:rsidR="00871E27">
        <w:rPr>
          <w:rFonts w:ascii="Times New Roman" w:eastAsia="Times New Roman" w:hAnsi="Times New Roman" w:cs="Times New Roman"/>
          <w:color w:val="000000"/>
          <w:szCs w:val="24"/>
        </w:rPr>
        <w:t>1,000</w:t>
      </w:r>
      <w:r w:rsidRPr="001B0403">
        <w:rPr>
          <w:rFonts w:ascii="Times New Roman" w:eastAsia="Times New Roman" w:hAnsi="Times New Roman" w:cs="Times New Roman"/>
          <w:color w:val="000000"/>
          <w:szCs w:val="24"/>
        </w:rPr>
        <w:t xml:space="preserve"> </w:t>
      </w:r>
      <w:r w:rsidRPr="001B0403">
        <w:rPr>
          <w:rFonts w:ascii="Times New Roman" w:eastAsia="Times New Roman" w:hAnsi="Times New Roman" w:cs="Times New Roman"/>
          <w:bCs/>
          <w:color w:val="000000"/>
          <w:szCs w:val="24"/>
        </w:rPr>
        <w:t>hours per year)</w:t>
      </w:r>
    </w:p>
    <w:p w:rsidR="00A83745" w:rsidRPr="00A83745" w:rsidP="00A83745" w14:paraId="36AD9C12" w14:textId="34E29258">
      <w:pPr>
        <w:spacing w:after="120" w:line="240" w:lineRule="auto"/>
        <w:ind w:left="720"/>
        <w:jc w:val="both"/>
        <w:rPr>
          <w:rFonts w:ascii="Times New Roman" w:eastAsia="Times New Roman" w:hAnsi="Times New Roman" w:cs="Times New Roman"/>
          <w:szCs w:val="20"/>
        </w:rPr>
      </w:pPr>
      <w:r w:rsidRPr="00A83745">
        <w:rPr>
          <w:rFonts w:ascii="Times New Roman" w:eastAsia="Times New Roman" w:hAnsi="Times New Roman" w:cs="Times New Roman"/>
          <w:szCs w:val="20"/>
        </w:rPr>
        <w:t>The sampling was completed through consultation with a small group of employees of the Department’s Bureau of Consular Affairs to validate the time.</w:t>
      </w:r>
    </w:p>
    <w:p w:rsidR="00D73C54" w:rsidP="00871E27" w14:paraId="79BC6682" w14:textId="77777777">
      <w:pPr>
        <w:spacing w:after="120" w:line="240" w:lineRule="auto"/>
        <w:ind w:left="720"/>
        <w:rPr>
          <w:rFonts w:ascii="Times New Roman" w:eastAsia="Times New Roman" w:hAnsi="Times New Roman" w:cs="Times New Roman"/>
          <w:color w:val="000000"/>
          <w:szCs w:val="24"/>
        </w:rPr>
      </w:pPr>
      <w:bookmarkStart w:id="4" w:name="_Hlk131002608"/>
    </w:p>
    <w:p w:rsidR="00D73C54" w:rsidP="00871E27" w14:paraId="22920B92" w14:textId="0328D61C">
      <w:pPr>
        <w:spacing w:after="120" w:line="240" w:lineRule="auto"/>
        <w:ind w:left="720"/>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Hour cost burden:</w:t>
      </w:r>
    </w:p>
    <w:p w:rsidR="00871E27" w:rsidP="00871E27" w14:paraId="227C123A" w14:textId="15C0DAAE">
      <w:pPr>
        <w:spacing w:after="120" w:line="240" w:lineRule="auto"/>
        <w:ind w:left="720"/>
        <w:rPr>
          <w:rFonts w:ascii="Times New Roman" w:eastAsia="Times New Roman" w:hAnsi="Times New Roman" w:cs="Times New Roman"/>
          <w:b/>
          <w:bCs/>
          <w:color w:val="000000"/>
          <w:szCs w:val="24"/>
        </w:rPr>
      </w:pPr>
      <w:r w:rsidRPr="00871E27">
        <w:rPr>
          <w:rFonts w:ascii="Times New Roman" w:eastAsia="Times New Roman" w:hAnsi="Times New Roman" w:cs="Times New Roman"/>
          <w:color w:val="000000"/>
          <w:szCs w:val="24"/>
        </w:rPr>
        <w:t xml:space="preserve">The estimated cost to respondents is based on the civilian hourly wage from the Bureau of Labor Statistics website multiplied by the annual hour time burden.  The wage is estimated to be $28.01.  The Department used the Employer Costs for Employee Compensation released by the Bureau of Labor Statistics </w:t>
      </w:r>
      <w:bookmarkEnd w:id="4"/>
      <w:r w:rsidRPr="00871E27">
        <w:rPr>
          <w:rFonts w:ascii="Times New Roman" w:eastAsia="Times New Roman" w:hAnsi="Times New Roman" w:cs="Times New Roman"/>
          <w:color w:val="000000"/>
          <w:szCs w:val="24"/>
        </w:rPr>
        <w:t>in 2021.</w:t>
      </w:r>
      <w:r>
        <w:rPr>
          <w:rFonts w:ascii="Times New Roman" w:eastAsia="Times New Roman" w:hAnsi="Times New Roman" w:cs="Times New Roman"/>
          <w:color w:val="000000"/>
          <w:szCs w:val="24"/>
          <w:vertAlign w:val="superscript"/>
        </w:rPr>
        <w:endnoteReference w:id="2"/>
      </w:r>
      <w:r w:rsidRPr="00871E27">
        <w:rPr>
          <w:rFonts w:ascii="Times New Roman" w:eastAsia="Times New Roman" w:hAnsi="Times New Roman" w:cs="Times New Roman"/>
          <w:color w:val="000000"/>
          <w:szCs w:val="24"/>
        </w:rPr>
        <w:t xml:space="preserve">  </w:t>
      </w:r>
      <w:bookmarkStart w:id="6" w:name="_Hlk131002640"/>
      <w:bookmarkStart w:id="7" w:name="_Hlk131159523"/>
      <w:r w:rsidRPr="00871E27">
        <w:rPr>
          <w:rFonts w:ascii="Times New Roman" w:eastAsia="Times New Roman" w:hAnsi="Times New Roman" w:cs="Times New Roman"/>
          <w:color w:val="000000"/>
          <w:szCs w:val="24"/>
        </w:rPr>
        <w:t xml:space="preserve">The </w:t>
      </w:r>
      <w:r w:rsidRPr="00F07749">
        <w:rPr>
          <w:rFonts w:ascii="Times New Roman" w:eastAsia="Times New Roman" w:hAnsi="Times New Roman" w:cs="Times New Roman"/>
          <w:b/>
          <w:bCs/>
          <w:color w:val="000000"/>
          <w:szCs w:val="24"/>
        </w:rPr>
        <w:t>estimated</w:t>
      </w:r>
      <w:r w:rsidRPr="00871E27">
        <w:rPr>
          <w:rFonts w:ascii="Times New Roman" w:eastAsia="Times New Roman" w:hAnsi="Times New Roman" w:cs="Times New Roman"/>
          <w:b/>
          <w:bCs/>
          <w:color w:val="000000"/>
          <w:szCs w:val="24"/>
        </w:rPr>
        <w:t xml:space="preserve"> total annual respondent hour cost burden is</w:t>
      </w:r>
      <w:bookmarkEnd w:id="6"/>
      <w:r w:rsidRPr="00871E27">
        <w:rPr>
          <w:rFonts w:ascii="Times New Roman" w:eastAsia="Times New Roman" w:hAnsi="Times New Roman" w:cs="Times New Roman"/>
          <w:b/>
          <w:bCs/>
          <w:color w:val="000000"/>
          <w:szCs w:val="24"/>
        </w:rPr>
        <w:t xml:space="preserve"> </w:t>
      </w:r>
      <w:bookmarkEnd w:id="7"/>
      <w:r w:rsidRPr="00871E27">
        <w:rPr>
          <w:rFonts w:ascii="Times New Roman" w:eastAsia="Times New Roman" w:hAnsi="Times New Roman" w:cs="Times New Roman"/>
          <w:b/>
          <w:bCs/>
          <w:color w:val="000000"/>
          <w:szCs w:val="24"/>
        </w:rPr>
        <w:t>$</w:t>
      </w:r>
      <w:r w:rsidRPr="00C31872" w:rsidR="00C31872">
        <w:rPr>
          <w:rFonts w:ascii="Times New Roman" w:eastAsia="Times New Roman" w:hAnsi="Times New Roman" w:cs="Times New Roman"/>
          <w:b/>
          <w:bCs/>
          <w:color w:val="000000"/>
          <w:szCs w:val="24"/>
        </w:rPr>
        <w:t>3,389,200</w:t>
      </w:r>
      <w:r w:rsidRPr="00871E27">
        <w:rPr>
          <w:rFonts w:ascii="Times New Roman" w:eastAsia="Times New Roman" w:hAnsi="Times New Roman" w:cs="Times New Roman"/>
          <w:b/>
          <w:bCs/>
          <w:color w:val="000000"/>
          <w:szCs w:val="24"/>
        </w:rPr>
        <w:t>.</w:t>
      </w:r>
      <w:r>
        <w:rPr>
          <w:rFonts w:ascii="Times New Roman" w:eastAsia="Times New Roman" w:hAnsi="Times New Roman" w:cs="Times New Roman"/>
          <w:b/>
          <w:bCs/>
          <w:color w:val="000000"/>
          <w:szCs w:val="24"/>
        </w:rPr>
        <w:t xml:space="preserve"> </w:t>
      </w:r>
    </w:p>
    <w:p w:rsidR="00871E27" w:rsidRPr="00871E27" w:rsidP="00871E27" w14:paraId="50855B7B" w14:textId="4F3D82E4">
      <w:pPr>
        <w:spacing w:after="120" w:line="240" w:lineRule="auto"/>
        <w:ind w:left="360" w:firstLine="360"/>
        <w:rPr>
          <w:rFonts w:ascii="Times New Roman" w:eastAsia="Times New Roman" w:hAnsi="Times New Roman" w:cs="Times New Roman"/>
          <w:color w:val="000000"/>
          <w:szCs w:val="24"/>
        </w:rPr>
      </w:pPr>
      <w:r w:rsidRPr="00871E27">
        <w:rPr>
          <w:rFonts w:ascii="Times New Roman" w:eastAsia="Times New Roman" w:hAnsi="Times New Roman" w:cs="Times New Roman"/>
          <w:color w:val="000000"/>
          <w:szCs w:val="24"/>
        </w:rPr>
        <w:t>(</w:t>
      </w:r>
      <w:r w:rsidR="00C31872">
        <w:rPr>
          <w:rFonts w:ascii="Times New Roman" w:eastAsia="Times New Roman" w:hAnsi="Times New Roman" w:cs="Times New Roman"/>
          <w:color w:val="000000"/>
          <w:szCs w:val="24"/>
        </w:rPr>
        <w:t>121,000</w:t>
      </w:r>
      <w:r>
        <w:rPr>
          <w:rFonts w:ascii="Times New Roman" w:eastAsia="Times New Roman" w:hAnsi="Times New Roman" w:cs="Times New Roman"/>
          <w:color w:val="000000"/>
          <w:szCs w:val="24"/>
        </w:rPr>
        <w:t xml:space="preserve"> </w:t>
      </w:r>
      <w:r w:rsidRPr="00871E27">
        <w:rPr>
          <w:rFonts w:ascii="Times New Roman" w:eastAsia="Times New Roman" w:hAnsi="Times New Roman" w:cs="Times New Roman"/>
          <w:color w:val="000000"/>
          <w:szCs w:val="24"/>
        </w:rPr>
        <w:t xml:space="preserve">annual hours x $28.01 civilian hourly wage = </w:t>
      </w:r>
      <w:r w:rsidRPr="00871E27">
        <w:rPr>
          <w:rFonts w:ascii="Times New Roman" w:eastAsia="Times New Roman" w:hAnsi="Times New Roman" w:cs="Times New Roman"/>
          <w:bCs/>
          <w:color w:val="000000"/>
          <w:szCs w:val="24"/>
        </w:rPr>
        <w:t>$</w:t>
      </w:r>
      <w:bookmarkStart w:id="8" w:name="_Hlk141785784"/>
      <w:r w:rsidR="00C31872">
        <w:rPr>
          <w:rFonts w:ascii="Times New Roman" w:eastAsia="Times New Roman" w:hAnsi="Times New Roman" w:cs="Times New Roman"/>
          <w:bCs/>
          <w:color w:val="000000"/>
          <w:szCs w:val="24"/>
        </w:rPr>
        <w:t>3,389,200</w:t>
      </w:r>
      <w:bookmarkEnd w:id="8"/>
      <w:r>
        <w:rPr>
          <w:rFonts w:ascii="Times New Roman" w:eastAsia="Times New Roman" w:hAnsi="Times New Roman" w:cs="Times New Roman"/>
          <w:bCs/>
          <w:color w:val="000000"/>
          <w:szCs w:val="24"/>
        </w:rPr>
        <w:t>)</w:t>
      </w:r>
      <w:r w:rsidRPr="00871E27">
        <w:rPr>
          <w:rFonts w:ascii="Times New Roman" w:eastAsia="Times New Roman" w:hAnsi="Times New Roman" w:cs="Times New Roman"/>
          <w:b/>
          <w:color w:val="000000"/>
          <w:szCs w:val="24"/>
        </w:rPr>
        <w:t xml:space="preserve"> </w:t>
      </w:r>
    </w:p>
    <w:p w:rsidR="00871E27" w:rsidRPr="00871E27" w:rsidP="00871E27" w14:paraId="1BFA3E5A" w14:textId="77777777">
      <w:pPr>
        <w:spacing w:after="120" w:line="240" w:lineRule="auto"/>
        <w:ind w:left="720"/>
        <w:rPr>
          <w:rFonts w:ascii="Times New Roman" w:eastAsia="Times New Roman" w:hAnsi="Times New Roman" w:cs="Times New Roman"/>
          <w:b/>
          <w:bCs/>
          <w:color w:val="000000"/>
          <w:szCs w:val="24"/>
        </w:rPr>
      </w:pPr>
    </w:p>
    <w:p w:rsidR="003A42BC" w:rsidP="00A83745" w14:paraId="32761196" w14:textId="77777777">
      <w:pPr>
        <w:spacing w:after="120" w:line="240" w:lineRule="auto"/>
        <w:ind w:left="360" w:firstLine="360"/>
        <w:rPr>
          <w:rFonts w:ascii="Times New Roman" w:eastAsia="Times New Roman" w:hAnsi="Times New Roman" w:cs="Times New Roman"/>
          <w:b/>
          <w:color w:val="000000" w:themeColor="text1"/>
          <w:szCs w:val="24"/>
        </w:rPr>
      </w:pPr>
    </w:p>
    <w:p w:rsidR="00EB2598" w:rsidP="00EB2598" w14:paraId="34BD70CA"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monetary burden to respondents (out of pocket costs) needed to complete this collection.</w:t>
      </w:r>
    </w:p>
    <w:p w:rsidR="000955A7" w:rsidP="0053768A" w14:paraId="09B544D6" w14:textId="08B01001">
      <w:pPr>
        <w:spacing w:line="240" w:lineRule="auto"/>
        <w:ind w:left="720"/>
        <w:rPr>
          <w:rFonts w:ascii="Times New Roman" w:eastAsia="Times New Roman" w:hAnsi="Times New Roman" w:cs="Times New Roman"/>
          <w:color w:val="000000"/>
          <w:szCs w:val="24"/>
        </w:rPr>
      </w:pPr>
      <w:r w:rsidRPr="00A83745">
        <w:rPr>
          <w:rFonts w:ascii="Times New Roman" w:eastAsia="Times New Roman" w:hAnsi="Times New Roman" w:cs="Times New Roman"/>
          <w:color w:val="000000" w:themeColor="text1"/>
          <w:szCs w:val="24"/>
        </w:rPr>
        <w:t xml:space="preserve">There is no application fee associated with this collection.  Form DS-3053 is submitted in conjunction with form DS-11, Application for a U.S. Passport.  However, because the form must be notarized, respondents may be required to pay a notarization fee.  The national average cost to have a document notarized </w:t>
      </w:r>
      <w:r w:rsidRPr="000955A7">
        <w:rPr>
          <w:rFonts w:ascii="Times New Roman" w:eastAsia="Times New Roman" w:hAnsi="Times New Roman" w:cs="Times New Roman"/>
          <w:color w:val="000000"/>
          <w:szCs w:val="24"/>
        </w:rPr>
        <w:t>is $7.70.</w:t>
      </w:r>
      <w:r>
        <w:rPr>
          <w:rFonts w:ascii="Times New Roman" w:eastAsia="Times New Roman" w:hAnsi="Times New Roman" w:cs="Times New Roman"/>
          <w:color w:val="000000"/>
          <w:szCs w:val="24"/>
          <w:vertAlign w:val="superscript"/>
        </w:rPr>
        <w:endnoteReference w:id="3"/>
      </w:r>
      <w:r w:rsidRPr="00A83745">
        <w:rPr>
          <w:rFonts w:ascii="Times New Roman" w:eastAsia="Times New Roman" w:hAnsi="Times New Roman" w:cs="Times New Roman"/>
          <w:color w:val="000000" w:themeColor="text1"/>
          <w:szCs w:val="24"/>
        </w:rPr>
        <w:t xml:space="preserve"> </w:t>
      </w:r>
      <w:r w:rsidRPr="000955A7">
        <w:rPr>
          <w:rFonts w:ascii="Times New Roman" w:eastAsia="Times New Roman" w:hAnsi="Times New Roman" w:cs="Times New Roman"/>
          <w:color w:val="000000"/>
          <w:szCs w:val="24"/>
        </w:rPr>
        <w:t>The Department of State does not track where DS-</w:t>
      </w:r>
      <w:r w:rsidR="0013158E">
        <w:rPr>
          <w:rFonts w:ascii="Times New Roman" w:eastAsia="Times New Roman" w:hAnsi="Times New Roman" w:cs="Times New Roman"/>
          <w:color w:val="000000"/>
          <w:szCs w:val="24"/>
        </w:rPr>
        <w:t>3053</w:t>
      </w:r>
      <w:r w:rsidRPr="000955A7">
        <w:rPr>
          <w:rFonts w:ascii="Times New Roman" w:eastAsia="Times New Roman" w:hAnsi="Times New Roman" w:cs="Times New Roman"/>
          <w:color w:val="000000"/>
          <w:szCs w:val="24"/>
        </w:rPr>
        <w:t xml:space="preserve"> forms are executed, so it is not possible to calculate the percentage of respondents who incur a notarization fee.</w:t>
      </w:r>
    </w:p>
    <w:p w:rsidR="00803B78" w:rsidP="000955A7" w14:paraId="256B52BC" w14:textId="5154D86D">
      <w:pPr>
        <w:ind w:left="720"/>
        <w:rPr>
          <w:rFonts w:ascii="Times New Roman" w:eastAsia="Times New Roman" w:hAnsi="Times New Roman" w:cs="Times New Roman"/>
          <w:b/>
          <w:bCs/>
          <w:color w:val="000000"/>
          <w:szCs w:val="24"/>
        </w:rPr>
      </w:pPr>
      <w:r>
        <w:rPr>
          <w:rFonts w:ascii="Times New Roman" w:eastAsia="Times New Roman" w:hAnsi="Times New Roman" w:cs="Times New Roman"/>
          <w:color w:val="000000"/>
          <w:szCs w:val="24"/>
        </w:rPr>
        <w:t xml:space="preserve">The </w:t>
      </w:r>
      <w:bookmarkStart w:id="9" w:name="_Hlk131161735"/>
      <w:r w:rsidRPr="00803B78">
        <w:rPr>
          <w:rFonts w:ascii="Times New Roman" w:eastAsia="Times New Roman" w:hAnsi="Times New Roman" w:cs="Times New Roman"/>
          <w:color w:val="000000"/>
          <w:szCs w:val="24"/>
        </w:rPr>
        <w:t>estimate</w:t>
      </w:r>
      <w:r>
        <w:rPr>
          <w:rFonts w:ascii="Times New Roman" w:eastAsia="Times New Roman" w:hAnsi="Times New Roman" w:cs="Times New Roman"/>
          <w:color w:val="000000"/>
          <w:szCs w:val="24"/>
        </w:rPr>
        <w:t>d</w:t>
      </w:r>
      <w:r w:rsidRPr="00803B78">
        <w:rPr>
          <w:rFonts w:ascii="Times New Roman" w:eastAsia="Times New Roman" w:hAnsi="Times New Roman" w:cs="Times New Roman"/>
          <w:color w:val="000000"/>
          <w:szCs w:val="24"/>
        </w:rPr>
        <w:t xml:space="preserve"> </w:t>
      </w:r>
      <w:bookmarkStart w:id="10" w:name="_Hlk131002894"/>
      <w:r w:rsidRPr="00803B78">
        <w:rPr>
          <w:rFonts w:ascii="Times New Roman" w:eastAsia="Times New Roman" w:hAnsi="Times New Roman" w:cs="Times New Roman"/>
          <w:b/>
          <w:bCs/>
          <w:color w:val="000000"/>
          <w:szCs w:val="24"/>
        </w:rPr>
        <w:t xml:space="preserve">total annual respondent monetary burden </w:t>
      </w:r>
      <w:bookmarkEnd w:id="10"/>
      <w:r w:rsidRPr="00803B78">
        <w:rPr>
          <w:rFonts w:ascii="Times New Roman" w:eastAsia="Times New Roman" w:hAnsi="Times New Roman" w:cs="Times New Roman"/>
          <w:b/>
          <w:bCs/>
          <w:color w:val="000000"/>
          <w:szCs w:val="24"/>
        </w:rPr>
        <w:t>is</w:t>
      </w:r>
      <w:bookmarkEnd w:id="9"/>
      <w:r w:rsidRPr="00803B78">
        <w:rPr>
          <w:rFonts w:ascii="Times New Roman" w:eastAsia="Times New Roman" w:hAnsi="Times New Roman" w:cs="Times New Roman"/>
          <w:b/>
          <w:bCs/>
          <w:color w:val="000000"/>
          <w:szCs w:val="24"/>
        </w:rPr>
        <w:t>: $2,79</w:t>
      </w:r>
      <w:r>
        <w:rPr>
          <w:rFonts w:ascii="Times New Roman" w:eastAsia="Times New Roman" w:hAnsi="Times New Roman" w:cs="Times New Roman"/>
          <w:b/>
          <w:bCs/>
          <w:color w:val="000000"/>
          <w:szCs w:val="24"/>
        </w:rPr>
        <w:t>4,300.</w:t>
      </w:r>
    </w:p>
    <w:p w:rsidR="00803B78" w:rsidRPr="000955A7" w:rsidP="000955A7" w14:paraId="67770461" w14:textId="4D6317B4">
      <w:pPr>
        <w:ind w:left="720"/>
        <w:rPr>
          <w:rFonts w:ascii="Times New Roman" w:eastAsia="Times New Roman" w:hAnsi="Times New Roman" w:cs="Times New Roman"/>
          <w:strike/>
          <w:color w:val="000000"/>
          <w:szCs w:val="24"/>
        </w:rPr>
      </w:pPr>
      <w:r w:rsidRPr="001B0403">
        <w:rPr>
          <w:rFonts w:ascii="Times New Roman" w:eastAsia="Times New Roman" w:hAnsi="Times New Roman" w:cs="Times New Roman"/>
          <w:color w:val="000000"/>
          <w:szCs w:val="24"/>
        </w:rPr>
        <w:t>(362,900</w:t>
      </w:r>
      <w:r>
        <w:rPr>
          <w:rFonts w:ascii="Times New Roman" w:eastAsia="Times New Roman" w:hAnsi="Times New Roman" w:cs="Times New Roman"/>
          <w:color w:val="000000"/>
          <w:szCs w:val="24"/>
        </w:rPr>
        <w:t xml:space="preserve"> </w:t>
      </w:r>
      <w:r w:rsidRPr="001B0403">
        <w:rPr>
          <w:rFonts w:ascii="Times New Roman" w:eastAsia="Times New Roman" w:hAnsi="Times New Roman" w:cs="Times New Roman"/>
          <w:color w:val="000000"/>
          <w:szCs w:val="24"/>
        </w:rPr>
        <w:t>annual respondents</w:t>
      </w:r>
      <w:r>
        <w:rPr>
          <w:rFonts w:ascii="Times New Roman" w:eastAsia="Times New Roman" w:hAnsi="Times New Roman" w:cs="Times New Roman"/>
          <w:color w:val="000000"/>
          <w:szCs w:val="24"/>
        </w:rPr>
        <w:t xml:space="preserve"> x $7.70 notarization fee = $2,794,300)</w:t>
      </w:r>
    </w:p>
    <w:p w:rsidR="003A42BC" w:rsidP="00A83745" w14:paraId="4A728564" w14:textId="77777777">
      <w:pPr>
        <w:spacing w:after="120" w:line="240" w:lineRule="auto"/>
        <w:ind w:left="360"/>
        <w:rPr>
          <w:rFonts w:ascii="Times New Roman" w:eastAsia="Times New Roman" w:hAnsi="Times New Roman" w:cs="Times New Roman"/>
          <w:color w:val="000000" w:themeColor="text1"/>
          <w:szCs w:val="24"/>
        </w:rPr>
      </w:pPr>
    </w:p>
    <w:p w:rsidR="00EB2598" w:rsidRPr="006007AB" w:rsidP="00EB2598" w14:paraId="48ECB1A2"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cost incurred by the Federal Government to complete this collection.</w:t>
      </w:r>
    </w:p>
    <w:p w:rsidR="00E7447E" w:rsidP="003C16C7" w14:paraId="501622A1" w14:textId="390CB391">
      <w:pPr>
        <w:pStyle w:val="ListParagraph"/>
        <w:spacing w:after="120"/>
        <w:rPr>
          <w:b/>
          <w:szCs w:val="20"/>
        </w:rPr>
      </w:pPr>
      <w:bookmarkStart w:id="11" w:name="_Hlk131003040"/>
      <w:r w:rsidRPr="00E7447E">
        <w:rPr>
          <w:b/>
          <w:szCs w:val="20"/>
        </w:rPr>
        <w:t>Adjudication cost</w:t>
      </w:r>
      <w:r>
        <w:rPr>
          <w:b/>
          <w:szCs w:val="20"/>
        </w:rPr>
        <w:t>:</w:t>
      </w:r>
    </w:p>
    <w:p w:rsidR="00E7447E" w:rsidP="003C16C7" w14:paraId="00E6C118" w14:textId="77777777">
      <w:pPr>
        <w:pStyle w:val="ListParagraph"/>
        <w:spacing w:after="120"/>
        <w:rPr>
          <w:szCs w:val="20"/>
        </w:rPr>
      </w:pPr>
    </w:p>
    <w:p w:rsidR="00A139AC" w:rsidP="003C16C7" w14:paraId="4835057E" w14:textId="69278224">
      <w:pPr>
        <w:pStyle w:val="ListParagraph"/>
        <w:spacing w:after="120"/>
        <w:rPr>
          <w:color w:val="000000" w:themeColor="text1"/>
        </w:rPr>
      </w:pPr>
      <w:r w:rsidRPr="005B3B43">
        <w:rPr>
          <w:szCs w:val="20"/>
        </w:rPr>
        <w:t>To calculate the cost to the federal government, we consider the hourly wage for an FY</w:t>
      </w:r>
      <w:r w:rsidR="0053768A">
        <w:rPr>
          <w:szCs w:val="20"/>
        </w:rPr>
        <w:t>23</w:t>
      </w:r>
      <w:r w:rsidRPr="005B3B43">
        <w:rPr>
          <w:szCs w:val="20"/>
        </w:rPr>
        <w:t xml:space="preserve"> domestic Civil Service GS-11 step 10 (the highest level of a passport adjudicator) of </w:t>
      </w:r>
      <w:bookmarkEnd w:id="11"/>
      <w:r w:rsidRPr="005B3B43">
        <w:rPr>
          <w:szCs w:val="20"/>
        </w:rPr>
        <w:t>$36.95</w:t>
      </w:r>
      <w:r>
        <w:rPr>
          <w:szCs w:val="20"/>
          <w:vertAlign w:val="superscript"/>
        </w:rPr>
        <w:endnoteReference w:id="4"/>
      </w:r>
      <w:r w:rsidRPr="005B3B43">
        <w:rPr>
          <w:szCs w:val="20"/>
        </w:rPr>
        <w:t xml:space="preserve"> with a weighted wage rate multiplier</w:t>
      </w:r>
      <w:r>
        <w:rPr>
          <w:szCs w:val="20"/>
        </w:rPr>
        <w:t>:</w:t>
      </w:r>
    </w:p>
    <w:p w:rsidR="00A139AC" w:rsidP="003C16C7" w14:paraId="60786102" w14:textId="77777777">
      <w:pPr>
        <w:pStyle w:val="ListParagraph"/>
        <w:spacing w:after="120"/>
        <w:rPr>
          <w:color w:val="000000" w:themeColor="text1"/>
        </w:rPr>
      </w:pPr>
    </w:p>
    <w:p w:rsidR="005B3B43" w:rsidRPr="005B3B43" w:rsidP="005B3B43" w14:paraId="4A38EE2F" w14:textId="77777777">
      <w:pPr>
        <w:spacing w:after="0" w:line="240" w:lineRule="auto"/>
        <w:ind w:left="720"/>
        <w:rPr>
          <w:rFonts w:ascii="Times New Roman" w:eastAsia="Times New Roman" w:hAnsi="Times New Roman" w:cs="Times New Roman"/>
          <w:szCs w:val="20"/>
        </w:rPr>
      </w:pPr>
      <w:r w:rsidRPr="005B3B43">
        <w:rPr>
          <w:rFonts w:ascii="Times New Roman" w:eastAsia="Times New Roman" w:hAnsi="Times New Roman" w:cs="Times New Roman"/>
          <w:szCs w:val="20"/>
        </w:rPr>
        <w:t>$36.95 x 2 = $73.90</w:t>
      </w:r>
    </w:p>
    <w:p w:rsidR="00FB1432" w:rsidP="003C16C7" w14:paraId="63BD1C77" w14:textId="28B6F824">
      <w:pPr>
        <w:pStyle w:val="ListParagraph"/>
        <w:spacing w:after="120"/>
        <w:rPr>
          <w:color w:val="000000" w:themeColor="text1"/>
        </w:rPr>
      </w:pPr>
    </w:p>
    <w:p w:rsidR="004A637A" w:rsidRPr="004A637A" w:rsidP="004A637A" w14:paraId="789298F7" w14:textId="5ADCDAF3">
      <w:pPr>
        <w:spacing w:after="0" w:line="240" w:lineRule="auto"/>
        <w:ind w:left="720"/>
        <w:rPr>
          <w:rFonts w:ascii="Times New Roman" w:eastAsia="Times New Roman" w:hAnsi="Times New Roman" w:cs="Times New Roman"/>
          <w:szCs w:val="20"/>
        </w:rPr>
      </w:pPr>
      <w:r w:rsidRPr="004A637A">
        <w:rPr>
          <w:rFonts w:ascii="Times New Roman" w:eastAsia="Times New Roman" w:hAnsi="Times New Roman" w:cs="Times New Roman"/>
          <w:szCs w:val="20"/>
        </w:rPr>
        <w:t xml:space="preserve">As suggested by the Office of Management and Budget, we use </w:t>
      </w:r>
      <w:r w:rsidRPr="00F30CEE">
        <w:rPr>
          <w:rFonts w:ascii="Times New Roman" w:eastAsia="Times New Roman" w:hAnsi="Times New Roman" w:cs="Times New Roman"/>
          <w:i/>
          <w:iCs/>
          <w:szCs w:val="20"/>
        </w:rPr>
        <w:t>two</w:t>
      </w:r>
      <w:r w:rsidRPr="004A637A">
        <w:rPr>
          <w:rFonts w:ascii="Times New Roman" w:eastAsia="Times New Roman" w:hAnsi="Times New Roman" w:cs="Times New Roman"/>
          <w:szCs w:val="20"/>
        </w:rPr>
        <w:t xml:space="preserve"> </w:t>
      </w:r>
      <w:r w:rsidR="00F30CEE">
        <w:rPr>
          <w:rFonts w:ascii="Times New Roman" w:eastAsia="Times New Roman" w:hAnsi="Times New Roman" w:cs="Times New Roman"/>
          <w:szCs w:val="20"/>
        </w:rPr>
        <w:t xml:space="preserve">(2) </w:t>
      </w:r>
      <w:r w:rsidRPr="004A637A">
        <w:rPr>
          <w:rFonts w:ascii="Times New Roman" w:eastAsia="Times New Roman" w:hAnsi="Times New Roman" w:cs="Times New Roman"/>
          <w:szCs w:val="20"/>
        </w:rPr>
        <w:t>as the weighted wage rate multiplier since Department of State employees have access to many resources.</w:t>
      </w:r>
    </w:p>
    <w:p w:rsidR="00A139AC" w:rsidP="003C16C7" w14:paraId="51F18B56" w14:textId="77777777">
      <w:pPr>
        <w:pStyle w:val="ListParagraph"/>
        <w:spacing w:after="120"/>
        <w:rPr>
          <w:color w:val="000000" w:themeColor="text1"/>
        </w:rPr>
      </w:pPr>
    </w:p>
    <w:p w:rsidR="004A637A" w:rsidRPr="004A637A" w:rsidP="004A637A" w14:paraId="12F2A2D9" w14:textId="6F2E54DC">
      <w:pPr>
        <w:spacing w:after="0" w:line="240" w:lineRule="auto"/>
        <w:ind w:left="720"/>
        <w:rPr>
          <w:rFonts w:ascii="Times New Roman" w:eastAsia="Times New Roman" w:hAnsi="Times New Roman" w:cs="Times New Roman"/>
          <w:szCs w:val="20"/>
        </w:rPr>
      </w:pPr>
      <w:r w:rsidRPr="004A637A">
        <w:rPr>
          <w:rFonts w:ascii="Times New Roman" w:eastAsia="Times New Roman" w:hAnsi="Times New Roman" w:cs="Times New Roman"/>
          <w:szCs w:val="20"/>
        </w:rPr>
        <w:t>Passport Services estimates that reviewing Form DS-</w:t>
      </w:r>
      <w:r>
        <w:rPr>
          <w:rFonts w:ascii="Times New Roman" w:eastAsia="Times New Roman" w:hAnsi="Times New Roman" w:cs="Times New Roman"/>
          <w:szCs w:val="20"/>
        </w:rPr>
        <w:t>3053</w:t>
      </w:r>
      <w:r w:rsidRPr="004A637A">
        <w:rPr>
          <w:rFonts w:ascii="Times New Roman" w:eastAsia="Times New Roman" w:hAnsi="Times New Roman" w:cs="Times New Roman"/>
          <w:szCs w:val="20"/>
        </w:rPr>
        <w:t xml:space="preserve"> requires 40 seconds of a passport adjudicator’s time, or 0.67 minutes.  Dividing $73.90/hr. by 60 minutes yields a processing time cost of $1.23 per minute.  $1.23 multiplied by 0.67 yields a cost of $0.82 to review each form.  Multiplying the projected number of respondent</w:t>
      </w:r>
      <w:r w:rsidR="00F30CEE">
        <w:rPr>
          <w:rFonts w:ascii="Times New Roman" w:eastAsia="Times New Roman" w:hAnsi="Times New Roman" w:cs="Times New Roman"/>
          <w:szCs w:val="20"/>
        </w:rPr>
        <w:t>s</w:t>
      </w:r>
      <w:r w:rsidR="00D73C54">
        <w:rPr>
          <w:rFonts w:ascii="Times New Roman" w:eastAsia="Times New Roman" w:hAnsi="Times New Roman" w:cs="Times New Roman"/>
          <w:szCs w:val="20"/>
        </w:rPr>
        <w:t xml:space="preserve"> total of </w:t>
      </w:r>
      <w:r w:rsidRPr="004A637A">
        <w:rPr>
          <w:rFonts w:ascii="Times New Roman" w:eastAsia="Times New Roman" w:hAnsi="Times New Roman" w:cs="Times New Roman"/>
          <w:szCs w:val="20"/>
        </w:rPr>
        <w:t xml:space="preserve">362,900 by $0.82 yields </w:t>
      </w:r>
      <w:r w:rsidRPr="004A637A">
        <w:rPr>
          <w:rFonts w:ascii="Times New Roman" w:eastAsia="Times New Roman" w:hAnsi="Times New Roman" w:cs="Times New Roman"/>
          <w:bCs/>
          <w:szCs w:val="20"/>
        </w:rPr>
        <w:t>$</w:t>
      </w:r>
      <w:r>
        <w:rPr>
          <w:rFonts w:ascii="Times New Roman" w:eastAsia="Times New Roman" w:hAnsi="Times New Roman" w:cs="Times New Roman"/>
          <w:bCs/>
          <w:szCs w:val="20"/>
        </w:rPr>
        <w:t>297,600</w:t>
      </w:r>
      <w:r w:rsidRPr="004A637A">
        <w:rPr>
          <w:rFonts w:ascii="Times New Roman" w:eastAsia="Times New Roman" w:hAnsi="Times New Roman" w:cs="Times New Roman"/>
          <w:szCs w:val="20"/>
        </w:rPr>
        <w:t xml:space="preserve">.  </w:t>
      </w:r>
      <w:bookmarkStart w:id="13" w:name="_Hlk131003216"/>
      <w:r w:rsidRPr="004A637A">
        <w:rPr>
          <w:rFonts w:ascii="Times New Roman" w:eastAsia="Times New Roman" w:hAnsi="Times New Roman" w:cs="Times New Roman"/>
          <w:szCs w:val="20"/>
        </w:rPr>
        <w:t xml:space="preserve">The </w:t>
      </w:r>
      <w:r w:rsidRPr="00F07749">
        <w:rPr>
          <w:rFonts w:ascii="Times New Roman" w:eastAsia="Times New Roman" w:hAnsi="Times New Roman" w:cs="Times New Roman"/>
          <w:b/>
          <w:bCs/>
          <w:szCs w:val="20"/>
        </w:rPr>
        <w:t>estimated</w:t>
      </w:r>
      <w:r w:rsidRPr="004A637A">
        <w:rPr>
          <w:rFonts w:ascii="Times New Roman" w:eastAsia="Times New Roman" w:hAnsi="Times New Roman" w:cs="Times New Roman"/>
          <w:b/>
          <w:bCs/>
          <w:szCs w:val="20"/>
        </w:rPr>
        <w:t xml:space="preserve"> total annual adjudication cost is</w:t>
      </w:r>
      <w:bookmarkEnd w:id="13"/>
      <w:r w:rsidRPr="004A637A">
        <w:rPr>
          <w:rFonts w:ascii="Times New Roman" w:eastAsia="Times New Roman" w:hAnsi="Times New Roman" w:cs="Times New Roman"/>
          <w:b/>
          <w:bCs/>
          <w:szCs w:val="20"/>
        </w:rPr>
        <w:t xml:space="preserve"> $297,600</w:t>
      </w:r>
      <w:r w:rsidRPr="004A637A">
        <w:rPr>
          <w:rFonts w:ascii="Times New Roman" w:eastAsia="Times New Roman" w:hAnsi="Times New Roman" w:cs="Times New Roman"/>
          <w:szCs w:val="20"/>
        </w:rPr>
        <w:t>.</w:t>
      </w:r>
    </w:p>
    <w:p w:rsidR="004A637A" w:rsidP="003C16C7" w14:paraId="51617A89" w14:textId="77777777">
      <w:pPr>
        <w:pStyle w:val="ListParagraph"/>
        <w:spacing w:after="120"/>
        <w:rPr>
          <w:color w:val="000000" w:themeColor="text1"/>
        </w:rPr>
      </w:pPr>
    </w:p>
    <w:p w:rsidR="00803E0F" w:rsidRPr="003A42BC" w:rsidP="00803E0F" w14:paraId="6A7D0DB2" w14:textId="584F9E75">
      <w:pPr>
        <w:spacing w:after="120" w:line="240" w:lineRule="auto"/>
        <w:ind w:left="720"/>
        <w:rPr>
          <w:i/>
          <w:color w:val="000000" w:themeColor="text1"/>
        </w:rPr>
      </w:pPr>
      <w:r w:rsidRPr="00E7447E">
        <w:rPr>
          <w:rFonts w:ascii="Times New Roman" w:eastAsia="Times New Roman" w:hAnsi="Times New Roman" w:cs="Times New Roman"/>
          <w:b/>
          <w:szCs w:val="20"/>
        </w:rPr>
        <w:t>Printing Cost</w:t>
      </w:r>
      <w:r>
        <w:rPr>
          <w:rFonts w:ascii="Times New Roman" w:eastAsia="Times New Roman" w:hAnsi="Times New Roman" w:cs="Times New Roman"/>
          <w:b/>
          <w:szCs w:val="20"/>
        </w:rPr>
        <w:t>:</w:t>
      </w:r>
    </w:p>
    <w:p w:rsidR="00803E0F" w:rsidP="00D73C54" w14:paraId="0451D478" w14:textId="15007718">
      <w:pPr>
        <w:spacing w:after="0" w:line="240" w:lineRule="auto"/>
        <w:ind w:left="720"/>
        <w:rPr>
          <w:rFonts w:ascii="Times New Roman" w:eastAsia="Times New Roman" w:hAnsi="Times New Roman" w:cs="Times New Roman"/>
          <w:b/>
          <w:bCs/>
          <w:szCs w:val="24"/>
        </w:rPr>
      </w:pPr>
      <w:r w:rsidRPr="00ED44E1">
        <w:rPr>
          <w:rFonts w:ascii="Times New Roman" w:eastAsia="Times New Roman" w:hAnsi="Times New Roman" w:cs="Times New Roman"/>
          <w:szCs w:val="20"/>
        </w:rPr>
        <w:t xml:space="preserve">We also take into account the cost to print the form. </w:t>
      </w:r>
      <w:r w:rsidRPr="00A83745" w:rsidR="00A83745">
        <w:rPr>
          <w:rFonts w:ascii="Times New Roman" w:eastAsia="Times New Roman" w:hAnsi="Times New Roman" w:cs="Times New Roman"/>
          <w:szCs w:val="24"/>
        </w:rPr>
        <w:t>The DS-3053</w:t>
      </w:r>
      <w:r>
        <w:rPr>
          <w:rFonts w:ascii="Times New Roman" w:eastAsia="Times New Roman" w:hAnsi="Times New Roman" w:cs="Times New Roman"/>
          <w:szCs w:val="24"/>
        </w:rPr>
        <w:t xml:space="preserve"> </w:t>
      </w:r>
      <w:r w:rsidRPr="00803E0F">
        <w:rPr>
          <w:rFonts w:ascii="Times New Roman" w:eastAsia="Times New Roman" w:hAnsi="Times New Roman" w:cs="Times New Roman"/>
          <w:szCs w:val="20"/>
        </w:rPr>
        <w:t>will be produced by a contractor with cost-plus-fixed-fee line items for material and/or supply purchases.  The estimate provided to the Department by the contractor includes costs for contractor labor, supplies, equipment, printing materials, delivery, overhead, support staff, etc.</w:t>
      </w:r>
      <w:r w:rsidRPr="00803E0F">
        <w:rPr>
          <w:rFonts w:ascii="Times New Roman" w:eastAsia="Times New Roman" w:hAnsi="Times New Roman" w:cs="Times New Roman"/>
          <w:szCs w:val="24"/>
        </w:rPr>
        <w:t xml:space="preserve">  The current cost is $33.44 per 1000 forms</w:t>
      </w:r>
      <w:r>
        <w:rPr>
          <w:rFonts w:ascii="Times New Roman" w:eastAsia="Times New Roman" w:hAnsi="Times New Roman" w:cs="Times New Roman"/>
          <w:szCs w:val="24"/>
          <w:vertAlign w:val="superscript"/>
        </w:rPr>
        <w:endnoteReference w:id="5"/>
      </w:r>
      <w:r w:rsidRPr="00803E0F">
        <w:rPr>
          <w:rFonts w:ascii="Times New Roman" w:eastAsia="Times New Roman" w:hAnsi="Times New Roman" w:cs="Times New Roman"/>
          <w:szCs w:val="24"/>
        </w:rPr>
        <w:t>.  Based on the projected number of 362,900</w:t>
      </w:r>
      <w:r>
        <w:rPr>
          <w:rFonts w:ascii="Times New Roman" w:eastAsia="Times New Roman" w:hAnsi="Times New Roman" w:cs="Times New Roman"/>
          <w:szCs w:val="24"/>
        </w:rPr>
        <w:t xml:space="preserve"> </w:t>
      </w:r>
      <w:r w:rsidRPr="00803E0F">
        <w:rPr>
          <w:rFonts w:ascii="Times New Roman" w:eastAsia="Times New Roman" w:hAnsi="Times New Roman" w:cs="Times New Roman"/>
          <w:szCs w:val="24"/>
        </w:rPr>
        <w:t xml:space="preserve">respondents per year, at a cost of $33.44 per thousand, </w:t>
      </w:r>
      <w:bookmarkStart w:id="14" w:name="_Hlk131003625"/>
      <w:r w:rsidRPr="00803E0F">
        <w:rPr>
          <w:rFonts w:ascii="Times New Roman" w:eastAsia="Times New Roman" w:hAnsi="Times New Roman" w:cs="Times New Roman"/>
          <w:szCs w:val="24"/>
        </w:rPr>
        <w:t xml:space="preserve">the </w:t>
      </w:r>
      <w:r w:rsidRPr="00F07749">
        <w:rPr>
          <w:rFonts w:ascii="Times New Roman" w:eastAsia="Times New Roman" w:hAnsi="Times New Roman" w:cs="Times New Roman"/>
          <w:b/>
          <w:bCs/>
          <w:szCs w:val="24"/>
        </w:rPr>
        <w:t>estimated</w:t>
      </w:r>
      <w:r w:rsidRPr="00803E0F">
        <w:rPr>
          <w:rFonts w:ascii="Times New Roman" w:eastAsia="Times New Roman" w:hAnsi="Times New Roman" w:cs="Times New Roman"/>
          <w:b/>
          <w:bCs/>
          <w:szCs w:val="24"/>
        </w:rPr>
        <w:t xml:space="preserve"> total annual printing cost is </w:t>
      </w:r>
      <w:bookmarkEnd w:id="14"/>
      <w:r w:rsidRPr="00803E0F">
        <w:rPr>
          <w:rFonts w:ascii="Times New Roman" w:eastAsia="Times New Roman" w:hAnsi="Times New Roman" w:cs="Times New Roman"/>
          <w:b/>
          <w:bCs/>
          <w:szCs w:val="24"/>
        </w:rPr>
        <w:t>$</w:t>
      </w:r>
      <w:r>
        <w:rPr>
          <w:rFonts w:ascii="Times New Roman" w:eastAsia="Times New Roman" w:hAnsi="Times New Roman" w:cs="Times New Roman"/>
          <w:b/>
          <w:bCs/>
          <w:szCs w:val="24"/>
        </w:rPr>
        <w:t>12,1</w:t>
      </w:r>
      <w:r w:rsidR="003D762C">
        <w:rPr>
          <w:rFonts w:ascii="Times New Roman" w:eastAsia="Times New Roman" w:hAnsi="Times New Roman" w:cs="Times New Roman"/>
          <w:b/>
          <w:bCs/>
          <w:szCs w:val="24"/>
        </w:rPr>
        <w:t>40</w:t>
      </w:r>
      <w:r w:rsidRPr="00803E0F">
        <w:rPr>
          <w:rFonts w:ascii="Times New Roman" w:eastAsia="Times New Roman" w:hAnsi="Times New Roman" w:cs="Times New Roman"/>
          <w:b/>
          <w:bCs/>
          <w:szCs w:val="24"/>
        </w:rPr>
        <w:t>.</w:t>
      </w:r>
    </w:p>
    <w:p w:rsidR="00E7447E" w:rsidP="00803E0F" w14:paraId="28434FE4" w14:textId="77777777">
      <w:pPr>
        <w:spacing w:after="0"/>
        <w:ind w:left="720"/>
        <w:rPr>
          <w:rFonts w:ascii="Times New Roman" w:eastAsia="Times New Roman" w:hAnsi="Times New Roman" w:cs="Times New Roman"/>
          <w:b/>
          <w:bCs/>
          <w:szCs w:val="24"/>
        </w:rPr>
      </w:pPr>
    </w:p>
    <w:p w:rsidR="00E7447E" w:rsidP="00E7447E" w14:paraId="3F33C837" w14:textId="70038AF9">
      <w:pPr>
        <w:spacing w:after="0"/>
        <w:ind w:left="720"/>
        <w:rPr>
          <w:rFonts w:ascii="Times New Roman" w:eastAsia="Times New Roman" w:hAnsi="Times New Roman" w:cs="Times New Roman"/>
          <w:b/>
          <w:bCs/>
          <w:szCs w:val="24"/>
        </w:rPr>
      </w:pPr>
      <w:r w:rsidRPr="00E7447E">
        <w:rPr>
          <w:rFonts w:ascii="Times New Roman" w:eastAsia="Times New Roman" w:hAnsi="Times New Roman" w:cs="Times New Roman"/>
          <w:b/>
          <w:bCs/>
          <w:szCs w:val="24"/>
        </w:rPr>
        <w:t>Federal Register Notice</w:t>
      </w:r>
      <w:r w:rsidR="003A1BB1">
        <w:rPr>
          <w:rFonts w:ascii="Times New Roman" w:eastAsia="Times New Roman" w:hAnsi="Times New Roman" w:cs="Times New Roman"/>
          <w:b/>
          <w:bCs/>
          <w:szCs w:val="24"/>
        </w:rPr>
        <w:t xml:space="preserve"> Cost</w:t>
      </w:r>
      <w:r w:rsidRPr="00E7447E">
        <w:rPr>
          <w:rFonts w:ascii="Times New Roman" w:eastAsia="Times New Roman" w:hAnsi="Times New Roman" w:cs="Times New Roman"/>
          <w:b/>
          <w:bCs/>
          <w:szCs w:val="24"/>
        </w:rPr>
        <w:t>:</w:t>
      </w:r>
    </w:p>
    <w:p w:rsidR="00E7447E" w:rsidRPr="00E7447E" w:rsidP="00E7447E" w14:paraId="7A156CC6" w14:textId="77777777">
      <w:pPr>
        <w:spacing w:after="0"/>
        <w:ind w:left="720"/>
        <w:rPr>
          <w:rFonts w:ascii="Times New Roman" w:eastAsia="Times New Roman" w:hAnsi="Times New Roman" w:cs="Times New Roman"/>
          <w:b/>
          <w:bCs/>
          <w:szCs w:val="24"/>
        </w:rPr>
      </w:pPr>
    </w:p>
    <w:p w:rsidR="00E7447E" w:rsidRPr="00803E0F" w:rsidP="00803E0F" w14:paraId="7661C63E" w14:textId="2A9036B9">
      <w:pPr>
        <w:spacing w:after="0"/>
        <w:ind w:left="720"/>
        <w:rPr>
          <w:rFonts w:ascii="Times New Roman" w:eastAsia="Times New Roman" w:hAnsi="Times New Roman" w:cs="Times New Roman"/>
          <w:b/>
          <w:bCs/>
          <w:szCs w:val="24"/>
        </w:rPr>
      </w:pPr>
      <w:r w:rsidRPr="00E7447E">
        <w:rPr>
          <w:rFonts w:ascii="Times New Roman" w:eastAsia="Times New Roman" w:hAnsi="Times New Roman" w:cs="Times New Roman"/>
          <w:szCs w:val="20"/>
        </w:rPr>
        <w:t xml:space="preserve">The </w:t>
      </w:r>
      <w:r w:rsidR="00F30CEE">
        <w:rPr>
          <w:rFonts w:ascii="Times New Roman" w:eastAsia="Times New Roman" w:hAnsi="Times New Roman" w:cs="Times New Roman"/>
          <w:szCs w:val="20"/>
        </w:rPr>
        <w:t>cost</w:t>
      </w:r>
      <w:r w:rsidRPr="00E7447E">
        <w:rPr>
          <w:rFonts w:ascii="Times New Roman" w:eastAsia="Times New Roman" w:hAnsi="Times New Roman" w:cs="Times New Roman"/>
          <w:szCs w:val="20"/>
        </w:rPr>
        <w:t xml:space="preserve"> to publish </w:t>
      </w:r>
      <w:r w:rsidR="00242726">
        <w:rPr>
          <w:rFonts w:ascii="Times New Roman" w:eastAsia="Times New Roman" w:hAnsi="Times New Roman" w:cs="Times New Roman"/>
          <w:szCs w:val="20"/>
        </w:rPr>
        <w:t xml:space="preserve">both a 60-day </w:t>
      </w:r>
      <w:r w:rsidRPr="00E7447E">
        <w:rPr>
          <w:rFonts w:ascii="Times New Roman" w:eastAsia="Times New Roman" w:hAnsi="Times New Roman" w:cs="Times New Roman"/>
          <w:szCs w:val="20"/>
        </w:rPr>
        <w:t xml:space="preserve">Federal Register Notice (FRN) </w:t>
      </w:r>
      <w:r w:rsidR="00242726">
        <w:rPr>
          <w:rFonts w:ascii="Times New Roman" w:eastAsia="Times New Roman" w:hAnsi="Times New Roman" w:cs="Times New Roman"/>
          <w:szCs w:val="20"/>
        </w:rPr>
        <w:t xml:space="preserve">and a 30-day Federal Register Notice </w:t>
      </w:r>
      <w:r w:rsidRPr="00E7447E">
        <w:rPr>
          <w:rFonts w:ascii="Times New Roman" w:eastAsia="Times New Roman" w:hAnsi="Times New Roman" w:cs="Times New Roman"/>
          <w:szCs w:val="20"/>
        </w:rPr>
        <w:t>is $</w:t>
      </w:r>
      <w:r w:rsidR="00242726">
        <w:rPr>
          <w:rFonts w:ascii="Times New Roman" w:eastAsia="Times New Roman" w:hAnsi="Times New Roman" w:cs="Times New Roman"/>
          <w:szCs w:val="20"/>
        </w:rPr>
        <w:t>1,590</w:t>
      </w:r>
      <w:r w:rsidRPr="00E7447E">
        <w:rPr>
          <w:rFonts w:ascii="Times New Roman" w:eastAsia="Times New Roman" w:hAnsi="Times New Roman" w:cs="Times New Roman"/>
          <w:szCs w:val="20"/>
        </w:rPr>
        <w:t>.</w:t>
      </w:r>
    </w:p>
    <w:p w:rsidR="00C275E3" w:rsidP="00EB2598" w14:paraId="11B9C1C3" w14:textId="77777777">
      <w:pPr>
        <w:spacing w:after="120" w:line="240" w:lineRule="auto"/>
        <w:ind w:left="360"/>
        <w:rPr>
          <w:rFonts w:ascii="Times New Roman" w:eastAsia="Times New Roman" w:hAnsi="Times New Roman" w:cs="Times New Roman"/>
          <w:szCs w:val="24"/>
        </w:rPr>
      </w:pPr>
    </w:p>
    <w:tbl>
      <w:tblPr>
        <w:tblStyle w:val="TableGrid"/>
        <w:tblW w:w="8280" w:type="dxa"/>
        <w:tblInd w:w="828" w:type="dxa"/>
        <w:tblLayout w:type="fixed"/>
        <w:tblLook w:val="04A0"/>
      </w:tblPr>
      <w:tblGrid>
        <w:gridCol w:w="4500"/>
        <w:gridCol w:w="1980"/>
        <w:gridCol w:w="270"/>
        <w:gridCol w:w="1530"/>
      </w:tblGrid>
      <w:tr w14:paraId="26581655" w14:textId="77777777" w:rsidTr="003D762C">
        <w:tblPrEx>
          <w:tblW w:w="8280" w:type="dxa"/>
          <w:tblInd w:w="828" w:type="dxa"/>
          <w:tblLayout w:type="fixed"/>
          <w:tblLook w:val="04A0"/>
        </w:tblPrEx>
        <w:tc>
          <w:tcPr>
            <w:tcW w:w="4500" w:type="dxa"/>
          </w:tcPr>
          <w:p w:rsidR="00C275E3" w:rsidRPr="00ED44E1" w:rsidP="00645585" w14:paraId="4C071EBC" w14:textId="7057EA38">
            <w:pPr>
              <w:pStyle w:val="BodyTextIndent"/>
              <w:tabs>
                <w:tab w:val="clear" w:pos="720"/>
              </w:tabs>
              <w:ind w:left="0"/>
              <w:jc w:val="left"/>
              <w:rPr>
                <w:sz w:val="22"/>
                <w:szCs w:val="22"/>
              </w:rPr>
            </w:pPr>
            <w:r w:rsidRPr="003D762C">
              <w:rPr>
                <w:sz w:val="22"/>
                <w:szCs w:val="22"/>
              </w:rPr>
              <w:t xml:space="preserve">Time and </w:t>
            </w:r>
            <w:r>
              <w:rPr>
                <w:sz w:val="22"/>
                <w:szCs w:val="22"/>
              </w:rPr>
              <w:t>e</w:t>
            </w:r>
            <w:r w:rsidRPr="003D762C">
              <w:rPr>
                <w:sz w:val="22"/>
                <w:szCs w:val="22"/>
              </w:rPr>
              <w:t>xpense to adjudicate form</w:t>
            </w:r>
          </w:p>
        </w:tc>
        <w:tc>
          <w:tcPr>
            <w:tcW w:w="1980" w:type="dxa"/>
          </w:tcPr>
          <w:p w:rsidR="00C275E3" w:rsidRPr="00803B78" w:rsidP="00B62D7B" w14:paraId="4832E28B" w14:textId="755B2011">
            <w:pPr>
              <w:pStyle w:val="BodyTextIndent"/>
              <w:tabs>
                <w:tab w:val="clear" w:pos="720"/>
              </w:tabs>
              <w:ind w:left="0"/>
              <w:rPr>
                <w:sz w:val="22"/>
                <w:szCs w:val="22"/>
                <w:highlight w:val="yellow"/>
              </w:rPr>
            </w:pPr>
            <w:r w:rsidRPr="003D762C">
              <w:rPr>
                <w:szCs w:val="20"/>
              </w:rPr>
              <w:t>362,900</w:t>
            </w:r>
            <w:r>
              <w:rPr>
                <w:szCs w:val="20"/>
              </w:rPr>
              <w:t xml:space="preserve"> </w:t>
            </w:r>
            <w:r w:rsidRPr="003D762C">
              <w:rPr>
                <w:szCs w:val="20"/>
              </w:rPr>
              <w:t xml:space="preserve">x $0.82 </w:t>
            </w:r>
          </w:p>
        </w:tc>
        <w:tc>
          <w:tcPr>
            <w:tcW w:w="270" w:type="dxa"/>
            <w:vAlign w:val="center"/>
          </w:tcPr>
          <w:p w:rsidR="00C275E3" w:rsidRPr="00ED44E1" w:rsidP="00645585" w14:paraId="6329DCF0" w14:textId="77777777">
            <w:pPr>
              <w:pStyle w:val="BodyTextIndent"/>
              <w:tabs>
                <w:tab w:val="clear" w:pos="720"/>
              </w:tabs>
              <w:ind w:left="0"/>
              <w:jc w:val="center"/>
              <w:rPr>
                <w:sz w:val="22"/>
                <w:szCs w:val="22"/>
              </w:rPr>
            </w:pPr>
            <w:r w:rsidRPr="00ED44E1">
              <w:rPr>
                <w:sz w:val="22"/>
                <w:szCs w:val="22"/>
              </w:rPr>
              <w:t>=</w:t>
            </w:r>
          </w:p>
        </w:tc>
        <w:tc>
          <w:tcPr>
            <w:tcW w:w="1530" w:type="dxa"/>
          </w:tcPr>
          <w:p w:rsidR="00C275E3" w:rsidRPr="00ED44E1" w:rsidP="00B62D7B" w14:paraId="580DD959" w14:textId="59EFE7EB">
            <w:pPr>
              <w:pStyle w:val="BodyTextIndent"/>
              <w:tabs>
                <w:tab w:val="clear" w:pos="720"/>
              </w:tabs>
              <w:ind w:left="0"/>
              <w:rPr>
                <w:sz w:val="22"/>
                <w:szCs w:val="22"/>
              </w:rPr>
            </w:pPr>
            <w:r w:rsidRPr="004A637A">
              <w:rPr>
                <w:bCs/>
                <w:sz w:val="22"/>
                <w:szCs w:val="22"/>
              </w:rPr>
              <w:t>$</w:t>
            </w:r>
            <w:r w:rsidRPr="003D762C">
              <w:rPr>
                <w:bCs/>
                <w:sz w:val="22"/>
                <w:szCs w:val="22"/>
              </w:rPr>
              <w:t>297,600</w:t>
            </w:r>
          </w:p>
        </w:tc>
      </w:tr>
      <w:tr w14:paraId="3CF45A0D" w14:textId="77777777" w:rsidTr="003D762C">
        <w:tblPrEx>
          <w:tblW w:w="8280" w:type="dxa"/>
          <w:tblInd w:w="828" w:type="dxa"/>
          <w:tblLayout w:type="fixed"/>
          <w:tblLook w:val="04A0"/>
        </w:tblPrEx>
        <w:tc>
          <w:tcPr>
            <w:tcW w:w="4500" w:type="dxa"/>
          </w:tcPr>
          <w:p w:rsidR="000750E8" w:rsidRPr="00ED44E1" w:rsidP="00645585" w14:paraId="2E48CD2A" w14:textId="1D193F25">
            <w:pPr>
              <w:pStyle w:val="BodyTextIndent"/>
              <w:tabs>
                <w:tab w:val="clear" w:pos="720"/>
              </w:tabs>
              <w:ind w:left="0"/>
              <w:jc w:val="left"/>
              <w:rPr>
                <w:sz w:val="22"/>
                <w:szCs w:val="22"/>
              </w:rPr>
            </w:pPr>
            <w:r w:rsidRPr="003D762C">
              <w:rPr>
                <w:sz w:val="22"/>
                <w:szCs w:val="22"/>
              </w:rPr>
              <w:t>Cost to print form</w:t>
            </w:r>
          </w:p>
        </w:tc>
        <w:tc>
          <w:tcPr>
            <w:tcW w:w="1980" w:type="dxa"/>
          </w:tcPr>
          <w:p w:rsidR="000750E8" w:rsidRPr="00ED44E1" w:rsidP="00B62D7B" w14:paraId="39F39242" w14:textId="7AC6A0B0">
            <w:pPr>
              <w:pStyle w:val="BodyTextIndent"/>
              <w:tabs>
                <w:tab w:val="clear" w:pos="720"/>
              </w:tabs>
              <w:ind w:left="0"/>
              <w:rPr>
                <w:sz w:val="22"/>
                <w:szCs w:val="22"/>
              </w:rPr>
            </w:pPr>
            <w:r>
              <w:rPr>
                <w:szCs w:val="20"/>
              </w:rPr>
              <w:t xml:space="preserve">362,900 x </w:t>
            </w:r>
            <w:r w:rsidRPr="00270A6C">
              <w:t>.03344</w:t>
            </w:r>
          </w:p>
        </w:tc>
        <w:tc>
          <w:tcPr>
            <w:tcW w:w="270" w:type="dxa"/>
            <w:vAlign w:val="center"/>
          </w:tcPr>
          <w:p w:rsidR="000750E8" w:rsidRPr="00ED44E1" w:rsidP="00645585" w14:paraId="503ECB30" w14:textId="3F986B0E">
            <w:pPr>
              <w:pStyle w:val="BodyTextIndent"/>
              <w:tabs>
                <w:tab w:val="clear" w:pos="720"/>
              </w:tabs>
              <w:ind w:left="0"/>
              <w:jc w:val="center"/>
              <w:rPr>
                <w:sz w:val="22"/>
                <w:szCs w:val="22"/>
              </w:rPr>
            </w:pPr>
            <w:r>
              <w:rPr>
                <w:sz w:val="22"/>
                <w:szCs w:val="22"/>
              </w:rPr>
              <w:t>=</w:t>
            </w:r>
          </w:p>
        </w:tc>
        <w:tc>
          <w:tcPr>
            <w:tcW w:w="1530" w:type="dxa"/>
          </w:tcPr>
          <w:p w:rsidR="000750E8" w:rsidRPr="003D762C" w:rsidP="00B62D7B" w14:paraId="1405C8C8" w14:textId="6637F982">
            <w:pPr>
              <w:pStyle w:val="BodyTextIndent"/>
              <w:tabs>
                <w:tab w:val="clear" w:pos="720"/>
              </w:tabs>
              <w:ind w:left="0"/>
              <w:rPr>
                <w:sz w:val="22"/>
                <w:szCs w:val="22"/>
              </w:rPr>
            </w:pPr>
            <w:r w:rsidRPr="00AF0A59">
              <w:rPr>
                <w:sz w:val="22"/>
                <w:szCs w:val="22"/>
              </w:rPr>
              <w:t>$12,140</w:t>
            </w:r>
          </w:p>
        </w:tc>
      </w:tr>
      <w:tr w14:paraId="7406E850" w14:textId="77777777" w:rsidTr="003D762C">
        <w:tblPrEx>
          <w:tblW w:w="8280" w:type="dxa"/>
          <w:tblInd w:w="828" w:type="dxa"/>
          <w:tblLayout w:type="fixed"/>
          <w:tblLook w:val="04A0"/>
        </w:tblPrEx>
        <w:trPr>
          <w:trHeight w:val="377"/>
        </w:trPr>
        <w:tc>
          <w:tcPr>
            <w:tcW w:w="4500" w:type="dxa"/>
          </w:tcPr>
          <w:p w:rsidR="003D762C" w:rsidRPr="00ED44E1" w:rsidP="003D762C" w14:paraId="1C5D7D0B" w14:textId="084D786B">
            <w:pPr>
              <w:pStyle w:val="BodyTextIndent"/>
              <w:tabs>
                <w:tab w:val="clear" w:pos="720"/>
              </w:tabs>
              <w:ind w:left="0"/>
              <w:jc w:val="left"/>
              <w:rPr>
                <w:sz w:val="22"/>
                <w:szCs w:val="22"/>
              </w:rPr>
            </w:pPr>
            <w:r>
              <w:rPr>
                <w:sz w:val="22"/>
                <w:szCs w:val="22"/>
              </w:rPr>
              <w:t xml:space="preserve">Cost to publish </w:t>
            </w:r>
            <w:r w:rsidR="00561218">
              <w:rPr>
                <w:sz w:val="22"/>
                <w:szCs w:val="22"/>
              </w:rPr>
              <w:t>two</w:t>
            </w:r>
            <w:r>
              <w:rPr>
                <w:sz w:val="22"/>
                <w:szCs w:val="22"/>
              </w:rPr>
              <w:t xml:space="preserve"> Federal Register Notice</w:t>
            </w:r>
            <w:r w:rsidR="00561218">
              <w:rPr>
                <w:sz w:val="22"/>
                <w:szCs w:val="22"/>
              </w:rPr>
              <w:t>s</w:t>
            </w:r>
            <w:r>
              <w:rPr>
                <w:sz w:val="22"/>
                <w:szCs w:val="22"/>
              </w:rPr>
              <w:t xml:space="preserve"> </w:t>
            </w:r>
          </w:p>
        </w:tc>
        <w:tc>
          <w:tcPr>
            <w:tcW w:w="1980" w:type="dxa"/>
            <w:vAlign w:val="center"/>
          </w:tcPr>
          <w:p w:rsidR="003D762C" w:rsidRPr="00ED44E1" w:rsidP="003D762C" w14:paraId="4992D162" w14:textId="1E11D178">
            <w:pPr>
              <w:pStyle w:val="BodyTextIndent"/>
              <w:tabs>
                <w:tab w:val="clear" w:pos="720"/>
              </w:tabs>
              <w:ind w:left="0"/>
              <w:rPr>
                <w:sz w:val="22"/>
                <w:szCs w:val="22"/>
              </w:rPr>
            </w:pPr>
            <w:r>
              <w:rPr>
                <w:szCs w:val="20"/>
              </w:rPr>
              <w:t>2</w:t>
            </w:r>
            <w:r w:rsidRPr="00AF0A59" w:rsidR="00AF0A59">
              <w:rPr>
                <w:szCs w:val="20"/>
              </w:rPr>
              <w:t xml:space="preserve"> x $795</w:t>
            </w:r>
          </w:p>
        </w:tc>
        <w:tc>
          <w:tcPr>
            <w:tcW w:w="270" w:type="dxa"/>
            <w:vAlign w:val="center"/>
          </w:tcPr>
          <w:p w:rsidR="003D762C" w:rsidRPr="00ED44E1" w:rsidP="003D762C" w14:paraId="207773E5" w14:textId="77777777">
            <w:pPr>
              <w:pStyle w:val="BodyTextIndent"/>
              <w:tabs>
                <w:tab w:val="clear" w:pos="720"/>
              </w:tabs>
              <w:ind w:left="0"/>
              <w:jc w:val="center"/>
              <w:rPr>
                <w:sz w:val="22"/>
                <w:szCs w:val="22"/>
              </w:rPr>
            </w:pPr>
            <w:r w:rsidRPr="00ED44E1">
              <w:rPr>
                <w:sz w:val="22"/>
                <w:szCs w:val="22"/>
              </w:rPr>
              <w:t>=</w:t>
            </w:r>
          </w:p>
        </w:tc>
        <w:tc>
          <w:tcPr>
            <w:tcW w:w="1530" w:type="dxa"/>
            <w:vAlign w:val="center"/>
          </w:tcPr>
          <w:p w:rsidR="003D762C" w:rsidRPr="00326772" w:rsidP="003D762C" w14:paraId="21A5E31F" w14:textId="7C6CD2AC">
            <w:pPr>
              <w:pStyle w:val="BodyTextIndent"/>
              <w:tabs>
                <w:tab w:val="clear" w:pos="720"/>
              </w:tabs>
              <w:ind w:left="0"/>
              <w:rPr>
                <w:sz w:val="22"/>
                <w:szCs w:val="22"/>
              </w:rPr>
            </w:pPr>
            <w:r w:rsidRPr="00326772">
              <w:rPr>
                <w:sz w:val="22"/>
                <w:szCs w:val="22"/>
              </w:rPr>
              <w:t>$</w:t>
            </w:r>
            <w:r w:rsidR="00242726">
              <w:rPr>
                <w:sz w:val="22"/>
                <w:szCs w:val="22"/>
              </w:rPr>
              <w:t>1,590</w:t>
            </w:r>
          </w:p>
        </w:tc>
      </w:tr>
      <w:tr w14:paraId="41532C70" w14:textId="77777777" w:rsidTr="003D762C">
        <w:tblPrEx>
          <w:tblW w:w="8280" w:type="dxa"/>
          <w:tblInd w:w="828" w:type="dxa"/>
          <w:tblLayout w:type="fixed"/>
          <w:tblLook w:val="04A0"/>
        </w:tblPrEx>
        <w:tc>
          <w:tcPr>
            <w:tcW w:w="4500" w:type="dxa"/>
          </w:tcPr>
          <w:p w:rsidR="003D762C" w:rsidRPr="00ED44E1" w:rsidP="003D762C" w14:paraId="480B2CEA" w14:textId="77777777">
            <w:pPr>
              <w:tabs>
                <w:tab w:val="left" w:pos="360"/>
              </w:tabs>
              <w:rPr>
                <w:rFonts w:ascii="Times New Roman" w:hAnsi="Times New Roman"/>
                <w:b/>
                <w:sz w:val="22"/>
                <w:szCs w:val="22"/>
              </w:rPr>
            </w:pPr>
            <w:r w:rsidRPr="00ED44E1">
              <w:rPr>
                <w:rFonts w:ascii="Times New Roman" w:hAnsi="Times New Roman"/>
                <w:b/>
                <w:sz w:val="22"/>
                <w:szCs w:val="22"/>
              </w:rPr>
              <w:t>Total Cost to Federal Government</w:t>
            </w:r>
          </w:p>
        </w:tc>
        <w:tc>
          <w:tcPr>
            <w:tcW w:w="1980" w:type="dxa"/>
          </w:tcPr>
          <w:p w:rsidR="003D762C" w:rsidRPr="00ED44E1" w:rsidP="003D762C" w14:paraId="6FC6DD8E" w14:textId="77777777">
            <w:pPr>
              <w:tabs>
                <w:tab w:val="left" w:pos="360"/>
              </w:tabs>
              <w:jc w:val="both"/>
              <w:rPr>
                <w:rFonts w:ascii="Times New Roman" w:hAnsi="Times New Roman"/>
                <w:sz w:val="22"/>
                <w:szCs w:val="22"/>
              </w:rPr>
            </w:pPr>
          </w:p>
        </w:tc>
        <w:tc>
          <w:tcPr>
            <w:tcW w:w="270" w:type="dxa"/>
          </w:tcPr>
          <w:p w:rsidR="003D762C" w:rsidRPr="00ED44E1" w:rsidP="003D762C" w14:paraId="3B2E748A" w14:textId="77777777">
            <w:pPr>
              <w:tabs>
                <w:tab w:val="left" w:pos="360"/>
              </w:tabs>
              <w:jc w:val="both"/>
              <w:rPr>
                <w:rFonts w:ascii="Times New Roman" w:hAnsi="Times New Roman"/>
                <w:b/>
                <w:sz w:val="22"/>
                <w:szCs w:val="22"/>
              </w:rPr>
            </w:pPr>
          </w:p>
        </w:tc>
        <w:tc>
          <w:tcPr>
            <w:tcW w:w="1530" w:type="dxa"/>
          </w:tcPr>
          <w:p w:rsidR="003D762C" w:rsidRPr="00326772" w:rsidP="003D762C" w14:paraId="0039B7F7" w14:textId="000A6724">
            <w:pPr>
              <w:tabs>
                <w:tab w:val="left" w:pos="360"/>
              </w:tabs>
              <w:jc w:val="both"/>
              <w:rPr>
                <w:rFonts w:ascii="Times New Roman" w:hAnsi="Times New Roman"/>
                <w:b/>
                <w:sz w:val="22"/>
                <w:szCs w:val="22"/>
              </w:rPr>
            </w:pPr>
            <w:r w:rsidRPr="00326772">
              <w:rPr>
                <w:rFonts w:ascii="Times New Roman" w:hAnsi="Times New Roman"/>
                <w:b/>
                <w:sz w:val="22"/>
                <w:szCs w:val="22"/>
              </w:rPr>
              <w:t>$</w:t>
            </w:r>
            <w:r w:rsidR="00242726">
              <w:rPr>
                <w:rFonts w:ascii="Times New Roman" w:hAnsi="Times New Roman"/>
                <w:b/>
                <w:sz w:val="22"/>
                <w:szCs w:val="22"/>
              </w:rPr>
              <w:t>311,330</w:t>
            </w:r>
          </w:p>
        </w:tc>
      </w:tr>
    </w:tbl>
    <w:p w:rsidR="00C275E3" w:rsidRPr="006007AB" w:rsidP="00EB2598" w14:paraId="73ADC6C9" w14:textId="77777777">
      <w:pPr>
        <w:spacing w:after="120" w:line="240" w:lineRule="auto"/>
        <w:ind w:left="360"/>
        <w:rPr>
          <w:rFonts w:ascii="Times New Roman" w:eastAsia="Times New Roman" w:hAnsi="Times New Roman" w:cs="Times New Roman"/>
          <w:i/>
          <w:color w:val="000000" w:themeColor="text1"/>
          <w:szCs w:val="24"/>
        </w:rPr>
      </w:pPr>
    </w:p>
    <w:p w:rsidR="00EB2598" w:rsidP="00EB2598" w14:paraId="07F3C77B" w14:textId="430B4A96">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rsidR="003F3456" w:rsidP="00D87DB3" w14:paraId="43E924C7" w14:textId="09994108">
      <w:pPr>
        <w:ind w:left="720"/>
      </w:pPr>
      <w:r w:rsidRPr="003F3456">
        <w:rPr>
          <w:rFonts w:ascii="Times New Roman" w:hAnsi="Times New Roman" w:cs="Times New Roman"/>
        </w:rPr>
        <w:t>In addition to general format changes, the following content changes have been made to the form:</w:t>
      </w:r>
    </w:p>
    <w:p w:rsidR="0064586E" w:rsidP="0064586E" w14:paraId="14C99330" w14:textId="77777777">
      <w:pPr>
        <w:pStyle w:val="xxxmsonormal"/>
        <w:rPr>
          <w:rFonts w:ascii="Times New Roman" w:hAnsi="Times New Roman" w:cs="Times New Roman"/>
          <w:sz w:val="24"/>
          <w:szCs w:val="24"/>
        </w:rPr>
      </w:pPr>
      <w:r w:rsidRPr="00D87DB3">
        <w:rPr>
          <w:rFonts w:ascii="Times New Roman" w:hAnsi="Times New Roman" w:cs="Times New Roman"/>
          <w:sz w:val="24"/>
          <w:szCs w:val="24"/>
        </w:rPr>
        <w:t>Page 1</w:t>
      </w:r>
    </w:p>
    <w:p w:rsidR="00D87DB3" w:rsidRPr="00D87DB3" w:rsidP="0064586E" w14:paraId="634E8B7A" w14:textId="77777777">
      <w:pPr>
        <w:pStyle w:val="xxxmsonormal"/>
        <w:rPr>
          <w:rFonts w:ascii="Times New Roman" w:hAnsi="Times New Roman" w:cs="Times New Roman"/>
        </w:rPr>
      </w:pPr>
    </w:p>
    <w:p w:rsidR="005D7864" w:rsidP="00D87DB3" w14:paraId="0A43AB0C" w14:textId="77777777">
      <w:pPr>
        <w:pStyle w:val="xxxmsonormal"/>
        <w:rPr>
          <w:rFonts w:ascii="Times New Roman" w:hAnsi="Times New Roman" w:cs="Times New Roman"/>
          <w:sz w:val="24"/>
          <w:szCs w:val="24"/>
        </w:rPr>
      </w:pPr>
      <w:r w:rsidRPr="00D87DB3">
        <w:rPr>
          <w:rFonts w:ascii="Times New Roman" w:hAnsi="Times New Roman" w:cs="Times New Roman"/>
          <w:sz w:val="24"/>
          <w:szCs w:val="24"/>
        </w:rPr>
        <w:t>U</w:t>
      </w:r>
      <w:r w:rsidR="00D87DB3">
        <w:rPr>
          <w:rFonts w:ascii="Times New Roman" w:hAnsi="Times New Roman" w:cs="Times New Roman"/>
          <w:sz w:val="24"/>
          <w:szCs w:val="24"/>
        </w:rPr>
        <w:t xml:space="preserve">SE OF THIS FORM: </w:t>
      </w:r>
    </w:p>
    <w:p w:rsidR="0064586E" w:rsidRPr="00D87DB3" w:rsidP="005D7864" w14:paraId="69AD56F2" w14:textId="6AE41C36">
      <w:pPr>
        <w:pStyle w:val="xxxmsonormal"/>
        <w:numPr>
          <w:ilvl w:val="0"/>
          <w:numId w:val="13"/>
        </w:numPr>
        <w:rPr>
          <w:rFonts w:ascii="Times New Roman" w:eastAsia="Times New Roman" w:hAnsi="Times New Roman" w:cs="Times New Roman"/>
        </w:rPr>
      </w:pPr>
      <w:r w:rsidRPr="00D87DB3">
        <w:rPr>
          <w:rFonts w:ascii="Times New Roman" w:eastAsia="Times New Roman" w:hAnsi="Times New Roman" w:cs="Times New Roman"/>
          <w:sz w:val="24"/>
          <w:szCs w:val="24"/>
        </w:rPr>
        <w:t xml:space="preserve">Added </w:t>
      </w:r>
      <w:r w:rsidR="00D87DB3">
        <w:rPr>
          <w:rFonts w:ascii="Times New Roman" w:eastAsia="Times New Roman" w:hAnsi="Times New Roman" w:cs="Times New Roman"/>
          <w:sz w:val="24"/>
          <w:szCs w:val="24"/>
        </w:rPr>
        <w:t xml:space="preserve">NOTE </w:t>
      </w:r>
      <w:r w:rsidRPr="00D87DB3">
        <w:rPr>
          <w:rFonts w:ascii="Times New Roman" w:eastAsia="Times New Roman" w:hAnsi="Times New Roman" w:cs="Times New Roman"/>
          <w:sz w:val="24"/>
          <w:szCs w:val="24"/>
        </w:rPr>
        <w:t>information regarding sole authority to reduce burden to parents who do not need to fill out this form.</w:t>
      </w:r>
    </w:p>
    <w:p w:rsidR="0064586E" w:rsidRPr="00D87DB3" w:rsidP="0064586E" w14:paraId="361726CC" w14:textId="523583A0">
      <w:pPr>
        <w:pStyle w:val="xxxmsolistparagraph"/>
        <w:numPr>
          <w:ilvl w:val="0"/>
          <w:numId w:val="10"/>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sz w:val="24"/>
          <w:szCs w:val="24"/>
        </w:rPr>
        <w:t xml:space="preserve">HOW TO COMPLETE THIS FORM: </w:t>
      </w:r>
      <w:r w:rsidRPr="00D87DB3">
        <w:rPr>
          <w:rFonts w:ascii="Times New Roman" w:eastAsia="Times New Roman" w:hAnsi="Times New Roman" w:cs="Times New Roman"/>
          <w:sz w:val="24"/>
          <w:szCs w:val="24"/>
        </w:rPr>
        <w:t xml:space="preserve">Added </w:t>
      </w:r>
      <w:r w:rsidR="005D7864">
        <w:rPr>
          <w:rFonts w:ascii="Times New Roman" w:eastAsia="Times New Roman" w:hAnsi="Times New Roman" w:cs="Times New Roman"/>
          <w:sz w:val="24"/>
          <w:szCs w:val="24"/>
        </w:rPr>
        <w:t>–</w:t>
      </w:r>
      <w:r w:rsidRPr="00D87DB3">
        <w:rPr>
          <w:rFonts w:ascii="Times New Roman" w:eastAsia="Times New Roman" w:hAnsi="Times New Roman" w:cs="Times New Roman"/>
          <w:sz w:val="24"/>
          <w:szCs w:val="24"/>
        </w:rPr>
        <w:t xml:space="preserve"> </w:t>
      </w:r>
      <w:r w:rsidR="005D7864">
        <w:rPr>
          <w:rFonts w:ascii="Times New Roman" w:eastAsia="Times New Roman" w:hAnsi="Times New Roman" w:cs="Times New Roman"/>
          <w:sz w:val="24"/>
          <w:szCs w:val="24"/>
        </w:rPr>
        <w:t>“</w:t>
      </w:r>
      <w:r w:rsidRPr="00D87DB3">
        <w:rPr>
          <w:rFonts w:ascii="Times New Roman" w:eastAsia="Times New Roman" w:hAnsi="Times New Roman" w:cs="Times New Roman"/>
          <w:sz w:val="24"/>
          <w:szCs w:val="24"/>
        </w:rPr>
        <w:t>In certain countries, this form or statement must be notarized at a U.S. embassy or consulate and cannot be notarized by a local notary public. Go to the U.S. embassy or consulate webpage for more information.</w:t>
      </w:r>
      <w:r w:rsidR="005D7864">
        <w:rPr>
          <w:rFonts w:ascii="Times New Roman" w:eastAsia="Times New Roman" w:hAnsi="Times New Roman" w:cs="Times New Roman"/>
          <w:sz w:val="24"/>
          <w:szCs w:val="24"/>
        </w:rPr>
        <w:t>”</w:t>
      </w:r>
      <w:r w:rsidRPr="00D87DB3">
        <w:rPr>
          <w:rFonts w:ascii="Times New Roman" w:eastAsia="Times New Roman" w:hAnsi="Times New Roman" w:cs="Times New Roman"/>
          <w:sz w:val="24"/>
          <w:szCs w:val="24"/>
        </w:rPr>
        <w:t xml:space="preserve"> </w:t>
      </w:r>
    </w:p>
    <w:p w:rsidR="0064586E" w:rsidRPr="00D87DB3" w:rsidP="0064586E" w14:paraId="3138214C" w14:textId="77777777">
      <w:pPr>
        <w:pStyle w:val="xxxmsonormal"/>
        <w:rPr>
          <w:rFonts w:ascii="Times New Roman" w:hAnsi="Times New Roman" w:cs="Times New Roman"/>
        </w:rPr>
      </w:pPr>
    </w:p>
    <w:p w:rsidR="009A5235" w:rsidP="0064586E" w14:paraId="222C1319" w14:textId="77777777">
      <w:pPr>
        <w:pStyle w:val="xxxmsonormal"/>
        <w:rPr>
          <w:rFonts w:ascii="Times New Roman" w:hAnsi="Times New Roman" w:cs="Times New Roman"/>
          <w:sz w:val="24"/>
          <w:szCs w:val="24"/>
        </w:rPr>
      </w:pPr>
      <w:r w:rsidRPr="00D87DB3">
        <w:rPr>
          <w:rFonts w:ascii="Times New Roman" w:hAnsi="Times New Roman" w:cs="Times New Roman"/>
          <w:sz w:val="24"/>
          <w:szCs w:val="24"/>
        </w:rPr>
        <w:t xml:space="preserve">Page 2 </w:t>
      </w:r>
    </w:p>
    <w:p w:rsidR="0064586E" w:rsidRPr="00D87DB3" w:rsidP="0064586E" w14:paraId="51623B7F" w14:textId="44E33309">
      <w:pPr>
        <w:pStyle w:val="xxxmsonormal"/>
        <w:rPr>
          <w:rFonts w:ascii="Times New Roman" w:hAnsi="Times New Roman" w:cs="Times New Roman"/>
        </w:rPr>
      </w:pPr>
    </w:p>
    <w:p w:rsidR="0064586E" w:rsidRPr="005D587F" w:rsidP="005D587F" w14:paraId="12321FEC" w14:textId="37E24FF2">
      <w:pPr>
        <w:pStyle w:val="xxxmsolistparagraph"/>
        <w:numPr>
          <w:ilvl w:val="0"/>
          <w:numId w:val="12"/>
        </w:numPr>
        <w:spacing w:before="0" w:beforeAutospacing="0" w:after="0" w:afterAutospacing="0"/>
        <w:rPr>
          <w:rFonts w:ascii="Times New Roman" w:eastAsia="Times New Roman" w:hAnsi="Times New Roman" w:cs="Times New Roman"/>
        </w:rPr>
      </w:pPr>
      <w:r w:rsidRPr="005D587F">
        <w:rPr>
          <w:rFonts w:ascii="Times New Roman" w:eastAsia="Times New Roman" w:hAnsi="Times New Roman" w:cs="Times New Roman"/>
          <w:sz w:val="24"/>
          <w:szCs w:val="24"/>
        </w:rPr>
        <w:t>Updated the consent statement to reflect relationship to child and consent validity.</w:t>
      </w:r>
    </w:p>
    <w:p w:rsidR="0064586E" w:rsidRPr="00D87DB3" w:rsidP="0064586E" w14:paraId="27FF557C" w14:textId="7353AD70">
      <w:pPr>
        <w:pStyle w:val="xxxmsolistparagraph"/>
        <w:numPr>
          <w:ilvl w:val="0"/>
          <w:numId w:val="1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sz w:val="24"/>
          <w:szCs w:val="24"/>
        </w:rPr>
        <w:t>Added s</w:t>
      </w:r>
      <w:r w:rsidRPr="00D87DB3">
        <w:rPr>
          <w:rFonts w:ascii="Times New Roman" w:eastAsia="Times New Roman" w:hAnsi="Times New Roman" w:cs="Times New Roman"/>
          <w:sz w:val="24"/>
          <w:szCs w:val="24"/>
        </w:rPr>
        <w:t>econd affiant signature and photo ID block for cases of consent from both parents/guardians.</w:t>
      </w:r>
    </w:p>
    <w:p w:rsidR="003F3456" w:rsidP="003F3456" w14:paraId="6234B0FF" w14:textId="77777777">
      <w:pPr>
        <w:pStyle w:val="BodyTextIndent"/>
        <w:tabs>
          <w:tab w:val="clear" w:pos="720"/>
        </w:tabs>
      </w:pPr>
    </w:p>
    <w:p w:rsidR="00EB2598" w:rsidRPr="003F3456" w:rsidP="00CB1C78" w14:paraId="298AFE14" w14:textId="52D35DFE">
      <w:pPr>
        <w:pStyle w:val="ListParagraph"/>
        <w:spacing w:after="120"/>
        <w:ind w:left="2160"/>
        <w:rPr>
          <w:i/>
          <w:color w:val="000000" w:themeColor="text1"/>
        </w:rPr>
      </w:pPr>
    </w:p>
    <w:p w:rsidR="00EB2598" w:rsidRPr="006007AB" w:rsidP="00EB2598" w14:paraId="54420B53"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rsidR="00EB2598" w:rsidP="003C16C7" w14:paraId="04B942A0" w14:textId="41EDA7FB">
      <w:pPr>
        <w:spacing w:after="120" w:line="240" w:lineRule="auto"/>
        <w:ind w:left="720"/>
        <w:rPr>
          <w:rFonts w:ascii="Times New Roman" w:eastAsia="Times New Roman" w:hAnsi="Times New Roman" w:cs="Times New Roman"/>
          <w:szCs w:val="24"/>
        </w:rPr>
      </w:pPr>
      <w:r w:rsidRPr="003F3456">
        <w:rPr>
          <w:rFonts w:ascii="Times New Roman" w:eastAsia="Times New Roman" w:hAnsi="Times New Roman" w:cs="Times New Roman"/>
          <w:szCs w:val="24"/>
        </w:rPr>
        <w:t xml:space="preserve">Quantitative summaries of Department of State passport activities are published periodically on the Department of State website at:  </w:t>
      </w:r>
      <w:hyperlink r:id="rId11" w:history="1">
        <w:r w:rsidRPr="003F3456">
          <w:rPr>
            <w:rStyle w:val="Hyperlink"/>
            <w:rFonts w:ascii="Times New Roman" w:eastAsia="Times New Roman" w:hAnsi="Times New Roman" w:cs="Times New Roman"/>
            <w:szCs w:val="24"/>
          </w:rPr>
          <w:t>http://www.travel.state.gov/</w:t>
        </w:r>
      </w:hyperlink>
      <w:r w:rsidRPr="003F3456">
        <w:rPr>
          <w:rFonts w:ascii="Times New Roman" w:eastAsia="Times New Roman" w:hAnsi="Times New Roman" w:cs="Times New Roman"/>
          <w:szCs w:val="24"/>
        </w:rPr>
        <w:t>.  Such summaries do not involve the use of complex analytical techniques.</w:t>
      </w:r>
    </w:p>
    <w:p w:rsidR="003A42BC" w:rsidRPr="006007AB" w:rsidP="00EB2598" w14:paraId="55520DCA" w14:textId="77777777">
      <w:pPr>
        <w:spacing w:after="120" w:line="240" w:lineRule="auto"/>
        <w:ind w:left="360"/>
        <w:rPr>
          <w:rFonts w:ascii="Times New Roman" w:eastAsia="Times New Roman" w:hAnsi="Times New Roman" w:cs="Times New Roman"/>
          <w:i/>
          <w:color w:val="000000" w:themeColor="text1"/>
          <w:szCs w:val="24"/>
        </w:rPr>
      </w:pPr>
    </w:p>
    <w:p w:rsidR="003F3456" w:rsidP="00EB2598" w14:paraId="523DB4F0"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If applicable, explain the reason(s) for seeking approval to not display the OMB expiration date.  </w:t>
      </w:r>
    </w:p>
    <w:p w:rsidR="00EB2598" w:rsidP="003C16C7" w14:paraId="24533999" w14:textId="61FFB9BA">
      <w:pPr>
        <w:spacing w:after="120" w:line="240" w:lineRule="auto"/>
        <w:ind w:left="360" w:firstLine="360"/>
        <w:rPr>
          <w:rFonts w:ascii="Times New Roman" w:eastAsia="Times New Roman" w:hAnsi="Times New Roman" w:cs="Times New Roman"/>
          <w:szCs w:val="20"/>
        </w:rPr>
      </w:pPr>
      <w:r w:rsidRPr="003F3456">
        <w:rPr>
          <w:rFonts w:ascii="Times New Roman" w:eastAsia="Times New Roman" w:hAnsi="Times New Roman" w:cs="Times New Roman"/>
          <w:szCs w:val="20"/>
        </w:rPr>
        <w:t>The expiration date for OMB approval will be displayed.</w:t>
      </w:r>
    </w:p>
    <w:p w:rsidR="003A42BC" w:rsidRPr="006007AB" w:rsidP="003F3456" w14:paraId="2A8511B4" w14:textId="77777777">
      <w:pPr>
        <w:spacing w:after="120" w:line="240" w:lineRule="auto"/>
        <w:ind w:left="360"/>
        <w:rPr>
          <w:rFonts w:ascii="Times New Roman" w:eastAsia="Times New Roman" w:hAnsi="Times New Roman" w:cs="Times New Roman"/>
          <w:i/>
          <w:color w:val="000000" w:themeColor="text1"/>
          <w:szCs w:val="24"/>
        </w:rPr>
      </w:pPr>
    </w:p>
    <w:p w:rsidR="003F3456" w:rsidP="00EB2598" w14:paraId="27D57754" w14:textId="77777777">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exceptions to the OMB certification statement below.</w:t>
      </w:r>
    </w:p>
    <w:p w:rsidR="00EB2598" w:rsidP="003C16C7" w14:paraId="434F95B3" w14:textId="4B93CCBB">
      <w:pPr>
        <w:spacing w:after="120" w:line="240" w:lineRule="auto"/>
        <w:ind w:left="360" w:firstLine="360"/>
        <w:rPr>
          <w:rFonts w:ascii="Times New Roman" w:eastAsia="Times New Roman" w:hAnsi="Times New Roman" w:cs="Times New Roman"/>
          <w:szCs w:val="20"/>
        </w:rPr>
      </w:pPr>
      <w:r w:rsidRPr="003F3456">
        <w:rPr>
          <w:rFonts w:ascii="Times New Roman" w:eastAsia="Times New Roman" w:hAnsi="Times New Roman" w:cs="Times New Roman"/>
          <w:szCs w:val="20"/>
        </w:rPr>
        <w:t>The Department is not requesting any exceptions to the certification statement.</w:t>
      </w:r>
    </w:p>
    <w:p w:rsidR="00910E21" w:rsidRPr="006007AB" w:rsidP="003F3456" w14:paraId="0021F40F" w14:textId="77777777">
      <w:pPr>
        <w:spacing w:after="120" w:line="240" w:lineRule="auto"/>
        <w:ind w:left="360"/>
        <w:rPr>
          <w:rFonts w:ascii="Times New Roman" w:eastAsia="Times New Roman" w:hAnsi="Times New Roman" w:cs="Times New Roman"/>
          <w:i/>
          <w:color w:val="000000" w:themeColor="text1"/>
          <w:szCs w:val="24"/>
        </w:rPr>
      </w:pPr>
    </w:p>
    <w:p w:rsidR="00EB2598" w:rsidRPr="006007AB" w:rsidP="00EB2598" w14:paraId="5F2ED91B" w14:textId="77777777">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rsidR="00EB1B69" w:rsidP="003F3456" w14:paraId="234BBBEC" w14:textId="77777777">
      <w:pPr>
        <w:spacing w:after="120" w:line="240" w:lineRule="auto"/>
      </w:pPr>
      <w:r w:rsidRPr="006007AB">
        <w:rPr>
          <w:rFonts w:ascii="Times New Roman" w:eastAsia="Times New Roman" w:hAnsi="Times New Roman" w:cs="Times New Roman"/>
          <w:szCs w:val="24"/>
        </w:rPr>
        <w:t xml:space="preserve">This collection does not employ statistical methods. </w:t>
      </w:r>
    </w:p>
    <w:sectPr w:rsidSect="00EB259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0256" w14:paraId="18811C82" w14:textId="77777777">
      <w:pPr>
        <w:spacing w:after="0" w:line="240" w:lineRule="auto"/>
      </w:pPr>
      <w:r>
        <w:separator/>
      </w:r>
    </w:p>
  </w:endnote>
  <w:endnote w:type="continuationSeparator" w:id="1">
    <w:p w:rsidR="00010256" w14:paraId="30A33276" w14:textId="77777777">
      <w:pPr>
        <w:spacing w:after="0" w:line="240" w:lineRule="auto"/>
      </w:pPr>
      <w:r>
        <w:continuationSeparator/>
      </w:r>
    </w:p>
  </w:endnote>
  <w:endnote w:id="2">
    <w:p w:rsidR="00871E27" w:rsidP="005B3B43" w14:paraId="0CD3FEBC" w14:textId="13ABC30B">
      <w:pPr>
        <w:spacing w:after="0" w:line="240" w:lineRule="auto"/>
      </w:pPr>
      <w:r w:rsidRPr="00C31872">
        <w:rPr>
          <w:rFonts w:ascii="Times New Roman" w:eastAsia="Times New Roman" w:hAnsi="Times New Roman" w:cs="Times New Roman"/>
          <w:sz w:val="20"/>
          <w:szCs w:val="20"/>
          <w:vertAlign w:val="superscript"/>
        </w:rPr>
        <w:endnoteRef/>
      </w:r>
      <w:r w:rsidRPr="00C31872">
        <w:rPr>
          <w:rFonts w:ascii="Times New Roman" w:eastAsia="Times New Roman" w:hAnsi="Times New Roman" w:cs="Times New Roman"/>
          <w:sz w:val="20"/>
          <w:szCs w:val="20"/>
        </w:rPr>
        <w:t xml:space="preserve"> </w:t>
      </w:r>
      <w:bookmarkStart w:id="5" w:name="_Hlk128575047"/>
      <w:r w:rsidRPr="00C31872">
        <w:rPr>
          <w:rFonts w:ascii="Times New Roman" w:eastAsia="Times New Roman" w:hAnsi="Times New Roman" w:cs="Times New Roman"/>
          <w:sz w:val="20"/>
          <w:szCs w:val="20"/>
        </w:rPr>
        <w:t xml:space="preserve">Source: Bureau of Labor Statistics, “Employer Costs for Employee Compensation – May 2021,” </w:t>
      </w:r>
      <w:bookmarkEnd w:id="5"/>
      <w:r w:rsidRPr="00C31872">
        <w:rPr>
          <w:rFonts w:ascii="Times New Roman" w:eastAsia="Times New Roman" w:hAnsi="Times New Roman" w:cs="Times New Roman"/>
          <w:sz w:val="20"/>
          <w:szCs w:val="20"/>
        </w:rPr>
        <w:t>https://www.bls.gov/oes/current/oes_nat.htm#00-0000</w:t>
      </w:r>
    </w:p>
  </w:endnote>
  <w:endnote w:id="3">
    <w:p w:rsidR="000955A7" w:rsidP="000955A7" w14:paraId="775C5AE3" w14:textId="77777777">
      <w:pPr>
        <w:pStyle w:val="EndnoteText"/>
      </w:pPr>
      <w:r>
        <w:rPr>
          <w:rStyle w:val="EndnoteReference"/>
        </w:rPr>
        <w:endnoteRef/>
      </w:r>
      <w:r>
        <w:t xml:space="preserve"> Source: National Notary Association, “</w:t>
      </w:r>
      <w:r w:rsidRPr="00270A6C">
        <w:t xml:space="preserve">2023 Notary Fees </w:t>
      </w:r>
      <w:r w:rsidRPr="00270A6C">
        <w:t>By</w:t>
      </w:r>
      <w:r w:rsidRPr="00270A6C">
        <w:t xml:space="preserve"> State</w:t>
      </w:r>
      <w:r>
        <w:t>”</w:t>
      </w:r>
      <w:r w:rsidRPr="00270A6C">
        <w:t xml:space="preserve"> | NNA (nationalnotary.org)</w:t>
      </w:r>
    </w:p>
  </w:endnote>
  <w:endnote w:id="4">
    <w:p w:rsidR="005B3B43" w:rsidP="005B3B43" w14:paraId="4D5EA719" w14:textId="77777777">
      <w:pPr>
        <w:pStyle w:val="EndnoteText"/>
      </w:pPr>
      <w:r>
        <w:rPr>
          <w:rStyle w:val="EndnoteReference"/>
        </w:rPr>
        <w:endnoteRef/>
      </w:r>
      <w:r>
        <w:t xml:space="preserve"> </w:t>
      </w:r>
      <w:bookmarkStart w:id="12" w:name="_Hlk128658108"/>
      <w:r>
        <w:t>Source: Office of Personnel Management, “Pay &amp; Leave</w:t>
      </w:r>
      <w:r w:rsidRPr="00A27F48">
        <w:t xml:space="preserve">,” </w:t>
      </w:r>
      <w:r w:rsidRPr="00740A15">
        <w:t>https://www.opm.gov/policy-data-oversight/pay-leave/salaries-wages/2023/general-schedule</w:t>
      </w:r>
      <w:bookmarkEnd w:id="12"/>
    </w:p>
  </w:endnote>
  <w:endnote w:id="5">
    <w:p w:rsidR="00803E0F" w:rsidP="00803E0F" w14:paraId="7DD5A0FE" w14:textId="77777777">
      <w:pPr>
        <w:pStyle w:val="EndnoteText"/>
      </w:pPr>
      <w:r>
        <w:rPr>
          <w:rStyle w:val="EndnoteReference"/>
        </w:rPr>
        <w:endnoteRef/>
      </w:r>
      <w:r>
        <w:t xml:space="preserve"> </w:t>
      </w:r>
      <w:r w:rsidRPr="00645585">
        <w:t>Source: Passport forms printing contractor</w:t>
      </w:r>
      <w:r>
        <w:t>,</w:t>
      </w:r>
      <w:r w:rsidRPr="00645585">
        <w:t> </w:t>
      </w:r>
      <w:r w:rsidRPr="00645585">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2681906"/>
      <w:docPartObj>
        <w:docPartGallery w:val="Page Numbers (Bottom of Page)"/>
        <w:docPartUnique/>
      </w:docPartObj>
    </w:sdtPr>
    <w:sdtEndPr>
      <w:rPr>
        <w:rFonts w:ascii="Times New Roman" w:hAnsi="Times New Roman" w:cs="Times New Roman"/>
        <w:noProof/>
      </w:rPr>
    </w:sdtEndPr>
    <w:sdtContent>
      <w:p w:rsidR="00645F22" w:rsidRPr="00645F22" w14:paraId="0CB269EE" w14:textId="767727BE">
        <w:pPr>
          <w:pStyle w:val="Footer"/>
          <w:jc w:val="right"/>
          <w:rPr>
            <w:rFonts w:ascii="Times New Roman" w:hAnsi="Times New Roman" w:cs="Times New Roman"/>
          </w:rPr>
        </w:pPr>
        <w:r w:rsidRPr="00645F22">
          <w:rPr>
            <w:rFonts w:ascii="Times New Roman" w:hAnsi="Times New Roman" w:cs="Times New Roman"/>
          </w:rPr>
          <w:fldChar w:fldCharType="begin"/>
        </w:r>
        <w:r w:rsidRPr="00645F22">
          <w:rPr>
            <w:rFonts w:ascii="Times New Roman" w:hAnsi="Times New Roman" w:cs="Times New Roman"/>
          </w:rPr>
          <w:instrText xml:space="preserve"> PAGE   \* MERGEFORMAT </w:instrText>
        </w:r>
        <w:r w:rsidRPr="00645F22">
          <w:rPr>
            <w:rFonts w:ascii="Times New Roman" w:hAnsi="Times New Roman" w:cs="Times New Roman"/>
          </w:rPr>
          <w:fldChar w:fldCharType="separate"/>
        </w:r>
        <w:r w:rsidR="00873507">
          <w:rPr>
            <w:rFonts w:ascii="Times New Roman" w:hAnsi="Times New Roman" w:cs="Times New Roman"/>
            <w:noProof/>
          </w:rPr>
          <w:t>6</w:t>
        </w:r>
        <w:r w:rsidRPr="00645F22">
          <w:rPr>
            <w:rFonts w:ascii="Times New Roman" w:hAnsi="Times New Roman" w:cs="Times New Roman"/>
            <w:noProof/>
          </w:rPr>
          <w:fldChar w:fldCharType="end"/>
        </w:r>
      </w:p>
    </w:sdtContent>
  </w:sdt>
  <w:p w:rsidR="00F002D4" w14:paraId="7080C40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1D70C4"/>
    <w:multiLevelType w:val="multilevel"/>
    <w:tmpl w:val="A3044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D317E3A"/>
    <w:multiLevelType w:val="multilevel"/>
    <w:tmpl w:val="924A8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76956C6"/>
    <w:multiLevelType w:val="hybridMultilevel"/>
    <w:tmpl w:val="DA8E38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8691DF4"/>
    <w:multiLevelType w:val="multilevel"/>
    <w:tmpl w:val="A5E26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98B5002"/>
    <w:multiLevelType w:val="hybridMultilevel"/>
    <w:tmpl w:val="4C7A7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E453ED"/>
    <w:multiLevelType w:val="multilevel"/>
    <w:tmpl w:val="F6440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D3842"/>
    <w:multiLevelType w:val="hybridMultilevel"/>
    <w:tmpl w:val="9C64414A"/>
    <w:lvl w:ilvl="0">
      <w:start w:val="1"/>
      <w:numFmt w:val="bullet"/>
      <w:lvlText w:val=""/>
      <w:lvlJc w:val="left"/>
      <w:pPr>
        <w:ind w:left="1449" w:hanging="360"/>
      </w:pPr>
      <w:rPr>
        <w:rFonts w:ascii="Symbol" w:hAnsi="Symbol" w:hint="default"/>
      </w:rPr>
    </w:lvl>
    <w:lvl w:ilvl="1">
      <w:start w:val="1"/>
      <w:numFmt w:val="bullet"/>
      <w:lvlText w:val="o"/>
      <w:lvlJc w:val="left"/>
      <w:pPr>
        <w:ind w:left="2169" w:hanging="360"/>
      </w:pPr>
      <w:rPr>
        <w:rFonts w:ascii="Courier New" w:hAnsi="Courier New" w:cs="Courier New" w:hint="default"/>
      </w:rPr>
    </w:lvl>
    <w:lvl w:ilvl="2" w:tentative="1">
      <w:start w:val="1"/>
      <w:numFmt w:val="bullet"/>
      <w:lvlText w:val=""/>
      <w:lvlJc w:val="left"/>
      <w:pPr>
        <w:ind w:left="2889" w:hanging="360"/>
      </w:pPr>
      <w:rPr>
        <w:rFonts w:ascii="Wingdings" w:hAnsi="Wingdings" w:hint="default"/>
      </w:rPr>
    </w:lvl>
    <w:lvl w:ilvl="3" w:tentative="1">
      <w:start w:val="1"/>
      <w:numFmt w:val="bullet"/>
      <w:lvlText w:val=""/>
      <w:lvlJc w:val="left"/>
      <w:pPr>
        <w:ind w:left="3609" w:hanging="360"/>
      </w:pPr>
      <w:rPr>
        <w:rFonts w:ascii="Symbol" w:hAnsi="Symbol" w:hint="default"/>
      </w:rPr>
    </w:lvl>
    <w:lvl w:ilvl="4" w:tentative="1">
      <w:start w:val="1"/>
      <w:numFmt w:val="bullet"/>
      <w:lvlText w:val="o"/>
      <w:lvlJc w:val="left"/>
      <w:pPr>
        <w:ind w:left="4329" w:hanging="360"/>
      </w:pPr>
      <w:rPr>
        <w:rFonts w:ascii="Courier New" w:hAnsi="Courier New" w:cs="Courier New" w:hint="default"/>
      </w:rPr>
    </w:lvl>
    <w:lvl w:ilvl="5" w:tentative="1">
      <w:start w:val="1"/>
      <w:numFmt w:val="bullet"/>
      <w:lvlText w:val=""/>
      <w:lvlJc w:val="left"/>
      <w:pPr>
        <w:ind w:left="5049" w:hanging="360"/>
      </w:pPr>
      <w:rPr>
        <w:rFonts w:ascii="Wingdings" w:hAnsi="Wingdings" w:hint="default"/>
      </w:rPr>
    </w:lvl>
    <w:lvl w:ilvl="6" w:tentative="1">
      <w:start w:val="1"/>
      <w:numFmt w:val="bullet"/>
      <w:lvlText w:val=""/>
      <w:lvlJc w:val="left"/>
      <w:pPr>
        <w:ind w:left="5769" w:hanging="360"/>
      </w:pPr>
      <w:rPr>
        <w:rFonts w:ascii="Symbol" w:hAnsi="Symbol" w:hint="default"/>
      </w:rPr>
    </w:lvl>
    <w:lvl w:ilvl="7" w:tentative="1">
      <w:start w:val="1"/>
      <w:numFmt w:val="bullet"/>
      <w:lvlText w:val="o"/>
      <w:lvlJc w:val="left"/>
      <w:pPr>
        <w:ind w:left="6489" w:hanging="360"/>
      </w:pPr>
      <w:rPr>
        <w:rFonts w:ascii="Courier New" w:hAnsi="Courier New" w:cs="Courier New" w:hint="default"/>
      </w:rPr>
    </w:lvl>
    <w:lvl w:ilvl="8" w:tentative="1">
      <w:start w:val="1"/>
      <w:numFmt w:val="bullet"/>
      <w:lvlText w:val=""/>
      <w:lvlJc w:val="left"/>
      <w:pPr>
        <w:ind w:left="7209" w:hanging="360"/>
      </w:pPr>
      <w:rPr>
        <w:rFonts w:ascii="Wingdings" w:hAnsi="Wingdings" w:hint="default"/>
      </w:rPr>
    </w:lvl>
  </w:abstractNum>
  <w:abstractNum w:abstractNumId="12">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082966">
    <w:abstractNumId w:val="0"/>
  </w:num>
  <w:num w:numId="2" w16cid:durableId="1735355008">
    <w:abstractNumId w:val="8"/>
  </w:num>
  <w:num w:numId="3" w16cid:durableId="193469772">
    <w:abstractNumId w:val="10"/>
  </w:num>
  <w:num w:numId="4" w16cid:durableId="1232428613">
    <w:abstractNumId w:val="4"/>
  </w:num>
  <w:num w:numId="5" w16cid:durableId="2107995250">
    <w:abstractNumId w:val="1"/>
  </w:num>
  <w:num w:numId="6" w16cid:durableId="1145853185">
    <w:abstractNumId w:val="12"/>
  </w:num>
  <w:num w:numId="7" w16cid:durableId="1889023437">
    <w:abstractNumId w:val="11"/>
  </w:num>
  <w:num w:numId="8" w16cid:durableId="1845630981">
    <w:abstractNumId w:val="5"/>
  </w:num>
  <w:num w:numId="9" w16cid:durableId="965088145">
    <w:abstractNumId w:val="2"/>
  </w:num>
  <w:num w:numId="10" w16cid:durableId="2052028353">
    <w:abstractNumId w:val="3"/>
  </w:num>
  <w:num w:numId="11" w16cid:durableId="1634292824">
    <w:abstractNumId w:val="6"/>
  </w:num>
  <w:num w:numId="12" w16cid:durableId="746462387">
    <w:abstractNumId w:val="9"/>
  </w:num>
  <w:num w:numId="13" w16cid:durableId="1402630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98"/>
    <w:rsid w:val="00010256"/>
    <w:rsid w:val="00017EFE"/>
    <w:rsid w:val="000317A5"/>
    <w:rsid w:val="000750E8"/>
    <w:rsid w:val="000955A7"/>
    <w:rsid w:val="000A10A3"/>
    <w:rsid w:val="000D7A4D"/>
    <w:rsid w:val="00104804"/>
    <w:rsid w:val="00106FFA"/>
    <w:rsid w:val="001251BF"/>
    <w:rsid w:val="0013158E"/>
    <w:rsid w:val="001461AA"/>
    <w:rsid w:val="001A0D64"/>
    <w:rsid w:val="001A38B0"/>
    <w:rsid w:val="001B0403"/>
    <w:rsid w:val="001F36D1"/>
    <w:rsid w:val="002148E0"/>
    <w:rsid w:val="00242726"/>
    <w:rsid w:val="002433AA"/>
    <w:rsid w:val="00270A6C"/>
    <w:rsid w:val="002830D7"/>
    <w:rsid w:val="00326520"/>
    <w:rsid w:val="00326772"/>
    <w:rsid w:val="00346B9D"/>
    <w:rsid w:val="0035799A"/>
    <w:rsid w:val="00381915"/>
    <w:rsid w:val="003A1BB1"/>
    <w:rsid w:val="003A42BC"/>
    <w:rsid w:val="003C1428"/>
    <w:rsid w:val="003C16C7"/>
    <w:rsid w:val="003D762C"/>
    <w:rsid w:val="003F3456"/>
    <w:rsid w:val="003F5BA1"/>
    <w:rsid w:val="004A637A"/>
    <w:rsid w:val="004D2C31"/>
    <w:rsid w:val="00507617"/>
    <w:rsid w:val="00530897"/>
    <w:rsid w:val="0053768A"/>
    <w:rsid w:val="00561218"/>
    <w:rsid w:val="00561C4A"/>
    <w:rsid w:val="00573932"/>
    <w:rsid w:val="005B3B43"/>
    <w:rsid w:val="005D587F"/>
    <w:rsid w:val="005D7864"/>
    <w:rsid w:val="005F1CAA"/>
    <w:rsid w:val="006007AB"/>
    <w:rsid w:val="00610F9D"/>
    <w:rsid w:val="006362B5"/>
    <w:rsid w:val="00645585"/>
    <w:rsid w:val="0064586E"/>
    <w:rsid w:val="00645F22"/>
    <w:rsid w:val="0066149E"/>
    <w:rsid w:val="006911E8"/>
    <w:rsid w:val="006A0146"/>
    <w:rsid w:val="006D42EB"/>
    <w:rsid w:val="00740A15"/>
    <w:rsid w:val="0079316A"/>
    <w:rsid w:val="00800476"/>
    <w:rsid w:val="00803B78"/>
    <w:rsid w:val="00803E0F"/>
    <w:rsid w:val="00815FA6"/>
    <w:rsid w:val="008344C4"/>
    <w:rsid w:val="00871E27"/>
    <w:rsid w:val="00873507"/>
    <w:rsid w:val="008D12BA"/>
    <w:rsid w:val="008D6B8D"/>
    <w:rsid w:val="0090650F"/>
    <w:rsid w:val="00910E21"/>
    <w:rsid w:val="00922AEA"/>
    <w:rsid w:val="009432C2"/>
    <w:rsid w:val="00954592"/>
    <w:rsid w:val="00973588"/>
    <w:rsid w:val="009A5235"/>
    <w:rsid w:val="00A137A6"/>
    <w:rsid w:val="00A139AC"/>
    <w:rsid w:val="00A27F48"/>
    <w:rsid w:val="00A304AA"/>
    <w:rsid w:val="00A66E1A"/>
    <w:rsid w:val="00A81532"/>
    <w:rsid w:val="00A83745"/>
    <w:rsid w:val="00A91279"/>
    <w:rsid w:val="00AC4FC7"/>
    <w:rsid w:val="00AF0A59"/>
    <w:rsid w:val="00B32BBB"/>
    <w:rsid w:val="00B44BCF"/>
    <w:rsid w:val="00B62D7B"/>
    <w:rsid w:val="00B67637"/>
    <w:rsid w:val="00BB5AB4"/>
    <w:rsid w:val="00BC48EC"/>
    <w:rsid w:val="00BE0549"/>
    <w:rsid w:val="00C275E3"/>
    <w:rsid w:val="00C31872"/>
    <w:rsid w:val="00C5200E"/>
    <w:rsid w:val="00CB1C78"/>
    <w:rsid w:val="00CC2A5B"/>
    <w:rsid w:val="00CC6DD0"/>
    <w:rsid w:val="00CF0FF2"/>
    <w:rsid w:val="00CF4D9D"/>
    <w:rsid w:val="00D210B1"/>
    <w:rsid w:val="00D36524"/>
    <w:rsid w:val="00D629A4"/>
    <w:rsid w:val="00D63E94"/>
    <w:rsid w:val="00D64DD1"/>
    <w:rsid w:val="00D73C54"/>
    <w:rsid w:val="00D76808"/>
    <w:rsid w:val="00D87DB3"/>
    <w:rsid w:val="00DA1C88"/>
    <w:rsid w:val="00DA7A45"/>
    <w:rsid w:val="00DB1ECC"/>
    <w:rsid w:val="00DC7B92"/>
    <w:rsid w:val="00DD19B3"/>
    <w:rsid w:val="00E203C5"/>
    <w:rsid w:val="00E7447E"/>
    <w:rsid w:val="00EA2B8F"/>
    <w:rsid w:val="00EB1B69"/>
    <w:rsid w:val="00EB2598"/>
    <w:rsid w:val="00EC4561"/>
    <w:rsid w:val="00ED44E1"/>
    <w:rsid w:val="00EE056B"/>
    <w:rsid w:val="00F002D4"/>
    <w:rsid w:val="00F07749"/>
    <w:rsid w:val="00F174B3"/>
    <w:rsid w:val="00F30CEE"/>
    <w:rsid w:val="00F436C4"/>
    <w:rsid w:val="00F44224"/>
    <w:rsid w:val="00F94A68"/>
    <w:rsid w:val="00F950CE"/>
    <w:rsid w:val="00FB1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D765C7"/>
  <w15:docId w15:val="{63C578FB-D47C-4354-9FE6-33D1348A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A83745"/>
    <w:rPr>
      <w:color w:val="0000FF" w:themeColor="hyperlink"/>
      <w:u w:val="single"/>
    </w:rPr>
  </w:style>
  <w:style w:type="paragraph" w:styleId="EndnoteText">
    <w:name w:val="endnote text"/>
    <w:basedOn w:val="Normal"/>
    <w:link w:val="EndnoteTextChar"/>
    <w:semiHidden/>
    <w:unhideWhenUsed/>
    <w:rsid w:val="00A8374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83745"/>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A83745"/>
    <w:rPr>
      <w:vertAlign w:val="superscript"/>
    </w:rPr>
  </w:style>
  <w:style w:type="paragraph" w:styleId="BodyTextIndent">
    <w:name w:val="Body Text Indent"/>
    <w:basedOn w:val="Normal"/>
    <w:link w:val="BodyTextIndentChar"/>
    <w:rsid w:val="003F3456"/>
    <w:pPr>
      <w:tabs>
        <w:tab w:val="left" w:pos="720"/>
      </w:tabs>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F3456"/>
    <w:rPr>
      <w:rFonts w:ascii="Times New Roman" w:eastAsia="Times New Roman" w:hAnsi="Times New Roman" w:cs="Times New Roman"/>
      <w:sz w:val="24"/>
      <w:szCs w:val="24"/>
    </w:rPr>
  </w:style>
  <w:style w:type="paragraph" w:styleId="ListParagraph">
    <w:name w:val="List Paragraph"/>
    <w:basedOn w:val="Normal"/>
    <w:uiPriority w:val="34"/>
    <w:qFormat/>
    <w:rsid w:val="003F3456"/>
    <w:pPr>
      <w:spacing w:after="0" w:line="240" w:lineRule="auto"/>
      <w:ind w:left="720"/>
      <w:contextualSpacing/>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973588"/>
    <w:rPr>
      <w:sz w:val="16"/>
      <w:szCs w:val="16"/>
    </w:rPr>
  </w:style>
  <w:style w:type="paragraph" w:styleId="CommentText">
    <w:name w:val="annotation text"/>
    <w:basedOn w:val="Normal"/>
    <w:link w:val="CommentTextChar"/>
    <w:uiPriority w:val="99"/>
    <w:semiHidden/>
    <w:unhideWhenUsed/>
    <w:rsid w:val="00973588"/>
    <w:pPr>
      <w:spacing w:line="240" w:lineRule="auto"/>
    </w:pPr>
    <w:rPr>
      <w:sz w:val="20"/>
      <w:szCs w:val="20"/>
    </w:rPr>
  </w:style>
  <w:style w:type="character" w:customStyle="1" w:styleId="CommentTextChar">
    <w:name w:val="Comment Text Char"/>
    <w:basedOn w:val="DefaultParagraphFont"/>
    <w:link w:val="CommentText"/>
    <w:uiPriority w:val="99"/>
    <w:semiHidden/>
    <w:rsid w:val="0097358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73588"/>
    <w:rPr>
      <w:b/>
      <w:bCs/>
    </w:rPr>
  </w:style>
  <w:style w:type="character" w:customStyle="1" w:styleId="CommentSubjectChar">
    <w:name w:val="Comment Subject Char"/>
    <w:basedOn w:val="CommentTextChar"/>
    <w:link w:val="CommentSubject"/>
    <w:uiPriority w:val="99"/>
    <w:semiHidden/>
    <w:rsid w:val="00973588"/>
    <w:rPr>
      <w:rFonts w:ascii="Verdana" w:hAnsi="Verdana"/>
      <w:b/>
      <w:bCs/>
      <w:sz w:val="20"/>
      <w:szCs w:val="20"/>
    </w:rPr>
  </w:style>
  <w:style w:type="paragraph" w:styleId="BalloonText">
    <w:name w:val="Balloon Text"/>
    <w:basedOn w:val="Normal"/>
    <w:link w:val="BalloonTextChar"/>
    <w:uiPriority w:val="99"/>
    <w:semiHidden/>
    <w:unhideWhenUsed/>
    <w:rsid w:val="00973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88"/>
    <w:rPr>
      <w:rFonts w:ascii="Segoe UI" w:hAnsi="Segoe UI" w:cs="Segoe UI"/>
      <w:sz w:val="18"/>
      <w:szCs w:val="18"/>
    </w:rPr>
  </w:style>
  <w:style w:type="paragraph" w:styleId="FootnoteText">
    <w:name w:val="footnote text"/>
    <w:basedOn w:val="Normal"/>
    <w:link w:val="FootnoteTextChar"/>
    <w:uiPriority w:val="99"/>
    <w:semiHidden/>
    <w:unhideWhenUsed/>
    <w:rsid w:val="001A0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D64"/>
    <w:rPr>
      <w:rFonts w:ascii="Verdana" w:hAnsi="Verdana"/>
      <w:sz w:val="20"/>
      <w:szCs w:val="20"/>
    </w:rPr>
  </w:style>
  <w:style w:type="character" w:styleId="FootnoteReference">
    <w:name w:val="footnote reference"/>
    <w:basedOn w:val="DefaultParagraphFont"/>
    <w:uiPriority w:val="99"/>
    <w:semiHidden/>
    <w:unhideWhenUsed/>
    <w:rsid w:val="001A0D64"/>
    <w:rPr>
      <w:vertAlign w:val="superscript"/>
    </w:rPr>
  </w:style>
  <w:style w:type="table" w:styleId="TableGrid">
    <w:name w:val="Table Grid"/>
    <w:basedOn w:val="TableNormal"/>
    <w:uiPriority w:val="59"/>
    <w:rsid w:val="00C27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6772"/>
    <w:rPr>
      <w:color w:val="800080" w:themeColor="followedHyperlink"/>
      <w:u w:val="single"/>
    </w:rPr>
  </w:style>
  <w:style w:type="paragraph" w:styleId="Header">
    <w:name w:val="header"/>
    <w:basedOn w:val="Normal"/>
    <w:link w:val="HeaderChar"/>
    <w:uiPriority w:val="99"/>
    <w:unhideWhenUsed/>
    <w:rsid w:val="003A4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2BC"/>
    <w:rPr>
      <w:rFonts w:ascii="Verdana" w:hAnsi="Verdana"/>
      <w:sz w:val="24"/>
    </w:rPr>
  </w:style>
  <w:style w:type="paragraph" w:styleId="Revision">
    <w:name w:val="Revision"/>
    <w:hidden/>
    <w:uiPriority w:val="99"/>
    <w:semiHidden/>
    <w:rsid w:val="00CB1C78"/>
    <w:pPr>
      <w:spacing w:after="0" w:line="240" w:lineRule="auto"/>
    </w:pPr>
    <w:rPr>
      <w:rFonts w:ascii="Verdana" w:hAnsi="Verdana"/>
      <w:sz w:val="24"/>
    </w:rPr>
  </w:style>
  <w:style w:type="paragraph" w:customStyle="1" w:styleId="xxxmsonormal">
    <w:name w:val="x_xxmsonormal"/>
    <w:basedOn w:val="Normal"/>
    <w:rsid w:val="0064586E"/>
    <w:pPr>
      <w:spacing w:after="0" w:line="240" w:lineRule="auto"/>
    </w:pPr>
    <w:rPr>
      <w:rFonts w:ascii="Calibri" w:hAnsi="Calibri" w:cs="Calibri"/>
      <w:sz w:val="22"/>
    </w:rPr>
  </w:style>
  <w:style w:type="paragraph" w:customStyle="1" w:styleId="xxxmsolistparagraph">
    <w:name w:val="x_xxmsolistparagraph"/>
    <w:basedOn w:val="Normal"/>
    <w:rsid w:val="0064586E"/>
    <w:pPr>
      <w:spacing w:before="100" w:beforeAutospacing="1" w:after="100" w:afterAutospacing="1"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travel.state.gov" TargetMode="External" /><Relationship Id="rId11" Type="http://schemas.openxmlformats.org/officeDocument/2006/relationships/hyperlink" Target="http://www.travel.state.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erTitle xmlns="c60a6009-aa1a-461d-a537-351556f0a008">Outside Clearance:   DS-3053 (Statement of Consent: Issuance of a Passport to a Minor Under Age 16) - 30 day Packet  </TaskerTitle>
    <TaskerStatus xmlns="c60a6009-aa1a-461d-a537-351556f0a008" xsi:nil="true"/>
    <TaskerID xmlns="c60a6009-aa1a-461d-a537-351556f0a008">T2071-19</TaskerID>
    <HideFromDelve xmlns="4122b023-50f0-4a27-ad7c-51b7c9325289">true</HideFromDelve>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FED5F0-3C81-4B98-82CB-D7EB9B45FBEA}">
  <ds:schemaRefs>
    <ds:schemaRef ds:uri="http://schemas.microsoft.com/sharepoint/v3/contenttype/forms"/>
  </ds:schemaRefs>
</ds:datastoreItem>
</file>

<file path=customXml/itemProps2.xml><?xml version="1.0" encoding="utf-8"?>
<ds:datastoreItem xmlns:ds="http://schemas.openxmlformats.org/officeDocument/2006/customXml" ds:itemID="{B391DE8B-9806-45BD-8603-38D8BCDF9A7B}">
  <ds:schemaRefs>
    <ds:schemaRef ds:uri="http://schemas.openxmlformats.org/officeDocument/2006/bibliography"/>
  </ds:schemaRefs>
</ds:datastoreItem>
</file>

<file path=customXml/itemProps3.xml><?xml version="1.0" encoding="utf-8"?>
<ds:datastoreItem xmlns:ds="http://schemas.openxmlformats.org/officeDocument/2006/customXml" ds:itemID="{60CB4916-62AB-4506-9996-A0202C40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8DDF3-CDBF-4656-8053-C03B109FE11F}">
  <ds:schemaRefs>
    <ds:schemaRef ds:uri="http://www.w3.org/XML/1998/namespace"/>
    <ds:schemaRef ds:uri="http://schemas.microsoft.com/office/infopath/2007/PartnerControls"/>
    <ds:schemaRef ds:uri="http://purl.org/dc/elements/1.1/"/>
    <ds:schemaRef ds:uri="1d900f72-f5b2-4e1c-876c-604a55547348"/>
    <ds:schemaRef ds:uri="http://schemas.microsoft.com/office/2006/metadata/properties"/>
    <ds:schemaRef ds:uri="http://purl.org/dc/terms/"/>
    <ds:schemaRef ds:uri="http://schemas.openxmlformats.org/package/2006/metadata/core-properties"/>
    <ds:schemaRef ds:uri="4122b023-50f0-4a27-ad7c-51b7c9325289"/>
    <ds:schemaRef ds:uri="http://schemas.microsoft.com/office/2006/documentManagement/types"/>
    <ds:schemaRef ds:uri="f532fd80-1485-4ddc-ba38-e82e8094516d"/>
    <ds:schemaRef ds:uri="c60a6009-aa1a-461d-a537-351556f0a008"/>
    <ds:schemaRef ds:uri="http://purl.org/dc/dcmitype/"/>
  </ds:schemaRefs>
</ds:datastoreItem>
</file>

<file path=customXml/itemProps5.xml><?xml version="1.0" encoding="utf-8"?>
<ds:datastoreItem xmlns:ds="http://schemas.openxmlformats.org/officeDocument/2006/customXml" ds:itemID="{8A18B0F3-4DB1-456B-8C41-5F4AF986F08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Jones, Alan</cp:lastModifiedBy>
  <cp:revision>6</cp:revision>
  <dcterms:created xsi:type="dcterms:W3CDTF">2023-09-19T19:49:00Z</dcterms:created>
  <dcterms:modified xsi:type="dcterms:W3CDTF">2023-10-02T16:17:00Z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MSIP_Label_1665d9ee-429a-4d5f-97cc-cfb56e044a6e_ActionId">
    <vt:lpwstr>b87abf5b-4a8b-4dc1-9e9c-6ae5ba22b9f8</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2023-06-06T18:44:13Z</vt:lpwstr>
  </property>
  <property fmtid="{D5CDD505-2E9C-101B-9397-08002B2CF9AE}" pid="9" name="MSIP_Label_1665d9ee-429a-4d5f-97cc-cfb56e044a6e_SiteId">
    <vt:lpwstr>66cf5074-5afe-48d1-a691-a12b2121f44b</vt:lpwstr>
  </property>
  <property fmtid="{D5CDD505-2E9C-101B-9397-08002B2CF9AE}" pid="10" name="TaskerStatus">
    <vt:lpwstr>Outstanding</vt:lpwstr>
  </property>
</Properties>
</file>