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45CA" w:rsidRPr="009F1EF0" w:rsidP="009F4D1C" w14:paraId="5EC9B0B8" w14:textId="77777777">
      <w:pPr>
        <w:jc w:val="center"/>
      </w:pPr>
      <w:r w:rsidRPr="009F1EF0">
        <w:t>Department of the Treasury</w:t>
      </w:r>
    </w:p>
    <w:p w:rsidR="00857B7C" w:rsidRPr="009F1EF0" w:rsidP="009F4D1C" w14:paraId="7A8D6BBD" w14:textId="77777777">
      <w:pPr>
        <w:jc w:val="center"/>
      </w:pPr>
      <w:r w:rsidRPr="009F1EF0">
        <w:t>Information Collection Request – Supporting Statement</w:t>
      </w:r>
    </w:p>
    <w:p w:rsidR="00857B7C" w:rsidRPr="009F1EF0" w:rsidP="009F4D1C" w14:paraId="1E6B3D41" w14:textId="77777777">
      <w:pPr>
        <w:jc w:val="center"/>
      </w:pPr>
    </w:p>
    <w:p w:rsidR="00C47802" w:rsidRPr="009F1EF0" w:rsidP="00C47802" w14:paraId="7C8ADEEE" w14:textId="57C985BD">
      <w:pPr>
        <w:jc w:val="center"/>
      </w:pPr>
      <w:r w:rsidRPr="009F1EF0">
        <w:t xml:space="preserve">Emergency Rental Assistance Program </w:t>
      </w:r>
      <w:r w:rsidRPr="009F1EF0" w:rsidR="003540EB">
        <w:t>(ERA2)</w:t>
      </w:r>
    </w:p>
    <w:p w:rsidR="00110D39" w:rsidRPr="009F1EF0" w:rsidP="00512B62" w14:paraId="5A839BA5" w14:textId="24459077">
      <w:pPr>
        <w:jc w:val="center"/>
      </w:pPr>
      <w:r w:rsidRPr="009F1EF0">
        <w:t>OMB No.</w:t>
      </w:r>
      <w:r w:rsidRPr="009F1EF0" w:rsidR="005271E1">
        <w:t xml:space="preserve"> 1505-0270</w:t>
      </w:r>
    </w:p>
    <w:p w:rsidR="009E2FFF" w:rsidP="00512B62" w14:paraId="05F6E5A2" w14:textId="3A1CD2A3">
      <w:pPr>
        <w:jc w:val="center"/>
      </w:pPr>
    </w:p>
    <w:p w:rsidR="003E3E0B" w:rsidRPr="009013C1" w:rsidP="003E3E0B" w14:paraId="12B81B53" w14:textId="77777777">
      <w:r w:rsidRPr="009013C1">
        <w:t>Summary of Changes:</w:t>
      </w:r>
    </w:p>
    <w:p w:rsidR="003E3E0B" w:rsidP="003E3E0B" w14:paraId="3BFD0702" w14:textId="23E91CB1">
      <w:pPr>
        <w:pStyle w:val="ListParagraph"/>
        <w:numPr>
          <w:ilvl w:val="0"/>
          <w:numId w:val="26"/>
        </w:numPr>
      </w:pPr>
      <w:r w:rsidRPr="009013C1">
        <w:t xml:space="preserve">Addition of Reallocation Portal: </w:t>
      </w:r>
      <w:r>
        <w:t xml:space="preserve">Non-ERA Expenditures on Rental or Utility Assistance </w:t>
      </w:r>
      <w:r w:rsidRPr="009013C1">
        <w:t xml:space="preserve">(Sections 1, 6 &amp; 12) </w:t>
      </w:r>
    </w:p>
    <w:p w:rsidR="003E3E0B" w:rsidRPr="009013C1" w:rsidP="003E3E0B" w14:paraId="40FE73A3" w14:textId="6B75BD2D">
      <w:pPr>
        <w:pStyle w:val="ListParagraph"/>
        <w:numPr>
          <w:ilvl w:val="0"/>
          <w:numId w:val="26"/>
        </w:numPr>
      </w:pPr>
      <w:r>
        <w:t>B</w:t>
      </w:r>
      <w:r>
        <w:t xml:space="preserve">urden </w:t>
      </w:r>
      <w:r>
        <w:t xml:space="preserve">modified </w:t>
      </w:r>
      <w:r>
        <w:t>to account for second round of Request</w:t>
      </w:r>
      <w:r>
        <w:t>s</w:t>
      </w:r>
      <w:r>
        <w:t xml:space="preserve"> for Reallocated Funds</w:t>
      </w:r>
      <w:r>
        <w:t xml:space="preserve"> and updated estimates based on previous filings during first round.</w:t>
      </w:r>
    </w:p>
    <w:p w:rsidR="003E3E0B" w:rsidRPr="009F1EF0" w:rsidP="00B01ACA" w14:paraId="7EC97C72" w14:textId="77777777"/>
    <w:p w:rsidR="00A73FE3" w:rsidRPr="009F1EF0" w:rsidP="00857B7C" w14:paraId="6BD41F69" w14:textId="2A75C8E7">
      <w:pPr>
        <w:rPr>
          <w:b/>
        </w:rPr>
      </w:pPr>
      <w:r w:rsidRPr="009F1EF0">
        <w:rPr>
          <w:b/>
        </w:rPr>
        <w:t xml:space="preserve">Part </w:t>
      </w:r>
      <w:r w:rsidRPr="009F1EF0" w:rsidR="00857B7C">
        <w:rPr>
          <w:b/>
        </w:rPr>
        <w:t>A.  Justification</w:t>
      </w:r>
    </w:p>
    <w:p w:rsidR="00857B7C" w:rsidRPr="009F1EF0" w:rsidP="009E2FFF" w14:paraId="43C5FBC0" w14:textId="77777777">
      <w:pPr>
        <w:pStyle w:val="ListParagraph"/>
      </w:pPr>
    </w:p>
    <w:p w:rsidR="00B50861" w:rsidRPr="009F1EF0" w:rsidP="009E2FFF" w14:paraId="1D57D14A" w14:textId="77777777">
      <w:pPr>
        <w:numPr>
          <w:ilvl w:val="0"/>
          <w:numId w:val="12"/>
        </w:numPr>
        <w:tabs>
          <w:tab w:val="clear" w:pos="720"/>
        </w:tabs>
        <w:ind w:left="270" w:hanging="270"/>
        <w:rPr>
          <w:u w:val="single"/>
        </w:rPr>
      </w:pPr>
      <w:r w:rsidRPr="009F1EF0">
        <w:t xml:space="preserve"> </w:t>
      </w:r>
      <w:r w:rsidRPr="009F1EF0">
        <w:rPr>
          <w:u w:val="single"/>
        </w:rPr>
        <w:t>Circumstances necessitating the collection of information</w:t>
      </w:r>
    </w:p>
    <w:p w:rsidR="009B60FB" w:rsidRPr="009F1EF0" w:rsidP="009B60FB" w14:paraId="537A83D9" w14:textId="77777777"/>
    <w:p w:rsidR="00332312" w:rsidRPr="009F1EF0" w:rsidP="003E53BD" w14:paraId="1E210243" w14:textId="7D08C1C8">
      <w:bookmarkStart w:id="0" w:name="_Hlk60659475"/>
      <w:r w:rsidRPr="009F1EF0">
        <w:t xml:space="preserve">On </w:t>
      </w:r>
      <w:r w:rsidRPr="009F1EF0" w:rsidR="00207802">
        <w:t>March 11, 2021</w:t>
      </w:r>
      <w:r w:rsidRPr="009F1EF0">
        <w:t xml:space="preserve">, the President signed the </w:t>
      </w:r>
      <w:r w:rsidRPr="009F1EF0" w:rsidR="00207802">
        <w:t>American Rescue Plan Act of 2021</w:t>
      </w:r>
      <w:r w:rsidRPr="009F1EF0" w:rsidR="004155C0">
        <w:t xml:space="preserve"> </w:t>
      </w:r>
      <w:r w:rsidRPr="009F1EF0" w:rsidR="00EF6DCC">
        <w:t>(</w:t>
      </w:r>
      <w:r w:rsidRPr="009F1EF0" w:rsidR="00951C22">
        <w:t>the “</w:t>
      </w:r>
      <w:r w:rsidRPr="009F1EF0">
        <w:t>Act</w:t>
      </w:r>
      <w:r w:rsidRPr="009F1EF0" w:rsidR="00951C22">
        <w:t>”</w:t>
      </w:r>
      <w:r w:rsidRPr="009F1EF0" w:rsidR="00EF6DCC">
        <w:t>)</w:t>
      </w:r>
      <w:r w:rsidRPr="009F1EF0" w:rsidR="00B6348F">
        <w:t xml:space="preserve">, </w:t>
      </w:r>
      <w:bookmarkStart w:id="1" w:name="_Hlk68159301"/>
      <w:r w:rsidRPr="009F1EF0" w:rsidR="00B6348F">
        <w:t>Pub. L. No. 117-2</w:t>
      </w:r>
      <w:r w:rsidRPr="009F1EF0" w:rsidR="00E03BEA">
        <w:t>.</w:t>
      </w:r>
      <w:r w:rsidRPr="009F1EF0" w:rsidR="00524865">
        <w:t xml:space="preserve"> </w:t>
      </w:r>
      <w:r w:rsidRPr="009F1EF0" w:rsidR="00E03BEA">
        <w:t xml:space="preserve"> </w:t>
      </w:r>
      <w:bookmarkEnd w:id="1"/>
      <w:r w:rsidRPr="009F1EF0" w:rsidR="00951C22">
        <w:t xml:space="preserve">Title </w:t>
      </w:r>
      <w:r w:rsidRPr="009F1EF0" w:rsidR="00DA2717">
        <w:t>III</w:t>
      </w:r>
      <w:r w:rsidRPr="009F1EF0" w:rsidR="00951C22">
        <w:t xml:space="preserve">, </w:t>
      </w:r>
      <w:r w:rsidRPr="009F1EF0" w:rsidR="00DA2717">
        <w:t xml:space="preserve">Subtitle B, </w:t>
      </w:r>
      <w:r w:rsidRPr="009F1EF0" w:rsidR="00524865">
        <w:t xml:space="preserve">Section </w:t>
      </w:r>
      <w:r w:rsidRPr="009F1EF0" w:rsidR="00DA2717">
        <w:t>3201</w:t>
      </w:r>
      <w:r w:rsidRPr="009F1EF0" w:rsidR="00863109">
        <w:t xml:space="preserve"> </w:t>
      </w:r>
      <w:r w:rsidRPr="009F1EF0" w:rsidR="00524865">
        <w:t xml:space="preserve">of the Act </w:t>
      </w:r>
      <w:r w:rsidRPr="009F1EF0" w:rsidR="00A85A00">
        <w:t>authorized the Emergency Assistance (ERA</w:t>
      </w:r>
      <w:r w:rsidRPr="009F1EF0" w:rsidR="00202445">
        <w:t xml:space="preserve"> </w:t>
      </w:r>
      <w:r w:rsidRPr="009F1EF0" w:rsidR="00A85A00">
        <w:t xml:space="preserve">2) program and </w:t>
      </w:r>
      <w:r w:rsidRPr="009F1EF0" w:rsidR="00524865">
        <w:t>provides $</w:t>
      </w:r>
      <w:r w:rsidRPr="009F1EF0" w:rsidR="00951C22">
        <w:t>2</w:t>
      </w:r>
      <w:r w:rsidRPr="009F1EF0" w:rsidR="00DA2717">
        <w:t>1.5</w:t>
      </w:r>
      <w:r w:rsidRPr="009F1EF0" w:rsidR="00524865">
        <w:t>5 billion for the U.S. Department of the Treasury (Treasury) to make payments to States (</w:t>
      </w:r>
      <w:bookmarkStart w:id="2" w:name="_Hlk68161314"/>
      <w:r w:rsidRPr="009F1EF0" w:rsidR="00555717">
        <w:t xml:space="preserve">defined to </w:t>
      </w:r>
      <w:r w:rsidRPr="009F1EF0" w:rsidR="00524865">
        <w:t>includ</w:t>
      </w:r>
      <w:r w:rsidRPr="009F1EF0" w:rsidR="00555717">
        <w:t xml:space="preserve">e </w:t>
      </w:r>
      <w:r w:rsidRPr="009F1EF0" w:rsidR="00524865">
        <w:t xml:space="preserve">the </w:t>
      </w:r>
      <w:bookmarkEnd w:id="2"/>
      <w:r w:rsidRPr="009F1EF0" w:rsidR="00524865">
        <w:t>District of Columbia</w:t>
      </w:r>
      <w:r w:rsidRPr="009F1EF0" w:rsidR="00014C0A">
        <w:t>)</w:t>
      </w:r>
      <w:r w:rsidRPr="009F1EF0" w:rsidR="00524865">
        <w:t xml:space="preserve">, </w:t>
      </w:r>
      <w:r w:rsidRPr="009F1EF0" w:rsidR="00014C0A">
        <w:t>U.S. Territories (</w:t>
      </w:r>
      <w:r w:rsidRPr="009F1EF0" w:rsidR="00524865">
        <w:t>Puerto Rico, U.S. Virgin Islands, Guam, Northern Mariana Islands, and American Samoa)</w:t>
      </w:r>
      <w:r w:rsidRPr="009F1EF0" w:rsidR="003E63D4">
        <w:t xml:space="preserve">, </w:t>
      </w:r>
      <w:r w:rsidRPr="009F1EF0" w:rsidR="00524865">
        <w:t xml:space="preserve">and </w:t>
      </w:r>
      <w:r w:rsidRPr="009F1EF0" w:rsidR="00555717">
        <w:t xml:space="preserve">certain local governments with more than </w:t>
      </w:r>
      <w:r w:rsidRPr="009F1EF0" w:rsidR="00951C22">
        <w:t>200</w:t>
      </w:r>
      <w:r w:rsidRPr="009F1EF0" w:rsidR="00555717">
        <w:t xml:space="preserve">,000 residents </w:t>
      </w:r>
      <w:bookmarkStart w:id="3" w:name="_Hlk68163939"/>
      <w:r w:rsidRPr="009F1EF0" w:rsidR="003E63D4">
        <w:t xml:space="preserve">(collectively the “eligible grantees”) </w:t>
      </w:r>
      <w:bookmarkEnd w:id="3"/>
      <w:r w:rsidRPr="009F1EF0">
        <w:t xml:space="preserve">to </w:t>
      </w:r>
      <w:r w:rsidRPr="009F1EF0" w:rsidR="00951C22">
        <w:t>provide financial assistance</w:t>
      </w:r>
      <w:r w:rsidRPr="009F1EF0" w:rsidR="00EF7CB5">
        <w:t xml:space="preserve"> </w:t>
      </w:r>
      <w:r w:rsidRPr="009F1EF0" w:rsidR="0014039E">
        <w:t xml:space="preserve">and </w:t>
      </w:r>
      <w:r w:rsidRPr="009F1EF0" w:rsidR="00951C22">
        <w:t>housing stability services</w:t>
      </w:r>
      <w:r w:rsidRPr="009F1EF0" w:rsidR="0014039E">
        <w:t xml:space="preserve"> to eligible households</w:t>
      </w:r>
      <w:r w:rsidRPr="009F1EF0" w:rsidR="00C878D7">
        <w:t xml:space="preserve">, </w:t>
      </w:r>
      <w:bookmarkStart w:id="4" w:name="_Hlk68157852"/>
      <w:r w:rsidRPr="009F1EF0" w:rsidR="00C878D7">
        <w:t xml:space="preserve">and </w:t>
      </w:r>
      <w:r w:rsidRPr="009F1EF0" w:rsidR="00CF2066">
        <w:t xml:space="preserve">cover </w:t>
      </w:r>
      <w:r w:rsidRPr="009F1EF0" w:rsidR="0014039E">
        <w:t xml:space="preserve">the costs for </w:t>
      </w:r>
      <w:r w:rsidRPr="009F1EF0" w:rsidR="00C878D7">
        <w:t>other affordable rental housing and eviction prevention activities</w:t>
      </w:r>
      <w:r w:rsidRPr="009F1EF0" w:rsidR="00951C22">
        <w:t xml:space="preserve"> </w:t>
      </w:r>
      <w:r w:rsidRPr="009F1EF0" w:rsidR="0014039E">
        <w:t>for eligible households</w:t>
      </w:r>
      <w:bookmarkEnd w:id="4"/>
      <w:r w:rsidRPr="009F1EF0" w:rsidR="00951C22">
        <w:t>.</w:t>
      </w:r>
      <w:r w:rsidRPr="009F1EF0" w:rsidR="00951C22">
        <w:rPr>
          <w:sz w:val="22"/>
          <w:szCs w:val="22"/>
        </w:rPr>
        <w:t xml:space="preserve">  </w:t>
      </w:r>
      <w:r w:rsidRPr="009F1EF0">
        <w:t xml:space="preserve">  </w:t>
      </w:r>
    </w:p>
    <w:bookmarkEnd w:id="0"/>
    <w:p w:rsidR="00AF13F4" w:rsidRPr="009F1EF0" w:rsidP="0058176C" w14:paraId="43A33034" w14:textId="77777777">
      <w:pPr>
        <w:rPr>
          <w:b/>
          <w:bCs/>
          <w:u w:val="single"/>
        </w:rPr>
      </w:pPr>
    </w:p>
    <w:p w:rsidR="00BF5B91" w:rsidRPr="009F1EF0" w:rsidP="0058176C" w14:paraId="02C834EF" w14:textId="03868BDF">
      <w:pPr>
        <w:rPr>
          <w:b/>
          <w:bCs/>
          <w:u w:val="single"/>
        </w:rPr>
      </w:pPr>
      <w:r w:rsidRPr="009F1EF0">
        <w:rPr>
          <w:b/>
          <w:bCs/>
          <w:u w:val="single"/>
        </w:rPr>
        <w:t>Acceptance of A</w:t>
      </w:r>
      <w:r w:rsidRPr="009F1EF0" w:rsidR="00014C0A">
        <w:rPr>
          <w:b/>
          <w:bCs/>
          <w:u w:val="single"/>
        </w:rPr>
        <w:t>ward Terms</w:t>
      </w:r>
      <w:r w:rsidRPr="009F1EF0">
        <w:rPr>
          <w:b/>
          <w:bCs/>
          <w:u w:val="single"/>
        </w:rPr>
        <w:t xml:space="preserve"> Form</w:t>
      </w:r>
    </w:p>
    <w:p w:rsidR="004155C0" w:rsidRPr="009F1EF0" w:rsidP="0058176C" w14:paraId="1A187350" w14:textId="77777777">
      <w:pPr>
        <w:rPr>
          <w:b/>
          <w:bCs/>
          <w:u w:val="single"/>
        </w:rPr>
      </w:pPr>
    </w:p>
    <w:p w:rsidR="00BF5B91" w:rsidRPr="009F1EF0" w:rsidP="0058176C" w14:paraId="7695E7A2" w14:textId="6C31DADC">
      <w:r w:rsidRPr="009F1EF0">
        <w:t>An e</w:t>
      </w:r>
      <w:r w:rsidRPr="009F1EF0" w:rsidR="00B63D2D">
        <w:t>ligible grantee</w:t>
      </w:r>
      <w:r w:rsidRPr="009F1EF0">
        <w:rPr>
          <w:bCs/>
        </w:rPr>
        <w:t xml:space="preserve"> </w:t>
      </w:r>
      <w:r w:rsidRPr="009F1EF0" w:rsidR="008C2439">
        <w:rPr>
          <w:bCs/>
        </w:rPr>
        <w:t>that elect</w:t>
      </w:r>
      <w:r w:rsidRPr="009F1EF0">
        <w:rPr>
          <w:bCs/>
        </w:rPr>
        <w:t>s</w:t>
      </w:r>
      <w:r w:rsidRPr="009F1EF0" w:rsidR="008C2439">
        <w:rPr>
          <w:bCs/>
        </w:rPr>
        <w:t xml:space="preserve"> to receive payment under the Emergency Rental Assistance program must</w:t>
      </w:r>
      <w:r w:rsidRPr="009F1EF0" w:rsidR="003A5C25">
        <w:rPr>
          <w:bCs/>
        </w:rPr>
        <w:t xml:space="preserve"> complete and sign a form that will indicate its agreement </w:t>
      </w:r>
      <w:r w:rsidRPr="009F1EF0">
        <w:rPr>
          <w:bCs/>
        </w:rPr>
        <w:t>to the award terms, including</w:t>
      </w:r>
      <w:r w:rsidRPr="009F1EF0" w:rsidR="003A5C25">
        <w:rPr>
          <w:bCs/>
        </w:rPr>
        <w:t>,</w:t>
      </w:r>
      <w:r w:rsidRPr="009F1EF0">
        <w:rPr>
          <w:bCs/>
        </w:rPr>
        <w:t xml:space="preserve"> most important</w:t>
      </w:r>
      <w:r w:rsidRPr="009F1EF0" w:rsidR="007D4C92">
        <w:rPr>
          <w:bCs/>
        </w:rPr>
        <w:t>ly</w:t>
      </w:r>
      <w:r w:rsidRPr="009F1EF0">
        <w:rPr>
          <w:bCs/>
        </w:rPr>
        <w:t xml:space="preserve"> the requirement</w:t>
      </w:r>
      <w:r w:rsidRPr="009F1EF0" w:rsidR="004F506C">
        <w:rPr>
          <w:bCs/>
        </w:rPr>
        <w:t xml:space="preserve"> set forth in</w:t>
      </w:r>
      <w:r w:rsidRPr="009F1EF0">
        <w:rPr>
          <w:bCs/>
        </w:rPr>
        <w:t xml:space="preserve"> </w:t>
      </w:r>
      <w:r w:rsidRPr="009F1EF0" w:rsidR="004F506C">
        <w:rPr>
          <w:bCs/>
        </w:rPr>
        <w:t xml:space="preserve">section 3201(e) </w:t>
      </w:r>
      <w:bookmarkStart w:id="5" w:name="_Hlk68164524"/>
      <w:r w:rsidRPr="009F1EF0" w:rsidR="004F506C">
        <w:rPr>
          <w:bCs/>
        </w:rPr>
        <w:t>for</w:t>
      </w:r>
      <w:r w:rsidRPr="009F1EF0" w:rsidR="00306B17">
        <w:rPr>
          <w:bCs/>
        </w:rPr>
        <w:t xml:space="preserve"> Treasury to reallocate funds </w:t>
      </w:r>
      <w:bookmarkEnd w:id="5"/>
      <w:r w:rsidRPr="009F1EF0" w:rsidR="00306B17">
        <w:rPr>
          <w:bCs/>
        </w:rPr>
        <w:t>not yet paid</w:t>
      </w:r>
      <w:r w:rsidRPr="009F1EF0" w:rsidR="004F506C">
        <w:rPr>
          <w:bCs/>
        </w:rPr>
        <w:t xml:space="preserve"> </w:t>
      </w:r>
      <w:r w:rsidRPr="009F1EF0" w:rsidR="00285774">
        <w:rPr>
          <w:bCs/>
        </w:rPr>
        <w:t>beginning on March 31, 2022</w:t>
      </w:r>
      <w:r w:rsidRPr="009F1EF0" w:rsidR="004F506C">
        <w:rPr>
          <w:bCs/>
        </w:rPr>
        <w:t xml:space="preserve">. </w:t>
      </w:r>
      <w:r w:rsidRPr="009F1EF0">
        <w:rPr>
          <w:bCs/>
        </w:rPr>
        <w:t xml:space="preserve">Treasury does not have rulemaking authority with respect to this program, so it must obtain the agreement of eligible grantees to </w:t>
      </w:r>
      <w:r w:rsidRPr="009F1EF0" w:rsidR="003522BE">
        <w:rPr>
          <w:bCs/>
        </w:rPr>
        <w:t>require</w:t>
      </w:r>
      <w:r w:rsidRPr="009F1EF0" w:rsidR="00AF2F6B">
        <w:rPr>
          <w:bCs/>
        </w:rPr>
        <w:t xml:space="preserve"> </w:t>
      </w:r>
      <w:r w:rsidRPr="009F1EF0" w:rsidR="003522BE">
        <w:rPr>
          <w:bCs/>
        </w:rPr>
        <w:t xml:space="preserve">them </w:t>
      </w:r>
      <w:r w:rsidRPr="009F1EF0">
        <w:rPr>
          <w:bCs/>
        </w:rPr>
        <w:t xml:space="preserve">to comply with these provisions.  </w:t>
      </w:r>
    </w:p>
    <w:p w:rsidR="004F4225" w:rsidRPr="009F1EF0" w:rsidP="00704B18" w14:paraId="3D6B2919" w14:textId="77777777"/>
    <w:p w:rsidR="00704B18" w:rsidRPr="009F1EF0" w:rsidP="00704B18" w14:paraId="04D7D4AA" w14:textId="123032D9">
      <w:pPr>
        <w:rPr>
          <w:b/>
          <w:u w:val="single"/>
        </w:rPr>
      </w:pPr>
      <w:r w:rsidRPr="009F1EF0">
        <w:rPr>
          <w:b/>
          <w:u w:val="single"/>
        </w:rPr>
        <w:t>Recipient Payment</w:t>
      </w:r>
      <w:r w:rsidRPr="009F1EF0" w:rsidR="00A7640C">
        <w:rPr>
          <w:b/>
          <w:u w:val="single"/>
        </w:rPr>
        <w:t xml:space="preserve"> Information</w:t>
      </w:r>
      <w:r w:rsidRPr="009F1EF0">
        <w:rPr>
          <w:b/>
          <w:u w:val="single"/>
        </w:rPr>
        <w:t xml:space="preserve"> Form</w:t>
      </w:r>
    </w:p>
    <w:p w:rsidR="00704B18" w:rsidRPr="009F1EF0" w:rsidP="00704B18" w14:paraId="67062851" w14:textId="77777777"/>
    <w:p w:rsidR="003B7343" w:rsidRPr="009F1EF0" w:rsidP="003B7343" w14:paraId="72458BDB" w14:textId="00C5BDAA">
      <w:pPr>
        <w:rPr>
          <w:bCs/>
        </w:rPr>
      </w:pPr>
      <w:r w:rsidRPr="009F1EF0">
        <w:rPr>
          <w:bCs/>
        </w:rPr>
        <w:t>In order to ensure proper payment by Treasury,</w:t>
      </w:r>
      <w:r w:rsidRPr="009F1EF0">
        <w:rPr>
          <w:bCs/>
        </w:rPr>
        <w:t xml:space="preserve"> </w:t>
      </w:r>
      <w:r w:rsidRPr="009F1EF0" w:rsidR="00A205F8">
        <w:rPr>
          <w:bCs/>
        </w:rPr>
        <w:t xml:space="preserve">each </w:t>
      </w:r>
      <w:r w:rsidRPr="009F1EF0" w:rsidR="00B63D2D">
        <w:rPr>
          <w:bCs/>
        </w:rPr>
        <w:t xml:space="preserve">eligible grantee </w:t>
      </w:r>
      <w:r w:rsidRPr="009F1EF0">
        <w:rPr>
          <w:bCs/>
        </w:rPr>
        <w:t xml:space="preserve">must supply </w:t>
      </w:r>
      <w:r w:rsidRPr="009F1EF0">
        <w:rPr>
          <w:bCs/>
        </w:rPr>
        <w:t xml:space="preserve">basic identifying and bank routing information. This information should be readily available to officials completing the form. </w:t>
      </w:r>
    </w:p>
    <w:p w:rsidR="00863109" w:rsidRPr="009F1EF0" w:rsidP="00901943" w14:paraId="14B96024" w14:textId="77777777">
      <w:pPr>
        <w:rPr>
          <w:b/>
          <w:u w:val="single"/>
        </w:rPr>
      </w:pPr>
    </w:p>
    <w:p w:rsidR="00901943" w:rsidRPr="009F1EF0" w:rsidP="00901943" w14:paraId="619EEAB0" w14:textId="71F66624">
      <w:pPr>
        <w:rPr>
          <w:b/>
          <w:u w:val="single"/>
        </w:rPr>
      </w:pPr>
      <w:r w:rsidRPr="009F1EF0">
        <w:rPr>
          <w:b/>
          <w:u w:val="single"/>
        </w:rPr>
        <w:t>Assurances of Compliance with Title VI of the Civil Rights Act of 1964</w:t>
      </w:r>
    </w:p>
    <w:p w:rsidR="00901943" w:rsidRPr="009F1EF0" w:rsidP="00901943" w14:paraId="289E3FD3" w14:textId="77777777">
      <w:pPr>
        <w:rPr>
          <w:b/>
          <w:u w:val="single"/>
        </w:rPr>
      </w:pPr>
    </w:p>
    <w:p w:rsidR="00901943" w:rsidRPr="009F1EF0" w:rsidP="00901943" w14:paraId="5A034BFB" w14:textId="350CA09C">
      <w:r w:rsidRPr="009F1EF0">
        <w:t xml:space="preserve">As a condition of receipt of federal financial assistance from Treasury, eligible </w:t>
      </w:r>
      <w:r w:rsidRPr="009F1EF0" w:rsidR="00863109">
        <w:t>grantees</w:t>
      </w:r>
      <w:r w:rsidRPr="009F1EF0">
        <w:t xml:space="preserve"> under the </w:t>
      </w:r>
      <w:r w:rsidRPr="009F1EF0" w:rsidR="00863109">
        <w:t>ERA 2</w:t>
      </w:r>
      <w:r w:rsidRPr="009F1EF0">
        <w:t xml:space="preserve"> program are required to provide assurances pursuant to 31 C.F.R. § 22.5 that they will </w:t>
      </w:r>
      <w:r w:rsidRPr="009F1EF0">
        <w:t xml:space="preserve">comply with the requirements of Title VI of the Civil Rights Act of 1964 and Treasury’s Title VI implementing regulations.  </w:t>
      </w:r>
    </w:p>
    <w:p w:rsidR="00730B3A" w:rsidRPr="009F1EF0" w:rsidP="00901943" w14:paraId="407A61B4" w14:textId="320318D9"/>
    <w:p w:rsidR="00730B3A" w:rsidRPr="009F1EF0" w:rsidP="00730B3A" w14:paraId="2F0ACD9F" w14:textId="77777777">
      <w:pPr>
        <w:textAlignment w:val="baseline"/>
        <w:rPr>
          <w:sz w:val="18"/>
          <w:szCs w:val="18"/>
        </w:rPr>
      </w:pPr>
      <w:r w:rsidRPr="009F1EF0">
        <w:rPr>
          <w:b/>
          <w:bCs/>
          <w:u w:val="single"/>
        </w:rPr>
        <w:t>ERA Interim Report and Interim Reporting Guidance</w:t>
      </w:r>
    </w:p>
    <w:p w:rsidR="00730B3A" w:rsidRPr="009F1EF0" w:rsidP="00730B3A" w14:paraId="4C7F2B9F" w14:textId="77777777">
      <w:pPr>
        <w:textAlignment w:val="baseline"/>
        <w:rPr>
          <w:sz w:val="18"/>
          <w:szCs w:val="18"/>
        </w:rPr>
      </w:pPr>
      <w:r w:rsidRPr="009F1EF0">
        <w:t> </w:t>
      </w:r>
    </w:p>
    <w:p w:rsidR="00730B3A" w:rsidRPr="009F1EF0" w:rsidP="002E2C90" w14:paraId="3BDD0A3C" w14:textId="5A122231">
      <w:pPr>
        <w:textAlignment w:val="baseline"/>
      </w:pPr>
      <w:r w:rsidRPr="009F1EF0">
        <w:t xml:space="preserve">Treasury developed </w:t>
      </w:r>
      <w:r w:rsidRPr="009F1EF0" w:rsidR="00F52733">
        <w:t xml:space="preserve">brief (two-question) </w:t>
      </w:r>
      <w:r w:rsidRPr="009F1EF0">
        <w:t>ERA</w:t>
      </w:r>
      <w:r w:rsidRPr="009F1EF0" w:rsidR="00DB47F1">
        <w:t xml:space="preserve"> </w:t>
      </w:r>
      <w:r w:rsidRPr="009F1EF0" w:rsidR="00F52733">
        <w:t xml:space="preserve">2 monthly </w:t>
      </w:r>
      <w:r w:rsidRPr="009F1EF0">
        <w:t>report</w:t>
      </w:r>
      <w:r w:rsidRPr="009F1EF0" w:rsidR="00F52733">
        <w:t>s</w:t>
      </w:r>
      <w:r w:rsidRPr="009F1EF0">
        <w:t xml:space="preserve"> and the </w:t>
      </w:r>
      <w:r w:rsidRPr="009F1EF0" w:rsidR="00C656E8">
        <w:t xml:space="preserve">accompanying </w:t>
      </w:r>
      <w:r w:rsidRPr="009F1EF0" w:rsidR="00F52733">
        <w:t xml:space="preserve">  </w:t>
      </w:r>
      <w:r w:rsidRPr="009F1EF0">
        <w:t xml:space="preserve">reporting guidance </w:t>
      </w:r>
      <w:r w:rsidRPr="009F1EF0" w:rsidR="00FC5AAC">
        <w:t xml:space="preserve">to enable </w:t>
      </w:r>
      <w:r w:rsidRPr="009F1EF0">
        <w:t>ERA</w:t>
      </w:r>
      <w:r w:rsidRPr="009F1EF0" w:rsidR="00DB47F1">
        <w:t xml:space="preserve"> </w:t>
      </w:r>
      <w:r w:rsidRPr="009F1EF0" w:rsidR="00F52733">
        <w:t>2</w:t>
      </w:r>
      <w:r w:rsidRPr="009F1EF0">
        <w:t xml:space="preserve"> grantees submit summary information on their utilization of ERA award funds </w:t>
      </w:r>
      <w:r w:rsidRPr="009F1EF0" w:rsidR="00C656E8">
        <w:t xml:space="preserve">monthly.  This reporting will </w:t>
      </w:r>
      <w:r w:rsidRPr="009F1EF0">
        <w:t xml:space="preserve">facilitate Treasury’s obligations to </w:t>
      </w:r>
      <w:r w:rsidRPr="009F1EF0">
        <w:rPr>
          <w:lang w:val="en"/>
        </w:rPr>
        <w:t>effectively monitor the ERA</w:t>
      </w:r>
      <w:r w:rsidRPr="009F1EF0" w:rsidR="00DB47F1">
        <w:rPr>
          <w:lang w:val="en"/>
        </w:rPr>
        <w:t xml:space="preserve"> </w:t>
      </w:r>
      <w:r w:rsidRPr="009F1EF0" w:rsidR="00C656E8">
        <w:rPr>
          <w:lang w:val="en"/>
        </w:rPr>
        <w:t>2</w:t>
      </w:r>
      <w:r w:rsidRPr="009F1EF0">
        <w:rPr>
          <w:lang w:val="en"/>
        </w:rPr>
        <w:t xml:space="preserve"> grantees’ compliance with the requirements of the ERA</w:t>
      </w:r>
      <w:r w:rsidRPr="009F1EF0" w:rsidR="00DB47F1">
        <w:rPr>
          <w:lang w:val="en"/>
        </w:rPr>
        <w:t xml:space="preserve"> </w:t>
      </w:r>
      <w:r w:rsidRPr="009F1EF0" w:rsidR="00C656E8">
        <w:rPr>
          <w:lang w:val="en"/>
        </w:rPr>
        <w:t>2</w:t>
      </w:r>
      <w:r w:rsidRPr="009F1EF0">
        <w:rPr>
          <w:lang w:val="en"/>
        </w:rPr>
        <w:t xml:space="preserve"> award</w:t>
      </w:r>
      <w:r w:rsidRPr="009F1EF0" w:rsidR="00C656E8">
        <w:rPr>
          <w:lang w:val="en"/>
        </w:rPr>
        <w:t>.</w:t>
      </w:r>
      <w:r w:rsidRPr="009F1EF0">
        <w:rPr>
          <w:lang w:val="en"/>
        </w:rPr>
        <w:t xml:space="preserve"> </w:t>
      </w:r>
      <w:r w:rsidRPr="009F1EF0">
        <w:t xml:space="preserve"> </w:t>
      </w:r>
      <w:r w:rsidRPr="009F1EF0" w:rsidR="00C656E8">
        <w:t xml:space="preserve"> </w:t>
      </w:r>
    </w:p>
    <w:p w:rsidR="00993410" w:rsidRPr="009F1EF0" w:rsidP="002E2C90" w14:paraId="6779C7D1" w14:textId="04907600">
      <w:pPr>
        <w:textAlignment w:val="baseline"/>
        <w:rPr>
          <w:b/>
          <w:u w:val="single"/>
        </w:rPr>
      </w:pPr>
    </w:p>
    <w:p w:rsidR="00171336" w:rsidRPr="009F1EF0" w:rsidP="002E2C90" w14:paraId="350B7FF2" w14:textId="2E6ADE46">
      <w:pPr>
        <w:textAlignment w:val="baseline"/>
        <w:rPr>
          <w:b/>
          <w:u w:val="single"/>
        </w:rPr>
      </w:pPr>
      <w:r w:rsidRPr="009F1EF0">
        <w:rPr>
          <w:b/>
          <w:u w:val="single"/>
        </w:rPr>
        <w:t>ERA</w:t>
      </w:r>
      <w:r w:rsidRPr="009F1EF0" w:rsidR="00DB47F1">
        <w:rPr>
          <w:b/>
          <w:u w:val="single"/>
        </w:rPr>
        <w:t xml:space="preserve"> </w:t>
      </w:r>
      <w:r w:rsidRPr="009F1EF0">
        <w:rPr>
          <w:b/>
          <w:u w:val="single"/>
        </w:rPr>
        <w:t>2 Quarterly Reports, Bulk Upload Template</w:t>
      </w:r>
      <w:r w:rsidRPr="009F1EF0" w:rsidR="00DB47F1">
        <w:rPr>
          <w:b/>
          <w:u w:val="single"/>
        </w:rPr>
        <w:t>,</w:t>
      </w:r>
      <w:r w:rsidRPr="009F1EF0">
        <w:rPr>
          <w:b/>
          <w:u w:val="single"/>
        </w:rPr>
        <w:t xml:space="preserve"> Instructions, and Treasury</w:t>
      </w:r>
      <w:r w:rsidRPr="009F1EF0" w:rsidR="00DB47F1">
        <w:rPr>
          <w:b/>
          <w:u w:val="single"/>
        </w:rPr>
        <w:t>’s</w:t>
      </w:r>
      <w:r w:rsidRPr="009F1EF0">
        <w:rPr>
          <w:b/>
          <w:u w:val="single"/>
        </w:rPr>
        <w:t xml:space="preserve"> Portal User Guide</w:t>
      </w:r>
    </w:p>
    <w:p w:rsidR="00337E18" w:rsidRPr="009F1EF0" w:rsidP="00B375A0" w14:paraId="76708243" w14:textId="17934831"/>
    <w:p w:rsidR="00171336" w:rsidRPr="009F1EF0" w:rsidP="00B375A0" w14:paraId="084540FE" w14:textId="0F4800B4">
      <w:r w:rsidRPr="009F1EF0">
        <w:t>Treasury developed ERA</w:t>
      </w:r>
      <w:r w:rsidRPr="009F1EF0" w:rsidR="00C9433D">
        <w:t xml:space="preserve"> </w:t>
      </w:r>
      <w:r w:rsidRPr="009F1EF0">
        <w:t>2 quarterly report forms</w:t>
      </w:r>
      <w:r w:rsidRPr="009F1EF0" w:rsidR="00DB47F1">
        <w:t>,</w:t>
      </w:r>
      <w:r w:rsidRPr="009F1EF0">
        <w:t xml:space="preserve"> the accompanying bulk upload templates</w:t>
      </w:r>
      <w:r w:rsidRPr="009F1EF0" w:rsidR="00DB47F1">
        <w:t>,</w:t>
      </w:r>
      <w:r w:rsidRPr="009F1EF0">
        <w:t xml:space="preserve"> and instructions to enable ERA</w:t>
      </w:r>
      <w:r w:rsidRPr="009F1EF0" w:rsidR="00DB47F1">
        <w:t xml:space="preserve"> </w:t>
      </w:r>
      <w:r w:rsidRPr="009F1EF0">
        <w:t xml:space="preserve">2 grantees to submit </w:t>
      </w:r>
      <w:r w:rsidRPr="009F1EF0" w:rsidR="00DB47F1">
        <w:t xml:space="preserve">the </w:t>
      </w:r>
      <w:r w:rsidRPr="009F1EF0">
        <w:t>required information on their utilization of ERA</w:t>
      </w:r>
      <w:r w:rsidRPr="009F1EF0" w:rsidR="00DB47F1">
        <w:t xml:space="preserve"> </w:t>
      </w:r>
      <w:r w:rsidRPr="009F1EF0">
        <w:t xml:space="preserve">2 award funds quarterly. </w:t>
      </w:r>
      <w:r w:rsidRPr="009F1EF0" w:rsidR="003540EB">
        <w:t xml:space="preserve"> This information can be submitted electronically via Treasury</w:t>
      </w:r>
      <w:r w:rsidRPr="009F1EF0" w:rsidR="00A4017C">
        <w:t>’s</w:t>
      </w:r>
      <w:r w:rsidRPr="009F1EF0" w:rsidR="003540EB">
        <w:t xml:space="preserve"> </w:t>
      </w:r>
      <w:r w:rsidRPr="009F1EF0" w:rsidR="00C9433D">
        <w:t>p</w:t>
      </w:r>
      <w:r w:rsidRPr="009F1EF0" w:rsidR="003540EB">
        <w:t xml:space="preserve">ortal. </w:t>
      </w:r>
      <w:r w:rsidRPr="009F1EF0">
        <w:t xml:space="preserve"> </w:t>
      </w:r>
      <w:r w:rsidRPr="009F1EF0" w:rsidR="003540EB">
        <w:t>Treasury has developed a</w:t>
      </w:r>
      <w:r w:rsidRPr="009F1EF0" w:rsidR="00C9433D">
        <w:t xml:space="preserve"> guide</w:t>
      </w:r>
      <w:r w:rsidRPr="009F1EF0" w:rsidR="00517373">
        <w:t xml:space="preserve"> </w:t>
      </w:r>
      <w:r w:rsidRPr="009F1EF0" w:rsidR="003540EB">
        <w:t xml:space="preserve">to </w:t>
      </w:r>
      <w:r w:rsidRPr="009F1EF0" w:rsidR="00C9433D">
        <w:t>using the portal for grantees.</w:t>
      </w:r>
      <w:r w:rsidRPr="009F1EF0" w:rsidR="003540EB">
        <w:t xml:space="preserve">  </w:t>
      </w:r>
      <w:r w:rsidRPr="009F1EF0">
        <w:t>The information collection is important</w:t>
      </w:r>
      <w:r w:rsidRPr="009F1EF0" w:rsidR="00A4017C">
        <w:t xml:space="preserve"> and will permit </w:t>
      </w:r>
      <w:r w:rsidRPr="009F1EF0">
        <w:t>Treasury</w:t>
      </w:r>
      <w:r w:rsidRPr="009F1EF0" w:rsidR="00A4017C">
        <w:t xml:space="preserve"> </w:t>
      </w:r>
      <w:r w:rsidRPr="009F1EF0">
        <w:t>to effectively monitor the ERA</w:t>
      </w:r>
      <w:r w:rsidRPr="009F1EF0" w:rsidR="00C9433D">
        <w:t xml:space="preserve"> </w:t>
      </w:r>
      <w:r w:rsidRPr="009F1EF0">
        <w:t xml:space="preserve">2 grantees’ compliance with the requirements of the ERA2 award. </w:t>
      </w:r>
    </w:p>
    <w:p w:rsidR="00171336" w:rsidRPr="009F1EF0" w:rsidP="00B375A0" w14:paraId="6453EC9C" w14:textId="7CAFB989"/>
    <w:p w:rsidR="00B34C40" w:rsidRPr="009F1EF0" w:rsidP="00B375A0" w14:paraId="7C6DA4C4" w14:textId="6BACEC0A">
      <w:pPr>
        <w:rPr>
          <w:b/>
          <w:bCs/>
          <w:u w:val="single"/>
        </w:rPr>
      </w:pPr>
      <w:r w:rsidRPr="009F1EF0">
        <w:rPr>
          <w:b/>
          <w:bCs/>
          <w:u w:val="single"/>
        </w:rPr>
        <w:t xml:space="preserve">ERA 2 Additional Funds Request Form </w:t>
      </w:r>
    </w:p>
    <w:p w:rsidR="00811FB1" w:rsidP="00B375A0" w14:paraId="3513F53D" w14:textId="77777777"/>
    <w:p w:rsidR="00B34C40" w:rsidP="00B375A0" w14:paraId="5B611FB2" w14:textId="6BF51AD9">
      <w:r w:rsidRPr="009F1EF0">
        <w:t>Under</w:t>
      </w:r>
      <w:r w:rsidRPr="009F1EF0" w:rsidR="003E1864">
        <w:t xml:space="preserve"> </w:t>
      </w:r>
      <w:r w:rsidRPr="009F1EF0" w:rsidR="00C81497">
        <w:t>Section 320</w:t>
      </w:r>
      <w:r w:rsidRPr="009F1EF0" w:rsidR="00A04BE6">
        <w:t>1</w:t>
      </w:r>
      <w:r w:rsidRPr="009F1EF0" w:rsidR="00C81497">
        <w:t>(c)</w:t>
      </w:r>
      <w:r w:rsidRPr="009F1EF0" w:rsidR="00D62846">
        <w:t xml:space="preserve"> of the Act</w:t>
      </w:r>
      <w:r w:rsidRPr="009F1EF0">
        <w:t>, Treasury was directed to d</w:t>
      </w:r>
      <w:r w:rsidRPr="009F1EF0" w:rsidR="00A04BE6">
        <w:t xml:space="preserve">eliver each grantee an initial payment equal to 40% of its allocation and deliver the remainder in tranches. </w:t>
      </w:r>
      <w:r w:rsidRPr="009F1EF0">
        <w:t xml:space="preserve"> </w:t>
      </w:r>
      <w:r w:rsidRPr="009F1EF0" w:rsidR="00CF53A8">
        <w:t xml:space="preserve">In order to request </w:t>
      </w:r>
      <w:r w:rsidRPr="009F1EF0" w:rsidR="007F6049">
        <w:t>funds from their remaining</w:t>
      </w:r>
      <w:r w:rsidRPr="009F1EF0" w:rsidR="00CF53A8">
        <w:t xml:space="preserve"> </w:t>
      </w:r>
      <w:r w:rsidRPr="009F1EF0" w:rsidR="007F6049">
        <w:t>allocations</w:t>
      </w:r>
      <w:r w:rsidRPr="009F1EF0" w:rsidR="00CF53A8">
        <w:t xml:space="preserve">, </w:t>
      </w:r>
      <w:r w:rsidRPr="009F1EF0" w:rsidR="007F6049">
        <w:t>ERA 2 grantees</w:t>
      </w:r>
      <w:r w:rsidRPr="009F1EF0" w:rsidR="00CF53A8">
        <w:t xml:space="preserve"> must demonstrate that at least 75% of their </w:t>
      </w:r>
      <w:r w:rsidRPr="009F1EF0" w:rsidR="00846757">
        <w:t>earlier payments</w:t>
      </w:r>
      <w:r w:rsidRPr="009F1EF0" w:rsidR="007A70AE">
        <w:t xml:space="preserve"> have been </w:t>
      </w:r>
      <w:r w:rsidRPr="009F1EF0" w:rsidR="00846757">
        <w:t>spent or obligated for expenditure</w:t>
      </w:r>
      <w:r w:rsidRPr="009F1EF0" w:rsidR="007A70AE">
        <w:t>.</w:t>
      </w:r>
      <w:r w:rsidRPr="009F1EF0" w:rsidR="007F6049">
        <w:t xml:space="preserve">  To ease administrative burdens for eligible grantees while ensuring compliance with these requirements, Treasury has developed a standard funding request form.  The form requires eligible grantees to disclose the amount of funds already spent or obligated, state the requested payment amount, and confirm the grantee’s compliance with program requirements.  </w:t>
      </w:r>
    </w:p>
    <w:p w:rsidR="00811FB1" w:rsidP="00C25DD2" w14:paraId="4ED65550" w14:textId="77777777">
      <w:pPr>
        <w:textAlignment w:val="baseline"/>
        <w:rPr>
          <w:b/>
          <w:bCs/>
          <w:u w:val="single"/>
        </w:rPr>
      </w:pPr>
    </w:p>
    <w:p w:rsidR="00C25DD2" w:rsidRPr="00D94340" w:rsidP="00C25DD2" w14:paraId="62FBD67D" w14:textId="2B1BA26C">
      <w:pPr>
        <w:textAlignment w:val="baseline"/>
        <w:rPr>
          <w:b/>
          <w:bCs/>
        </w:rPr>
      </w:pPr>
      <w:r w:rsidRPr="00D94340">
        <w:rPr>
          <w:b/>
          <w:bCs/>
          <w:u w:val="single"/>
        </w:rPr>
        <w:t xml:space="preserve">Reallocation Portal: Request for Reallocated Funds &amp; Request to </w:t>
      </w:r>
      <w:r w:rsidRPr="00D94340">
        <w:rPr>
          <w:b/>
          <w:bCs/>
          <w:u w:val="single"/>
        </w:rPr>
        <w:t>Voluntary Reallocat</w:t>
      </w:r>
      <w:r w:rsidRPr="00D94340">
        <w:rPr>
          <w:b/>
          <w:bCs/>
          <w:u w:val="single"/>
        </w:rPr>
        <w:t>e Funds</w:t>
      </w:r>
    </w:p>
    <w:p w:rsidR="00C25DD2" w:rsidRPr="00D94340" w:rsidP="00C25DD2" w14:paraId="72606E4C" w14:textId="77777777">
      <w:pPr>
        <w:textAlignment w:val="baseline"/>
      </w:pPr>
    </w:p>
    <w:p w:rsidR="00811FB1" w:rsidRPr="00D94340" w:rsidP="00811FB1" w14:paraId="2D9263D1" w14:textId="77777777">
      <w:pPr>
        <w:textAlignment w:val="baseline"/>
      </w:pPr>
      <w:bookmarkStart w:id="6" w:name="_Hlk87437777"/>
      <w:r w:rsidRPr="00D94340">
        <w:t>Under the ERA2 program, Treasury pays each grantee portions of its initial ERA2 allocation in tranches as the grantee obligates funds already received.  Section 3201(e) provides that “[b]</w:t>
      </w:r>
      <w:r w:rsidRPr="00D94340">
        <w:t>eginning</w:t>
      </w:r>
      <w:r w:rsidRPr="00D94340">
        <w:t xml:space="preserve"> March 31, 2022, the Secretary shall reallocate funds allocated to eligible grantees … but not yet paid … according to a procedure established by the Secretary.”</w:t>
      </w:r>
    </w:p>
    <w:p w:rsidR="00811FB1" w:rsidRPr="00D94340" w:rsidP="00811FB1" w14:paraId="3DA7AD04" w14:textId="77777777">
      <w:pPr>
        <w:textAlignment w:val="baseline"/>
      </w:pPr>
    </w:p>
    <w:p w:rsidR="00811FB1" w:rsidRPr="00D94340" w:rsidP="00811FB1" w14:paraId="1FDDBB65" w14:textId="64A559A1">
      <w:pPr>
        <w:textAlignment w:val="baseline"/>
      </w:pPr>
      <w:r w:rsidRPr="00D94340">
        <w:t xml:space="preserve">Treasury has developed a standard reallocation portal for eligible grantees to utilize when requesting an award of additional funds from those Treasury has determined to be excess among those initially allocated for use in other jurisdictions.  Per the statutory requirements, excess funds may only be reallocated to grantees who have obligated at least 50% of their own initial ERA2 allocations.  The portal will allow Treasury to collect the information needed to confirm that a requesting eligible grantee meets this requirement.  </w:t>
      </w:r>
    </w:p>
    <w:p w:rsidR="00811FB1" w:rsidRPr="00D94340" w:rsidP="00C25DD2" w14:paraId="456CF64D" w14:textId="77777777">
      <w:pPr>
        <w:textAlignment w:val="baseline"/>
      </w:pPr>
    </w:p>
    <w:p w:rsidR="00C25DD2" w:rsidP="00C25DD2" w14:paraId="1EF77CBB" w14:textId="72EA3288">
      <w:pPr>
        <w:textAlignment w:val="baseline"/>
      </w:pPr>
      <w:r w:rsidRPr="00D94340">
        <w:t>Treasury anticipates that certain eligible grantees will determine their allocated funds exceed their jurisdictional needs, or that other grantees in the same state or jurisdiction may be better positioned to administer all or part of the grantee’s ERA allocation</w:t>
      </w:r>
      <w:bookmarkEnd w:id="6"/>
      <w:r w:rsidRPr="00D94340">
        <w:t xml:space="preserve">.  Treasury </w:t>
      </w:r>
      <w:r w:rsidRPr="00D94340" w:rsidR="00811FB1">
        <w:t>has also developed, within its reallocation portal, a standard form</w:t>
      </w:r>
      <w:r w:rsidRPr="00D94340">
        <w:t xml:space="preserve"> that will be used by grantees to initiate this voluntary reallocation process.</w:t>
      </w:r>
      <w:r w:rsidRPr="00D94340" w:rsidR="00A1345E">
        <w:t xml:space="preserve">  In accordance with statutory requirements, a grantee may transfer up to 60% of its initial ERA2 allocation.</w:t>
      </w:r>
    </w:p>
    <w:p w:rsidR="00E27BB3" w:rsidP="00C25DD2" w14:paraId="1DA1707D" w14:textId="55BED1AF">
      <w:pPr>
        <w:textAlignment w:val="baseline"/>
      </w:pPr>
    </w:p>
    <w:p w:rsidR="00F235CB" w:rsidRPr="00D94340" w:rsidP="00BA0FFE" w14:paraId="324C5760" w14:textId="2B7A2844">
      <w:pPr>
        <w:textAlignment w:val="baseline"/>
        <w:rPr>
          <w:b/>
          <w:bCs/>
          <w:u w:val="single"/>
        </w:rPr>
      </w:pPr>
      <w:r>
        <w:rPr>
          <w:b/>
          <w:bCs/>
          <w:u w:val="single"/>
        </w:rPr>
        <w:t xml:space="preserve">Reallocation Portal Addition: Non-ERA </w:t>
      </w:r>
      <w:r w:rsidR="00EC5BC3">
        <w:rPr>
          <w:b/>
          <w:bCs/>
          <w:u w:val="single"/>
        </w:rPr>
        <w:t>Expenditure</w:t>
      </w:r>
      <w:r>
        <w:rPr>
          <w:b/>
          <w:bCs/>
          <w:u w:val="single"/>
        </w:rPr>
        <w:t>s on Rent</w:t>
      </w:r>
      <w:r w:rsidR="00EC5BC3">
        <w:rPr>
          <w:b/>
          <w:bCs/>
          <w:u w:val="single"/>
        </w:rPr>
        <w:t>al</w:t>
      </w:r>
      <w:r>
        <w:rPr>
          <w:b/>
          <w:bCs/>
          <w:u w:val="single"/>
        </w:rPr>
        <w:t xml:space="preserve"> or Utility Assistance</w:t>
      </w:r>
    </w:p>
    <w:p w:rsidR="00F235CB" w:rsidP="00BA0FFE" w14:paraId="4287D47F" w14:textId="77777777">
      <w:pPr>
        <w:textAlignment w:val="baseline"/>
      </w:pPr>
    </w:p>
    <w:p w:rsidR="00BA0FFE" w:rsidRPr="00BA0FFE" w:rsidP="00BA0FFE" w14:paraId="1A85E7A2" w14:textId="41AE2F05">
      <w:pPr>
        <w:textAlignment w:val="baseline"/>
      </w:pPr>
      <w:r w:rsidRPr="00BA0FFE">
        <w:t>To</w:t>
      </w:r>
      <w:r w:rsidR="00CD1BC7">
        <w:t xml:space="preserve"> distribute</w:t>
      </w:r>
      <w:r w:rsidRPr="00BA0FFE">
        <w:t xml:space="preserve"> </w:t>
      </w:r>
      <w:r w:rsidR="00EC5BC3">
        <w:t>ERA2 funds subject to reallocation among eligible grantees</w:t>
      </w:r>
      <w:r w:rsidRPr="00BA0FFE">
        <w:t xml:space="preserve">, Treasury has developed a prioritization </w:t>
      </w:r>
      <w:r w:rsidR="00F53311">
        <w:t>system</w:t>
      </w:r>
      <w:r w:rsidRPr="00BA0FFE">
        <w:t xml:space="preserve"> that considers</w:t>
      </w:r>
      <w:r w:rsidR="00AD7805">
        <w:t>:</w:t>
      </w:r>
      <w:r w:rsidRPr="00BA0FFE">
        <w:t xml:space="preserve"> whether recipient grantees are located in the same state as reallocating grantees</w:t>
      </w:r>
      <w:r w:rsidR="00CD1BC7">
        <w:t>;</w:t>
      </w:r>
      <w:r w:rsidR="00F53311">
        <w:t xml:space="preserve"> </w:t>
      </w:r>
      <w:r w:rsidRPr="00BA0FFE">
        <w:t>recipient</w:t>
      </w:r>
      <w:r w:rsidR="00F53311">
        <w:t xml:space="preserve"> </w:t>
      </w:r>
      <w:r w:rsidRPr="00BA0FFE">
        <w:t>grantees’ rate of expenditure</w:t>
      </w:r>
      <w:r w:rsidR="00CD1BC7">
        <w:t>;</w:t>
      </w:r>
      <w:r w:rsidR="00AD7805">
        <w:t xml:space="preserve"> </w:t>
      </w:r>
      <w:r w:rsidRPr="00BA0FFE">
        <w:t>and</w:t>
      </w:r>
      <w:r w:rsidR="00AD7805">
        <w:t xml:space="preserve"> grantees’</w:t>
      </w:r>
      <w:r w:rsidRPr="00BA0FFE">
        <w:t xml:space="preserve"> jurisdictional needs. Starting with reallocation based on the Quarter 2 assessment, Treasury also intends to prioritize </w:t>
      </w:r>
      <w:r w:rsidR="00F53311">
        <w:t>g</w:t>
      </w:r>
      <w:r w:rsidRPr="00BA0FFE">
        <w:t xml:space="preserve">rantees that have expended non-ERA funds, including State and Local Fiscal Recovery Funds, for rental or utility assistance substantially similar to eligible uses under ERA1 or ERA2 since the enactment of the ERA1 statute on December 27, 2020, in an amount exceeding 20% of their initial ERA2 allocation. For example, a grantee that surpasses this threshold using State and Local Fiscal Recovery Funds to provide for rental and utility assistance may be prioritized. To receive this prioritization, a Grantee must submit to Treasury a certification of, among other things, the amount of non-ERA funding expended on ERA-eligible uses, the sources of these expenditures, and the number of households served. </w:t>
      </w:r>
    </w:p>
    <w:p w:rsidR="00BA0FFE" w:rsidRPr="00BA0FFE" w:rsidP="00BA0FFE" w14:paraId="1E13F823" w14:textId="77777777">
      <w:pPr>
        <w:textAlignment w:val="baseline"/>
      </w:pPr>
    </w:p>
    <w:p w:rsidR="00BA0FFE" w:rsidRPr="00BE682F" w:rsidP="00BA0FFE" w14:paraId="7F2318B9" w14:textId="34C4C450">
      <w:pPr>
        <w:rPr>
          <w:color w:val="000000" w:themeColor="text1"/>
        </w:rPr>
      </w:pPr>
      <w:r w:rsidRPr="00BA0FFE">
        <w:t xml:space="preserve">To </w:t>
      </w:r>
      <w:r w:rsidR="00CD1BC7">
        <w:t>implement this prioritization system for the Quarter 2 assessment</w:t>
      </w:r>
      <w:r w:rsidRPr="00BA0FFE">
        <w:t xml:space="preserve">, Treasury has developed an addition to </w:t>
      </w:r>
      <w:r w:rsidR="00EC5BC3">
        <w:t>its</w:t>
      </w:r>
      <w:r w:rsidRPr="00BA0FFE">
        <w:t xml:space="preserve"> reallocation portal to collect information needed to confirm that a requesting eligible grantee is entitled to prioritization based on </w:t>
      </w:r>
      <w:r w:rsidR="00EC5BC3">
        <w:t>its</w:t>
      </w:r>
      <w:r w:rsidRPr="00BA0FFE">
        <w:t xml:space="preserve"> non-ERA expenditures. Specifically, the portal prompts grantees to list the source and amount of non-ERA funds expended on</w:t>
      </w:r>
      <w:r w:rsidRPr="00BA0FFE">
        <w:rPr>
          <w:color w:val="000000" w:themeColor="text1"/>
        </w:rPr>
        <w:t xml:space="preserve"> rental or utility assistance substantially similar to eligible uses under ERA1 or ERA2</w:t>
      </w:r>
      <w:r w:rsidR="00F53311">
        <w:rPr>
          <w:color w:val="000000" w:themeColor="text1"/>
        </w:rPr>
        <w:t xml:space="preserve">. </w:t>
      </w:r>
      <w:r w:rsidRPr="00BA0FFE">
        <w:rPr>
          <w:color w:val="000000" w:themeColor="text1"/>
        </w:rPr>
        <w:t>The portal also provides grantees with examples of such “substantially similar uses,” to ensure</w:t>
      </w:r>
      <w:r w:rsidR="00CD1BC7">
        <w:rPr>
          <w:color w:val="000000" w:themeColor="text1"/>
        </w:rPr>
        <w:t xml:space="preserve"> the</w:t>
      </w:r>
      <w:r w:rsidRPr="00BA0FFE">
        <w:rPr>
          <w:color w:val="000000" w:themeColor="text1"/>
        </w:rPr>
        <w:t xml:space="preserve"> accuracy of information collected.</w:t>
      </w:r>
      <w:r>
        <w:rPr>
          <w:color w:val="000000" w:themeColor="text1"/>
        </w:rPr>
        <w:t xml:space="preserve">  </w:t>
      </w:r>
    </w:p>
    <w:p w:rsidR="00B34C40" w:rsidRPr="009F1EF0" w:rsidP="00D94340" w14:paraId="6F5B13CB" w14:textId="36CEED35">
      <w:pPr>
        <w:tabs>
          <w:tab w:val="left" w:pos="2260"/>
        </w:tabs>
        <w:textAlignment w:val="baseline"/>
      </w:pPr>
      <w:r>
        <w:tab/>
      </w:r>
    </w:p>
    <w:p w:rsidR="003C1AB8" w:rsidRPr="009F1EF0" w:rsidP="000C6F26" w14:paraId="0BBDC9CC" w14:textId="77777777">
      <w:pPr>
        <w:numPr>
          <w:ilvl w:val="0"/>
          <w:numId w:val="12"/>
        </w:numPr>
        <w:tabs>
          <w:tab w:val="num" w:pos="270"/>
          <w:tab w:val="clear" w:pos="720"/>
        </w:tabs>
        <w:ind w:hanging="720"/>
      </w:pPr>
      <w:r w:rsidRPr="009F1EF0">
        <w:rPr>
          <w:u w:val="single"/>
        </w:rPr>
        <w:t>U</w:t>
      </w:r>
      <w:r w:rsidRPr="009F1EF0">
        <w:rPr>
          <w:u w:val="single"/>
        </w:rPr>
        <w:t>se of the data</w:t>
      </w:r>
    </w:p>
    <w:p w:rsidR="003C1AB8" w:rsidRPr="009F1EF0" w:rsidP="003C1AB8" w14:paraId="0AF34797" w14:textId="77777777">
      <w:pPr>
        <w:rPr>
          <w:u w:val="single"/>
        </w:rPr>
      </w:pPr>
    </w:p>
    <w:p w:rsidR="00F311DB" w:rsidRPr="009F1EF0" w:rsidP="00F311DB" w14:paraId="298ED960" w14:textId="48CBF2C6">
      <w:pPr>
        <w:textAlignment w:val="baseline"/>
        <w:rPr>
          <w:sz w:val="18"/>
          <w:szCs w:val="18"/>
        </w:rPr>
      </w:pPr>
      <w:r w:rsidRPr="009F1EF0">
        <w:t xml:space="preserve">The information reported will allow </w:t>
      </w:r>
      <w:r w:rsidRPr="009F1EF0" w:rsidR="001C229E">
        <w:t>Treasury</w:t>
      </w:r>
      <w:r w:rsidRPr="009F1EF0" w:rsidR="004D0DB9">
        <w:t xml:space="preserve"> </w:t>
      </w:r>
      <w:r w:rsidRPr="009F1EF0">
        <w:t xml:space="preserve">to </w:t>
      </w:r>
      <w:r w:rsidRPr="009F1EF0" w:rsidR="0009709C">
        <w:t xml:space="preserve">ensure proper payments to </w:t>
      </w:r>
      <w:r w:rsidRPr="009F1EF0" w:rsidR="00B63D2D">
        <w:t xml:space="preserve">the </w:t>
      </w:r>
      <w:r w:rsidRPr="009F1EF0" w:rsidR="00F853A4">
        <w:t xml:space="preserve">eligible </w:t>
      </w:r>
      <w:r w:rsidRPr="009F1EF0" w:rsidR="00B63D2D">
        <w:t>grantees</w:t>
      </w:r>
      <w:r w:rsidR="00CD1BC7">
        <w:t xml:space="preserve"> and carry out the reallocation process</w:t>
      </w:r>
      <w:r w:rsidRPr="009F1EF0" w:rsidR="0009709C">
        <w:t>.</w:t>
      </w:r>
      <w:r w:rsidRPr="009F1EF0">
        <w:t xml:space="preserve"> The information reported </w:t>
      </w:r>
      <w:r w:rsidRPr="009F1EF0" w:rsidR="00035656">
        <w:t xml:space="preserve">in the ERA2 Quarterly reports </w:t>
      </w:r>
      <w:r w:rsidRPr="009F1EF0">
        <w:t xml:space="preserve">will allow Treasury to monitor the recipients’ compliance with the program </w:t>
      </w:r>
      <w:r w:rsidRPr="009F1EF0" w:rsidR="002D51DF">
        <w:t>requirements and</w:t>
      </w:r>
      <w:r w:rsidRPr="009F1EF0">
        <w:t xml:space="preserve"> </w:t>
      </w:r>
      <w:r w:rsidRPr="009F1EF0" w:rsidR="00654955">
        <w:t>provide Treasury with</w:t>
      </w:r>
      <w:r w:rsidRPr="009F1EF0">
        <w:t xml:space="preserve"> a better understanding of the recipients’ ERA program activity. </w:t>
      </w:r>
    </w:p>
    <w:p w:rsidR="009B60FB" w:rsidRPr="009F1EF0" w:rsidP="003C1AB8" w14:paraId="320E3357" w14:textId="68360D37"/>
    <w:p w:rsidR="003C1AB8" w:rsidRPr="009F1EF0" w:rsidP="000C6F26" w14:paraId="1CE8586C" w14:textId="77777777">
      <w:pPr>
        <w:keepNext/>
        <w:ind w:left="360" w:hanging="360"/>
      </w:pPr>
      <w:r w:rsidRPr="009F1EF0">
        <w:t xml:space="preserve">3.  </w:t>
      </w:r>
      <w:r w:rsidRPr="009F1EF0" w:rsidR="00F72D0B">
        <w:rPr>
          <w:u w:val="single"/>
        </w:rPr>
        <w:t xml:space="preserve">Use of </w:t>
      </w:r>
      <w:r w:rsidRPr="009F1EF0" w:rsidR="00F34B54">
        <w:rPr>
          <w:u w:val="single"/>
        </w:rPr>
        <w:t>i</w:t>
      </w:r>
      <w:r w:rsidRPr="009F1EF0" w:rsidR="00F72D0B">
        <w:rPr>
          <w:u w:val="single"/>
        </w:rPr>
        <w:t xml:space="preserve">nformation </w:t>
      </w:r>
      <w:r w:rsidRPr="009F1EF0" w:rsidR="00F34B54">
        <w:rPr>
          <w:u w:val="single"/>
        </w:rPr>
        <w:t>technology</w:t>
      </w:r>
      <w:r w:rsidRPr="009F1EF0" w:rsidR="00F34B54">
        <w:t xml:space="preserve"> </w:t>
      </w:r>
    </w:p>
    <w:p w:rsidR="003C1AB8" w:rsidRPr="009F1EF0" w:rsidP="00961823" w14:paraId="1894E667" w14:textId="77777777">
      <w:pPr>
        <w:keepNext/>
      </w:pPr>
    </w:p>
    <w:p w:rsidR="00D24A88" w:rsidRPr="009F1EF0" w:rsidP="00F72D0B" w14:paraId="2357B59E" w14:textId="7FED05B9">
      <w:r w:rsidRPr="009F1EF0">
        <w:t xml:space="preserve">Treasury </w:t>
      </w:r>
      <w:r w:rsidRPr="009F1EF0" w:rsidR="00B375A0">
        <w:t>will</w:t>
      </w:r>
      <w:r w:rsidRPr="009F1EF0">
        <w:t xml:space="preserve"> manage the submission process</w:t>
      </w:r>
      <w:r w:rsidRPr="009F1EF0" w:rsidR="00DE76C6">
        <w:t xml:space="preserve"> with the use of </w:t>
      </w:r>
      <w:r w:rsidRPr="009F1EF0" w:rsidR="00605173">
        <w:t>existing</w:t>
      </w:r>
      <w:r w:rsidRPr="009F1EF0" w:rsidR="009B60FB">
        <w:t xml:space="preserve"> and widely</w:t>
      </w:r>
      <w:r w:rsidRPr="009F1EF0" w:rsidR="0028685C">
        <w:t xml:space="preserve"> </w:t>
      </w:r>
      <w:r w:rsidRPr="009F1EF0" w:rsidR="009B60FB">
        <w:t>available</w:t>
      </w:r>
      <w:r w:rsidRPr="009F1EF0" w:rsidR="00605173">
        <w:t xml:space="preserve"> technology </w:t>
      </w:r>
      <w:r w:rsidRPr="009F1EF0" w:rsidR="009B60FB">
        <w:t>such as</w:t>
      </w:r>
      <w:r w:rsidRPr="009F1EF0" w:rsidR="00A7640C">
        <w:t xml:space="preserve"> </w:t>
      </w:r>
      <w:r w:rsidRPr="009F1EF0" w:rsidR="00AF13F4">
        <w:t xml:space="preserve">a </w:t>
      </w:r>
      <w:r w:rsidRPr="009F1EF0" w:rsidR="00A7640C">
        <w:t>web portal and</w:t>
      </w:r>
      <w:r w:rsidRPr="009F1EF0" w:rsidR="00605173">
        <w:t xml:space="preserve"> e</w:t>
      </w:r>
      <w:r w:rsidRPr="009F1EF0" w:rsidR="0028685C">
        <w:t>-</w:t>
      </w:r>
      <w:r w:rsidRPr="009F1EF0" w:rsidR="00605173">
        <w:t xml:space="preserve">mail. </w:t>
      </w:r>
    </w:p>
    <w:p w:rsidR="00E13A9C" w:rsidRPr="009F1EF0" w:rsidP="00F72D0B" w14:paraId="76DF2AB6" w14:textId="77777777"/>
    <w:p w:rsidR="00F72D0B" w:rsidRPr="009F1EF0" w:rsidP="000C6F26" w14:paraId="6A7690C9" w14:textId="77777777">
      <w:pPr>
        <w:ind w:left="720" w:hanging="720"/>
      </w:pPr>
      <w:r w:rsidRPr="009F1EF0">
        <w:t xml:space="preserve">4.  </w:t>
      </w:r>
      <w:r w:rsidRPr="009F1EF0">
        <w:rPr>
          <w:u w:val="single"/>
        </w:rPr>
        <w:t>Efforts to identify duplication</w:t>
      </w:r>
      <w:r w:rsidRPr="009F1EF0">
        <w:t xml:space="preserve">   </w:t>
      </w:r>
    </w:p>
    <w:p w:rsidR="00406DAA" w:rsidRPr="009F1EF0" w:rsidP="00CC4534" w14:paraId="619D54D8" w14:textId="77777777"/>
    <w:p w:rsidR="00A5370F" w:rsidRPr="009F1EF0" w:rsidP="00856DD0" w14:paraId="6BCCDCE6" w14:textId="2F3B77E4">
      <w:r w:rsidRPr="009F1EF0">
        <w:t>The</w:t>
      </w:r>
      <w:r w:rsidRPr="009F1EF0" w:rsidR="00B375A0">
        <w:t xml:space="preserve"> information colle</w:t>
      </w:r>
      <w:r w:rsidRPr="009F1EF0" w:rsidR="00BD0B65">
        <w:t>ction</w:t>
      </w:r>
      <w:r w:rsidRPr="009F1EF0">
        <w:t>s are under new statutor</w:t>
      </w:r>
      <w:r w:rsidRPr="009F1EF0" w:rsidR="00012F7C">
        <w:t>y</w:t>
      </w:r>
      <w:r w:rsidRPr="009F1EF0">
        <w:t xml:space="preserve"> mandate</w:t>
      </w:r>
      <w:r w:rsidRPr="009F1EF0" w:rsidR="00464E08">
        <w:t>s</w:t>
      </w:r>
      <w:r w:rsidRPr="009F1EF0">
        <w:t xml:space="preserve">. </w:t>
      </w:r>
      <w:r w:rsidRPr="009F1EF0" w:rsidR="00B375A0">
        <w:t>Th</w:t>
      </w:r>
      <w:r w:rsidRPr="009F1EF0" w:rsidR="00F72D0B">
        <w:t xml:space="preserve">e information </w:t>
      </w:r>
      <w:r w:rsidRPr="009F1EF0" w:rsidR="002551F6">
        <w:t xml:space="preserve">is not known to </w:t>
      </w:r>
      <w:r w:rsidRPr="009F1EF0" w:rsidR="005A5C1B">
        <w:t xml:space="preserve">overlap with </w:t>
      </w:r>
      <w:r w:rsidRPr="009F1EF0" w:rsidR="002551F6">
        <w:t xml:space="preserve">any other </w:t>
      </w:r>
      <w:r w:rsidRPr="009F1EF0" w:rsidR="005A5C1B">
        <w:t xml:space="preserve">data collected </w:t>
      </w:r>
      <w:r w:rsidRPr="009F1EF0" w:rsidR="0054191E">
        <w:t xml:space="preserve">under </w:t>
      </w:r>
      <w:r w:rsidRPr="009F1EF0" w:rsidR="00B375A0">
        <w:t xml:space="preserve">any other </w:t>
      </w:r>
      <w:r w:rsidRPr="009F1EF0" w:rsidR="0054191E">
        <w:t>information</w:t>
      </w:r>
      <w:r w:rsidRPr="009F1EF0" w:rsidR="00B375A0">
        <w:t xml:space="preserve"> collections at Treasury.</w:t>
      </w:r>
      <w:r w:rsidRPr="009F1EF0" w:rsidR="00A9305B">
        <w:t xml:space="preserve"> </w:t>
      </w:r>
      <w:r w:rsidRPr="009F1EF0" w:rsidR="00A9305B">
        <w:t xml:space="preserve">Furthermore, the information collection is tailored to leverage data that already exists and </w:t>
      </w:r>
      <w:r w:rsidRPr="009F1EF0" w:rsidR="00E03BEA">
        <w:t xml:space="preserve">require </w:t>
      </w:r>
      <w:r w:rsidRPr="009F1EF0" w:rsidR="00A9305B">
        <w:t>only additional data that is necessary.</w:t>
      </w:r>
    </w:p>
    <w:p w:rsidR="00D24A88" w:rsidRPr="009F1EF0" w:rsidP="00F72D0B" w14:paraId="2D435C1E" w14:textId="77777777"/>
    <w:p w:rsidR="00F72D0B" w:rsidRPr="009F1EF0" w:rsidP="009E2FFF" w14:paraId="0C31A86B" w14:textId="77777777">
      <w:pPr>
        <w:rPr>
          <w:u w:val="single"/>
        </w:rPr>
      </w:pPr>
      <w:r w:rsidRPr="009F1EF0">
        <w:t xml:space="preserve">5.  </w:t>
      </w:r>
      <w:r w:rsidRPr="009F1EF0">
        <w:rPr>
          <w:u w:val="single"/>
        </w:rPr>
        <w:t>Impact on small entities</w:t>
      </w:r>
    </w:p>
    <w:p w:rsidR="00F72D0B" w:rsidRPr="009F1EF0" w:rsidP="00F72D0B" w14:paraId="6816C937" w14:textId="77777777"/>
    <w:p w:rsidR="00A9305B" w:rsidRPr="009F1EF0" w:rsidP="00A9305B" w14:paraId="4D323399" w14:textId="227D5D02">
      <w:r w:rsidRPr="009F1EF0">
        <w:t xml:space="preserve">The collection of information will not </w:t>
      </w:r>
      <w:r w:rsidRPr="009F1EF0" w:rsidR="00191208">
        <w:t xml:space="preserve">directly </w:t>
      </w:r>
      <w:r w:rsidRPr="009F1EF0">
        <w:t xml:space="preserve">affect small entities as they were not eligible under the statute.  </w:t>
      </w:r>
      <w:r w:rsidRPr="009F1EF0">
        <w:t xml:space="preserve"> </w:t>
      </w:r>
    </w:p>
    <w:p w:rsidR="00D24A88" w:rsidRPr="009F1EF0" w:rsidP="00F72D0B" w14:paraId="19F24EA6" w14:textId="77777777">
      <w:r w:rsidRPr="009F1EF0">
        <w:t xml:space="preserve"> </w:t>
      </w:r>
    </w:p>
    <w:p w:rsidR="00F72D0B" w:rsidRPr="009F1EF0" w:rsidP="009E2FFF" w14:paraId="7FBFF684" w14:textId="77777777">
      <w:pPr>
        <w:rPr>
          <w:u w:val="single"/>
        </w:rPr>
      </w:pPr>
      <w:r w:rsidRPr="009F1EF0">
        <w:t xml:space="preserve">6.  </w:t>
      </w:r>
      <w:r w:rsidRPr="009F1EF0">
        <w:rPr>
          <w:u w:val="single"/>
        </w:rPr>
        <w:t>Consequences of less frequent collection and obstacles to burden reduction</w:t>
      </w:r>
    </w:p>
    <w:p w:rsidR="00F72D0B" w:rsidRPr="009F1EF0" w:rsidP="00F72D0B" w14:paraId="02611959" w14:textId="77777777"/>
    <w:p w:rsidR="00C656E8" w:rsidRPr="009F1EF0" w:rsidP="00DD104D" w14:paraId="548BE541" w14:textId="56FC2208">
      <w:r w:rsidRPr="009F1EF0">
        <w:t>Treasury will c</w:t>
      </w:r>
      <w:r w:rsidRPr="009F1EF0" w:rsidR="009B60FB">
        <w:t xml:space="preserve">ollect </w:t>
      </w:r>
      <w:r w:rsidRPr="009F1EF0">
        <w:t>only the information</w:t>
      </w:r>
      <w:r w:rsidRPr="009F1EF0" w:rsidR="000B7AAF">
        <w:t xml:space="preserve"> required to make any payments </w:t>
      </w:r>
      <w:r w:rsidRPr="009F1EF0">
        <w:t xml:space="preserve">to the </w:t>
      </w:r>
      <w:r w:rsidRPr="009F1EF0" w:rsidR="00B63D2D">
        <w:t>eligible grantees</w:t>
      </w:r>
      <w:r w:rsidRPr="009F1EF0" w:rsidR="009B60FB">
        <w:t xml:space="preserve">. </w:t>
      </w:r>
      <w:r w:rsidRPr="009F1EF0" w:rsidR="004B7407">
        <w:t xml:space="preserve"> </w:t>
      </w:r>
      <w:r w:rsidRPr="009F1EF0" w:rsidR="00BA081A">
        <w:t xml:space="preserve">The </w:t>
      </w:r>
      <w:r w:rsidRPr="009F1EF0" w:rsidR="00B63D2D">
        <w:t xml:space="preserve">eligible grantees </w:t>
      </w:r>
      <w:r w:rsidRPr="009F1EF0" w:rsidR="004E60BD">
        <w:t xml:space="preserve">will submit </w:t>
      </w:r>
      <w:r w:rsidRPr="009F1EF0" w:rsidR="00BD0B65">
        <w:t xml:space="preserve">a limited amount of information that should be readily available to the </w:t>
      </w:r>
      <w:r w:rsidRPr="009F1EF0" w:rsidR="000B7AAF">
        <w:t>entity</w:t>
      </w:r>
      <w:r w:rsidRPr="009F1EF0" w:rsidR="00A645CE">
        <w:t xml:space="preserve"> in the ordinary course of business</w:t>
      </w:r>
      <w:r w:rsidRPr="009F1EF0" w:rsidR="00BD0B65">
        <w:t xml:space="preserve">. </w:t>
      </w:r>
      <w:r w:rsidRPr="009F1EF0" w:rsidR="00DD104D">
        <w:t xml:space="preserve">If </w:t>
      </w:r>
      <w:r w:rsidRPr="009F1EF0" w:rsidR="00BA081A">
        <w:t xml:space="preserve">the </w:t>
      </w:r>
      <w:r w:rsidRPr="009F1EF0" w:rsidR="00B63D2D">
        <w:t xml:space="preserve">eligible grantees </w:t>
      </w:r>
      <w:r w:rsidRPr="009F1EF0">
        <w:t xml:space="preserve">are unable to provide </w:t>
      </w:r>
      <w:r w:rsidRPr="009F1EF0" w:rsidR="000B7AAF">
        <w:t>th</w:t>
      </w:r>
      <w:r w:rsidRPr="009F1EF0" w:rsidR="00247B5F">
        <w:t>e</w:t>
      </w:r>
      <w:r w:rsidRPr="009F1EF0" w:rsidR="000B7AAF">
        <w:t>i</w:t>
      </w:r>
      <w:r w:rsidRPr="009F1EF0" w:rsidR="00247B5F">
        <w:t>r</w:t>
      </w:r>
      <w:r w:rsidRPr="009F1EF0" w:rsidR="000B7AAF">
        <w:t xml:space="preserve"> </w:t>
      </w:r>
      <w:r w:rsidRPr="009F1EF0" w:rsidR="00255285">
        <w:t xml:space="preserve">completed </w:t>
      </w:r>
      <w:r w:rsidRPr="009F1EF0" w:rsidR="00E03BEA">
        <w:t xml:space="preserve">recipient payment information </w:t>
      </w:r>
      <w:r w:rsidRPr="009F1EF0" w:rsidR="00AF13F4">
        <w:t>f</w:t>
      </w:r>
      <w:r w:rsidRPr="009F1EF0" w:rsidR="00247B5F">
        <w:t>orm</w:t>
      </w:r>
      <w:r w:rsidRPr="009F1EF0" w:rsidR="00C26A47">
        <w:t xml:space="preserve">, </w:t>
      </w:r>
      <w:r w:rsidRPr="009F1EF0" w:rsidR="00E03BEA">
        <w:t xml:space="preserve">acceptance </w:t>
      </w:r>
      <w:r w:rsidRPr="009F1EF0" w:rsidR="006E5007">
        <w:t xml:space="preserve">of </w:t>
      </w:r>
      <w:r w:rsidRPr="009F1EF0" w:rsidR="00E03BEA">
        <w:t xml:space="preserve">award terms </w:t>
      </w:r>
      <w:r w:rsidRPr="009F1EF0" w:rsidR="006E5007">
        <w:t>form</w:t>
      </w:r>
      <w:r w:rsidRPr="009F1EF0" w:rsidR="00C26A47">
        <w:t>, and additional funds request</w:t>
      </w:r>
      <w:r w:rsidRPr="009F1EF0" w:rsidR="00BD5E56">
        <w:t>,</w:t>
      </w:r>
      <w:r w:rsidRPr="009F1EF0" w:rsidR="00DD104D">
        <w:t xml:space="preserve"> </w:t>
      </w:r>
      <w:r w:rsidRPr="009F1EF0" w:rsidR="00247B5F">
        <w:t xml:space="preserve">Treasury </w:t>
      </w:r>
      <w:r w:rsidRPr="009F1EF0" w:rsidR="00DD104D">
        <w:t xml:space="preserve">would </w:t>
      </w:r>
      <w:r w:rsidRPr="009F1EF0" w:rsidR="00247B5F">
        <w:t xml:space="preserve">not </w:t>
      </w:r>
      <w:r w:rsidRPr="009F1EF0" w:rsidR="00A5370F">
        <w:t xml:space="preserve">be </w:t>
      </w:r>
      <w:r w:rsidRPr="009F1EF0" w:rsidR="00247B5F">
        <w:t>a</w:t>
      </w:r>
      <w:r w:rsidRPr="009F1EF0" w:rsidR="00A5370F">
        <w:t xml:space="preserve">ble to </w:t>
      </w:r>
      <w:r w:rsidRPr="009F1EF0" w:rsidR="00247B5F">
        <w:t>make payment</w:t>
      </w:r>
      <w:r w:rsidRPr="009F1EF0" w:rsidR="00A5370F">
        <w:t xml:space="preserve"> to </w:t>
      </w:r>
      <w:r w:rsidRPr="009F1EF0" w:rsidR="00247B5F">
        <w:t xml:space="preserve">those </w:t>
      </w:r>
      <w:r w:rsidRPr="009F1EF0" w:rsidR="00B63D2D">
        <w:t>eligible grantees</w:t>
      </w:r>
      <w:r w:rsidRPr="009F1EF0" w:rsidR="00247B5F">
        <w:t>.</w:t>
      </w:r>
      <w:r w:rsidRPr="009F1EF0" w:rsidR="004E045D">
        <w:t> </w:t>
      </w:r>
    </w:p>
    <w:p w:rsidR="00C656E8" w:rsidRPr="009F1EF0" w:rsidP="00DD104D" w14:paraId="537C469A" w14:textId="77777777"/>
    <w:p w:rsidR="00910067" w:rsidP="00DD104D" w14:paraId="5B5FAC88" w14:textId="3BCE4FAF">
      <w:r w:rsidRPr="009F1EF0">
        <w:t>If ERA</w:t>
      </w:r>
      <w:r w:rsidRPr="009F1EF0" w:rsidR="00C656E8">
        <w:t>2</w:t>
      </w:r>
      <w:r w:rsidRPr="009F1EF0">
        <w:t xml:space="preserve"> grantees fail to complete and submit </w:t>
      </w:r>
      <w:r w:rsidRPr="009F1EF0" w:rsidR="00C656E8">
        <w:t xml:space="preserve">the brief monthly </w:t>
      </w:r>
      <w:r w:rsidRPr="009F1EF0">
        <w:t xml:space="preserve">reports to Treasury, Treasury will </w:t>
      </w:r>
      <w:r w:rsidRPr="009F1EF0" w:rsidR="00197E2B">
        <w:t>be less able to meet its requirement</w:t>
      </w:r>
      <w:r w:rsidRPr="009F1EF0" w:rsidR="00035656">
        <w:t>s</w:t>
      </w:r>
      <w:r w:rsidRPr="009F1EF0" w:rsidR="00197E2B">
        <w:t xml:space="preserve"> to </w:t>
      </w:r>
      <w:r w:rsidRPr="009F1EF0">
        <w:t>monitor ERA</w:t>
      </w:r>
      <w:r w:rsidRPr="009F1EF0" w:rsidR="00035656">
        <w:t xml:space="preserve"> </w:t>
      </w:r>
      <w:r w:rsidRPr="009F1EF0" w:rsidR="00197E2B">
        <w:t>2</w:t>
      </w:r>
      <w:r w:rsidRPr="009F1EF0">
        <w:t xml:space="preserve"> grantees’ compliance with the ERA</w:t>
      </w:r>
      <w:r w:rsidRPr="009F1EF0" w:rsidR="00035656">
        <w:t xml:space="preserve"> </w:t>
      </w:r>
      <w:r w:rsidRPr="009F1EF0" w:rsidR="00197E2B">
        <w:t>2</w:t>
      </w:r>
      <w:r w:rsidRPr="009F1EF0">
        <w:t xml:space="preserve"> program requirements.</w:t>
      </w:r>
      <w:r w:rsidRPr="009F1EF0" w:rsidR="00035656">
        <w:t xml:space="preserve"> Likewise, i</w:t>
      </w:r>
      <w:r w:rsidRPr="009F1EF0">
        <w:t>f ERA</w:t>
      </w:r>
      <w:r w:rsidRPr="009F1EF0" w:rsidR="00035656">
        <w:t xml:space="preserve"> </w:t>
      </w:r>
      <w:r w:rsidRPr="009F1EF0">
        <w:t xml:space="preserve">2 grantees fail to complete </w:t>
      </w:r>
      <w:r w:rsidRPr="009F1EF0" w:rsidR="00035656">
        <w:t xml:space="preserve">and </w:t>
      </w:r>
      <w:r w:rsidRPr="009F1EF0">
        <w:t>submit the</w:t>
      </w:r>
      <w:r w:rsidRPr="009F1EF0" w:rsidR="00035656">
        <w:t>ir</w:t>
      </w:r>
      <w:r w:rsidRPr="009F1EF0">
        <w:t xml:space="preserve"> quarterly reports to Treasury, Treasury will not be able to </w:t>
      </w:r>
      <w:r w:rsidRPr="009F1EF0" w:rsidR="00035656">
        <w:t xml:space="preserve">effectively </w:t>
      </w:r>
      <w:r w:rsidRPr="009F1EF0">
        <w:t>monitor each ERA</w:t>
      </w:r>
      <w:r w:rsidRPr="009F1EF0" w:rsidR="00035656">
        <w:t xml:space="preserve"> </w:t>
      </w:r>
      <w:r w:rsidRPr="009F1EF0">
        <w:t>2 grantee’s compliance with the ERA</w:t>
      </w:r>
      <w:r w:rsidRPr="009F1EF0" w:rsidR="00035656">
        <w:t xml:space="preserve"> </w:t>
      </w:r>
      <w:r w:rsidRPr="009F1EF0">
        <w:t>2 program requirements.</w:t>
      </w:r>
    </w:p>
    <w:p w:rsidR="00CD68BD" w:rsidP="00DD104D" w14:paraId="74D3AFEF" w14:textId="781148F9"/>
    <w:p w:rsidR="00CD68BD" w:rsidRPr="00D94340" w:rsidP="00DD104D" w14:paraId="4A29810D" w14:textId="29A9CD73">
      <w:r w:rsidRPr="00D94340">
        <w:t xml:space="preserve">Furthermore, if ERA2 grantees fail to complete and submit voluntary reallocation </w:t>
      </w:r>
      <w:r w:rsidRPr="00D94340" w:rsidR="00811FB1">
        <w:t xml:space="preserve">request </w:t>
      </w:r>
      <w:r w:rsidRPr="00D94340">
        <w:t>and requests for reallocated funds</w:t>
      </w:r>
      <w:r w:rsidRPr="00D94340" w:rsidR="00BA0FFE">
        <w:t>—</w:t>
      </w:r>
      <w:r w:rsidRPr="00D94340" w:rsidR="00F53311">
        <w:t xml:space="preserve">which includes information regarding </w:t>
      </w:r>
      <w:r w:rsidRPr="00D94340" w:rsidR="00BE71A6">
        <w:t>certain</w:t>
      </w:r>
      <w:r w:rsidRPr="00D94340" w:rsidR="00BA0FFE">
        <w:t xml:space="preserve"> non-ERA expenditures—</w:t>
      </w:r>
      <w:r w:rsidRPr="00D94340" w:rsidR="00811FB1">
        <w:t>through the reallocation portal</w:t>
      </w:r>
      <w:r w:rsidRPr="00D94340">
        <w:t xml:space="preserve">, Treasury will be </w:t>
      </w:r>
      <w:r w:rsidRPr="00D94340" w:rsidR="00811FB1">
        <w:t>unable</w:t>
      </w:r>
      <w:r w:rsidRPr="00D94340">
        <w:t xml:space="preserve"> to carry out the reallocation procedure contemplated in the ERA2 statute</w:t>
      </w:r>
      <w:r w:rsidRPr="00D94340" w:rsidR="00BA0FFE">
        <w:t xml:space="preserve"> and prioritization process outlined in the ERA2 Reallocation Guidance, updated on June 28, 2022</w:t>
      </w:r>
      <w:r w:rsidRPr="00D94340">
        <w:t xml:space="preserve">. </w:t>
      </w:r>
    </w:p>
    <w:p w:rsidR="00F72D0B" w:rsidRPr="00D94340" w:rsidP="00F72D0B" w14:paraId="04164EFC" w14:textId="77777777">
      <w:r w:rsidRPr="00D94340">
        <w:t xml:space="preserve"> </w:t>
      </w:r>
      <w:r w:rsidRPr="00D94340" w:rsidR="006B22D1">
        <w:t xml:space="preserve"> </w:t>
      </w:r>
    </w:p>
    <w:p w:rsidR="00F72D0B" w:rsidRPr="009F1EF0" w:rsidP="009E2FFF" w14:paraId="66E0BEB6" w14:textId="77777777">
      <w:pPr>
        <w:rPr>
          <w:u w:val="single"/>
        </w:rPr>
      </w:pPr>
      <w:r w:rsidRPr="00D94340">
        <w:t xml:space="preserve">7.  </w:t>
      </w:r>
      <w:r w:rsidRPr="00D94340">
        <w:rPr>
          <w:u w:val="single"/>
        </w:rPr>
        <w:t>Circumstances requiring special information collection</w:t>
      </w:r>
    </w:p>
    <w:p w:rsidR="00FB7F1C" w:rsidRPr="009F1EF0" w:rsidP="00CB003A" w14:paraId="5701298D" w14:textId="77777777">
      <w:pPr>
        <w:rPr>
          <w:u w:val="single"/>
        </w:rPr>
      </w:pPr>
    </w:p>
    <w:p w:rsidR="00E13A9C" w:rsidRPr="009F1EF0" w:rsidP="00CB003A" w14:paraId="62A3F377" w14:textId="77777777">
      <w:r w:rsidRPr="009F1EF0">
        <w:t>There are no special circumstances that require the collection to be conducted in a manner inconsistent with OMB guidelines.</w:t>
      </w:r>
    </w:p>
    <w:p w:rsidR="007B29AC" w:rsidRPr="009F1EF0" w:rsidP="00CB003A" w14:paraId="46C015FD" w14:textId="77777777"/>
    <w:p w:rsidR="00CB003A" w:rsidRPr="009F1EF0" w:rsidP="00040666" w14:paraId="52186B1E" w14:textId="77777777">
      <w:pPr>
        <w:rPr>
          <w:u w:val="single"/>
        </w:rPr>
      </w:pPr>
      <w:r w:rsidRPr="009F1EF0">
        <w:t xml:space="preserve">8.  </w:t>
      </w:r>
      <w:r w:rsidRPr="009F1EF0">
        <w:rPr>
          <w:u w:val="single"/>
        </w:rPr>
        <w:t>Solicitation of comments on information collection</w:t>
      </w:r>
      <w:r w:rsidRPr="009F1EF0" w:rsidR="00040666">
        <w:rPr>
          <w:u w:val="single"/>
        </w:rPr>
        <w:t xml:space="preserve"> and justification for expedited processing pursuant to 5 C</w:t>
      </w:r>
      <w:r w:rsidRPr="009F1EF0" w:rsidR="00247B5F">
        <w:rPr>
          <w:u w:val="single"/>
        </w:rPr>
        <w:t>.</w:t>
      </w:r>
      <w:r w:rsidRPr="009F1EF0" w:rsidR="00040666">
        <w:rPr>
          <w:u w:val="single"/>
        </w:rPr>
        <w:t>F</w:t>
      </w:r>
      <w:r w:rsidRPr="009F1EF0" w:rsidR="00247B5F">
        <w:rPr>
          <w:u w:val="single"/>
        </w:rPr>
        <w:t>.</w:t>
      </w:r>
      <w:r w:rsidRPr="009F1EF0" w:rsidR="00040666">
        <w:rPr>
          <w:u w:val="single"/>
        </w:rPr>
        <w:t>R</w:t>
      </w:r>
      <w:r w:rsidRPr="009F1EF0" w:rsidR="00247B5F">
        <w:rPr>
          <w:u w:val="single"/>
        </w:rPr>
        <w:t>. §</w:t>
      </w:r>
      <w:r w:rsidRPr="009F1EF0" w:rsidR="00040666">
        <w:rPr>
          <w:u w:val="single"/>
        </w:rPr>
        <w:t xml:space="preserve"> 1320.13</w:t>
      </w:r>
    </w:p>
    <w:p w:rsidR="00CB003A" w:rsidRPr="009F1EF0" w:rsidP="00CB003A" w14:paraId="0DD2406F" w14:textId="77777777"/>
    <w:p w:rsidR="00A36C66" w:rsidRPr="008268EE" w:rsidP="00A36C66" w14:paraId="0C52DBD0" w14:textId="01A521B1">
      <w:pPr>
        <w:rPr>
          <w:rStyle w:val="CommentReference"/>
          <w:sz w:val="24"/>
          <w:szCs w:val="24"/>
        </w:rPr>
      </w:pPr>
      <w:r w:rsidRPr="008268EE">
        <w:rPr>
          <w:rStyle w:val="CommentReference"/>
          <w:sz w:val="24"/>
          <w:szCs w:val="24"/>
        </w:rPr>
        <w:t xml:space="preserve">This </w:t>
      </w:r>
      <w:r>
        <w:rPr>
          <w:rStyle w:val="CommentReference"/>
          <w:sz w:val="24"/>
          <w:szCs w:val="24"/>
        </w:rPr>
        <w:t>ICR</w:t>
      </w:r>
      <w:r w:rsidRPr="008268EE">
        <w:rPr>
          <w:rStyle w:val="CommentReference"/>
          <w:sz w:val="24"/>
          <w:szCs w:val="24"/>
        </w:rPr>
        <w:t xml:space="preserve"> is being submitted under emergency clearance procedures in order to </w:t>
      </w:r>
      <w:r w:rsidR="00CD68BD">
        <w:rPr>
          <w:rStyle w:val="CommentReference"/>
          <w:sz w:val="24"/>
          <w:szCs w:val="24"/>
        </w:rPr>
        <w:t>align Treasury’s reallocation procedure with the timeline contemplated by the ERA2 statute</w:t>
      </w:r>
      <w:r>
        <w:rPr>
          <w:rStyle w:val="CommentReference"/>
          <w:sz w:val="24"/>
          <w:szCs w:val="24"/>
        </w:rPr>
        <w:t>,</w:t>
      </w:r>
      <w:r w:rsidRPr="008268EE">
        <w:rPr>
          <w:rStyle w:val="CommentReference"/>
          <w:sz w:val="24"/>
          <w:szCs w:val="24"/>
        </w:rPr>
        <w:t xml:space="preserve"> expedite payments to eligible grantees</w:t>
      </w:r>
      <w:r>
        <w:rPr>
          <w:rStyle w:val="CommentReference"/>
          <w:sz w:val="24"/>
          <w:szCs w:val="24"/>
        </w:rPr>
        <w:t xml:space="preserve">, </w:t>
      </w:r>
      <w:r w:rsidR="00CD68BD">
        <w:rPr>
          <w:rStyle w:val="CommentReference"/>
          <w:sz w:val="24"/>
          <w:szCs w:val="24"/>
        </w:rPr>
        <w:t xml:space="preserve">and </w:t>
      </w:r>
      <w:r w:rsidR="0016542D">
        <w:rPr>
          <w:rStyle w:val="CommentReference"/>
          <w:sz w:val="24"/>
          <w:szCs w:val="24"/>
        </w:rPr>
        <w:t>provide</w:t>
      </w:r>
      <w:r w:rsidR="00CD68BD">
        <w:rPr>
          <w:rStyle w:val="CommentReference"/>
          <w:sz w:val="24"/>
          <w:szCs w:val="24"/>
        </w:rPr>
        <w:t xml:space="preserve"> timely notice to grantees of Treasury’s reallocation procedure</w:t>
      </w:r>
      <w:r w:rsidRPr="008268EE">
        <w:rPr>
          <w:rStyle w:val="CommentReference"/>
          <w:sz w:val="24"/>
          <w:szCs w:val="24"/>
        </w:rPr>
        <w:t>. As such, advance public notice and comment is not possible.</w:t>
      </w:r>
    </w:p>
    <w:p w:rsidR="00AC1EC6" w:rsidRPr="009F1EF0" w:rsidP="00CB003A" w14:paraId="21F3D496" w14:textId="77777777"/>
    <w:p w:rsidR="00147A26" w:rsidRPr="009F1EF0" w:rsidP="009E2FFF" w14:paraId="222F51D1" w14:textId="77777777">
      <w:pPr>
        <w:keepNext/>
      </w:pPr>
      <w:r w:rsidRPr="009F1EF0">
        <w:t xml:space="preserve">9.  </w:t>
      </w:r>
      <w:r w:rsidRPr="009F1EF0">
        <w:rPr>
          <w:u w:val="single"/>
        </w:rPr>
        <w:t xml:space="preserve">Provision of payments to </w:t>
      </w:r>
      <w:r w:rsidRPr="009F1EF0" w:rsidR="003B7343">
        <w:rPr>
          <w:u w:val="single"/>
        </w:rPr>
        <w:t>respondents</w:t>
      </w:r>
    </w:p>
    <w:p w:rsidR="00147A26" w:rsidRPr="009F1EF0" w:rsidP="00FB7F1C" w14:paraId="0C6271CE" w14:textId="77777777">
      <w:pPr>
        <w:keepNext/>
      </w:pPr>
    </w:p>
    <w:p w:rsidR="00256911" w:rsidRPr="009F1EF0" w:rsidP="00CB003A" w14:paraId="37B4AC20" w14:textId="77777777">
      <w:r w:rsidRPr="009F1EF0">
        <w:t>No payments or gifts are provided to respondents</w:t>
      </w:r>
      <w:r w:rsidRPr="009F1EF0" w:rsidR="009B6FA0">
        <w:t>.</w:t>
      </w:r>
    </w:p>
    <w:p w:rsidR="00BA51F9" w:rsidRPr="009F1EF0" w:rsidP="00CB003A" w14:paraId="293C1B9F" w14:textId="77777777"/>
    <w:p w:rsidR="00147A26" w:rsidRPr="009F1EF0" w:rsidP="009E2FFF" w14:paraId="01FC6DFE" w14:textId="77777777">
      <w:pPr>
        <w:keepNext/>
      </w:pPr>
      <w:r w:rsidRPr="009F1EF0">
        <w:t xml:space="preserve">10.  </w:t>
      </w:r>
      <w:r w:rsidRPr="009F1EF0">
        <w:rPr>
          <w:u w:val="single"/>
        </w:rPr>
        <w:t>Assurance of confidentiality</w:t>
      </w:r>
    </w:p>
    <w:p w:rsidR="00147A26" w:rsidRPr="009F1EF0" w:rsidP="00666B6D" w14:paraId="4C146AD6" w14:textId="77777777">
      <w:pPr>
        <w:keepNext/>
      </w:pPr>
    </w:p>
    <w:p w:rsidR="0035119A" w:rsidRPr="009F1EF0" w:rsidP="00E146F2" w14:paraId="46536B1C" w14:textId="77777777">
      <w:pPr>
        <w:autoSpaceDE w:val="0"/>
        <w:autoSpaceDN w:val="0"/>
      </w:pPr>
      <w:r w:rsidRPr="009F1EF0">
        <w:t xml:space="preserve">Information collected will be </w:t>
      </w:r>
      <w:r w:rsidRPr="009F1EF0" w:rsidR="00247B5F">
        <w:t xml:space="preserve">kept </w:t>
      </w:r>
      <w:r w:rsidRPr="009F1EF0">
        <w:t>confidential to the extent appropriate and consistent with the Freedom of Information Act and other applicable law</w:t>
      </w:r>
      <w:r w:rsidRPr="009F1EF0" w:rsidR="00247B5F">
        <w:t>s</w:t>
      </w:r>
      <w:r w:rsidRPr="009F1EF0">
        <w:t>.</w:t>
      </w:r>
    </w:p>
    <w:p w:rsidR="00E13A9C" w:rsidRPr="009F1EF0" w:rsidP="00CB003A" w14:paraId="0940FA13" w14:textId="77777777"/>
    <w:p w:rsidR="00147A26" w:rsidRPr="009F1EF0" w:rsidP="009E2FFF" w14:paraId="1CC669C5" w14:textId="77777777">
      <w:pPr>
        <w:rPr>
          <w:u w:val="single"/>
        </w:rPr>
      </w:pPr>
      <w:r w:rsidRPr="009F1EF0">
        <w:t xml:space="preserve">11.  </w:t>
      </w:r>
      <w:r w:rsidRPr="009F1EF0">
        <w:rPr>
          <w:u w:val="single"/>
        </w:rPr>
        <w:t>Justification of sensitive questions</w:t>
      </w:r>
    </w:p>
    <w:p w:rsidR="004F6BB6" w:rsidRPr="009F1EF0" w:rsidP="00CB003A" w14:paraId="02D46D42" w14:textId="77777777"/>
    <w:p w:rsidR="00147A26" w:rsidRPr="009F1EF0" w:rsidP="00CB003A" w14:paraId="2A70236B" w14:textId="0EC525B3">
      <w:r w:rsidRPr="009F1EF0">
        <w:t xml:space="preserve">No sensitive questions </w:t>
      </w:r>
      <w:r w:rsidRPr="009F1EF0" w:rsidR="00247B5F">
        <w:t>will be</w:t>
      </w:r>
      <w:r w:rsidRPr="009F1EF0">
        <w:t xml:space="preserve"> asked of </w:t>
      </w:r>
      <w:r w:rsidRPr="009F1EF0" w:rsidR="00247B5F">
        <w:t xml:space="preserve">eligible </w:t>
      </w:r>
      <w:r w:rsidRPr="009F1EF0" w:rsidR="00B63D2D">
        <w:t>grantees</w:t>
      </w:r>
      <w:r w:rsidRPr="009F1EF0">
        <w:t xml:space="preserve">. </w:t>
      </w:r>
    </w:p>
    <w:p w:rsidR="0028091A" w:rsidRPr="009F1EF0" w:rsidP="009E2FFF" w14:paraId="2B0B7A52" w14:textId="77777777"/>
    <w:p w:rsidR="00A95A75" w:rsidRPr="009F1EF0" w:rsidP="009E2FFF" w14:paraId="726059FA" w14:textId="77777777">
      <w:pPr>
        <w:rPr>
          <w:u w:val="single"/>
        </w:rPr>
      </w:pPr>
      <w:r w:rsidRPr="009F1EF0">
        <w:t xml:space="preserve">12.  </w:t>
      </w:r>
      <w:r w:rsidRPr="009F1EF0" w:rsidR="00ED50C9">
        <w:rPr>
          <w:u w:val="single"/>
        </w:rPr>
        <w:t xml:space="preserve">Estimate of the hour burden of information collection. </w:t>
      </w:r>
    </w:p>
    <w:p w:rsidR="00ED50C9" w:rsidRPr="009F1EF0" w:rsidP="009E2FFF" w14:paraId="7568C2E1" w14:textId="77777777">
      <w:pPr>
        <w:rPr>
          <w:u w:val="single"/>
        </w:rPr>
      </w:pPr>
    </w:p>
    <w:p w:rsidR="00ED50C9" w:rsidRPr="009F1EF0" w:rsidP="009E2FFF" w14:paraId="4F0923B4" w14:textId="422D28AC">
      <w:pPr>
        <w:rPr>
          <w:color w:val="FF0000"/>
          <w:u w:val="single"/>
        </w:rPr>
      </w:pPr>
      <w:r w:rsidRPr="009F1EF0">
        <w:t xml:space="preserve">The </w:t>
      </w:r>
      <w:r w:rsidRPr="009F1EF0" w:rsidR="00CF2066">
        <w:t>R</w:t>
      </w:r>
      <w:r w:rsidRPr="009F1EF0" w:rsidR="00B2632C">
        <w:t xml:space="preserve">ecipient </w:t>
      </w:r>
      <w:r w:rsidRPr="009F1EF0" w:rsidR="00CF2066">
        <w:t>P</w:t>
      </w:r>
      <w:r w:rsidRPr="009F1EF0" w:rsidR="00B2632C">
        <w:t xml:space="preserve">ayment </w:t>
      </w:r>
      <w:r w:rsidRPr="009F1EF0" w:rsidR="00CF2066">
        <w:t>I</w:t>
      </w:r>
      <w:r w:rsidRPr="009F1EF0" w:rsidR="00B63D2D">
        <w:t xml:space="preserve">nformation </w:t>
      </w:r>
      <w:r w:rsidRPr="009F1EF0" w:rsidR="00B2632C">
        <w:t>form</w:t>
      </w:r>
      <w:r w:rsidRPr="009F1EF0" w:rsidR="001D5AF4">
        <w:t>,</w:t>
      </w:r>
      <w:r w:rsidRPr="009F1EF0" w:rsidR="003522BE">
        <w:t xml:space="preserve"> </w:t>
      </w:r>
      <w:r w:rsidRPr="009F1EF0" w:rsidR="005B5336">
        <w:t>Acceptance of Award Terms form</w:t>
      </w:r>
      <w:r w:rsidRPr="009F1EF0" w:rsidR="002A3366">
        <w:t>, Title VI Assurance</w:t>
      </w:r>
      <w:r w:rsidRPr="009F1EF0" w:rsidR="00863109">
        <w:t>s</w:t>
      </w:r>
      <w:r w:rsidRPr="009F1EF0" w:rsidR="00041853">
        <w:t xml:space="preserve">, </w:t>
      </w:r>
      <w:r w:rsidRPr="009F1EF0" w:rsidR="00F52733">
        <w:t xml:space="preserve">Monthly </w:t>
      </w:r>
      <w:r w:rsidRPr="009F1EF0" w:rsidR="00041853">
        <w:t>Report</w:t>
      </w:r>
      <w:r w:rsidRPr="009F1EF0" w:rsidR="001F2F8A">
        <w:t xml:space="preserve">, </w:t>
      </w:r>
      <w:r w:rsidRPr="009F1EF0" w:rsidR="001E2F33">
        <w:t xml:space="preserve">ERA 2 </w:t>
      </w:r>
      <w:r w:rsidRPr="009F1EF0" w:rsidR="001F2F8A">
        <w:t>Quarterly Report</w:t>
      </w:r>
      <w:r w:rsidRPr="009F1EF0" w:rsidR="00C26A47">
        <w:t xml:space="preserve">, and Additional Funds Request </w:t>
      </w:r>
      <w:r w:rsidRPr="009F1EF0" w:rsidR="002D51DF">
        <w:t>Form burden</w:t>
      </w:r>
      <w:r w:rsidRPr="009F1EF0">
        <w:t xml:space="preserve"> estimates are as follows:</w:t>
      </w:r>
    </w:p>
    <w:p w:rsidR="004063EA" w:rsidRPr="009F1EF0" w:rsidP="004B0AEF" w14:paraId="2CAB94DF" w14:textId="77777777">
      <w:pPr>
        <w:ind w:firstLine="360"/>
        <w:rPr>
          <w:b/>
          <w:u w:val="single"/>
        </w:rPr>
      </w:pPr>
    </w:p>
    <w:tbl>
      <w:tblPr>
        <w:tblW w:w="9468" w:type="dxa"/>
        <w:tblInd w:w="-118" w:type="dxa"/>
        <w:tblLayout w:type="fixed"/>
        <w:tblLook w:val="04A0"/>
      </w:tblPr>
      <w:tblGrid>
        <w:gridCol w:w="1548"/>
        <w:gridCol w:w="1542"/>
        <w:gridCol w:w="1391"/>
        <w:gridCol w:w="1309"/>
        <w:gridCol w:w="1170"/>
        <w:gridCol w:w="990"/>
        <w:gridCol w:w="1518"/>
      </w:tblGrid>
      <w:tr w14:paraId="46D659AB" w14:textId="77777777" w:rsidTr="002A1356">
        <w:tblPrEx>
          <w:tblW w:w="9468" w:type="dxa"/>
          <w:tblInd w:w="-118" w:type="dxa"/>
          <w:tblLayout w:type="fixed"/>
          <w:tblLook w:val="04A0"/>
        </w:tblPrEx>
        <w:trPr>
          <w:trHeight w:val="1110"/>
        </w:trPr>
        <w:tc>
          <w:tcPr>
            <w:tcW w:w="154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F23B72" w:rsidRPr="002A1356" w:rsidP="002A1356" w14:paraId="4D7AF8BE" w14:textId="77777777">
            <w:pPr>
              <w:jc w:val="center"/>
              <w:rPr>
                <w:color w:val="000000"/>
              </w:rPr>
            </w:pPr>
            <w:bookmarkStart w:id="7" w:name="RANGE!A1:G18"/>
            <w:bookmarkStart w:id="8" w:name="_Hlk109381410"/>
            <w:bookmarkStart w:id="9" w:name="_Hlk109298779"/>
            <w:r w:rsidRPr="002A1356">
              <w:rPr>
                <w:color w:val="000000"/>
              </w:rPr>
              <w:t>Reporting</w:t>
            </w:r>
            <w:bookmarkEnd w:id="7"/>
          </w:p>
        </w:tc>
        <w:tc>
          <w:tcPr>
            <w:tcW w:w="1542" w:type="dxa"/>
            <w:tcBorders>
              <w:top w:val="single" w:sz="8" w:space="0" w:color="auto"/>
              <w:left w:val="nil"/>
              <w:bottom w:val="single" w:sz="8" w:space="0" w:color="auto"/>
              <w:right w:val="single" w:sz="8" w:space="0" w:color="auto"/>
            </w:tcBorders>
            <w:shd w:val="clear" w:color="000000" w:fill="FFFFFF"/>
            <w:vAlign w:val="bottom"/>
            <w:hideMark/>
          </w:tcPr>
          <w:p w:rsidR="00F23B72" w:rsidRPr="002A1356" w:rsidP="002A1356" w14:paraId="01A560AD" w14:textId="77777777">
            <w:pPr>
              <w:jc w:val="center"/>
              <w:rPr>
                <w:color w:val="000000"/>
              </w:rPr>
            </w:pPr>
            <w:r w:rsidRPr="002A1356">
              <w:rPr>
                <w:color w:val="000000"/>
              </w:rPr>
              <w:t># Respondents</w:t>
            </w:r>
          </w:p>
        </w:tc>
        <w:tc>
          <w:tcPr>
            <w:tcW w:w="1391" w:type="dxa"/>
            <w:tcBorders>
              <w:top w:val="single" w:sz="8" w:space="0" w:color="auto"/>
              <w:left w:val="nil"/>
              <w:bottom w:val="single" w:sz="8" w:space="0" w:color="auto"/>
              <w:right w:val="single" w:sz="8" w:space="0" w:color="auto"/>
            </w:tcBorders>
            <w:shd w:val="clear" w:color="000000" w:fill="FFFFFF"/>
            <w:vAlign w:val="bottom"/>
            <w:hideMark/>
          </w:tcPr>
          <w:p w:rsidR="00F23B72" w:rsidRPr="002A1356" w:rsidP="002A1356" w14:paraId="407A838C" w14:textId="77777777">
            <w:pPr>
              <w:jc w:val="center"/>
              <w:rPr>
                <w:color w:val="000000"/>
              </w:rPr>
            </w:pPr>
            <w:r w:rsidRPr="002A1356">
              <w:rPr>
                <w:color w:val="000000"/>
              </w:rPr>
              <w:t># Responses Per Respondent</w:t>
            </w:r>
          </w:p>
          <w:p w:rsidR="00210608" w:rsidRPr="002A1356" w:rsidP="002A1356" w14:paraId="37155C44" w14:textId="77777777">
            <w:pPr>
              <w:jc w:val="center"/>
              <w:rPr>
                <w:color w:val="000000"/>
              </w:rPr>
            </w:pPr>
          </w:p>
        </w:tc>
        <w:tc>
          <w:tcPr>
            <w:tcW w:w="1309" w:type="dxa"/>
            <w:tcBorders>
              <w:top w:val="single" w:sz="8" w:space="0" w:color="auto"/>
              <w:left w:val="nil"/>
              <w:bottom w:val="single" w:sz="8" w:space="0" w:color="auto"/>
              <w:right w:val="single" w:sz="8" w:space="0" w:color="auto"/>
            </w:tcBorders>
            <w:shd w:val="clear" w:color="000000" w:fill="FFFFFF"/>
            <w:vAlign w:val="bottom"/>
            <w:hideMark/>
          </w:tcPr>
          <w:p w:rsidR="00F23B72" w:rsidRPr="002A1356" w:rsidP="002A1356" w14:paraId="498169CE" w14:textId="77777777">
            <w:pPr>
              <w:jc w:val="center"/>
              <w:rPr>
                <w:color w:val="000000"/>
              </w:rPr>
            </w:pPr>
            <w:r w:rsidRPr="002A1356">
              <w:rPr>
                <w:color w:val="000000"/>
              </w:rPr>
              <w:t>Total Responses</w:t>
            </w:r>
          </w:p>
        </w:tc>
        <w:tc>
          <w:tcPr>
            <w:tcW w:w="1170" w:type="dxa"/>
            <w:tcBorders>
              <w:top w:val="single" w:sz="8" w:space="0" w:color="auto"/>
              <w:left w:val="nil"/>
              <w:bottom w:val="single" w:sz="8" w:space="0" w:color="auto"/>
              <w:right w:val="single" w:sz="8" w:space="0" w:color="auto"/>
            </w:tcBorders>
            <w:shd w:val="clear" w:color="000000" w:fill="FFFFFF"/>
            <w:vAlign w:val="bottom"/>
            <w:hideMark/>
          </w:tcPr>
          <w:p w:rsidR="00F23B72" w:rsidRPr="002A1356" w:rsidP="002A1356" w14:paraId="04C4DA28" w14:textId="77777777">
            <w:pPr>
              <w:jc w:val="center"/>
              <w:rPr>
                <w:color w:val="000000"/>
              </w:rPr>
            </w:pPr>
            <w:r w:rsidRPr="002A1356">
              <w:rPr>
                <w:color w:val="000000"/>
              </w:rPr>
              <w:t>Hours per response</w:t>
            </w:r>
          </w:p>
        </w:tc>
        <w:tc>
          <w:tcPr>
            <w:tcW w:w="990" w:type="dxa"/>
            <w:tcBorders>
              <w:top w:val="single" w:sz="8" w:space="0" w:color="auto"/>
              <w:left w:val="nil"/>
              <w:bottom w:val="single" w:sz="8" w:space="0" w:color="auto"/>
              <w:right w:val="single" w:sz="8" w:space="0" w:color="auto"/>
            </w:tcBorders>
            <w:shd w:val="clear" w:color="000000" w:fill="FFFFFF"/>
            <w:vAlign w:val="bottom"/>
            <w:hideMark/>
          </w:tcPr>
          <w:p w:rsidR="00F23B72" w:rsidRPr="002A1356" w:rsidP="002A1356" w14:paraId="0EF1ED9A" w14:textId="77777777">
            <w:pPr>
              <w:jc w:val="center"/>
              <w:rPr>
                <w:color w:val="000000"/>
              </w:rPr>
            </w:pPr>
            <w:r w:rsidRPr="002A1356">
              <w:rPr>
                <w:color w:val="000000"/>
              </w:rPr>
              <w:t>Total Burden</w:t>
            </w:r>
            <w:r w:rsidRPr="002A1356" w:rsidR="00DE76C6">
              <w:rPr>
                <w:color w:val="000000"/>
              </w:rPr>
              <w:t xml:space="preserve"> in Hours</w:t>
            </w:r>
          </w:p>
        </w:tc>
        <w:tc>
          <w:tcPr>
            <w:tcW w:w="1518" w:type="dxa"/>
            <w:tcBorders>
              <w:top w:val="single" w:sz="8" w:space="0" w:color="auto"/>
              <w:left w:val="nil"/>
              <w:bottom w:val="single" w:sz="8" w:space="0" w:color="auto"/>
              <w:right w:val="single" w:sz="8" w:space="0" w:color="auto"/>
            </w:tcBorders>
            <w:shd w:val="clear" w:color="000000" w:fill="FFFFFF"/>
            <w:vAlign w:val="bottom"/>
            <w:hideMark/>
          </w:tcPr>
          <w:p w:rsidR="003C5B6F" w:rsidRPr="002A1356" w:rsidP="002A1356" w14:paraId="7234E1D8" w14:textId="77777777">
            <w:pPr>
              <w:jc w:val="center"/>
              <w:rPr>
                <w:color w:val="000000"/>
              </w:rPr>
            </w:pPr>
            <w:r w:rsidRPr="002A1356">
              <w:rPr>
                <w:color w:val="000000"/>
              </w:rPr>
              <w:t>Cost to Respondent</w:t>
            </w:r>
          </w:p>
          <w:p w:rsidR="00F23B72" w:rsidRPr="002A1356" w:rsidP="002A1356" w14:paraId="71C8FE72" w14:textId="0783DF29">
            <w:pPr>
              <w:jc w:val="center"/>
              <w:rPr>
                <w:color w:val="000000"/>
              </w:rPr>
            </w:pPr>
            <w:r w:rsidRPr="002A1356">
              <w:rPr>
                <w:color w:val="000000"/>
                <w:sz w:val="20"/>
                <w:szCs w:val="20"/>
              </w:rPr>
              <w:t>($</w:t>
            </w:r>
            <w:r w:rsidRPr="002A1356" w:rsidR="00367DA5">
              <w:rPr>
                <w:color w:val="000000"/>
                <w:sz w:val="20"/>
                <w:szCs w:val="20"/>
              </w:rPr>
              <w:t>47.50</w:t>
            </w:r>
            <w:r w:rsidRPr="002A1356">
              <w:rPr>
                <w:color w:val="000000"/>
                <w:sz w:val="20"/>
                <w:szCs w:val="20"/>
              </w:rPr>
              <w:t xml:space="preserve"> per hour*)</w:t>
            </w:r>
          </w:p>
        </w:tc>
      </w:tr>
      <w:tr w14:paraId="41F52EA6" w14:textId="77777777" w:rsidTr="000C0934">
        <w:tblPrEx>
          <w:tblW w:w="9468" w:type="dxa"/>
          <w:tblInd w:w="-118" w:type="dxa"/>
          <w:tblLayout w:type="fixed"/>
          <w:tblLook w:val="04A0"/>
        </w:tblPrEx>
        <w:trPr>
          <w:trHeight w:val="530"/>
        </w:trPr>
        <w:tc>
          <w:tcPr>
            <w:tcW w:w="1548" w:type="dxa"/>
            <w:tcBorders>
              <w:top w:val="nil"/>
              <w:left w:val="single" w:sz="8" w:space="0" w:color="auto"/>
              <w:bottom w:val="single" w:sz="8" w:space="0" w:color="auto"/>
              <w:right w:val="single" w:sz="8" w:space="0" w:color="auto"/>
            </w:tcBorders>
            <w:shd w:val="clear" w:color="000000" w:fill="FFFFFF"/>
            <w:vAlign w:val="center"/>
          </w:tcPr>
          <w:p w:rsidR="001D57A5" w:rsidRPr="009F1EF0" w:rsidP="00DE76C6" w14:paraId="7D10035E" w14:textId="7BB89299">
            <w:r w:rsidRPr="009F1EF0">
              <w:t xml:space="preserve">Acceptance of Award Terms </w:t>
            </w:r>
            <w:r w:rsidRPr="009F1EF0" w:rsidR="001B624D">
              <w:t>F</w:t>
            </w:r>
            <w:r w:rsidRPr="009F1EF0">
              <w:t>orm</w:t>
            </w:r>
          </w:p>
        </w:tc>
        <w:tc>
          <w:tcPr>
            <w:tcW w:w="1542" w:type="dxa"/>
            <w:tcBorders>
              <w:top w:val="nil"/>
              <w:left w:val="nil"/>
              <w:bottom w:val="single" w:sz="8" w:space="0" w:color="auto"/>
              <w:right w:val="single" w:sz="8" w:space="0" w:color="auto"/>
            </w:tcBorders>
            <w:shd w:val="clear" w:color="000000" w:fill="FFFFFF"/>
            <w:vAlign w:val="center"/>
          </w:tcPr>
          <w:p w:rsidR="001D57A5" w:rsidRPr="009F1EF0" w14:paraId="6A5E1A3E" w14:textId="66A76E93">
            <w:pPr>
              <w:jc w:val="center"/>
              <w:rPr>
                <w:color w:val="000000"/>
              </w:rPr>
            </w:pPr>
            <w:r w:rsidRPr="009F1EF0">
              <w:rPr>
                <w:color w:val="000000"/>
              </w:rPr>
              <w:t>482</w:t>
            </w:r>
          </w:p>
        </w:tc>
        <w:tc>
          <w:tcPr>
            <w:tcW w:w="1391" w:type="dxa"/>
            <w:tcBorders>
              <w:top w:val="nil"/>
              <w:left w:val="nil"/>
              <w:bottom w:val="single" w:sz="8" w:space="0" w:color="auto"/>
              <w:right w:val="single" w:sz="8" w:space="0" w:color="auto"/>
            </w:tcBorders>
            <w:shd w:val="clear" w:color="000000" w:fill="FFFFFF"/>
            <w:noWrap/>
            <w:vAlign w:val="center"/>
          </w:tcPr>
          <w:p w:rsidR="001D57A5" w:rsidRPr="009F1EF0" w14:paraId="3721A859" w14:textId="3DF0EA74">
            <w:pPr>
              <w:jc w:val="center"/>
              <w:rPr>
                <w:color w:val="000000"/>
              </w:rPr>
            </w:pPr>
            <w:r w:rsidRPr="009F1EF0">
              <w:rPr>
                <w:color w:val="000000"/>
              </w:rPr>
              <w:t>1</w:t>
            </w:r>
          </w:p>
        </w:tc>
        <w:tc>
          <w:tcPr>
            <w:tcW w:w="1309" w:type="dxa"/>
            <w:tcBorders>
              <w:top w:val="nil"/>
              <w:left w:val="nil"/>
              <w:bottom w:val="single" w:sz="8" w:space="0" w:color="auto"/>
              <w:right w:val="single" w:sz="8" w:space="0" w:color="auto"/>
            </w:tcBorders>
            <w:shd w:val="clear" w:color="000000" w:fill="FFFFFF"/>
            <w:noWrap/>
            <w:vAlign w:val="center"/>
          </w:tcPr>
          <w:p w:rsidR="001D57A5" w:rsidRPr="009F1EF0" w14:paraId="2144206C" w14:textId="6D01099D">
            <w:pPr>
              <w:jc w:val="center"/>
              <w:rPr>
                <w:color w:val="000000"/>
              </w:rPr>
            </w:pPr>
            <w:r w:rsidRPr="009F1EF0">
              <w:rPr>
                <w:color w:val="000000"/>
              </w:rPr>
              <w:t>482</w:t>
            </w:r>
          </w:p>
        </w:tc>
        <w:tc>
          <w:tcPr>
            <w:tcW w:w="1170" w:type="dxa"/>
            <w:tcBorders>
              <w:top w:val="nil"/>
              <w:left w:val="nil"/>
              <w:bottom w:val="single" w:sz="8" w:space="0" w:color="auto"/>
              <w:right w:val="single" w:sz="8" w:space="0" w:color="auto"/>
            </w:tcBorders>
            <w:shd w:val="clear" w:color="000000" w:fill="FFFFFF"/>
            <w:noWrap/>
            <w:vAlign w:val="center"/>
          </w:tcPr>
          <w:p w:rsidR="001D57A5" w:rsidRPr="009F1EF0" w:rsidP="00176F71" w14:paraId="4D9C8AA7" w14:textId="3C30AB6F">
            <w:pPr>
              <w:jc w:val="center"/>
              <w:rPr>
                <w:color w:val="000000"/>
              </w:rPr>
            </w:pPr>
            <w:r w:rsidRPr="009F1EF0">
              <w:rPr>
                <w:rStyle w:val="CommentReference"/>
                <w:sz w:val="24"/>
                <w:szCs w:val="24"/>
              </w:rPr>
              <w:t>0.25 (15 minutes)</w:t>
            </w:r>
          </w:p>
        </w:tc>
        <w:tc>
          <w:tcPr>
            <w:tcW w:w="990" w:type="dxa"/>
            <w:tcBorders>
              <w:top w:val="nil"/>
              <w:left w:val="nil"/>
              <w:bottom w:val="single" w:sz="8" w:space="0" w:color="auto"/>
              <w:right w:val="single" w:sz="8" w:space="0" w:color="auto"/>
            </w:tcBorders>
            <w:shd w:val="clear" w:color="000000" w:fill="FFFFFF"/>
            <w:noWrap/>
            <w:vAlign w:val="center"/>
          </w:tcPr>
          <w:p w:rsidR="001D57A5" w:rsidRPr="009F1EF0" w14:paraId="09800416" w14:textId="5BDAC112">
            <w:pPr>
              <w:jc w:val="center"/>
              <w:rPr>
                <w:color w:val="000000"/>
              </w:rPr>
            </w:pPr>
            <w:r w:rsidRPr="009F1EF0">
              <w:rPr>
                <w:color w:val="000000"/>
              </w:rPr>
              <w:t>121</w:t>
            </w:r>
          </w:p>
        </w:tc>
        <w:tc>
          <w:tcPr>
            <w:tcW w:w="1518" w:type="dxa"/>
            <w:tcBorders>
              <w:top w:val="nil"/>
              <w:left w:val="nil"/>
              <w:bottom w:val="single" w:sz="8" w:space="0" w:color="auto"/>
              <w:right w:val="single" w:sz="8" w:space="0" w:color="auto"/>
            </w:tcBorders>
            <w:shd w:val="clear" w:color="000000" w:fill="FFFFFF"/>
            <w:noWrap/>
            <w:vAlign w:val="center"/>
          </w:tcPr>
          <w:p w:rsidR="001D57A5" w:rsidRPr="009F1EF0" w:rsidP="00704B18" w14:paraId="0F296430" w14:textId="722DC540">
            <w:pPr>
              <w:jc w:val="center"/>
              <w:rPr>
                <w:color w:val="000000"/>
              </w:rPr>
            </w:pPr>
            <w:r w:rsidRPr="009F1EF0">
              <w:rPr>
                <w:color w:val="000000"/>
              </w:rPr>
              <w:t>$</w:t>
            </w:r>
            <w:r w:rsidRPr="009F1EF0" w:rsidR="009B1496">
              <w:rPr>
                <w:color w:val="000000"/>
              </w:rPr>
              <w:t>5,748</w:t>
            </w:r>
          </w:p>
        </w:tc>
      </w:tr>
      <w:tr w14:paraId="18D06F78" w14:textId="77777777" w:rsidTr="001266F1">
        <w:tblPrEx>
          <w:tblW w:w="9468" w:type="dxa"/>
          <w:tblInd w:w="-118" w:type="dxa"/>
          <w:tblLayout w:type="fixed"/>
          <w:tblLook w:val="04A0"/>
        </w:tblPrEx>
        <w:trPr>
          <w:trHeight w:val="1033"/>
        </w:trPr>
        <w:tc>
          <w:tcPr>
            <w:tcW w:w="1548" w:type="dxa"/>
            <w:tcBorders>
              <w:top w:val="nil"/>
              <w:left w:val="single" w:sz="8" w:space="0" w:color="auto"/>
              <w:bottom w:val="single" w:sz="8" w:space="0" w:color="auto"/>
              <w:right w:val="single" w:sz="8" w:space="0" w:color="auto"/>
            </w:tcBorders>
            <w:shd w:val="clear" w:color="000000" w:fill="FFFFFF"/>
            <w:vAlign w:val="bottom"/>
          </w:tcPr>
          <w:p w:rsidR="0057582F" w:rsidRPr="009F1EF0" w:rsidP="001266F1" w14:paraId="0A328EEF" w14:textId="3F95A9A4">
            <w:r w:rsidRPr="009F1EF0">
              <w:t>Recipient Payment</w:t>
            </w:r>
            <w:r w:rsidRPr="009F1EF0" w:rsidR="00EC4776">
              <w:t xml:space="preserve"> Information</w:t>
            </w:r>
            <w:r w:rsidRPr="009F1EF0">
              <w:t xml:space="preserve"> Form</w:t>
            </w:r>
          </w:p>
        </w:tc>
        <w:tc>
          <w:tcPr>
            <w:tcW w:w="1542" w:type="dxa"/>
            <w:tcBorders>
              <w:top w:val="nil"/>
              <w:left w:val="nil"/>
              <w:bottom w:val="single" w:sz="8" w:space="0" w:color="auto"/>
              <w:right w:val="single" w:sz="8" w:space="0" w:color="auto"/>
            </w:tcBorders>
            <w:shd w:val="clear" w:color="000000" w:fill="FFFFFF"/>
            <w:noWrap/>
            <w:vAlign w:val="center"/>
          </w:tcPr>
          <w:p w:rsidR="0057582F" w:rsidRPr="009F1EF0" w14:paraId="50A21534" w14:textId="2F429DAB">
            <w:pPr>
              <w:jc w:val="center"/>
              <w:rPr>
                <w:color w:val="000000"/>
              </w:rPr>
            </w:pPr>
            <w:r w:rsidRPr="009F1EF0">
              <w:rPr>
                <w:color w:val="000000"/>
              </w:rPr>
              <w:t>482</w:t>
            </w:r>
          </w:p>
        </w:tc>
        <w:tc>
          <w:tcPr>
            <w:tcW w:w="1391" w:type="dxa"/>
            <w:tcBorders>
              <w:top w:val="nil"/>
              <w:left w:val="nil"/>
              <w:bottom w:val="single" w:sz="8" w:space="0" w:color="auto"/>
              <w:right w:val="single" w:sz="8" w:space="0" w:color="auto"/>
            </w:tcBorders>
            <w:shd w:val="clear" w:color="000000" w:fill="FFFFFF"/>
            <w:noWrap/>
            <w:vAlign w:val="center"/>
          </w:tcPr>
          <w:p w:rsidR="0057582F" w:rsidRPr="009F1EF0" w14:paraId="75145670" w14:textId="77777777">
            <w:pPr>
              <w:jc w:val="center"/>
              <w:rPr>
                <w:color w:val="000000"/>
              </w:rPr>
            </w:pPr>
            <w:r w:rsidRPr="009F1EF0">
              <w:rPr>
                <w:color w:val="000000"/>
              </w:rPr>
              <w:t>1</w:t>
            </w:r>
          </w:p>
        </w:tc>
        <w:tc>
          <w:tcPr>
            <w:tcW w:w="1309" w:type="dxa"/>
            <w:tcBorders>
              <w:top w:val="nil"/>
              <w:left w:val="nil"/>
              <w:bottom w:val="single" w:sz="8" w:space="0" w:color="auto"/>
              <w:right w:val="single" w:sz="8" w:space="0" w:color="auto"/>
            </w:tcBorders>
            <w:shd w:val="clear" w:color="000000" w:fill="FFFFFF"/>
            <w:noWrap/>
            <w:vAlign w:val="center"/>
          </w:tcPr>
          <w:p w:rsidR="0057582F" w:rsidRPr="009F1EF0" w14:paraId="2844EBC4" w14:textId="1EB54AEB">
            <w:pPr>
              <w:jc w:val="center"/>
              <w:rPr>
                <w:color w:val="000000"/>
              </w:rPr>
            </w:pPr>
            <w:r w:rsidRPr="009F1EF0">
              <w:rPr>
                <w:color w:val="000000"/>
              </w:rPr>
              <w:t>482</w:t>
            </w:r>
          </w:p>
        </w:tc>
        <w:tc>
          <w:tcPr>
            <w:tcW w:w="1170" w:type="dxa"/>
            <w:tcBorders>
              <w:top w:val="nil"/>
              <w:left w:val="nil"/>
              <w:bottom w:val="single" w:sz="8" w:space="0" w:color="auto"/>
              <w:right w:val="single" w:sz="8" w:space="0" w:color="auto"/>
            </w:tcBorders>
            <w:shd w:val="clear" w:color="000000" w:fill="FFFFFF"/>
            <w:noWrap/>
            <w:vAlign w:val="center"/>
          </w:tcPr>
          <w:p w:rsidR="0057582F" w:rsidRPr="009F1EF0" w14:paraId="77159963" w14:textId="034D4E94">
            <w:pPr>
              <w:jc w:val="center"/>
              <w:rPr>
                <w:color w:val="000000"/>
              </w:rPr>
            </w:pPr>
            <w:r w:rsidRPr="009F1EF0">
              <w:rPr>
                <w:rStyle w:val="CommentReference"/>
                <w:sz w:val="24"/>
                <w:szCs w:val="24"/>
              </w:rPr>
              <w:t>0.25 (15 minutes)</w:t>
            </w:r>
          </w:p>
        </w:tc>
        <w:tc>
          <w:tcPr>
            <w:tcW w:w="990" w:type="dxa"/>
            <w:tcBorders>
              <w:top w:val="nil"/>
              <w:left w:val="nil"/>
              <w:bottom w:val="single" w:sz="8" w:space="0" w:color="auto"/>
              <w:right w:val="single" w:sz="8" w:space="0" w:color="auto"/>
            </w:tcBorders>
            <w:shd w:val="clear" w:color="000000" w:fill="FFFFFF"/>
            <w:noWrap/>
            <w:vAlign w:val="center"/>
          </w:tcPr>
          <w:p w:rsidR="0057582F" w:rsidRPr="009F1EF0" w:rsidP="000E72A0" w14:paraId="12AA6D58" w14:textId="2C07CE92">
            <w:pPr>
              <w:jc w:val="center"/>
              <w:rPr>
                <w:color w:val="000000"/>
              </w:rPr>
            </w:pPr>
            <w:r w:rsidRPr="009F1EF0">
              <w:rPr>
                <w:color w:val="000000"/>
              </w:rPr>
              <w:t>121</w:t>
            </w:r>
          </w:p>
        </w:tc>
        <w:tc>
          <w:tcPr>
            <w:tcW w:w="1518" w:type="dxa"/>
            <w:tcBorders>
              <w:top w:val="nil"/>
              <w:left w:val="nil"/>
              <w:bottom w:val="single" w:sz="8" w:space="0" w:color="auto"/>
              <w:right w:val="single" w:sz="8" w:space="0" w:color="auto"/>
            </w:tcBorders>
            <w:shd w:val="clear" w:color="000000" w:fill="FFFFFF"/>
            <w:noWrap/>
            <w:vAlign w:val="center"/>
          </w:tcPr>
          <w:p w:rsidR="0057582F" w:rsidRPr="009F1EF0" w:rsidP="00704B18" w14:paraId="2F317E8B" w14:textId="428C8F88">
            <w:pPr>
              <w:jc w:val="center"/>
              <w:rPr>
                <w:color w:val="000000"/>
              </w:rPr>
            </w:pPr>
            <w:r w:rsidRPr="009F1EF0">
              <w:rPr>
                <w:color w:val="000000"/>
              </w:rPr>
              <w:t>$</w:t>
            </w:r>
            <w:r w:rsidRPr="009F1EF0" w:rsidR="009B1496">
              <w:rPr>
                <w:color w:val="000000"/>
              </w:rPr>
              <w:t>5,748</w:t>
            </w:r>
          </w:p>
        </w:tc>
      </w:tr>
      <w:tr w14:paraId="56ACD2CC" w14:textId="77777777" w:rsidTr="001266F1">
        <w:tblPrEx>
          <w:tblW w:w="9468" w:type="dxa"/>
          <w:tblInd w:w="-118" w:type="dxa"/>
          <w:tblLayout w:type="fixed"/>
          <w:tblLook w:val="04A0"/>
        </w:tblPrEx>
        <w:trPr>
          <w:trHeight w:val="358"/>
        </w:trPr>
        <w:tc>
          <w:tcPr>
            <w:tcW w:w="1548" w:type="dxa"/>
            <w:tcBorders>
              <w:top w:val="nil"/>
              <w:left w:val="single" w:sz="8" w:space="0" w:color="auto"/>
              <w:bottom w:val="single" w:sz="8" w:space="0" w:color="auto"/>
              <w:right w:val="single" w:sz="8" w:space="0" w:color="auto"/>
            </w:tcBorders>
            <w:shd w:val="clear" w:color="000000" w:fill="FFFFFF"/>
            <w:vAlign w:val="bottom"/>
          </w:tcPr>
          <w:p w:rsidR="00901943" w:rsidRPr="009F1EF0" w:rsidP="001266F1" w14:paraId="1EDF829E" w14:textId="2BB7E130">
            <w:r w:rsidRPr="009F1EF0">
              <w:rPr>
                <w:bCs/>
                <w:color w:val="000000"/>
              </w:rPr>
              <w:t>Title VI Assurances</w:t>
            </w:r>
          </w:p>
        </w:tc>
        <w:tc>
          <w:tcPr>
            <w:tcW w:w="1542" w:type="dxa"/>
            <w:tcBorders>
              <w:top w:val="nil"/>
              <w:left w:val="nil"/>
              <w:bottom w:val="single" w:sz="8" w:space="0" w:color="auto"/>
              <w:right w:val="single" w:sz="8" w:space="0" w:color="auto"/>
            </w:tcBorders>
            <w:shd w:val="clear" w:color="000000" w:fill="FFFFFF"/>
            <w:noWrap/>
            <w:vAlign w:val="center"/>
          </w:tcPr>
          <w:p w:rsidR="00901943" w:rsidRPr="009F1EF0" w:rsidP="00901943" w14:paraId="7FA2A43D" w14:textId="1D798E12">
            <w:pPr>
              <w:jc w:val="center"/>
              <w:rPr>
                <w:color w:val="000000"/>
              </w:rPr>
            </w:pPr>
            <w:r w:rsidRPr="009F1EF0">
              <w:rPr>
                <w:color w:val="000000"/>
              </w:rPr>
              <w:t>482</w:t>
            </w:r>
          </w:p>
        </w:tc>
        <w:tc>
          <w:tcPr>
            <w:tcW w:w="1391" w:type="dxa"/>
            <w:tcBorders>
              <w:top w:val="nil"/>
              <w:left w:val="nil"/>
              <w:bottom w:val="single" w:sz="8" w:space="0" w:color="auto"/>
              <w:right w:val="single" w:sz="8" w:space="0" w:color="auto"/>
            </w:tcBorders>
            <w:shd w:val="clear" w:color="000000" w:fill="FFFFFF"/>
            <w:noWrap/>
            <w:vAlign w:val="center"/>
          </w:tcPr>
          <w:p w:rsidR="00901943" w:rsidRPr="009F1EF0" w:rsidP="00901943" w14:paraId="1D83A4E2" w14:textId="3DF7B5AE">
            <w:pPr>
              <w:jc w:val="center"/>
              <w:rPr>
                <w:color w:val="000000"/>
              </w:rPr>
            </w:pPr>
            <w:r w:rsidRPr="009F1EF0">
              <w:rPr>
                <w:color w:val="000000"/>
              </w:rPr>
              <w:t>1</w:t>
            </w:r>
          </w:p>
        </w:tc>
        <w:tc>
          <w:tcPr>
            <w:tcW w:w="1309" w:type="dxa"/>
            <w:tcBorders>
              <w:top w:val="nil"/>
              <w:left w:val="nil"/>
              <w:bottom w:val="single" w:sz="8" w:space="0" w:color="auto"/>
              <w:right w:val="single" w:sz="8" w:space="0" w:color="auto"/>
            </w:tcBorders>
            <w:shd w:val="clear" w:color="000000" w:fill="FFFFFF"/>
            <w:noWrap/>
            <w:vAlign w:val="center"/>
          </w:tcPr>
          <w:p w:rsidR="00901943" w:rsidRPr="009F1EF0" w:rsidP="00901943" w14:paraId="5E593B28" w14:textId="698A02E4">
            <w:pPr>
              <w:jc w:val="center"/>
              <w:rPr>
                <w:color w:val="000000"/>
              </w:rPr>
            </w:pPr>
            <w:r w:rsidRPr="009F1EF0">
              <w:rPr>
                <w:color w:val="000000"/>
              </w:rPr>
              <w:t>482</w:t>
            </w:r>
          </w:p>
        </w:tc>
        <w:tc>
          <w:tcPr>
            <w:tcW w:w="1170" w:type="dxa"/>
            <w:tcBorders>
              <w:top w:val="nil"/>
              <w:left w:val="nil"/>
              <w:bottom w:val="single" w:sz="8" w:space="0" w:color="auto"/>
              <w:right w:val="single" w:sz="8" w:space="0" w:color="auto"/>
            </w:tcBorders>
            <w:shd w:val="clear" w:color="000000" w:fill="FFFFFF"/>
            <w:noWrap/>
            <w:vAlign w:val="center"/>
          </w:tcPr>
          <w:p w:rsidR="00901943" w:rsidRPr="009F1EF0" w:rsidP="00901943" w14:paraId="203F4B32" w14:textId="5AB848EB">
            <w:pPr>
              <w:jc w:val="center"/>
              <w:rPr>
                <w:rStyle w:val="CommentReference"/>
                <w:sz w:val="24"/>
                <w:szCs w:val="24"/>
              </w:rPr>
            </w:pPr>
            <w:r w:rsidRPr="009F1EF0">
              <w:rPr>
                <w:bCs/>
                <w:color w:val="000000"/>
              </w:rPr>
              <w:t>.50 (30 minutes</w:t>
            </w:r>
          </w:p>
        </w:tc>
        <w:tc>
          <w:tcPr>
            <w:tcW w:w="990" w:type="dxa"/>
            <w:tcBorders>
              <w:top w:val="nil"/>
              <w:left w:val="nil"/>
              <w:bottom w:val="single" w:sz="8" w:space="0" w:color="auto"/>
              <w:right w:val="single" w:sz="8" w:space="0" w:color="auto"/>
            </w:tcBorders>
            <w:shd w:val="clear" w:color="000000" w:fill="FFFFFF"/>
            <w:noWrap/>
            <w:vAlign w:val="center"/>
          </w:tcPr>
          <w:p w:rsidR="00901943" w:rsidRPr="009F1EF0" w:rsidP="00901943" w14:paraId="37347297" w14:textId="5AADF1A8">
            <w:pPr>
              <w:jc w:val="center"/>
              <w:rPr>
                <w:color w:val="000000"/>
              </w:rPr>
            </w:pPr>
            <w:r w:rsidRPr="009F1EF0">
              <w:rPr>
                <w:color w:val="000000"/>
              </w:rPr>
              <w:t>241</w:t>
            </w:r>
          </w:p>
        </w:tc>
        <w:tc>
          <w:tcPr>
            <w:tcW w:w="1518" w:type="dxa"/>
            <w:tcBorders>
              <w:top w:val="nil"/>
              <w:left w:val="nil"/>
              <w:bottom w:val="single" w:sz="8" w:space="0" w:color="auto"/>
              <w:right w:val="single" w:sz="8" w:space="0" w:color="auto"/>
            </w:tcBorders>
            <w:shd w:val="clear" w:color="000000" w:fill="FFFFFF"/>
            <w:noWrap/>
            <w:vAlign w:val="center"/>
          </w:tcPr>
          <w:p w:rsidR="00901943" w:rsidRPr="009F1EF0" w:rsidP="00901943" w14:paraId="721CD1E2" w14:textId="7D75FA91">
            <w:pPr>
              <w:jc w:val="center"/>
              <w:rPr>
                <w:color w:val="000000"/>
              </w:rPr>
            </w:pPr>
            <w:r w:rsidRPr="009F1EF0">
              <w:rPr>
                <w:color w:val="000000"/>
              </w:rPr>
              <w:t>$11,448</w:t>
            </w:r>
          </w:p>
        </w:tc>
      </w:tr>
      <w:tr w14:paraId="3982B815" w14:textId="77777777" w:rsidTr="001266F1">
        <w:tblPrEx>
          <w:tblW w:w="9468" w:type="dxa"/>
          <w:tblInd w:w="-118" w:type="dxa"/>
          <w:tblLayout w:type="fixed"/>
          <w:tblLook w:val="04A0"/>
        </w:tblPrEx>
        <w:trPr>
          <w:trHeight w:val="830"/>
        </w:trPr>
        <w:tc>
          <w:tcPr>
            <w:tcW w:w="1548" w:type="dxa"/>
            <w:tcBorders>
              <w:top w:val="nil"/>
              <w:left w:val="single" w:sz="8" w:space="0" w:color="auto"/>
              <w:bottom w:val="single" w:sz="8" w:space="0" w:color="auto"/>
              <w:right w:val="single" w:sz="8" w:space="0" w:color="auto"/>
            </w:tcBorders>
            <w:shd w:val="clear" w:color="000000" w:fill="FFFFFF"/>
            <w:vAlign w:val="bottom"/>
          </w:tcPr>
          <w:p w:rsidR="00730B3A" w:rsidRPr="009F1EF0" w:rsidP="001266F1" w14:paraId="77125C12" w14:textId="538AAA7C">
            <w:r w:rsidRPr="009F1EF0">
              <w:t>ERA</w:t>
            </w:r>
            <w:r w:rsidRPr="009F1EF0" w:rsidR="00197E2B">
              <w:t xml:space="preserve">2 </w:t>
            </w:r>
            <w:r w:rsidRPr="009F1EF0" w:rsidR="002D51DF">
              <w:t>Monthly Report</w:t>
            </w:r>
          </w:p>
        </w:tc>
        <w:tc>
          <w:tcPr>
            <w:tcW w:w="1542" w:type="dxa"/>
            <w:tcBorders>
              <w:top w:val="nil"/>
              <w:left w:val="nil"/>
              <w:bottom w:val="single" w:sz="8" w:space="0" w:color="auto"/>
              <w:right w:val="single" w:sz="8" w:space="0" w:color="auto"/>
            </w:tcBorders>
            <w:shd w:val="clear" w:color="000000" w:fill="FFFFFF"/>
            <w:noWrap/>
            <w:vAlign w:val="center"/>
          </w:tcPr>
          <w:p w:rsidR="00730B3A" w:rsidRPr="009F1EF0" w:rsidP="001A0CE8" w14:paraId="16631394" w14:textId="4CD37433">
            <w:pPr>
              <w:jc w:val="center"/>
              <w:rPr>
                <w:color w:val="000000"/>
              </w:rPr>
            </w:pPr>
            <w:r w:rsidRPr="009F1EF0">
              <w:rPr>
                <w:color w:val="000000"/>
              </w:rPr>
              <w:t>37</w:t>
            </w:r>
            <w:r w:rsidRPr="009F1EF0" w:rsidR="00746784">
              <w:rPr>
                <w:color w:val="000000"/>
              </w:rPr>
              <w:t>6</w:t>
            </w:r>
          </w:p>
        </w:tc>
        <w:tc>
          <w:tcPr>
            <w:tcW w:w="1391" w:type="dxa"/>
            <w:tcBorders>
              <w:top w:val="nil"/>
              <w:left w:val="nil"/>
              <w:bottom w:val="single" w:sz="8" w:space="0" w:color="auto"/>
              <w:right w:val="single" w:sz="8" w:space="0" w:color="auto"/>
            </w:tcBorders>
            <w:shd w:val="clear" w:color="000000" w:fill="FFFFFF"/>
            <w:noWrap/>
            <w:vAlign w:val="center"/>
          </w:tcPr>
          <w:p w:rsidR="00730B3A" w:rsidRPr="009F1EF0" w:rsidP="00901943" w14:paraId="71F2E41D" w14:textId="757232C2">
            <w:pPr>
              <w:jc w:val="center"/>
              <w:rPr>
                <w:color w:val="000000"/>
              </w:rPr>
            </w:pPr>
            <w:r w:rsidRPr="009F1EF0">
              <w:rPr>
                <w:color w:val="000000"/>
              </w:rPr>
              <w:t>3</w:t>
            </w:r>
          </w:p>
        </w:tc>
        <w:tc>
          <w:tcPr>
            <w:tcW w:w="1309" w:type="dxa"/>
            <w:tcBorders>
              <w:top w:val="nil"/>
              <w:left w:val="nil"/>
              <w:bottom w:val="single" w:sz="8" w:space="0" w:color="auto"/>
              <w:right w:val="single" w:sz="8" w:space="0" w:color="auto"/>
            </w:tcBorders>
            <w:shd w:val="clear" w:color="000000" w:fill="FFFFFF"/>
            <w:noWrap/>
            <w:vAlign w:val="center"/>
          </w:tcPr>
          <w:p w:rsidR="00730B3A" w:rsidRPr="009F1EF0" w:rsidP="00901943" w14:paraId="0E261417" w14:textId="14719A8C">
            <w:pPr>
              <w:jc w:val="center"/>
              <w:rPr>
                <w:color w:val="000000"/>
              </w:rPr>
            </w:pPr>
            <w:r w:rsidRPr="009F1EF0">
              <w:rPr>
                <w:color w:val="000000"/>
              </w:rPr>
              <w:t>1128</w:t>
            </w:r>
          </w:p>
        </w:tc>
        <w:tc>
          <w:tcPr>
            <w:tcW w:w="1170" w:type="dxa"/>
            <w:tcBorders>
              <w:top w:val="nil"/>
              <w:left w:val="nil"/>
              <w:bottom w:val="single" w:sz="8" w:space="0" w:color="auto"/>
              <w:right w:val="single" w:sz="8" w:space="0" w:color="auto"/>
            </w:tcBorders>
            <w:shd w:val="clear" w:color="000000" w:fill="FFFFFF"/>
            <w:noWrap/>
            <w:vAlign w:val="center"/>
          </w:tcPr>
          <w:p w:rsidR="00730B3A" w:rsidRPr="009F1EF0" w:rsidP="00901943" w14:paraId="65DD6B07" w14:textId="157F1239">
            <w:pPr>
              <w:jc w:val="center"/>
              <w:rPr>
                <w:bCs/>
                <w:color w:val="000000"/>
              </w:rPr>
            </w:pPr>
            <w:r w:rsidRPr="009F1EF0">
              <w:rPr>
                <w:bCs/>
                <w:color w:val="000000"/>
              </w:rPr>
              <w:t>1</w:t>
            </w:r>
          </w:p>
        </w:tc>
        <w:tc>
          <w:tcPr>
            <w:tcW w:w="990" w:type="dxa"/>
            <w:tcBorders>
              <w:top w:val="nil"/>
              <w:left w:val="nil"/>
              <w:bottom w:val="single" w:sz="8" w:space="0" w:color="auto"/>
              <w:right w:val="single" w:sz="8" w:space="0" w:color="auto"/>
            </w:tcBorders>
            <w:shd w:val="clear" w:color="000000" w:fill="FFFFFF"/>
            <w:noWrap/>
            <w:vAlign w:val="center"/>
          </w:tcPr>
          <w:p w:rsidR="00730B3A" w:rsidRPr="009F1EF0" w:rsidP="00901943" w14:paraId="7A5FDFFA" w14:textId="3F554744">
            <w:pPr>
              <w:jc w:val="center"/>
              <w:rPr>
                <w:color w:val="000000"/>
              </w:rPr>
            </w:pPr>
            <w:r w:rsidRPr="009F1EF0">
              <w:rPr>
                <w:color w:val="000000"/>
              </w:rPr>
              <w:t>1,128</w:t>
            </w:r>
          </w:p>
        </w:tc>
        <w:tc>
          <w:tcPr>
            <w:tcW w:w="1518" w:type="dxa"/>
            <w:tcBorders>
              <w:top w:val="nil"/>
              <w:left w:val="nil"/>
              <w:bottom w:val="single" w:sz="8" w:space="0" w:color="auto"/>
              <w:right w:val="single" w:sz="8" w:space="0" w:color="auto"/>
            </w:tcBorders>
            <w:shd w:val="clear" w:color="000000" w:fill="FFFFFF"/>
            <w:noWrap/>
            <w:vAlign w:val="center"/>
          </w:tcPr>
          <w:p w:rsidR="00730B3A" w:rsidRPr="009F1EF0" w:rsidP="00901943" w14:paraId="4B20845D" w14:textId="45A2F941">
            <w:pPr>
              <w:jc w:val="center"/>
              <w:rPr>
                <w:color w:val="000000"/>
              </w:rPr>
            </w:pPr>
            <w:r w:rsidRPr="009F1EF0">
              <w:rPr>
                <w:color w:val="000000"/>
              </w:rPr>
              <w:t>$</w:t>
            </w:r>
            <w:r w:rsidRPr="009F1EF0" w:rsidR="0096218D">
              <w:rPr>
                <w:color w:val="000000"/>
              </w:rPr>
              <w:t>53,580</w:t>
            </w:r>
          </w:p>
        </w:tc>
      </w:tr>
      <w:tr w14:paraId="21470DF7" w14:textId="77777777" w:rsidTr="001266F1">
        <w:tblPrEx>
          <w:tblW w:w="9468" w:type="dxa"/>
          <w:tblInd w:w="-118" w:type="dxa"/>
          <w:tblLayout w:type="fixed"/>
          <w:tblLook w:val="04A0"/>
        </w:tblPrEx>
        <w:trPr>
          <w:trHeight w:val="830"/>
        </w:trPr>
        <w:tc>
          <w:tcPr>
            <w:tcW w:w="1548" w:type="dxa"/>
            <w:tcBorders>
              <w:top w:val="nil"/>
              <w:left w:val="single" w:sz="8" w:space="0" w:color="auto"/>
              <w:bottom w:val="single" w:sz="8" w:space="0" w:color="auto"/>
              <w:right w:val="single" w:sz="8" w:space="0" w:color="auto"/>
            </w:tcBorders>
            <w:shd w:val="clear" w:color="000000" w:fill="FFFFFF"/>
            <w:vAlign w:val="bottom"/>
          </w:tcPr>
          <w:p w:rsidR="00910067" w:rsidRPr="009F1EF0" w:rsidP="001266F1" w14:paraId="2417ABED" w14:textId="71EB676C">
            <w:r w:rsidRPr="009F1EF0">
              <w:t>ERA</w:t>
            </w:r>
            <w:r w:rsidRPr="009F1EF0" w:rsidR="00915144">
              <w:t>2</w:t>
            </w:r>
            <w:r w:rsidRPr="009F1EF0" w:rsidR="003540EB">
              <w:t xml:space="preserve"> </w:t>
            </w:r>
            <w:r w:rsidRPr="009F1EF0">
              <w:t>Quarterly Report</w:t>
            </w:r>
          </w:p>
        </w:tc>
        <w:tc>
          <w:tcPr>
            <w:tcW w:w="1542" w:type="dxa"/>
            <w:tcBorders>
              <w:top w:val="nil"/>
              <w:left w:val="nil"/>
              <w:bottom w:val="single" w:sz="8" w:space="0" w:color="auto"/>
              <w:right w:val="single" w:sz="8" w:space="0" w:color="auto"/>
            </w:tcBorders>
            <w:shd w:val="clear" w:color="000000" w:fill="FFFFFF"/>
            <w:noWrap/>
            <w:vAlign w:val="center"/>
          </w:tcPr>
          <w:p w:rsidR="00910067" w:rsidRPr="009F1EF0" w:rsidP="00901943" w14:paraId="3B2B66C2" w14:textId="36E49104">
            <w:pPr>
              <w:jc w:val="center"/>
              <w:rPr>
                <w:bCs/>
                <w:color w:val="000000"/>
              </w:rPr>
            </w:pPr>
            <w:r w:rsidRPr="009F1EF0">
              <w:rPr>
                <w:bCs/>
                <w:color w:val="000000"/>
              </w:rPr>
              <w:t>37</w:t>
            </w:r>
            <w:r w:rsidRPr="009F1EF0" w:rsidR="00746784">
              <w:rPr>
                <w:bCs/>
                <w:color w:val="000000"/>
              </w:rPr>
              <w:t>6</w:t>
            </w:r>
          </w:p>
        </w:tc>
        <w:tc>
          <w:tcPr>
            <w:tcW w:w="1391" w:type="dxa"/>
            <w:tcBorders>
              <w:top w:val="nil"/>
              <w:left w:val="nil"/>
              <w:bottom w:val="single" w:sz="8" w:space="0" w:color="auto"/>
              <w:right w:val="single" w:sz="8" w:space="0" w:color="auto"/>
            </w:tcBorders>
            <w:shd w:val="clear" w:color="auto" w:fill="auto"/>
            <w:noWrap/>
            <w:vAlign w:val="center"/>
          </w:tcPr>
          <w:p w:rsidR="00910067" w:rsidRPr="009F1EF0" w:rsidP="00901943" w14:paraId="0B11FB25" w14:textId="11A3D32C">
            <w:pPr>
              <w:jc w:val="center"/>
              <w:rPr>
                <w:bCs/>
                <w:color w:val="000000"/>
              </w:rPr>
            </w:pPr>
            <w:r w:rsidRPr="009F1EF0">
              <w:rPr>
                <w:bCs/>
                <w:color w:val="000000"/>
              </w:rPr>
              <w:t>4</w:t>
            </w:r>
          </w:p>
        </w:tc>
        <w:tc>
          <w:tcPr>
            <w:tcW w:w="1309" w:type="dxa"/>
            <w:tcBorders>
              <w:top w:val="nil"/>
              <w:left w:val="nil"/>
              <w:bottom w:val="single" w:sz="8" w:space="0" w:color="auto"/>
              <w:right w:val="single" w:sz="8" w:space="0" w:color="auto"/>
            </w:tcBorders>
            <w:shd w:val="clear" w:color="auto" w:fill="auto"/>
            <w:noWrap/>
            <w:vAlign w:val="center"/>
          </w:tcPr>
          <w:p w:rsidR="00910067" w:rsidRPr="009F1EF0" w:rsidP="00901943" w14:paraId="4BDC65AD" w14:textId="2A8C398D">
            <w:pPr>
              <w:jc w:val="center"/>
              <w:rPr>
                <w:bCs/>
                <w:color w:val="000000"/>
              </w:rPr>
            </w:pPr>
            <w:r w:rsidRPr="009F1EF0">
              <w:rPr>
                <w:bCs/>
                <w:color w:val="000000"/>
              </w:rPr>
              <w:t>1,50</w:t>
            </w:r>
            <w:r w:rsidRPr="009F1EF0" w:rsidR="00746784">
              <w:rPr>
                <w:bCs/>
                <w:color w:val="000000"/>
              </w:rPr>
              <w:t>4</w:t>
            </w:r>
          </w:p>
        </w:tc>
        <w:tc>
          <w:tcPr>
            <w:tcW w:w="1170" w:type="dxa"/>
            <w:tcBorders>
              <w:top w:val="nil"/>
              <w:left w:val="nil"/>
              <w:bottom w:val="single" w:sz="8" w:space="0" w:color="auto"/>
              <w:right w:val="single" w:sz="8" w:space="0" w:color="auto"/>
            </w:tcBorders>
            <w:shd w:val="clear" w:color="auto" w:fill="auto"/>
            <w:noWrap/>
            <w:vAlign w:val="center"/>
          </w:tcPr>
          <w:p w:rsidR="00910067" w:rsidRPr="009F1EF0" w:rsidP="00901943" w14:paraId="61357044" w14:textId="2813A537">
            <w:pPr>
              <w:jc w:val="center"/>
              <w:rPr>
                <w:bCs/>
                <w:color w:val="000000"/>
              </w:rPr>
            </w:pPr>
            <w:r w:rsidRPr="009F1EF0">
              <w:rPr>
                <w:bCs/>
                <w:color w:val="000000"/>
              </w:rPr>
              <w:t>3</w:t>
            </w:r>
            <w:r w:rsidR="00262D28">
              <w:rPr>
                <w:bCs/>
                <w:color w:val="000000"/>
              </w:rPr>
              <w:t>2</w:t>
            </w:r>
          </w:p>
        </w:tc>
        <w:tc>
          <w:tcPr>
            <w:tcW w:w="990" w:type="dxa"/>
            <w:tcBorders>
              <w:top w:val="nil"/>
              <w:left w:val="nil"/>
              <w:bottom w:val="single" w:sz="8" w:space="0" w:color="auto"/>
              <w:right w:val="single" w:sz="8" w:space="0" w:color="auto"/>
            </w:tcBorders>
            <w:shd w:val="clear" w:color="000000" w:fill="FFFFFF"/>
            <w:noWrap/>
            <w:vAlign w:val="center"/>
          </w:tcPr>
          <w:p w:rsidR="00910067" w:rsidRPr="009F1EF0" w:rsidP="00901943" w14:paraId="5A20D969" w14:textId="1E71B945">
            <w:pPr>
              <w:jc w:val="center"/>
              <w:rPr>
                <w:bCs/>
                <w:color w:val="000000"/>
              </w:rPr>
            </w:pPr>
            <w:r w:rsidRPr="009F1EF0">
              <w:rPr>
                <w:bCs/>
                <w:color w:val="000000"/>
              </w:rPr>
              <w:t>4</w:t>
            </w:r>
            <w:r w:rsidR="00262D28">
              <w:rPr>
                <w:bCs/>
                <w:color w:val="000000"/>
              </w:rPr>
              <w:t>8</w:t>
            </w:r>
            <w:r w:rsidRPr="009F1EF0">
              <w:rPr>
                <w:bCs/>
                <w:color w:val="000000"/>
              </w:rPr>
              <w:t>,</w:t>
            </w:r>
            <w:r w:rsidRPr="009F1EF0" w:rsidR="00746784">
              <w:rPr>
                <w:bCs/>
                <w:color w:val="000000"/>
              </w:rPr>
              <w:t>12</w:t>
            </w:r>
            <w:r w:rsidR="00262D28">
              <w:rPr>
                <w:bCs/>
                <w:color w:val="000000"/>
              </w:rPr>
              <w:t>8</w:t>
            </w:r>
          </w:p>
        </w:tc>
        <w:tc>
          <w:tcPr>
            <w:tcW w:w="1518" w:type="dxa"/>
            <w:tcBorders>
              <w:top w:val="nil"/>
              <w:left w:val="nil"/>
              <w:bottom w:val="single" w:sz="8" w:space="0" w:color="auto"/>
              <w:right w:val="single" w:sz="8" w:space="0" w:color="auto"/>
            </w:tcBorders>
            <w:shd w:val="clear" w:color="000000" w:fill="FFFFFF"/>
            <w:noWrap/>
            <w:vAlign w:val="center"/>
          </w:tcPr>
          <w:p w:rsidR="00910067" w:rsidRPr="009F1EF0" w:rsidP="00901943" w14:paraId="394182E3" w14:textId="6220B9B7">
            <w:pPr>
              <w:jc w:val="center"/>
              <w:rPr>
                <w:bCs/>
                <w:color w:val="000000"/>
              </w:rPr>
            </w:pPr>
            <w:r w:rsidRPr="009F1EF0">
              <w:rPr>
                <w:bCs/>
                <w:color w:val="000000"/>
              </w:rPr>
              <w:t>$</w:t>
            </w:r>
            <w:r w:rsidRPr="009F1EF0" w:rsidR="00E17EDF">
              <w:rPr>
                <w:bCs/>
                <w:color w:val="000000"/>
              </w:rPr>
              <w:t>2,</w:t>
            </w:r>
            <w:r w:rsidR="00262D28">
              <w:rPr>
                <w:bCs/>
                <w:color w:val="000000"/>
              </w:rPr>
              <w:t>286</w:t>
            </w:r>
            <w:r w:rsidRPr="009F1EF0" w:rsidR="00E17EDF">
              <w:rPr>
                <w:bCs/>
                <w:color w:val="000000"/>
              </w:rPr>
              <w:t>,</w:t>
            </w:r>
            <w:r w:rsidR="00262D28">
              <w:rPr>
                <w:bCs/>
                <w:color w:val="000000"/>
              </w:rPr>
              <w:t>080</w:t>
            </w:r>
          </w:p>
        </w:tc>
      </w:tr>
      <w:tr w14:paraId="270358B9" w14:textId="77777777" w:rsidTr="003F7316">
        <w:tblPrEx>
          <w:tblW w:w="9468" w:type="dxa"/>
          <w:tblInd w:w="-118" w:type="dxa"/>
          <w:tblLayout w:type="fixed"/>
          <w:tblLook w:val="04A0"/>
        </w:tblPrEx>
        <w:trPr>
          <w:trHeight w:val="830"/>
        </w:trPr>
        <w:tc>
          <w:tcPr>
            <w:tcW w:w="1548" w:type="dxa"/>
            <w:tcBorders>
              <w:top w:val="nil"/>
              <w:left w:val="single" w:sz="8" w:space="0" w:color="auto"/>
              <w:bottom w:val="single" w:sz="8" w:space="0" w:color="auto"/>
              <w:right w:val="single" w:sz="8" w:space="0" w:color="auto"/>
            </w:tcBorders>
            <w:shd w:val="clear" w:color="000000" w:fill="FFFFFF"/>
            <w:vAlign w:val="bottom"/>
          </w:tcPr>
          <w:p w:rsidR="00E35C1A" w:rsidRPr="009F1EF0" w:rsidP="00E35C1A" w14:paraId="1A7ACEB0" w14:textId="1974A2AE">
            <w:r w:rsidRPr="009F1EF0">
              <w:t>ERA2 Additional Funds Request Form</w:t>
            </w:r>
          </w:p>
        </w:tc>
        <w:tc>
          <w:tcPr>
            <w:tcW w:w="1542" w:type="dxa"/>
            <w:tcBorders>
              <w:top w:val="nil"/>
              <w:left w:val="nil"/>
              <w:bottom w:val="single" w:sz="8" w:space="0" w:color="auto"/>
              <w:right w:val="single" w:sz="8" w:space="0" w:color="auto"/>
            </w:tcBorders>
            <w:shd w:val="clear" w:color="000000" w:fill="FFFFFF"/>
            <w:noWrap/>
            <w:vAlign w:val="center"/>
          </w:tcPr>
          <w:p w:rsidR="00E35C1A" w:rsidRPr="009F1EF0" w:rsidP="00E35C1A" w14:paraId="7457E79D" w14:textId="16AD3091">
            <w:pPr>
              <w:jc w:val="center"/>
              <w:rPr>
                <w:bCs/>
                <w:color w:val="000000"/>
              </w:rPr>
            </w:pPr>
            <w:r w:rsidRPr="009F1EF0">
              <w:rPr>
                <w:bCs/>
                <w:color w:val="000000"/>
              </w:rPr>
              <w:t>482</w:t>
            </w:r>
          </w:p>
        </w:tc>
        <w:tc>
          <w:tcPr>
            <w:tcW w:w="1391" w:type="dxa"/>
            <w:tcBorders>
              <w:top w:val="nil"/>
              <w:left w:val="nil"/>
              <w:bottom w:val="single" w:sz="8" w:space="0" w:color="auto"/>
              <w:right w:val="single" w:sz="8" w:space="0" w:color="auto"/>
            </w:tcBorders>
            <w:shd w:val="clear" w:color="auto" w:fill="auto"/>
            <w:noWrap/>
            <w:vAlign w:val="center"/>
          </w:tcPr>
          <w:p w:rsidR="00E35C1A" w:rsidRPr="009F1EF0" w:rsidP="00E35C1A" w14:paraId="6B5D5C48" w14:textId="3ECFA113">
            <w:pPr>
              <w:jc w:val="center"/>
              <w:rPr>
                <w:bCs/>
                <w:color w:val="000000"/>
              </w:rPr>
            </w:pPr>
            <w:r w:rsidRPr="009F1EF0">
              <w:rPr>
                <w:bCs/>
                <w:color w:val="000000"/>
              </w:rPr>
              <w:t>1</w:t>
            </w:r>
          </w:p>
        </w:tc>
        <w:tc>
          <w:tcPr>
            <w:tcW w:w="1309" w:type="dxa"/>
            <w:tcBorders>
              <w:top w:val="nil"/>
              <w:left w:val="nil"/>
              <w:bottom w:val="single" w:sz="8" w:space="0" w:color="auto"/>
              <w:right w:val="single" w:sz="8" w:space="0" w:color="auto"/>
            </w:tcBorders>
            <w:shd w:val="clear" w:color="auto" w:fill="auto"/>
            <w:noWrap/>
          </w:tcPr>
          <w:p w:rsidR="00E35C1A" w:rsidRPr="009F1EF0" w:rsidP="00E35C1A" w14:paraId="77AA25DF" w14:textId="2A91B54B">
            <w:pPr>
              <w:jc w:val="center"/>
              <w:rPr>
                <w:bCs/>
                <w:color w:val="000000"/>
              </w:rPr>
            </w:pPr>
            <w:r w:rsidRPr="009F1EF0">
              <w:rPr>
                <w:bCs/>
                <w:color w:val="000000"/>
              </w:rPr>
              <w:t>482</w:t>
            </w:r>
          </w:p>
        </w:tc>
        <w:tc>
          <w:tcPr>
            <w:tcW w:w="1170" w:type="dxa"/>
            <w:tcBorders>
              <w:top w:val="nil"/>
              <w:left w:val="nil"/>
              <w:bottom w:val="single" w:sz="8" w:space="0" w:color="auto"/>
              <w:right w:val="single" w:sz="8" w:space="0" w:color="auto"/>
            </w:tcBorders>
            <w:shd w:val="clear" w:color="auto" w:fill="auto"/>
            <w:noWrap/>
          </w:tcPr>
          <w:p w:rsidR="00E35C1A" w:rsidRPr="00E35C1A" w:rsidP="00E35C1A" w14:paraId="557BD59F" w14:textId="0EC166FF">
            <w:pPr>
              <w:jc w:val="center"/>
              <w:rPr>
                <w:bCs/>
                <w:color w:val="000000"/>
              </w:rPr>
            </w:pPr>
            <w:r w:rsidRPr="00E35C1A">
              <w:rPr>
                <w:bCs/>
                <w:color w:val="000000"/>
              </w:rPr>
              <w:t>0.50 (30 minutes)</w:t>
            </w:r>
          </w:p>
        </w:tc>
        <w:tc>
          <w:tcPr>
            <w:tcW w:w="990" w:type="dxa"/>
            <w:tcBorders>
              <w:top w:val="nil"/>
              <w:left w:val="nil"/>
              <w:bottom w:val="single" w:sz="8" w:space="0" w:color="auto"/>
              <w:right w:val="single" w:sz="8" w:space="0" w:color="auto"/>
            </w:tcBorders>
            <w:shd w:val="clear" w:color="000000" w:fill="FFFFFF"/>
            <w:noWrap/>
          </w:tcPr>
          <w:p w:rsidR="00E35C1A" w:rsidRPr="00E35C1A" w:rsidP="00E35C1A" w14:paraId="0ABF071D" w14:textId="2C9906CD">
            <w:pPr>
              <w:jc w:val="center"/>
              <w:rPr>
                <w:bCs/>
                <w:color w:val="000000"/>
              </w:rPr>
            </w:pPr>
            <w:r w:rsidRPr="00E35C1A">
              <w:rPr>
                <w:bCs/>
                <w:color w:val="000000"/>
              </w:rPr>
              <w:t>241</w:t>
            </w:r>
          </w:p>
        </w:tc>
        <w:tc>
          <w:tcPr>
            <w:tcW w:w="1518" w:type="dxa"/>
            <w:tcBorders>
              <w:top w:val="nil"/>
              <w:left w:val="nil"/>
              <w:bottom w:val="single" w:sz="8" w:space="0" w:color="auto"/>
              <w:right w:val="single" w:sz="8" w:space="0" w:color="auto"/>
            </w:tcBorders>
            <w:shd w:val="clear" w:color="000000" w:fill="FFFFFF"/>
            <w:noWrap/>
          </w:tcPr>
          <w:p w:rsidR="00E35C1A" w:rsidRPr="00E35C1A" w:rsidP="00E35C1A" w14:paraId="5D80888C" w14:textId="6C302D83">
            <w:pPr>
              <w:jc w:val="center"/>
              <w:rPr>
                <w:bCs/>
                <w:color w:val="000000"/>
              </w:rPr>
            </w:pPr>
            <w:r w:rsidRPr="00E35C1A">
              <w:rPr>
                <w:bCs/>
                <w:color w:val="000000"/>
              </w:rPr>
              <w:t>$11,448</w:t>
            </w:r>
          </w:p>
        </w:tc>
      </w:tr>
      <w:tr w14:paraId="6D0C75D0" w14:textId="77777777" w:rsidTr="00C25DD2">
        <w:tblPrEx>
          <w:tblW w:w="9468" w:type="dxa"/>
          <w:tblInd w:w="-118" w:type="dxa"/>
          <w:tblLayout w:type="fixed"/>
          <w:tblLook w:val="04A0"/>
        </w:tblPrEx>
        <w:trPr>
          <w:trHeight w:val="830"/>
        </w:trPr>
        <w:tc>
          <w:tcPr>
            <w:tcW w:w="1548" w:type="dxa"/>
            <w:tcBorders>
              <w:top w:val="nil"/>
              <w:left w:val="single" w:sz="8" w:space="0" w:color="auto"/>
              <w:bottom w:val="single" w:sz="8" w:space="0" w:color="auto"/>
              <w:right w:val="single" w:sz="8" w:space="0" w:color="auto"/>
            </w:tcBorders>
            <w:shd w:val="clear" w:color="000000" w:fill="FFFFFF"/>
            <w:vAlign w:val="center"/>
          </w:tcPr>
          <w:p w:rsidR="00C25DD2" w:rsidRPr="00E35C1A" w:rsidP="00C25DD2" w14:paraId="1078CC40" w14:textId="029ED22E">
            <w:r w:rsidRPr="00E35C1A">
              <w:rPr>
                <w:color w:val="000000"/>
              </w:rPr>
              <w:t xml:space="preserve">Portal: </w:t>
            </w:r>
            <w:r w:rsidRPr="00E35C1A">
              <w:rPr>
                <w:color w:val="000000"/>
              </w:rPr>
              <w:t xml:space="preserve">Request for Reallocated </w:t>
            </w:r>
            <w:r w:rsidRPr="00E35C1A">
              <w:rPr>
                <w:color w:val="000000"/>
              </w:rPr>
              <w:t>F</w:t>
            </w:r>
            <w:r w:rsidRPr="00E35C1A">
              <w:rPr>
                <w:color w:val="000000"/>
              </w:rPr>
              <w:t>unds</w:t>
            </w:r>
          </w:p>
        </w:tc>
        <w:tc>
          <w:tcPr>
            <w:tcW w:w="1542" w:type="dxa"/>
            <w:tcBorders>
              <w:top w:val="nil"/>
              <w:left w:val="nil"/>
              <w:bottom w:val="single" w:sz="8" w:space="0" w:color="auto"/>
              <w:right w:val="single" w:sz="8" w:space="0" w:color="auto"/>
            </w:tcBorders>
            <w:shd w:val="clear" w:color="000000" w:fill="FFFFFF"/>
            <w:noWrap/>
            <w:vAlign w:val="center"/>
          </w:tcPr>
          <w:p w:rsidR="00C25DD2" w:rsidRPr="00E35C1A" w:rsidP="00C25DD2" w14:paraId="0540695A" w14:textId="3FCE4B68">
            <w:pPr>
              <w:jc w:val="center"/>
              <w:rPr>
                <w:bCs/>
                <w:color w:val="000000"/>
              </w:rPr>
            </w:pPr>
            <w:r>
              <w:t>200</w:t>
            </w:r>
          </w:p>
        </w:tc>
        <w:tc>
          <w:tcPr>
            <w:tcW w:w="1391" w:type="dxa"/>
            <w:tcBorders>
              <w:top w:val="nil"/>
              <w:left w:val="nil"/>
              <w:bottom w:val="single" w:sz="8" w:space="0" w:color="auto"/>
              <w:right w:val="single" w:sz="8" w:space="0" w:color="auto"/>
            </w:tcBorders>
            <w:shd w:val="clear" w:color="auto" w:fill="auto"/>
            <w:noWrap/>
            <w:vAlign w:val="center"/>
          </w:tcPr>
          <w:p w:rsidR="00C25DD2" w:rsidRPr="00E35C1A" w:rsidP="00C25DD2" w14:paraId="13165AB8" w14:textId="1CA11A43">
            <w:pPr>
              <w:jc w:val="center"/>
              <w:rPr>
                <w:bCs/>
                <w:color w:val="000000"/>
              </w:rPr>
            </w:pPr>
            <w:r w:rsidRPr="00E35C1A">
              <w:t>1</w:t>
            </w:r>
          </w:p>
        </w:tc>
        <w:tc>
          <w:tcPr>
            <w:tcW w:w="1309" w:type="dxa"/>
            <w:tcBorders>
              <w:top w:val="nil"/>
              <w:left w:val="nil"/>
              <w:bottom w:val="single" w:sz="8" w:space="0" w:color="auto"/>
              <w:right w:val="single" w:sz="8" w:space="0" w:color="auto"/>
            </w:tcBorders>
            <w:shd w:val="clear" w:color="auto" w:fill="auto"/>
            <w:noWrap/>
            <w:vAlign w:val="center"/>
          </w:tcPr>
          <w:p w:rsidR="00C25DD2" w:rsidRPr="00E35C1A" w:rsidP="00C25DD2" w14:paraId="5BA30116" w14:textId="682F9FC8">
            <w:pPr>
              <w:jc w:val="center"/>
              <w:rPr>
                <w:bCs/>
                <w:color w:val="000000"/>
              </w:rPr>
            </w:pPr>
            <w:r>
              <w:t>2</w:t>
            </w:r>
            <w:r w:rsidRPr="00E35C1A">
              <w:t>00</w:t>
            </w:r>
          </w:p>
        </w:tc>
        <w:tc>
          <w:tcPr>
            <w:tcW w:w="1170" w:type="dxa"/>
            <w:tcBorders>
              <w:top w:val="nil"/>
              <w:left w:val="nil"/>
              <w:bottom w:val="single" w:sz="8" w:space="0" w:color="auto"/>
              <w:right w:val="single" w:sz="8" w:space="0" w:color="auto"/>
            </w:tcBorders>
            <w:shd w:val="clear" w:color="auto" w:fill="auto"/>
            <w:noWrap/>
            <w:vAlign w:val="center"/>
          </w:tcPr>
          <w:p w:rsidR="00C25DD2" w:rsidRPr="00E35C1A" w:rsidP="00C25DD2" w14:paraId="176D8455" w14:textId="344C8369">
            <w:pPr>
              <w:jc w:val="center"/>
              <w:rPr>
                <w:bCs/>
                <w:color w:val="000000"/>
              </w:rPr>
            </w:pPr>
            <w:r>
              <w:t>0</w:t>
            </w:r>
            <w:r w:rsidRPr="00E35C1A">
              <w:t>.</w:t>
            </w:r>
            <w:r>
              <w:t>7</w:t>
            </w:r>
            <w:r w:rsidRPr="00E35C1A">
              <w:t>5 hours</w:t>
            </w:r>
            <w:r w:rsidR="003F7316">
              <w:t xml:space="preserve"> (45 minutes)</w:t>
            </w:r>
          </w:p>
        </w:tc>
        <w:tc>
          <w:tcPr>
            <w:tcW w:w="990" w:type="dxa"/>
            <w:tcBorders>
              <w:top w:val="nil"/>
              <w:left w:val="nil"/>
              <w:bottom w:val="single" w:sz="8" w:space="0" w:color="auto"/>
              <w:right w:val="single" w:sz="8" w:space="0" w:color="auto"/>
            </w:tcBorders>
            <w:shd w:val="clear" w:color="000000" w:fill="FFFFFF"/>
            <w:noWrap/>
            <w:vAlign w:val="center"/>
          </w:tcPr>
          <w:p w:rsidR="00C25DD2" w:rsidRPr="00E35C1A" w:rsidP="00C25DD2" w14:paraId="5F7A7476" w14:textId="738ED48E">
            <w:pPr>
              <w:jc w:val="center"/>
              <w:rPr>
                <w:bCs/>
                <w:color w:val="000000"/>
              </w:rPr>
            </w:pPr>
            <w:r>
              <w:t>15</w:t>
            </w:r>
            <w:r w:rsidRPr="00E35C1A">
              <w:t>0</w:t>
            </w:r>
          </w:p>
        </w:tc>
        <w:tc>
          <w:tcPr>
            <w:tcW w:w="1518" w:type="dxa"/>
            <w:tcBorders>
              <w:top w:val="nil"/>
              <w:left w:val="nil"/>
              <w:bottom w:val="single" w:sz="8" w:space="0" w:color="auto"/>
              <w:right w:val="single" w:sz="8" w:space="0" w:color="auto"/>
            </w:tcBorders>
            <w:shd w:val="clear" w:color="000000" w:fill="FFFFFF"/>
            <w:noWrap/>
            <w:vAlign w:val="center"/>
          </w:tcPr>
          <w:p w:rsidR="00C25DD2" w:rsidRPr="00E35C1A" w:rsidP="00C25DD2" w14:paraId="77D2CCEC" w14:textId="65BD628B">
            <w:pPr>
              <w:jc w:val="center"/>
              <w:rPr>
                <w:bCs/>
                <w:color w:val="000000"/>
              </w:rPr>
            </w:pPr>
            <w:r w:rsidRPr="00E35C1A">
              <w:t>$7</w:t>
            </w:r>
            <w:r w:rsidR="00545CB7">
              <w:t>,12</w:t>
            </w:r>
            <w:r w:rsidRPr="00E35C1A">
              <w:t>5</w:t>
            </w:r>
          </w:p>
        </w:tc>
      </w:tr>
      <w:tr w14:paraId="7527F401" w14:textId="77777777" w:rsidTr="00C25DD2">
        <w:tblPrEx>
          <w:tblW w:w="9468" w:type="dxa"/>
          <w:tblInd w:w="-118" w:type="dxa"/>
          <w:tblLayout w:type="fixed"/>
          <w:tblLook w:val="04A0"/>
        </w:tblPrEx>
        <w:trPr>
          <w:trHeight w:val="830"/>
        </w:trPr>
        <w:tc>
          <w:tcPr>
            <w:tcW w:w="1548" w:type="dxa"/>
            <w:tcBorders>
              <w:top w:val="nil"/>
              <w:left w:val="single" w:sz="8" w:space="0" w:color="auto"/>
              <w:bottom w:val="single" w:sz="8" w:space="0" w:color="auto"/>
              <w:right w:val="single" w:sz="8" w:space="0" w:color="auto"/>
            </w:tcBorders>
            <w:shd w:val="clear" w:color="000000" w:fill="FFFFFF"/>
            <w:vAlign w:val="center"/>
          </w:tcPr>
          <w:p w:rsidR="00BC2215" w:rsidRPr="00D94340" w:rsidP="00BC2215" w14:paraId="401F01FE" w14:textId="24CAC706">
            <w:pPr>
              <w:rPr>
                <w:color w:val="000000"/>
              </w:rPr>
            </w:pPr>
            <w:r>
              <w:rPr>
                <w:color w:val="000000"/>
              </w:rPr>
              <w:t xml:space="preserve">Portal: Non-ERA Expenditures Report </w:t>
            </w:r>
          </w:p>
        </w:tc>
        <w:tc>
          <w:tcPr>
            <w:tcW w:w="1542" w:type="dxa"/>
            <w:tcBorders>
              <w:top w:val="nil"/>
              <w:left w:val="nil"/>
              <w:bottom w:val="single" w:sz="8" w:space="0" w:color="auto"/>
              <w:right w:val="single" w:sz="8" w:space="0" w:color="auto"/>
            </w:tcBorders>
            <w:shd w:val="clear" w:color="000000" w:fill="FFFFFF"/>
            <w:noWrap/>
            <w:vAlign w:val="center"/>
          </w:tcPr>
          <w:p w:rsidR="00BC2215" w:rsidRPr="00BC2215" w:rsidP="00BC2215" w14:paraId="009C55BA" w14:textId="46717738">
            <w:pPr>
              <w:jc w:val="center"/>
            </w:pPr>
            <w:r>
              <w:t>1</w:t>
            </w:r>
            <w:r>
              <w:t>00</w:t>
            </w:r>
          </w:p>
        </w:tc>
        <w:tc>
          <w:tcPr>
            <w:tcW w:w="1391" w:type="dxa"/>
            <w:tcBorders>
              <w:top w:val="nil"/>
              <w:left w:val="nil"/>
              <w:bottom w:val="single" w:sz="8" w:space="0" w:color="auto"/>
              <w:right w:val="single" w:sz="8" w:space="0" w:color="auto"/>
            </w:tcBorders>
            <w:shd w:val="clear" w:color="auto" w:fill="auto"/>
            <w:noWrap/>
            <w:vAlign w:val="center"/>
          </w:tcPr>
          <w:p w:rsidR="00BC2215" w:rsidRPr="00BC2215" w:rsidP="00BC2215" w14:paraId="08917BFE" w14:textId="27E3EBFD">
            <w:pPr>
              <w:jc w:val="center"/>
            </w:pPr>
            <w:r>
              <w:t>1</w:t>
            </w:r>
          </w:p>
        </w:tc>
        <w:tc>
          <w:tcPr>
            <w:tcW w:w="1309" w:type="dxa"/>
            <w:tcBorders>
              <w:top w:val="nil"/>
              <w:left w:val="nil"/>
              <w:bottom w:val="single" w:sz="8" w:space="0" w:color="auto"/>
              <w:right w:val="single" w:sz="8" w:space="0" w:color="auto"/>
            </w:tcBorders>
            <w:shd w:val="clear" w:color="auto" w:fill="auto"/>
            <w:noWrap/>
            <w:vAlign w:val="center"/>
          </w:tcPr>
          <w:p w:rsidR="00BC2215" w:rsidRPr="00BC2215" w:rsidP="00BC2215" w14:paraId="504E7453" w14:textId="09F76EEC">
            <w:pPr>
              <w:jc w:val="center"/>
            </w:pPr>
            <w:r>
              <w:t>1</w:t>
            </w:r>
            <w:r>
              <w:t>00</w:t>
            </w:r>
          </w:p>
        </w:tc>
        <w:tc>
          <w:tcPr>
            <w:tcW w:w="1170" w:type="dxa"/>
            <w:tcBorders>
              <w:top w:val="nil"/>
              <w:left w:val="nil"/>
              <w:bottom w:val="single" w:sz="8" w:space="0" w:color="auto"/>
              <w:right w:val="single" w:sz="8" w:space="0" w:color="auto"/>
            </w:tcBorders>
            <w:shd w:val="clear" w:color="auto" w:fill="auto"/>
            <w:noWrap/>
            <w:vAlign w:val="center"/>
          </w:tcPr>
          <w:p w:rsidR="00BC2215" w:rsidRPr="00BC2215" w:rsidP="00BC2215" w14:paraId="6CD16A35" w14:textId="00F666F5">
            <w:pPr>
              <w:jc w:val="center"/>
            </w:pPr>
            <w:r>
              <w:t>.167 hours (10 minutes)</w:t>
            </w:r>
          </w:p>
        </w:tc>
        <w:tc>
          <w:tcPr>
            <w:tcW w:w="990" w:type="dxa"/>
            <w:tcBorders>
              <w:top w:val="nil"/>
              <w:left w:val="nil"/>
              <w:bottom w:val="single" w:sz="8" w:space="0" w:color="auto"/>
              <w:right w:val="single" w:sz="8" w:space="0" w:color="auto"/>
            </w:tcBorders>
            <w:shd w:val="clear" w:color="000000" w:fill="FFFFFF"/>
            <w:noWrap/>
            <w:vAlign w:val="center"/>
          </w:tcPr>
          <w:p w:rsidR="00BC2215" w:rsidRPr="00BC2215" w:rsidP="00BC2215" w14:paraId="38E45184" w14:textId="74670376">
            <w:pPr>
              <w:jc w:val="center"/>
            </w:pPr>
            <w:r>
              <w:rPr>
                <w:color w:val="000000"/>
              </w:rPr>
              <w:t>1</w:t>
            </w:r>
            <w:r>
              <w:rPr>
                <w:color w:val="000000"/>
              </w:rPr>
              <w:t>7</w:t>
            </w:r>
          </w:p>
        </w:tc>
        <w:tc>
          <w:tcPr>
            <w:tcW w:w="1518" w:type="dxa"/>
            <w:tcBorders>
              <w:top w:val="nil"/>
              <w:left w:val="nil"/>
              <w:bottom w:val="single" w:sz="8" w:space="0" w:color="auto"/>
              <w:right w:val="single" w:sz="8" w:space="0" w:color="auto"/>
            </w:tcBorders>
            <w:shd w:val="clear" w:color="000000" w:fill="FFFFFF"/>
            <w:noWrap/>
            <w:vAlign w:val="center"/>
          </w:tcPr>
          <w:p w:rsidR="00BC2215" w:rsidRPr="00BC2215" w:rsidP="00BC2215" w14:paraId="2A17FBE9" w14:textId="2EFCBAC2">
            <w:pPr>
              <w:jc w:val="center"/>
            </w:pPr>
            <w:r>
              <w:rPr>
                <w:color w:val="000000"/>
              </w:rPr>
              <w:t>$792</w:t>
            </w:r>
          </w:p>
        </w:tc>
      </w:tr>
      <w:tr w14:paraId="5CEBA42C" w14:textId="77777777" w:rsidTr="00C25DD2">
        <w:tblPrEx>
          <w:tblW w:w="9468" w:type="dxa"/>
          <w:tblInd w:w="-118" w:type="dxa"/>
          <w:tblLayout w:type="fixed"/>
          <w:tblLook w:val="04A0"/>
        </w:tblPrEx>
        <w:trPr>
          <w:trHeight w:val="830"/>
        </w:trPr>
        <w:tc>
          <w:tcPr>
            <w:tcW w:w="1548" w:type="dxa"/>
            <w:tcBorders>
              <w:top w:val="nil"/>
              <w:left w:val="single" w:sz="8" w:space="0" w:color="auto"/>
              <w:bottom w:val="single" w:sz="8" w:space="0" w:color="auto"/>
              <w:right w:val="single" w:sz="8" w:space="0" w:color="auto"/>
            </w:tcBorders>
            <w:shd w:val="clear" w:color="000000" w:fill="FFFFFF"/>
            <w:vAlign w:val="center"/>
          </w:tcPr>
          <w:p w:rsidR="00C25DD2" w:rsidRPr="00BC2215" w:rsidP="00C25DD2" w14:paraId="6EF943AD" w14:textId="6ED766AD">
            <w:r w:rsidRPr="00D94340">
              <w:rPr>
                <w:color w:val="000000"/>
              </w:rPr>
              <w:t xml:space="preserve">Portal: Request to </w:t>
            </w:r>
            <w:r w:rsidRPr="00D94340">
              <w:rPr>
                <w:color w:val="000000"/>
              </w:rPr>
              <w:t>Voluntar</w:t>
            </w:r>
            <w:r w:rsidRPr="00D94340">
              <w:rPr>
                <w:color w:val="000000"/>
              </w:rPr>
              <w:t>il</w:t>
            </w:r>
            <w:r w:rsidRPr="00D94340">
              <w:rPr>
                <w:color w:val="000000"/>
              </w:rPr>
              <w:t>y Reallocat</w:t>
            </w:r>
            <w:r w:rsidRPr="00D94340">
              <w:rPr>
                <w:color w:val="000000"/>
              </w:rPr>
              <w:t>e Funds</w:t>
            </w:r>
          </w:p>
        </w:tc>
        <w:tc>
          <w:tcPr>
            <w:tcW w:w="1542" w:type="dxa"/>
            <w:tcBorders>
              <w:top w:val="nil"/>
              <w:left w:val="nil"/>
              <w:bottom w:val="single" w:sz="8" w:space="0" w:color="auto"/>
              <w:right w:val="single" w:sz="8" w:space="0" w:color="auto"/>
            </w:tcBorders>
            <w:shd w:val="clear" w:color="000000" w:fill="FFFFFF"/>
            <w:noWrap/>
            <w:vAlign w:val="center"/>
          </w:tcPr>
          <w:p w:rsidR="00C25DD2" w:rsidRPr="00BC2215" w:rsidP="00C25DD2" w14:paraId="6BA62999" w14:textId="3F8B59B1">
            <w:pPr>
              <w:jc w:val="center"/>
              <w:rPr>
                <w:bCs/>
                <w:color w:val="000000"/>
              </w:rPr>
            </w:pPr>
            <w:r w:rsidRPr="00BC2215">
              <w:t>200</w:t>
            </w:r>
          </w:p>
        </w:tc>
        <w:tc>
          <w:tcPr>
            <w:tcW w:w="1391" w:type="dxa"/>
            <w:tcBorders>
              <w:top w:val="nil"/>
              <w:left w:val="nil"/>
              <w:bottom w:val="single" w:sz="8" w:space="0" w:color="auto"/>
              <w:right w:val="single" w:sz="8" w:space="0" w:color="auto"/>
            </w:tcBorders>
            <w:shd w:val="clear" w:color="auto" w:fill="auto"/>
            <w:noWrap/>
            <w:vAlign w:val="center"/>
          </w:tcPr>
          <w:p w:rsidR="00C25DD2" w:rsidRPr="00BC2215" w:rsidP="00C25DD2" w14:paraId="6096C632" w14:textId="5FFCB07E">
            <w:pPr>
              <w:jc w:val="center"/>
              <w:rPr>
                <w:bCs/>
                <w:color w:val="000000"/>
              </w:rPr>
            </w:pPr>
            <w:r w:rsidRPr="00BC2215">
              <w:t>1</w:t>
            </w:r>
          </w:p>
        </w:tc>
        <w:tc>
          <w:tcPr>
            <w:tcW w:w="1309" w:type="dxa"/>
            <w:tcBorders>
              <w:top w:val="nil"/>
              <w:left w:val="nil"/>
              <w:bottom w:val="single" w:sz="8" w:space="0" w:color="auto"/>
              <w:right w:val="single" w:sz="8" w:space="0" w:color="auto"/>
            </w:tcBorders>
            <w:shd w:val="clear" w:color="auto" w:fill="auto"/>
            <w:noWrap/>
            <w:vAlign w:val="center"/>
          </w:tcPr>
          <w:p w:rsidR="00C25DD2" w:rsidRPr="00BC2215" w:rsidP="00C25DD2" w14:paraId="133E507F" w14:textId="7C0BBFC4">
            <w:pPr>
              <w:jc w:val="center"/>
              <w:rPr>
                <w:bCs/>
                <w:color w:val="000000"/>
              </w:rPr>
            </w:pPr>
            <w:r w:rsidRPr="00BC2215">
              <w:t>200</w:t>
            </w:r>
          </w:p>
        </w:tc>
        <w:tc>
          <w:tcPr>
            <w:tcW w:w="1170" w:type="dxa"/>
            <w:tcBorders>
              <w:top w:val="nil"/>
              <w:left w:val="nil"/>
              <w:bottom w:val="single" w:sz="8" w:space="0" w:color="auto"/>
              <w:right w:val="single" w:sz="8" w:space="0" w:color="auto"/>
            </w:tcBorders>
            <w:shd w:val="clear" w:color="auto" w:fill="auto"/>
            <w:noWrap/>
            <w:vAlign w:val="center"/>
          </w:tcPr>
          <w:p w:rsidR="00C25DD2" w:rsidRPr="00BC2215" w:rsidP="00C25DD2" w14:paraId="58A2D3EE" w14:textId="69C8B4EB">
            <w:pPr>
              <w:jc w:val="center"/>
              <w:rPr>
                <w:bCs/>
                <w:color w:val="000000"/>
              </w:rPr>
            </w:pPr>
            <w:r w:rsidRPr="00BC2215">
              <w:t>1 hour</w:t>
            </w:r>
          </w:p>
        </w:tc>
        <w:tc>
          <w:tcPr>
            <w:tcW w:w="990" w:type="dxa"/>
            <w:tcBorders>
              <w:top w:val="nil"/>
              <w:left w:val="nil"/>
              <w:bottom w:val="single" w:sz="8" w:space="0" w:color="auto"/>
              <w:right w:val="single" w:sz="8" w:space="0" w:color="auto"/>
            </w:tcBorders>
            <w:shd w:val="clear" w:color="000000" w:fill="FFFFFF"/>
            <w:noWrap/>
            <w:vAlign w:val="center"/>
          </w:tcPr>
          <w:p w:rsidR="00C25DD2" w:rsidRPr="00BC2215" w:rsidP="00C25DD2" w14:paraId="79A92959" w14:textId="53D178CE">
            <w:pPr>
              <w:jc w:val="center"/>
              <w:rPr>
                <w:bCs/>
                <w:color w:val="000000"/>
              </w:rPr>
            </w:pPr>
            <w:r w:rsidRPr="00BC2215">
              <w:t>200</w:t>
            </w:r>
          </w:p>
        </w:tc>
        <w:tc>
          <w:tcPr>
            <w:tcW w:w="1518" w:type="dxa"/>
            <w:tcBorders>
              <w:top w:val="nil"/>
              <w:left w:val="nil"/>
              <w:bottom w:val="single" w:sz="8" w:space="0" w:color="auto"/>
              <w:right w:val="single" w:sz="8" w:space="0" w:color="auto"/>
            </w:tcBorders>
            <w:shd w:val="clear" w:color="000000" w:fill="FFFFFF"/>
            <w:noWrap/>
            <w:vAlign w:val="center"/>
          </w:tcPr>
          <w:p w:rsidR="00C25DD2" w:rsidRPr="00BC2215" w:rsidP="00C25DD2" w14:paraId="69A43E01" w14:textId="26146415">
            <w:pPr>
              <w:jc w:val="center"/>
              <w:rPr>
                <w:bCs/>
                <w:color w:val="000000"/>
              </w:rPr>
            </w:pPr>
            <w:r w:rsidRPr="00BC2215">
              <w:t>$9,500</w:t>
            </w:r>
          </w:p>
        </w:tc>
      </w:tr>
      <w:bookmarkEnd w:id="8"/>
      <w:tr w14:paraId="179C25A7" w14:textId="77777777" w:rsidTr="00B21E6C">
        <w:tblPrEx>
          <w:tblW w:w="9468" w:type="dxa"/>
          <w:tblInd w:w="-118" w:type="dxa"/>
          <w:tblLayout w:type="fixed"/>
          <w:tblLook w:val="04A0"/>
        </w:tblPrEx>
        <w:trPr>
          <w:trHeight w:val="830"/>
        </w:trPr>
        <w:tc>
          <w:tcPr>
            <w:tcW w:w="1548" w:type="dxa"/>
            <w:tcBorders>
              <w:top w:val="nil"/>
              <w:left w:val="single" w:sz="8" w:space="0" w:color="auto"/>
              <w:bottom w:val="single" w:sz="8" w:space="0" w:color="auto"/>
              <w:right w:val="single" w:sz="8" w:space="0" w:color="auto"/>
            </w:tcBorders>
            <w:shd w:val="clear" w:color="000000" w:fill="FFFFFF"/>
            <w:vAlign w:val="center"/>
          </w:tcPr>
          <w:p w:rsidR="00BC2215" w:rsidRPr="003F7316" w:rsidP="00BC2215" w14:paraId="0F510153" w14:textId="45E9EDE9">
            <w:pPr>
              <w:jc w:val="center"/>
              <w:rPr>
                <w:b/>
                <w:color w:val="000000"/>
              </w:rPr>
            </w:pPr>
            <w:r w:rsidRPr="003F7316">
              <w:rPr>
                <w:b/>
                <w:color w:val="000000"/>
              </w:rPr>
              <w:t>Total</w:t>
            </w:r>
          </w:p>
        </w:tc>
        <w:tc>
          <w:tcPr>
            <w:tcW w:w="1542" w:type="dxa"/>
            <w:tcBorders>
              <w:top w:val="nil"/>
              <w:left w:val="nil"/>
              <w:bottom w:val="single" w:sz="8" w:space="0" w:color="auto"/>
              <w:right w:val="single" w:sz="8" w:space="0" w:color="auto"/>
            </w:tcBorders>
            <w:shd w:val="clear" w:color="000000" w:fill="FFFFFF"/>
            <w:noWrap/>
            <w:vAlign w:val="center"/>
          </w:tcPr>
          <w:p w:rsidR="00BC2215" w:rsidRPr="003F7316" w:rsidP="00BC2215" w14:paraId="31AC7F81" w14:textId="62ADDB55">
            <w:pPr>
              <w:jc w:val="center"/>
              <w:rPr>
                <w:b/>
                <w:color w:val="000000"/>
              </w:rPr>
            </w:pPr>
            <w:r>
              <w:rPr>
                <w:b/>
                <w:color w:val="000000"/>
              </w:rPr>
              <w:t>482</w:t>
            </w:r>
          </w:p>
        </w:tc>
        <w:tc>
          <w:tcPr>
            <w:tcW w:w="1391" w:type="dxa"/>
            <w:tcBorders>
              <w:top w:val="nil"/>
              <w:left w:val="nil"/>
              <w:bottom w:val="single" w:sz="8" w:space="0" w:color="auto"/>
              <w:right w:val="single" w:sz="8" w:space="0" w:color="auto"/>
            </w:tcBorders>
            <w:shd w:val="clear" w:color="auto" w:fill="BFBFBF" w:themeFill="background1" w:themeFillShade="BF"/>
            <w:noWrap/>
            <w:vAlign w:val="center"/>
          </w:tcPr>
          <w:p w:rsidR="00BC2215" w:rsidRPr="003F7316" w:rsidP="00BC2215" w14:paraId="41A4541A" w14:textId="26A0AED9">
            <w:pPr>
              <w:jc w:val="center"/>
              <w:rPr>
                <w:b/>
                <w:color w:val="000000"/>
              </w:rPr>
            </w:pPr>
          </w:p>
        </w:tc>
        <w:tc>
          <w:tcPr>
            <w:tcW w:w="1309" w:type="dxa"/>
            <w:tcBorders>
              <w:top w:val="nil"/>
              <w:left w:val="nil"/>
              <w:bottom w:val="single" w:sz="8" w:space="0" w:color="auto"/>
              <w:right w:val="single" w:sz="8" w:space="0" w:color="auto"/>
            </w:tcBorders>
            <w:shd w:val="clear" w:color="000000" w:fill="FFFFFF"/>
            <w:noWrap/>
            <w:vAlign w:val="center"/>
          </w:tcPr>
          <w:p w:rsidR="00BC2215" w:rsidRPr="003F7316" w:rsidP="00BC2215" w14:paraId="2C8F7AC5" w14:textId="7CC1F4AA">
            <w:pPr>
              <w:jc w:val="center"/>
              <w:rPr>
                <w:b/>
                <w:bCs/>
                <w:color w:val="000000"/>
              </w:rPr>
            </w:pPr>
            <w:r w:rsidRPr="003F7316">
              <w:rPr>
                <w:b/>
                <w:bCs/>
                <w:color w:val="000000"/>
              </w:rPr>
              <w:t>5,</w:t>
            </w:r>
            <w:r w:rsidR="00B01ACA">
              <w:rPr>
                <w:b/>
                <w:bCs/>
                <w:color w:val="000000"/>
              </w:rPr>
              <w:t>0</w:t>
            </w:r>
            <w:r w:rsidRPr="003F7316" w:rsidR="00B01ACA">
              <w:rPr>
                <w:b/>
                <w:bCs/>
                <w:color w:val="000000"/>
              </w:rPr>
              <w:t>60</w:t>
            </w:r>
          </w:p>
          <w:p w:rsidR="00BC2215" w:rsidRPr="003F7316" w:rsidP="00BC2215" w14:paraId="583B33EC" w14:textId="1F50BB30">
            <w:pPr>
              <w:jc w:val="center"/>
              <w:rPr>
                <w:b/>
                <w:color w:val="000000"/>
              </w:rPr>
            </w:pPr>
          </w:p>
        </w:tc>
        <w:tc>
          <w:tcPr>
            <w:tcW w:w="1170" w:type="dxa"/>
            <w:tcBorders>
              <w:top w:val="nil"/>
              <w:left w:val="nil"/>
              <w:bottom w:val="single" w:sz="8" w:space="0" w:color="auto"/>
              <w:right w:val="single" w:sz="8" w:space="0" w:color="auto"/>
            </w:tcBorders>
            <w:shd w:val="clear" w:color="auto" w:fill="BFBFBF" w:themeFill="background1" w:themeFillShade="BF"/>
            <w:noWrap/>
            <w:vAlign w:val="center"/>
          </w:tcPr>
          <w:p w:rsidR="00BC2215" w:rsidRPr="00BC2215" w:rsidP="00BC2215" w14:paraId="7243D3B3" w14:textId="7D607CFE">
            <w:pPr>
              <w:jc w:val="center"/>
              <w:rPr>
                <w:b/>
                <w:color w:val="000000"/>
              </w:rPr>
            </w:pPr>
          </w:p>
        </w:tc>
        <w:tc>
          <w:tcPr>
            <w:tcW w:w="990" w:type="dxa"/>
            <w:tcBorders>
              <w:top w:val="nil"/>
              <w:left w:val="nil"/>
              <w:bottom w:val="single" w:sz="8" w:space="0" w:color="auto"/>
              <w:right w:val="single" w:sz="8" w:space="0" w:color="auto"/>
            </w:tcBorders>
            <w:shd w:val="clear" w:color="000000" w:fill="FFFFFF"/>
            <w:noWrap/>
            <w:vAlign w:val="center"/>
          </w:tcPr>
          <w:p w:rsidR="00BC2215" w:rsidRPr="00BC2215" w:rsidP="00BC2215" w14:paraId="2F1D7A9B" w14:textId="2FF72067">
            <w:pPr>
              <w:jc w:val="center"/>
              <w:rPr>
                <w:b/>
                <w:color w:val="000000"/>
              </w:rPr>
            </w:pPr>
            <w:r>
              <w:rPr>
                <w:b/>
                <w:bCs/>
                <w:color w:val="000000"/>
              </w:rPr>
              <w:t>50,347</w:t>
            </w:r>
          </w:p>
        </w:tc>
        <w:tc>
          <w:tcPr>
            <w:tcW w:w="1518" w:type="dxa"/>
            <w:tcBorders>
              <w:top w:val="nil"/>
              <w:left w:val="nil"/>
              <w:bottom w:val="single" w:sz="8" w:space="0" w:color="auto"/>
              <w:right w:val="single" w:sz="8" w:space="0" w:color="auto"/>
            </w:tcBorders>
            <w:shd w:val="clear" w:color="000000" w:fill="FFFFFF"/>
            <w:noWrap/>
            <w:vAlign w:val="center"/>
          </w:tcPr>
          <w:p w:rsidR="00BC2215" w:rsidRPr="00BC2215" w:rsidP="00BC2215" w14:paraId="18F55A76" w14:textId="10159BBC">
            <w:pPr>
              <w:jc w:val="center"/>
              <w:rPr>
                <w:b/>
                <w:color w:val="000000"/>
              </w:rPr>
            </w:pPr>
            <w:r w:rsidRPr="00BC2215">
              <w:rPr>
                <w:b/>
                <w:bCs/>
                <w:color w:val="000000"/>
              </w:rPr>
              <w:t>$2,</w:t>
            </w:r>
            <w:r w:rsidR="00262D28">
              <w:rPr>
                <w:b/>
                <w:bCs/>
                <w:color w:val="000000"/>
              </w:rPr>
              <w:t>391,469</w:t>
            </w:r>
            <w:r w:rsidRPr="00BC2215">
              <w:rPr>
                <w:b/>
                <w:bCs/>
                <w:color w:val="000000"/>
              </w:rPr>
              <w:t xml:space="preserve"> </w:t>
            </w:r>
          </w:p>
        </w:tc>
      </w:tr>
    </w:tbl>
    <w:bookmarkEnd w:id="9"/>
    <w:p w:rsidR="00863109" w:rsidP="001D7E4B" w14:paraId="16B2BD93" w14:textId="234DC3C5">
      <w:pPr>
        <w:rPr>
          <w:sz w:val="20"/>
          <w:szCs w:val="20"/>
        </w:rPr>
      </w:pPr>
      <w:r w:rsidRPr="009F1EF0">
        <w:rPr>
          <w:sz w:val="20"/>
        </w:rPr>
        <w:t>* Bureau of Labor Statistics</w:t>
      </w:r>
      <w:r w:rsidRPr="009F1EF0" w:rsidR="00367DA5">
        <w:rPr>
          <w:sz w:val="20"/>
        </w:rPr>
        <w:t xml:space="preserve"> (BLS)</w:t>
      </w:r>
      <w:r w:rsidRPr="009F1EF0">
        <w:rPr>
          <w:sz w:val="20"/>
        </w:rPr>
        <w:t xml:space="preserve">, U.S. Department of Labor, Occupational Outlook Handbook, Accountants and Auditors, on the Internet at https://www.bls.gov/ooh/business-and-financial/accountants-and-auditors.htm (visited </w:t>
      </w:r>
      <w:r w:rsidRPr="009F1EF0" w:rsidR="004A5E19">
        <w:rPr>
          <w:sz w:val="20"/>
        </w:rPr>
        <w:t>December 30</w:t>
      </w:r>
      <w:r w:rsidRPr="009F1EF0">
        <w:rPr>
          <w:sz w:val="20"/>
        </w:rPr>
        <w:t>, 2020).</w:t>
      </w:r>
      <w:r w:rsidRPr="009F1EF0" w:rsidR="00D03489">
        <w:rPr>
          <w:sz w:val="20"/>
          <w:szCs w:val="20"/>
        </w:rPr>
        <w:t xml:space="preserve"> </w:t>
      </w:r>
      <w:r w:rsidRPr="009F1EF0" w:rsidR="004A5E19">
        <w:rPr>
          <w:sz w:val="20"/>
          <w:szCs w:val="20"/>
        </w:rPr>
        <w:t xml:space="preserve">In 2019, the median pay for accounts and auditors was </w:t>
      </w:r>
      <w:r w:rsidRPr="009F1EF0" w:rsidR="00D03489">
        <w:rPr>
          <w:sz w:val="20"/>
          <w:szCs w:val="20"/>
        </w:rPr>
        <w:t>$3</w:t>
      </w:r>
      <w:r w:rsidRPr="009F1EF0" w:rsidR="004A5E19">
        <w:rPr>
          <w:sz w:val="20"/>
          <w:szCs w:val="20"/>
        </w:rPr>
        <w:t>4</w:t>
      </w:r>
      <w:r w:rsidRPr="009F1EF0" w:rsidR="00D03489">
        <w:rPr>
          <w:sz w:val="20"/>
          <w:szCs w:val="20"/>
        </w:rPr>
        <w:t>.</w:t>
      </w:r>
      <w:r w:rsidRPr="009F1EF0" w:rsidR="004A5E19">
        <w:rPr>
          <w:sz w:val="20"/>
          <w:szCs w:val="20"/>
        </w:rPr>
        <w:t>40</w:t>
      </w:r>
      <w:r w:rsidRPr="009F1EF0" w:rsidR="00D03489">
        <w:rPr>
          <w:sz w:val="20"/>
          <w:szCs w:val="20"/>
        </w:rPr>
        <w:t>/hour</w:t>
      </w:r>
      <w:r w:rsidRPr="009F1EF0" w:rsidR="004A5E19">
        <w:rPr>
          <w:sz w:val="20"/>
          <w:szCs w:val="20"/>
        </w:rPr>
        <w:t xml:space="preserve">. </w:t>
      </w:r>
      <w:r w:rsidRPr="009F1EF0" w:rsidR="00607A70">
        <w:rPr>
          <w:sz w:val="20"/>
          <w:szCs w:val="20"/>
        </w:rPr>
        <w:t xml:space="preserve">To account for the </w:t>
      </w:r>
      <w:r w:rsidRPr="009F1EF0" w:rsidR="00607A70">
        <w:rPr>
          <w:sz w:val="20"/>
          <w:szCs w:val="20"/>
        </w:rPr>
        <w:t>fully-loaded</w:t>
      </w:r>
      <w:r w:rsidRPr="009F1EF0" w:rsidR="00607A70">
        <w:rPr>
          <w:sz w:val="20"/>
          <w:szCs w:val="20"/>
        </w:rPr>
        <w:t xml:space="preserve"> employer cost of employee compensation, the median pay is increased by 38%, resulting in a fully-loaded wage rate of $47.50. </w:t>
      </w:r>
      <w:r w:rsidRPr="009F1EF0" w:rsidR="00367DA5">
        <w:rPr>
          <w:sz w:val="20"/>
          <w:szCs w:val="20"/>
        </w:rPr>
        <w:t>According to BLS’s Employer Cost for Employee Compensation from September 2020 (released on December 17, 2020: https://www.bls.gov/news.release/pdf/ecec.pdf), employer</w:t>
      </w:r>
      <w:r w:rsidRPr="009F1EF0" w:rsidR="002263FC">
        <w:rPr>
          <w:sz w:val="20"/>
          <w:szCs w:val="20"/>
        </w:rPr>
        <w:t xml:space="preserve">s provided 38% of total employee compensation in the form of </w:t>
      </w:r>
      <w:r w:rsidRPr="009F1EF0" w:rsidR="00607A70">
        <w:rPr>
          <w:sz w:val="20"/>
          <w:szCs w:val="20"/>
        </w:rPr>
        <w:t xml:space="preserve">non-wage </w:t>
      </w:r>
      <w:r w:rsidRPr="009F1EF0" w:rsidR="00367DA5">
        <w:rPr>
          <w:sz w:val="20"/>
          <w:szCs w:val="20"/>
        </w:rPr>
        <w:t>compensation (</w:t>
      </w:r>
      <w:r w:rsidRPr="009F1EF0" w:rsidR="004746D2">
        <w:rPr>
          <w:sz w:val="20"/>
          <w:szCs w:val="20"/>
        </w:rPr>
        <w:t xml:space="preserve">i.e., </w:t>
      </w:r>
      <w:r w:rsidRPr="009F1EF0" w:rsidR="002263FC">
        <w:rPr>
          <w:sz w:val="20"/>
          <w:szCs w:val="20"/>
        </w:rPr>
        <w:t>benef</w:t>
      </w:r>
      <w:r w:rsidRPr="009F1EF0" w:rsidR="004746D2">
        <w:rPr>
          <w:sz w:val="20"/>
          <w:szCs w:val="20"/>
        </w:rPr>
        <w:t>its</w:t>
      </w:r>
      <w:r w:rsidRPr="009F1EF0" w:rsidR="002263FC">
        <w:rPr>
          <w:sz w:val="20"/>
          <w:szCs w:val="20"/>
        </w:rPr>
        <w:t xml:space="preserve"> such as paid leave, health insurance, etc.</w:t>
      </w:r>
      <w:r w:rsidRPr="009F1EF0" w:rsidR="00367DA5">
        <w:rPr>
          <w:sz w:val="20"/>
          <w:szCs w:val="20"/>
        </w:rPr>
        <w:t>)</w:t>
      </w:r>
      <w:r w:rsidRPr="009F1EF0" w:rsidR="002263FC">
        <w:rPr>
          <w:sz w:val="20"/>
          <w:szCs w:val="20"/>
        </w:rPr>
        <w:t xml:space="preserve"> for state and local government workers</w:t>
      </w:r>
      <w:r w:rsidRPr="009F1EF0" w:rsidR="00367DA5">
        <w:rPr>
          <w:sz w:val="20"/>
          <w:szCs w:val="20"/>
        </w:rPr>
        <w:t xml:space="preserve">. </w:t>
      </w:r>
    </w:p>
    <w:p w:rsidR="00863109" w:rsidRPr="009F1EF0" w:rsidP="001D7E4B" w14:paraId="6A1F16B5" w14:textId="77777777">
      <w:pPr>
        <w:rPr>
          <w:sz w:val="20"/>
          <w:szCs w:val="20"/>
        </w:rPr>
      </w:pPr>
    </w:p>
    <w:p w:rsidR="00863109" w:rsidRPr="009F1EF0" w:rsidP="001D7E4B" w14:paraId="1CA07634" w14:textId="77777777">
      <w:pPr>
        <w:rPr>
          <w:sz w:val="20"/>
          <w:szCs w:val="20"/>
        </w:rPr>
      </w:pPr>
    </w:p>
    <w:p w:rsidR="00FB7F1C" w:rsidRPr="009F1EF0" w:rsidP="001D7E4B" w14:paraId="2512A8C8" w14:textId="45B71B55">
      <w:r w:rsidRPr="009F1EF0">
        <w:t xml:space="preserve">13.  </w:t>
      </w:r>
      <w:r w:rsidRPr="009F1EF0">
        <w:rPr>
          <w:u w:val="single"/>
        </w:rPr>
        <w:t>Estimated total annual cost burden to respondents</w:t>
      </w:r>
      <w:r w:rsidRPr="009F1EF0">
        <w:rPr>
          <w:u w:val="single"/>
        </w:rPr>
        <w:t> </w:t>
      </w:r>
      <w:r w:rsidRPr="009F1EF0">
        <w:t> </w:t>
      </w:r>
    </w:p>
    <w:p w:rsidR="00403DA0" w:rsidRPr="009F1EF0" w:rsidP="00CB003A" w14:paraId="57E1D55D" w14:textId="77777777"/>
    <w:p w:rsidR="00E13A9C" w:rsidRPr="009F1EF0" w:rsidP="00AD55CE" w14:paraId="0DC324AC" w14:textId="77777777">
      <w:r w:rsidRPr="009F1EF0">
        <w:t xml:space="preserve">There </w:t>
      </w:r>
      <w:r w:rsidRPr="009F1EF0" w:rsidR="00A10CD2">
        <w:t>are</w:t>
      </w:r>
      <w:r w:rsidRPr="009F1EF0">
        <w:t xml:space="preserve"> </w:t>
      </w:r>
      <w:r w:rsidRPr="009F1EF0">
        <w:t xml:space="preserve">no annualized capital/startup costs for the </w:t>
      </w:r>
      <w:r w:rsidRPr="009F1EF0" w:rsidR="00302265">
        <w:t xml:space="preserve">eligible recipients </w:t>
      </w:r>
      <w:r w:rsidRPr="009F1EF0">
        <w:t>to provide th</w:t>
      </w:r>
      <w:r w:rsidRPr="009F1EF0" w:rsidR="00AD55CE">
        <w:t>e</w:t>
      </w:r>
      <w:r w:rsidRPr="009F1EF0">
        <w:t xml:space="preserve"> information</w:t>
      </w:r>
      <w:r w:rsidRPr="009F1EF0" w:rsidR="005F1EBD">
        <w:t xml:space="preserve"> in the</w:t>
      </w:r>
      <w:r w:rsidRPr="009F1EF0" w:rsidR="007A4924">
        <w:t xml:space="preserve"> form or certification</w:t>
      </w:r>
      <w:r w:rsidRPr="009F1EF0" w:rsidR="00302265">
        <w:t xml:space="preserve">.  </w:t>
      </w:r>
    </w:p>
    <w:p w:rsidR="00E03689" w:rsidRPr="009F1EF0" w:rsidP="00CB003A" w14:paraId="1262880B" w14:textId="77777777"/>
    <w:p w:rsidR="00961823" w:rsidRPr="009F1EF0" w:rsidP="009E2FFF" w14:paraId="6909D241" w14:textId="77777777">
      <w:r w:rsidRPr="009F1EF0">
        <w:t xml:space="preserve">14.  </w:t>
      </w:r>
      <w:r w:rsidRPr="009F1EF0">
        <w:rPr>
          <w:u w:val="single"/>
        </w:rPr>
        <w:t>Estimated cost to the federal government</w:t>
      </w:r>
      <w:r w:rsidRPr="009F1EF0">
        <w:t>.</w:t>
      </w:r>
    </w:p>
    <w:p w:rsidR="00961823" w:rsidRPr="009F1EF0" w:rsidP="00CB003A" w14:paraId="38D3F3A9" w14:textId="77777777"/>
    <w:p w:rsidR="00565104" w:rsidRPr="009F1EF0" w:rsidP="00565104" w14:paraId="51D76646" w14:textId="5FB651D0">
      <w:r w:rsidRPr="009F1EF0">
        <w:t xml:space="preserve">There will be no annualized capital/start-up costs for the government to receive this information.   The below table reflects the estimated time for a GS-13, Step 1 to review the information collected. </w:t>
      </w:r>
      <w:r w:rsidRPr="009F1EF0" w:rsidR="00517373">
        <w:br/>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0"/>
        <w:gridCol w:w="1620"/>
        <w:gridCol w:w="1170"/>
        <w:gridCol w:w="1170"/>
        <w:gridCol w:w="1440"/>
        <w:gridCol w:w="1710"/>
      </w:tblGrid>
      <w:tr w14:paraId="361CF492" w14:textId="77777777" w:rsidTr="00565104">
        <w:tblPrEx>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430" w:type="dxa"/>
            <w:tcBorders>
              <w:top w:val="single" w:sz="4" w:space="0" w:color="auto"/>
              <w:left w:val="single" w:sz="4" w:space="0" w:color="auto"/>
              <w:bottom w:val="single" w:sz="4" w:space="0" w:color="auto"/>
              <w:right w:val="single" w:sz="4" w:space="0" w:color="auto"/>
            </w:tcBorders>
            <w:vAlign w:val="bottom"/>
            <w:hideMark/>
          </w:tcPr>
          <w:p w:rsidR="00565104" w:rsidRPr="009F1EF0" w14:paraId="4F7B61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eastAsiaTheme="minorHAnsi"/>
                <w:bCs/>
                <w:sz w:val="22"/>
                <w:szCs w:val="22"/>
              </w:rPr>
            </w:pPr>
            <w:r w:rsidRPr="009F1EF0">
              <w:rPr>
                <w:bCs/>
              </w:rPr>
              <w:t>Collection Instrument</w:t>
            </w:r>
          </w:p>
        </w:tc>
        <w:tc>
          <w:tcPr>
            <w:tcW w:w="1620" w:type="dxa"/>
            <w:tcBorders>
              <w:top w:val="single" w:sz="4" w:space="0" w:color="auto"/>
              <w:left w:val="single" w:sz="4" w:space="0" w:color="auto"/>
              <w:bottom w:val="single" w:sz="4" w:space="0" w:color="auto"/>
              <w:right w:val="single" w:sz="4" w:space="0" w:color="auto"/>
            </w:tcBorders>
            <w:vAlign w:val="bottom"/>
            <w:hideMark/>
          </w:tcPr>
          <w:p w:rsidR="00565104" w:rsidRPr="009F1EF0" w14:paraId="4B5EDF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F1EF0">
              <w:rPr>
                <w:bCs/>
              </w:rPr>
              <w:t>Number of Responses</w:t>
            </w:r>
          </w:p>
        </w:tc>
        <w:tc>
          <w:tcPr>
            <w:tcW w:w="1170" w:type="dxa"/>
            <w:tcBorders>
              <w:top w:val="single" w:sz="4" w:space="0" w:color="auto"/>
              <w:left w:val="single" w:sz="4" w:space="0" w:color="auto"/>
              <w:bottom w:val="single" w:sz="4" w:space="0" w:color="auto"/>
              <w:right w:val="single" w:sz="4" w:space="0" w:color="auto"/>
            </w:tcBorders>
            <w:vAlign w:val="bottom"/>
            <w:hideMark/>
          </w:tcPr>
          <w:p w:rsidR="00565104" w:rsidRPr="009F1EF0" w14:paraId="11C226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F1EF0">
              <w:rPr>
                <w:bCs/>
              </w:rPr>
              <w:t>Average Review Time per Response (in hours)</w:t>
            </w:r>
          </w:p>
        </w:tc>
        <w:tc>
          <w:tcPr>
            <w:tcW w:w="1170" w:type="dxa"/>
            <w:tcBorders>
              <w:top w:val="single" w:sz="4" w:space="0" w:color="auto"/>
              <w:left w:val="single" w:sz="4" w:space="0" w:color="auto"/>
              <w:bottom w:val="single" w:sz="4" w:space="0" w:color="auto"/>
              <w:right w:val="single" w:sz="4" w:space="0" w:color="auto"/>
            </w:tcBorders>
            <w:vAlign w:val="bottom"/>
            <w:hideMark/>
          </w:tcPr>
          <w:p w:rsidR="00565104" w:rsidRPr="009F1EF0" w14:paraId="604414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F1EF0">
              <w:rPr>
                <w:bCs/>
              </w:rPr>
              <w:t>Total Time to Review (in hours)</w:t>
            </w:r>
          </w:p>
        </w:tc>
        <w:tc>
          <w:tcPr>
            <w:tcW w:w="1440" w:type="dxa"/>
            <w:tcBorders>
              <w:top w:val="single" w:sz="4" w:space="0" w:color="auto"/>
              <w:left w:val="single" w:sz="4" w:space="0" w:color="auto"/>
              <w:bottom w:val="single" w:sz="4" w:space="0" w:color="auto"/>
              <w:right w:val="single" w:sz="4" w:space="0" w:color="auto"/>
            </w:tcBorders>
            <w:vAlign w:val="bottom"/>
            <w:hideMark/>
          </w:tcPr>
          <w:p w:rsidR="00565104" w:rsidRPr="009F1EF0" w14:paraId="2EC85D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F1EF0">
              <w:rPr>
                <w:bCs/>
              </w:rPr>
              <w:t>Average Hourly Wage Rate</w:t>
            </w:r>
            <w:r>
              <w:rPr>
                <w:rStyle w:val="FootnoteReference"/>
                <w:bCs/>
              </w:rPr>
              <w:footnoteReference w:id="3"/>
            </w:r>
          </w:p>
        </w:tc>
        <w:tc>
          <w:tcPr>
            <w:tcW w:w="1710" w:type="dxa"/>
            <w:tcBorders>
              <w:top w:val="single" w:sz="4" w:space="0" w:color="auto"/>
              <w:left w:val="single" w:sz="4" w:space="0" w:color="auto"/>
              <w:bottom w:val="single" w:sz="4" w:space="0" w:color="auto"/>
              <w:right w:val="single" w:sz="4" w:space="0" w:color="auto"/>
            </w:tcBorders>
            <w:vAlign w:val="bottom"/>
            <w:hideMark/>
          </w:tcPr>
          <w:p w:rsidR="00565104" w:rsidRPr="009F1EF0" w14:paraId="57B0D6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F1EF0">
              <w:rPr>
                <w:bCs/>
              </w:rPr>
              <w:t>Total Annual Government Cost</w:t>
            </w:r>
          </w:p>
        </w:tc>
      </w:tr>
      <w:tr w14:paraId="5B29D3CC" w14:textId="77777777" w:rsidTr="00565104">
        <w:tblPrEx>
          <w:tblW w:w="9540" w:type="dxa"/>
          <w:tblInd w:w="-5" w:type="dxa"/>
          <w:tblLayout w:type="fixed"/>
          <w:tblLook w:val="01E0"/>
        </w:tblPrEx>
        <w:tc>
          <w:tcPr>
            <w:tcW w:w="2430" w:type="dxa"/>
            <w:tcBorders>
              <w:top w:val="single" w:sz="4" w:space="0" w:color="auto"/>
              <w:left w:val="single" w:sz="4" w:space="0" w:color="auto"/>
              <w:bottom w:val="single" w:sz="4" w:space="0" w:color="auto"/>
              <w:right w:val="single" w:sz="4" w:space="0" w:color="auto"/>
            </w:tcBorders>
            <w:hideMark/>
          </w:tcPr>
          <w:p w:rsidR="00565104" w:rsidRPr="009F1EF0" w14:paraId="0FDF5AC3" w14:textId="1AB8A9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rPr>
            </w:pPr>
            <w:r w:rsidRPr="009F1EF0">
              <w:rPr>
                <w:bCs/>
              </w:rPr>
              <w:t>Emergency Rental Assistance Program (</w:t>
            </w:r>
            <w:r w:rsidRPr="009F1EF0" w:rsidR="003C4222">
              <w:rPr>
                <w:bCs/>
              </w:rPr>
              <w:t>ERA 2</w:t>
            </w:r>
            <w:r w:rsidRPr="009F1EF0">
              <w:rPr>
                <w:bCs/>
              </w:rPr>
              <w:t>)</w:t>
            </w:r>
            <w:r w:rsidRPr="009F1EF0" w:rsidR="003C4222">
              <w:rPr>
                <w:bCs/>
              </w:rPr>
              <w:t xml:space="preserve"> </w:t>
            </w:r>
            <w:r w:rsidRPr="009F1EF0">
              <w:rPr>
                <w:bCs/>
              </w:rPr>
              <w:t xml:space="preserve">Acceptance of Award Terms, </w:t>
            </w:r>
            <w:r w:rsidRPr="009F1EF0" w:rsidR="003C4222">
              <w:rPr>
                <w:bCs/>
              </w:rPr>
              <w:t xml:space="preserve">Payment </w:t>
            </w:r>
            <w:r w:rsidRPr="009F1EF0">
              <w:rPr>
                <w:bCs/>
              </w:rPr>
              <w:t xml:space="preserve">Information, Title VI Assurances, </w:t>
            </w:r>
            <w:r w:rsidRPr="009F1EF0" w:rsidR="003C4222">
              <w:rPr>
                <w:bCs/>
              </w:rPr>
              <w:t>Reporting</w:t>
            </w:r>
            <w:r w:rsidRPr="009F1EF0">
              <w:rPr>
                <w:bCs/>
              </w:rPr>
              <w:t xml:space="preserve">, and </w:t>
            </w:r>
            <w:r w:rsidRPr="009F1EF0">
              <w:rPr>
                <w:bCs/>
              </w:rPr>
              <w:t>Additional Funds</w:t>
            </w:r>
            <w:r w:rsidRPr="009F1EF0" w:rsidR="003C4222">
              <w:rPr>
                <w:bCs/>
              </w:rPr>
              <w:t xml:space="preserve"> Forms</w:t>
            </w:r>
            <w:r w:rsidR="009D4D95">
              <w:rPr>
                <w:bCs/>
              </w:rPr>
              <w:t>; Reallocation Forms</w:t>
            </w:r>
          </w:p>
        </w:tc>
        <w:tc>
          <w:tcPr>
            <w:tcW w:w="1620" w:type="dxa"/>
            <w:tcBorders>
              <w:top w:val="single" w:sz="4" w:space="0" w:color="auto"/>
              <w:left w:val="single" w:sz="4" w:space="0" w:color="auto"/>
              <w:bottom w:val="single" w:sz="4" w:space="0" w:color="auto"/>
              <w:right w:val="single" w:sz="4" w:space="0" w:color="auto"/>
            </w:tcBorders>
            <w:vAlign w:val="center"/>
            <w:hideMark/>
          </w:tcPr>
          <w:p w:rsidR="00565104" w:rsidRPr="009F1EF0" w14:paraId="06A99687" w14:textId="7E4D78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5,360</w:t>
            </w:r>
          </w:p>
        </w:tc>
        <w:tc>
          <w:tcPr>
            <w:tcW w:w="1170" w:type="dxa"/>
            <w:tcBorders>
              <w:top w:val="single" w:sz="4" w:space="0" w:color="auto"/>
              <w:left w:val="single" w:sz="4" w:space="0" w:color="auto"/>
              <w:bottom w:val="single" w:sz="4" w:space="0" w:color="auto"/>
              <w:right w:val="single" w:sz="4" w:space="0" w:color="auto"/>
            </w:tcBorders>
            <w:vAlign w:val="center"/>
            <w:hideMark/>
          </w:tcPr>
          <w:p w:rsidR="00565104" w:rsidRPr="009F1EF0" w14:paraId="330068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F1EF0">
              <w:rPr>
                <w:bCs/>
              </w:rPr>
              <w:t>40</w:t>
            </w:r>
          </w:p>
        </w:tc>
        <w:tc>
          <w:tcPr>
            <w:tcW w:w="1170" w:type="dxa"/>
            <w:tcBorders>
              <w:top w:val="single" w:sz="4" w:space="0" w:color="auto"/>
              <w:left w:val="single" w:sz="4" w:space="0" w:color="auto"/>
              <w:bottom w:val="single" w:sz="4" w:space="0" w:color="auto"/>
              <w:right w:val="single" w:sz="4" w:space="0" w:color="auto"/>
            </w:tcBorders>
            <w:vAlign w:val="center"/>
            <w:hideMark/>
          </w:tcPr>
          <w:p w:rsidR="00565104" w:rsidRPr="009F1EF0" w14:paraId="31B7A2D8" w14:textId="73BB8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214</w:t>
            </w:r>
            <w:r w:rsidRPr="009F1EF0" w:rsidR="00517373">
              <w:rPr>
                <w:bCs/>
              </w:rPr>
              <w:t>,</w:t>
            </w:r>
            <w:r>
              <w:rPr>
                <w:bCs/>
              </w:rPr>
              <w:t>4</w:t>
            </w:r>
            <w:r w:rsidRPr="009F1EF0" w:rsidR="00517373">
              <w:rPr>
                <w:bCs/>
              </w:rPr>
              <w:t>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65104" w:rsidRPr="009F1EF0" w14:paraId="6CEF06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F1EF0">
              <w:rPr>
                <w:bCs/>
              </w:rPr>
              <w:t>$49.68</w:t>
            </w:r>
          </w:p>
        </w:tc>
        <w:tc>
          <w:tcPr>
            <w:tcW w:w="1710" w:type="dxa"/>
            <w:tcBorders>
              <w:top w:val="single" w:sz="4" w:space="0" w:color="auto"/>
              <w:left w:val="single" w:sz="4" w:space="0" w:color="auto"/>
              <w:bottom w:val="single" w:sz="4" w:space="0" w:color="auto"/>
              <w:right w:val="single" w:sz="4" w:space="0" w:color="auto"/>
            </w:tcBorders>
            <w:vAlign w:val="center"/>
            <w:hideMark/>
          </w:tcPr>
          <w:p w:rsidR="00565104" w:rsidRPr="009F1EF0" w14:paraId="28C9A774" w14:textId="286FD6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F1EF0">
              <w:rPr>
                <w:bCs/>
              </w:rPr>
              <w:t>$</w:t>
            </w:r>
            <w:r w:rsidR="00412B0E">
              <w:rPr>
                <w:bCs/>
              </w:rPr>
              <w:t>10,651,392</w:t>
            </w:r>
          </w:p>
        </w:tc>
      </w:tr>
      <w:tr w14:paraId="6A1B800C" w14:textId="77777777" w:rsidTr="00565104">
        <w:tblPrEx>
          <w:tblW w:w="9540" w:type="dxa"/>
          <w:tblInd w:w="-5" w:type="dxa"/>
          <w:tblLayout w:type="fixed"/>
          <w:tblLook w:val="01E0"/>
        </w:tblPrEx>
        <w:tc>
          <w:tcPr>
            <w:tcW w:w="2430" w:type="dxa"/>
            <w:tcBorders>
              <w:top w:val="single" w:sz="4" w:space="0" w:color="auto"/>
              <w:left w:val="single" w:sz="4" w:space="0" w:color="auto"/>
              <w:bottom w:val="single" w:sz="4" w:space="0" w:color="auto"/>
              <w:right w:val="single" w:sz="4" w:space="0" w:color="auto"/>
            </w:tcBorders>
            <w:hideMark/>
          </w:tcPr>
          <w:p w:rsidR="00565104" w:rsidRPr="009F1EF0" w14:paraId="6EAF1D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
                <w:bCs/>
              </w:rPr>
            </w:pPr>
            <w:r w:rsidRPr="009F1EF0">
              <w:rPr>
                <w:b/>
                <w:bCs/>
              </w:rPr>
              <w:t>Total</w:t>
            </w:r>
          </w:p>
        </w:tc>
        <w:tc>
          <w:tcPr>
            <w:tcW w:w="1620" w:type="dxa"/>
            <w:tcBorders>
              <w:top w:val="single" w:sz="4" w:space="0" w:color="auto"/>
              <w:left w:val="single" w:sz="4" w:space="0" w:color="auto"/>
              <w:bottom w:val="single" w:sz="4" w:space="0" w:color="auto"/>
              <w:right w:val="single" w:sz="4" w:space="0" w:color="auto"/>
            </w:tcBorders>
            <w:vAlign w:val="center"/>
            <w:hideMark/>
          </w:tcPr>
          <w:p w:rsidR="00565104" w:rsidRPr="009F1EF0" w14:paraId="4F1D52F0" w14:textId="01C17D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bCs/>
              </w:rPr>
            </w:pPr>
            <w:r>
              <w:rPr>
                <w:b/>
                <w:bCs/>
              </w:rPr>
              <w:t>5</w:t>
            </w:r>
            <w:r w:rsidRPr="009F1EF0">
              <w:rPr>
                <w:b/>
                <w:bCs/>
              </w:rPr>
              <w:t>,</w:t>
            </w:r>
            <w:r>
              <w:rPr>
                <w:b/>
                <w:bCs/>
              </w:rPr>
              <w:t>3</w:t>
            </w:r>
            <w:r w:rsidRPr="009F1EF0" w:rsidR="003C4222">
              <w:rPr>
                <w:b/>
                <w:bCs/>
              </w:rPr>
              <w:t>60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65104" w:rsidRPr="009F1EF0" w14:paraId="3303A2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bCs/>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565104" w:rsidRPr="009F1EF0" w14:paraId="2D846006" w14:textId="3FEAAB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bCs/>
              </w:rPr>
            </w:pPr>
            <w:r>
              <w:rPr>
                <w:b/>
                <w:bCs/>
              </w:rPr>
              <w:t>214</w:t>
            </w:r>
            <w:r w:rsidRPr="009F1EF0" w:rsidR="001F6258">
              <w:rPr>
                <w:b/>
                <w:bCs/>
              </w:rPr>
              <w:t>,</w:t>
            </w:r>
            <w:r>
              <w:rPr>
                <w:b/>
                <w:bCs/>
              </w:rPr>
              <w:t>4</w:t>
            </w:r>
            <w:r w:rsidRPr="009F1EF0" w:rsidR="001F6258">
              <w:rPr>
                <w:b/>
                <w:bCs/>
              </w:rPr>
              <w:t>00</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65104" w:rsidRPr="009F1EF0" w14:paraId="4A64A1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bCs/>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565104" w:rsidRPr="009F1EF0" w14:paraId="1189AF6C" w14:textId="5FA51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bCs/>
              </w:rPr>
            </w:pPr>
            <w:r w:rsidRPr="009F1EF0">
              <w:rPr>
                <w:b/>
                <w:bCs/>
              </w:rPr>
              <w:t>$</w:t>
            </w:r>
            <w:r w:rsidR="00412B0E">
              <w:rPr>
                <w:b/>
                <w:bCs/>
              </w:rPr>
              <w:t>10</w:t>
            </w:r>
            <w:r w:rsidRPr="009F1EF0" w:rsidR="001F6258">
              <w:rPr>
                <w:b/>
                <w:bCs/>
              </w:rPr>
              <w:t>,</w:t>
            </w:r>
            <w:r w:rsidR="00412B0E">
              <w:rPr>
                <w:b/>
                <w:bCs/>
              </w:rPr>
              <w:t>651</w:t>
            </w:r>
            <w:r w:rsidRPr="009F1EF0" w:rsidR="001F6258">
              <w:rPr>
                <w:b/>
                <w:bCs/>
              </w:rPr>
              <w:t>,</w:t>
            </w:r>
            <w:r w:rsidR="00412B0E">
              <w:rPr>
                <w:b/>
                <w:bCs/>
              </w:rPr>
              <w:t>392</w:t>
            </w:r>
          </w:p>
        </w:tc>
      </w:tr>
    </w:tbl>
    <w:p w:rsidR="00565104" w:rsidRPr="009F1EF0" w:rsidP="00565104" w14:paraId="3C0C46F1" w14:textId="77777777">
      <w:pPr>
        <w:rPr>
          <w:sz w:val="22"/>
          <w:szCs w:val="22"/>
        </w:rPr>
      </w:pPr>
    </w:p>
    <w:p w:rsidR="00E13A9C" w:rsidRPr="009F1EF0" w:rsidP="00CB003A" w14:paraId="0805B863" w14:textId="77777777"/>
    <w:p w:rsidR="00961823" w:rsidRPr="009F1EF0" w:rsidP="009E2FFF" w14:paraId="5E7F6423" w14:textId="77777777">
      <w:pPr>
        <w:keepNext/>
      </w:pPr>
      <w:r w:rsidRPr="009F1EF0">
        <w:t xml:space="preserve">15.  </w:t>
      </w:r>
      <w:r w:rsidRPr="009F1EF0">
        <w:rPr>
          <w:u w:val="single"/>
        </w:rPr>
        <w:t>Reasons for change in burden</w:t>
      </w:r>
    </w:p>
    <w:p w:rsidR="00961823" w:rsidRPr="009F1EF0" w:rsidP="00666B6D" w14:paraId="58317911" w14:textId="77777777">
      <w:pPr>
        <w:keepNext/>
      </w:pPr>
    </w:p>
    <w:p w:rsidR="00C25DD2" w:rsidP="00CB003A" w14:paraId="73B06275" w14:textId="4D465C45">
      <w:r>
        <w:t xml:space="preserve">There is an increase of approximately 3000 hours associated with the addition of certain questions related to affordable housing to the ERA2 Quarterly Report.  </w:t>
      </w:r>
      <w:r w:rsidR="00C21400">
        <w:t xml:space="preserve">There </w:t>
      </w:r>
      <w:r>
        <w:t xml:space="preserve">has also been </w:t>
      </w:r>
      <w:r w:rsidR="00C21400">
        <w:t xml:space="preserve">an increase of </w:t>
      </w:r>
      <w:r w:rsidR="00B01ACA">
        <w:t>92</w:t>
      </w:r>
      <w:r w:rsidR="00C21400">
        <w:t xml:space="preserve"> hours in the burden due to the addition of a Non-ERA Expenditures Report </w:t>
      </w:r>
      <w:r w:rsidR="00B01ACA">
        <w:t xml:space="preserve">and a second round of Requests for Reallocated Funds. However there </w:t>
      </w:r>
      <w:r>
        <w:t>has been</w:t>
      </w:r>
      <w:r w:rsidR="00B01ACA">
        <w:t xml:space="preserve"> a decrease of 425 hours due to revised estimates of both the number of reallocation applications received and the time needed to prepare the reallocation request, based on </w:t>
      </w:r>
      <w:r w:rsidR="00390CF2">
        <w:t xml:space="preserve">the program’s </w:t>
      </w:r>
      <w:r w:rsidR="00B01ACA">
        <w:t xml:space="preserve">experience. Approximately 100 reallocation requests were received in the first round (instead of the previously estimated 400) and </w:t>
      </w:r>
      <w:r w:rsidR="00390CF2">
        <w:t xml:space="preserve">the </w:t>
      </w:r>
      <w:r w:rsidR="00B01ACA">
        <w:t xml:space="preserve">same number of requests are estimated </w:t>
      </w:r>
      <w:r w:rsidR="00390CF2">
        <w:t xml:space="preserve">to be received </w:t>
      </w:r>
      <w:r w:rsidR="00B01ACA">
        <w:t>for the second round.</w:t>
      </w:r>
    </w:p>
    <w:p w:rsidR="00C25DD2" w:rsidRPr="009F1EF0" w:rsidP="00CB003A" w14:paraId="27328381" w14:textId="77777777"/>
    <w:p w:rsidR="00961823" w:rsidRPr="009F1EF0" w:rsidP="009E2FFF" w14:paraId="73C59C3C" w14:textId="77777777">
      <w:pPr>
        <w:keepNext/>
      </w:pPr>
      <w:r w:rsidRPr="009F1EF0">
        <w:t xml:space="preserve">16.  </w:t>
      </w:r>
      <w:r w:rsidRPr="009F1EF0">
        <w:rPr>
          <w:u w:val="single"/>
        </w:rPr>
        <w:t xml:space="preserve">Plans for tabulation, statistical </w:t>
      </w:r>
      <w:r w:rsidRPr="009F1EF0">
        <w:rPr>
          <w:u w:val="single"/>
        </w:rPr>
        <w:t>analysis</w:t>
      </w:r>
      <w:r w:rsidRPr="009F1EF0" w:rsidR="00A2596F">
        <w:rPr>
          <w:u w:val="single"/>
        </w:rPr>
        <w:t xml:space="preserve"> and publication</w:t>
      </w:r>
    </w:p>
    <w:p w:rsidR="00A2596F" w:rsidRPr="009F1EF0" w:rsidP="00CB003A" w14:paraId="7F078F3F" w14:textId="77777777"/>
    <w:p w:rsidR="006F68C4" w:rsidRPr="009F1EF0" w:rsidP="00CB003A" w14:paraId="600F61FD" w14:textId="77777777">
      <w:r w:rsidRPr="009F1EF0">
        <w:t xml:space="preserve">Treasury plans to publish the data for disbursements. </w:t>
      </w:r>
    </w:p>
    <w:p w:rsidR="0028091A" w:rsidRPr="009F1EF0" w:rsidP="00060833" w14:paraId="492F1BB9" w14:textId="77777777"/>
    <w:p w:rsidR="00060833" w:rsidRPr="009F1EF0" w:rsidP="00060833" w14:paraId="2F4768DE" w14:textId="77777777">
      <w:r w:rsidRPr="009F1EF0">
        <w:t xml:space="preserve">17. </w:t>
      </w:r>
      <w:r w:rsidRPr="009F1EF0">
        <w:rPr>
          <w:u w:val="single"/>
        </w:rPr>
        <w:t>Display of the expiration date for OMB approval</w:t>
      </w:r>
    </w:p>
    <w:p w:rsidR="00060833" w:rsidRPr="009F1EF0" w:rsidP="00060833" w14:paraId="618ECC43" w14:textId="77777777"/>
    <w:p w:rsidR="00060833" w:rsidRPr="009F1EF0" w:rsidP="00060833" w14:paraId="3E3F0859" w14:textId="77777777">
      <w:r w:rsidRPr="009F1EF0">
        <w:t>Treasury plans to display the expiration date for OMB approval of the information collection on all instruments.</w:t>
      </w:r>
    </w:p>
    <w:p w:rsidR="00060833" w:rsidRPr="009F1EF0" w:rsidP="009E2FFF" w14:paraId="1330084A" w14:textId="77777777"/>
    <w:p w:rsidR="004B7407" w:rsidRPr="009F1EF0" w:rsidP="009E2FFF" w14:paraId="34BABD13" w14:textId="364B80C9">
      <w:r w:rsidRPr="009F1EF0">
        <w:t>1</w:t>
      </w:r>
      <w:r w:rsidRPr="009F1EF0" w:rsidR="00060833">
        <w:t>8</w:t>
      </w:r>
      <w:r w:rsidRPr="009F1EF0">
        <w:t xml:space="preserve">.  </w:t>
      </w:r>
      <w:r w:rsidRPr="009F1EF0">
        <w:rPr>
          <w:u w:val="single"/>
        </w:rPr>
        <w:t xml:space="preserve">Exceptions to </w:t>
      </w:r>
      <w:r w:rsidRPr="009F1EF0" w:rsidR="003A5C25">
        <w:rPr>
          <w:u w:val="single"/>
        </w:rPr>
        <w:t xml:space="preserve">submission </w:t>
      </w:r>
      <w:r w:rsidRPr="009F1EF0">
        <w:rPr>
          <w:u w:val="single"/>
        </w:rPr>
        <w:t>requirement</w:t>
      </w:r>
      <w:r w:rsidRPr="009F1EF0" w:rsidR="003A5C25">
        <w:rPr>
          <w:u w:val="single"/>
        </w:rPr>
        <w:t>s</w:t>
      </w:r>
    </w:p>
    <w:p w:rsidR="004B7407" w:rsidRPr="009F1EF0" w:rsidP="00A90BAB" w14:paraId="7AF45299" w14:textId="77777777"/>
    <w:p w:rsidR="00156E23" w:rsidRPr="009F1EF0" w:rsidP="00A90BAB" w14:paraId="0A11A97A" w14:textId="09986036">
      <w:r w:rsidRPr="009F1EF0">
        <w:t>T</w:t>
      </w:r>
      <w:r w:rsidRPr="009F1EF0" w:rsidR="000E1F44">
        <w:t xml:space="preserve">here are no exceptions to the </w:t>
      </w:r>
      <w:r w:rsidRPr="009F1EF0" w:rsidR="003A5C25">
        <w:t>submission requirements</w:t>
      </w:r>
      <w:r w:rsidRPr="009F1EF0" w:rsidR="000E1F44">
        <w:t>.</w:t>
      </w:r>
    </w:p>
    <w:p w:rsidR="00E03689" w:rsidRPr="009F1EF0" w:rsidP="00A90BAB" w14:paraId="629F6464" w14:textId="77777777"/>
    <w:p w:rsidR="00E03689" w:rsidRPr="009F1EF0" w:rsidP="00A90BAB" w14:paraId="17DB3D94" w14:textId="77777777"/>
    <w:p w:rsidR="00717738" w:rsidRPr="009F1EF0" w:rsidP="00717738" w14:paraId="50D603CC" w14:textId="77777777">
      <w:pPr>
        <w:rPr>
          <w:b/>
          <w:bCs/>
        </w:rPr>
      </w:pPr>
      <w:r w:rsidRPr="009F1EF0">
        <w:rPr>
          <w:b/>
          <w:bCs/>
        </w:rPr>
        <w:t>Part B.  Describe the use of statistical methods such as sampling or imputation.</w:t>
      </w:r>
    </w:p>
    <w:p w:rsidR="00717738" w:rsidRPr="009F1EF0" w:rsidP="00717738" w14:paraId="3D5C8951" w14:textId="77777777">
      <w:pPr>
        <w:rPr>
          <w:u w:val="single"/>
        </w:rPr>
      </w:pPr>
    </w:p>
    <w:p w:rsidR="007C7314" w:rsidRPr="009F1EF0" w:rsidP="00A90BAB" w14:paraId="220CCAF5" w14:textId="77777777">
      <w:pPr>
        <w:rPr>
          <w:b/>
        </w:rPr>
      </w:pPr>
      <w:r w:rsidRPr="009F1EF0">
        <w:t>This collection does not employ statistical methods.</w:t>
      </w:r>
    </w:p>
    <w:sectPr w:rsidSect="00512B62">
      <w:footerReference w:type="even" r:id="rId10"/>
      <w:footerReference w:type="defaul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6878" w:rsidP="00105553" w14:paraId="5FD2ED5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B6878" w14:paraId="39E943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6878" w:rsidP="00105553" w14:paraId="5A49DB04" w14:textId="2E38F0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B6878" w14:paraId="5E640F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8060B" w14:paraId="7DA91B08" w14:textId="77777777">
      <w:r>
        <w:separator/>
      </w:r>
    </w:p>
  </w:footnote>
  <w:footnote w:type="continuationSeparator" w:id="1">
    <w:p w:rsidR="0058060B" w14:paraId="3180E981" w14:textId="77777777">
      <w:r>
        <w:continuationSeparator/>
      </w:r>
    </w:p>
  </w:footnote>
  <w:footnote w:type="continuationNotice" w:id="2">
    <w:p w:rsidR="0058060B" w14:paraId="1D6717E2" w14:textId="77777777"/>
  </w:footnote>
  <w:footnote w:id="3">
    <w:p w:rsidR="00565104" w:rsidP="00565104" w14:paraId="020DA797" w14:textId="77777777">
      <w:pPr>
        <w:pStyle w:val="FootnoteText"/>
      </w:pPr>
      <w:r>
        <w:rPr>
          <w:rStyle w:val="FootnoteReference"/>
        </w:rPr>
        <w:footnoteRef/>
      </w:r>
      <w:r>
        <w:t xml:space="preserve">GS-13 wage rate from the 2021 GS-pay scale table for Washington-Baltimore-Arlington, DC-MD-VA-WV-PA, </w:t>
      </w:r>
      <w:hyperlink r:id="rId1" w:history="1">
        <w:r>
          <w:rPr>
            <w:rStyle w:val="Hyperlink"/>
          </w:rPr>
          <w:t>https://www.opm.gov/policy-data-oversight/pay-leave/salaries-wages/salary-tables/pdf/2021/DCB_h.pdf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D71E9F"/>
    <w:multiLevelType w:val="hybridMultilevel"/>
    <w:tmpl w:val="CE3C90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7C1D6B"/>
    <w:multiLevelType w:val="hybridMultilevel"/>
    <w:tmpl w:val="1C1475F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397529"/>
    <w:multiLevelType w:val="hybridMultilevel"/>
    <w:tmpl w:val="1EB8F01E"/>
    <w:lvl w:ilvl="0">
      <w:start w:val="5"/>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CD677E9"/>
    <w:multiLevelType w:val="hybridMultilevel"/>
    <w:tmpl w:val="E6BC5E0C"/>
    <w:lvl w:ilvl="0">
      <w:start w:val="1"/>
      <w:numFmt w:val="bullet"/>
      <w:lvlText w:val=""/>
      <w:lvlJc w:val="left"/>
      <w:pPr>
        <w:tabs>
          <w:tab w:val="num" w:pos="720"/>
        </w:tabs>
        <w:ind w:left="720" w:hanging="360"/>
      </w:pPr>
      <w:rPr>
        <w:rFonts w:ascii="Wingdings 3" w:hAnsi="Wingdings 3" w:hint="default"/>
      </w:rPr>
    </w:lvl>
    <w:lvl w:ilvl="1" w:tentative="1">
      <w:start w:val="1"/>
      <w:numFmt w:val="bullet"/>
      <w:lvlText w:val=""/>
      <w:lvlJc w:val="left"/>
      <w:pPr>
        <w:tabs>
          <w:tab w:val="num" w:pos="1440"/>
        </w:tabs>
        <w:ind w:left="1440" w:hanging="360"/>
      </w:pPr>
      <w:rPr>
        <w:rFonts w:ascii="Wingdings 3" w:hAnsi="Wingdings 3" w:hint="default"/>
      </w:rPr>
    </w:lvl>
    <w:lvl w:ilvl="2" w:tentative="1">
      <w:start w:val="1"/>
      <w:numFmt w:val="bullet"/>
      <w:lvlText w:val=""/>
      <w:lvlJc w:val="left"/>
      <w:pPr>
        <w:tabs>
          <w:tab w:val="num" w:pos="2160"/>
        </w:tabs>
        <w:ind w:left="2160" w:hanging="360"/>
      </w:pPr>
      <w:rPr>
        <w:rFonts w:ascii="Wingdings 3" w:hAnsi="Wingdings 3" w:hint="default"/>
      </w:rPr>
    </w:lvl>
    <w:lvl w:ilvl="3" w:tentative="1">
      <w:start w:val="1"/>
      <w:numFmt w:val="bullet"/>
      <w:lvlText w:val=""/>
      <w:lvlJc w:val="left"/>
      <w:pPr>
        <w:tabs>
          <w:tab w:val="num" w:pos="2880"/>
        </w:tabs>
        <w:ind w:left="2880" w:hanging="360"/>
      </w:pPr>
      <w:rPr>
        <w:rFonts w:ascii="Wingdings 3" w:hAnsi="Wingdings 3" w:hint="default"/>
      </w:rPr>
    </w:lvl>
    <w:lvl w:ilvl="4" w:tentative="1">
      <w:start w:val="1"/>
      <w:numFmt w:val="bullet"/>
      <w:lvlText w:val=""/>
      <w:lvlJc w:val="left"/>
      <w:pPr>
        <w:tabs>
          <w:tab w:val="num" w:pos="3600"/>
        </w:tabs>
        <w:ind w:left="3600" w:hanging="360"/>
      </w:pPr>
      <w:rPr>
        <w:rFonts w:ascii="Wingdings 3" w:hAnsi="Wingdings 3" w:hint="default"/>
      </w:rPr>
    </w:lvl>
    <w:lvl w:ilvl="5" w:tentative="1">
      <w:start w:val="1"/>
      <w:numFmt w:val="bullet"/>
      <w:lvlText w:val=""/>
      <w:lvlJc w:val="left"/>
      <w:pPr>
        <w:tabs>
          <w:tab w:val="num" w:pos="4320"/>
        </w:tabs>
        <w:ind w:left="4320" w:hanging="360"/>
      </w:pPr>
      <w:rPr>
        <w:rFonts w:ascii="Wingdings 3" w:hAnsi="Wingdings 3" w:hint="default"/>
      </w:rPr>
    </w:lvl>
    <w:lvl w:ilvl="6" w:tentative="1">
      <w:start w:val="1"/>
      <w:numFmt w:val="bullet"/>
      <w:lvlText w:val=""/>
      <w:lvlJc w:val="left"/>
      <w:pPr>
        <w:tabs>
          <w:tab w:val="num" w:pos="5040"/>
        </w:tabs>
        <w:ind w:left="5040" w:hanging="360"/>
      </w:pPr>
      <w:rPr>
        <w:rFonts w:ascii="Wingdings 3" w:hAnsi="Wingdings 3" w:hint="default"/>
      </w:rPr>
    </w:lvl>
    <w:lvl w:ilvl="7" w:tentative="1">
      <w:start w:val="1"/>
      <w:numFmt w:val="bullet"/>
      <w:lvlText w:val=""/>
      <w:lvlJc w:val="left"/>
      <w:pPr>
        <w:tabs>
          <w:tab w:val="num" w:pos="5760"/>
        </w:tabs>
        <w:ind w:left="5760" w:hanging="360"/>
      </w:pPr>
      <w:rPr>
        <w:rFonts w:ascii="Wingdings 3" w:hAnsi="Wingdings 3" w:hint="default"/>
      </w:rPr>
    </w:lvl>
    <w:lvl w:ilvl="8" w:tentative="1">
      <w:start w:val="1"/>
      <w:numFmt w:val="bullet"/>
      <w:lvlText w:val=""/>
      <w:lvlJc w:val="left"/>
      <w:pPr>
        <w:tabs>
          <w:tab w:val="num" w:pos="6480"/>
        </w:tabs>
        <w:ind w:left="6480" w:hanging="360"/>
      </w:pPr>
      <w:rPr>
        <w:rFonts w:ascii="Wingdings 3" w:hAnsi="Wingdings 3" w:hint="default"/>
      </w:rPr>
    </w:lvl>
  </w:abstractNum>
  <w:abstractNum w:abstractNumId="4">
    <w:nsid w:val="24325482"/>
    <w:multiLevelType w:val="hybridMultilevel"/>
    <w:tmpl w:val="2DC40650"/>
    <w:lvl w:ilvl="0">
      <w:start w:val="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5740C24"/>
    <w:multiLevelType w:val="hybridMultilevel"/>
    <w:tmpl w:val="6CC6634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FD364FF"/>
    <w:multiLevelType w:val="hybridMultilevel"/>
    <w:tmpl w:val="9BACBC18"/>
    <w:lvl w:ilvl="0">
      <w:start w:val="1"/>
      <w:numFmt w:val="decimal"/>
      <w:lvlText w:val="(%1)"/>
      <w:lvlJc w:val="right"/>
      <w:pPr>
        <w:tabs>
          <w:tab w:val="num" w:pos="720"/>
        </w:tabs>
        <w:ind w:left="720" w:hanging="360"/>
      </w:pPr>
      <w:rPr>
        <w:rFonts w:hint="default"/>
        <w:b w:val="0"/>
        <w:u w:val="none"/>
      </w:rPr>
    </w:lvl>
    <w:lvl w:ilvl="1">
      <w:start w:val="2"/>
      <w:numFmt w:val="decimal"/>
      <w:lvlText w:val="%2"/>
      <w:lvlJc w:val="left"/>
      <w:pPr>
        <w:tabs>
          <w:tab w:val="num" w:pos="1440"/>
        </w:tabs>
        <w:ind w:left="1440" w:hanging="360"/>
      </w:pPr>
      <w:rPr>
        <w:rFonts w:hint="default"/>
        <w:u w:val="singl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7CF341C"/>
    <w:multiLevelType w:val="hybridMultilevel"/>
    <w:tmpl w:val="5DDACAAE"/>
    <w:lvl w:ilvl="0">
      <w:start w:val="5"/>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9E40D9F"/>
    <w:multiLevelType w:val="hybridMultilevel"/>
    <w:tmpl w:val="A346368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D273B6D"/>
    <w:multiLevelType w:val="hybridMultilevel"/>
    <w:tmpl w:val="81F89D36"/>
    <w:lvl w:ilvl="0">
      <w:start w:val="1"/>
      <w:numFmt w:val="decimal"/>
      <w:lvlText w:val="%1."/>
      <w:lvlJc w:val="left"/>
      <w:pPr>
        <w:tabs>
          <w:tab w:val="num" w:pos="720"/>
        </w:tabs>
        <w:ind w:left="720" w:hanging="360"/>
      </w:pPr>
      <w:rPr>
        <w:rFonts w:hint="default"/>
        <w:u w:val="none"/>
      </w:rPr>
    </w:lvl>
    <w:lvl w:ilvl="1">
      <w:start w:val="2"/>
      <w:numFmt w:val="decimal"/>
      <w:lvlText w:val="%2"/>
      <w:lvlJc w:val="left"/>
      <w:pPr>
        <w:tabs>
          <w:tab w:val="num" w:pos="1440"/>
        </w:tabs>
        <w:ind w:left="1440" w:hanging="360"/>
      </w:pPr>
      <w:rPr>
        <w:rFonts w:hint="default"/>
        <w:u w:val="singl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4AA7A5E"/>
    <w:multiLevelType w:val="hybridMultilevel"/>
    <w:tmpl w:val="DE6A2BA4"/>
    <w:lvl w:ilvl="0">
      <w:start w:val="1"/>
      <w:numFmt w:val="decimal"/>
      <w:lvlText w:val="(%1)"/>
      <w:lvlJc w:val="right"/>
      <w:pPr>
        <w:ind w:left="720" w:hanging="360"/>
      </w:pPr>
      <w:rPr>
        <w:rFonts w:hint="default"/>
        <w:b w:val="0"/>
      </w:rPr>
    </w:lvl>
    <w:lvl w:ilvl="1">
      <w:start w:val="0"/>
      <w:numFmt w:val="bullet"/>
      <w:lvlText w:val="•"/>
      <w:lvlJc w:val="left"/>
      <w:pPr>
        <w:ind w:left="1800" w:hanging="720"/>
      </w:pPr>
      <w:rPr>
        <w:rFonts w:ascii="Times New Roman" w:eastAsia="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B3E48CE"/>
    <w:multiLevelType w:val="hybridMultilevel"/>
    <w:tmpl w:val="B92EA55C"/>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12">
    <w:nsid w:val="4B524FFC"/>
    <w:multiLevelType w:val="hybridMultilevel"/>
    <w:tmpl w:val="E0F2369E"/>
    <w:lvl w:ilvl="0">
      <w:start w:val="8"/>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C80018C"/>
    <w:multiLevelType w:val="hybridMultilevel"/>
    <w:tmpl w:val="76E2302C"/>
    <w:lvl w:ilvl="0">
      <w:start w:val="7"/>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C872042"/>
    <w:multiLevelType w:val="hybridMultilevel"/>
    <w:tmpl w:val="B590DF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CCC655F"/>
    <w:multiLevelType w:val="hybridMultilevel"/>
    <w:tmpl w:val="86E21C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0C0BAD"/>
    <w:multiLevelType w:val="hybridMultilevel"/>
    <w:tmpl w:val="8D7A0F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99316C5"/>
    <w:multiLevelType w:val="hybridMultilevel"/>
    <w:tmpl w:val="A814A21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D030D2F"/>
    <w:multiLevelType w:val="hybridMultilevel"/>
    <w:tmpl w:val="B056475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FAE623C"/>
    <w:multiLevelType w:val="hybridMultilevel"/>
    <w:tmpl w:val="1722F5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1680F5C"/>
    <w:multiLevelType w:val="hybridMultilevel"/>
    <w:tmpl w:val="FB44E6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48A58CB"/>
    <w:multiLevelType w:val="hybridMultilevel"/>
    <w:tmpl w:val="CB2E28F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5293300"/>
    <w:multiLevelType w:val="hybridMultilevel"/>
    <w:tmpl w:val="3CCE3D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6A05313"/>
    <w:multiLevelType w:val="hybridMultilevel"/>
    <w:tmpl w:val="3E62A11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223731"/>
    <w:multiLevelType w:val="hybridMultilevel"/>
    <w:tmpl w:val="6F48BAA8"/>
    <w:lvl w:ilvl="0">
      <w:start w:val="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C5466C4"/>
    <w:multiLevelType w:val="hybridMultilevel"/>
    <w:tmpl w:val="D6DEBB8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67365844">
    <w:abstractNumId w:val="5"/>
  </w:num>
  <w:num w:numId="2" w16cid:durableId="305818324">
    <w:abstractNumId w:val="21"/>
  </w:num>
  <w:num w:numId="3" w16cid:durableId="614868109">
    <w:abstractNumId w:val="25"/>
  </w:num>
  <w:num w:numId="4" w16cid:durableId="246185058">
    <w:abstractNumId w:val="8"/>
  </w:num>
  <w:num w:numId="5" w16cid:durableId="1224756486">
    <w:abstractNumId w:val="24"/>
  </w:num>
  <w:num w:numId="6" w16cid:durableId="622689499">
    <w:abstractNumId w:val="7"/>
  </w:num>
  <w:num w:numId="7" w16cid:durableId="1958415719">
    <w:abstractNumId w:val="2"/>
  </w:num>
  <w:num w:numId="8" w16cid:durableId="437022440">
    <w:abstractNumId w:val="13"/>
  </w:num>
  <w:num w:numId="9" w16cid:durableId="1567914654">
    <w:abstractNumId w:val="12"/>
  </w:num>
  <w:num w:numId="10" w16cid:durableId="838664555">
    <w:abstractNumId w:val="17"/>
  </w:num>
  <w:num w:numId="11" w16cid:durableId="1487816575">
    <w:abstractNumId w:val="4"/>
  </w:num>
  <w:num w:numId="12" w16cid:durableId="1940328957">
    <w:abstractNumId w:val="9"/>
  </w:num>
  <w:num w:numId="13" w16cid:durableId="1949845216">
    <w:abstractNumId w:val="15"/>
  </w:num>
  <w:num w:numId="14" w16cid:durableId="1243754881">
    <w:abstractNumId w:val="22"/>
  </w:num>
  <w:num w:numId="15" w16cid:durableId="1175195343">
    <w:abstractNumId w:val="0"/>
  </w:num>
  <w:num w:numId="16" w16cid:durableId="148594087">
    <w:abstractNumId w:val="10"/>
  </w:num>
  <w:num w:numId="17" w16cid:durableId="1345326801">
    <w:abstractNumId w:val="23"/>
  </w:num>
  <w:num w:numId="18" w16cid:durableId="376514675">
    <w:abstractNumId w:val="6"/>
  </w:num>
  <w:num w:numId="19" w16cid:durableId="842210247">
    <w:abstractNumId w:val="16"/>
  </w:num>
  <w:num w:numId="20" w16cid:durableId="1303389394">
    <w:abstractNumId w:val="3"/>
  </w:num>
  <w:num w:numId="21" w16cid:durableId="2106220986">
    <w:abstractNumId w:val="1"/>
  </w:num>
  <w:num w:numId="22" w16cid:durableId="1191845233">
    <w:abstractNumId w:val="18"/>
  </w:num>
  <w:num w:numId="23" w16cid:durableId="1796019462">
    <w:abstractNumId w:val="19"/>
  </w:num>
  <w:num w:numId="24" w16cid:durableId="1790121123">
    <w:abstractNumId w:val="11"/>
  </w:num>
  <w:num w:numId="25" w16cid:durableId="1077901045">
    <w:abstractNumId w:val="14"/>
  </w:num>
  <w:num w:numId="26" w16cid:durableId="2474955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861"/>
    <w:rsid w:val="00000E67"/>
    <w:rsid w:val="0000252E"/>
    <w:rsid w:val="000047C3"/>
    <w:rsid w:val="000105BD"/>
    <w:rsid w:val="000117A5"/>
    <w:rsid w:val="00012F7C"/>
    <w:rsid w:val="00013801"/>
    <w:rsid w:val="000141C3"/>
    <w:rsid w:val="00014C0A"/>
    <w:rsid w:val="0001560A"/>
    <w:rsid w:val="00017845"/>
    <w:rsid w:val="000204E2"/>
    <w:rsid w:val="00021D40"/>
    <w:rsid w:val="00022F56"/>
    <w:rsid w:val="00027641"/>
    <w:rsid w:val="00032DA3"/>
    <w:rsid w:val="00035656"/>
    <w:rsid w:val="0004048C"/>
    <w:rsid w:val="00040666"/>
    <w:rsid w:val="00041853"/>
    <w:rsid w:val="00046B27"/>
    <w:rsid w:val="000501CB"/>
    <w:rsid w:val="000505FB"/>
    <w:rsid w:val="00051468"/>
    <w:rsid w:val="0005341C"/>
    <w:rsid w:val="00053EBD"/>
    <w:rsid w:val="0005651A"/>
    <w:rsid w:val="00060833"/>
    <w:rsid w:val="00062774"/>
    <w:rsid w:val="00062B59"/>
    <w:rsid w:val="000703E5"/>
    <w:rsid w:val="00073704"/>
    <w:rsid w:val="000762A9"/>
    <w:rsid w:val="000817D0"/>
    <w:rsid w:val="00082AD7"/>
    <w:rsid w:val="00083DB1"/>
    <w:rsid w:val="00090033"/>
    <w:rsid w:val="00093B1D"/>
    <w:rsid w:val="00094CA2"/>
    <w:rsid w:val="0009709C"/>
    <w:rsid w:val="000A434D"/>
    <w:rsid w:val="000A570C"/>
    <w:rsid w:val="000A5E4B"/>
    <w:rsid w:val="000B0264"/>
    <w:rsid w:val="000B7AAF"/>
    <w:rsid w:val="000C0934"/>
    <w:rsid w:val="000C1553"/>
    <w:rsid w:val="000C1B38"/>
    <w:rsid w:val="000C3C83"/>
    <w:rsid w:val="000C6F26"/>
    <w:rsid w:val="000C7031"/>
    <w:rsid w:val="000D3D0C"/>
    <w:rsid w:val="000E07A3"/>
    <w:rsid w:val="000E1D60"/>
    <w:rsid w:val="000E1F44"/>
    <w:rsid w:val="000E24F5"/>
    <w:rsid w:val="000E5988"/>
    <w:rsid w:val="000E72A0"/>
    <w:rsid w:val="000F2AE6"/>
    <w:rsid w:val="000F53C2"/>
    <w:rsid w:val="000F5B03"/>
    <w:rsid w:val="000F63FA"/>
    <w:rsid w:val="000F70A5"/>
    <w:rsid w:val="000F7F08"/>
    <w:rsid w:val="001022FC"/>
    <w:rsid w:val="00104AAF"/>
    <w:rsid w:val="00105264"/>
    <w:rsid w:val="00105553"/>
    <w:rsid w:val="00105E4C"/>
    <w:rsid w:val="001065D8"/>
    <w:rsid w:val="00106A18"/>
    <w:rsid w:val="00110D39"/>
    <w:rsid w:val="001110E6"/>
    <w:rsid w:val="00112D71"/>
    <w:rsid w:val="001139DB"/>
    <w:rsid w:val="00113C21"/>
    <w:rsid w:val="00114490"/>
    <w:rsid w:val="00122583"/>
    <w:rsid w:val="001266F1"/>
    <w:rsid w:val="00127B26"/>
    <w:rsid w:val="001374B1"/>
    <w:rsid w:val="0013796F"/>
    <w:rsid w:val="00137EC6"/>
    <w:rsid w:val="0014039E"/>
    <w:rsid w:val="001438EE"/>
    <w:rsid w:val="00146233"/>
    <w:rsid w:val="00146E55"/>
    <w:rsid w:val="00147A26"/>
    <w:rsid w:val="0015255C"/>
    <w:rsid w:val="00156E23"/>
    <w:rsid w:val="0015784C"/>
    <w:rsid w:val="00161711"/>
    <w:rsid w:val="001648D5"/>
    <w:rsid w:val="00164BB3"/>
    <w:rsid w:val="00165343"/>
    <w:rsid w:val="0016542D"/>
    <w:rsid w:val="00166EF4"/>
    <w:rsid w:val="00166F8F"/>
    <w:rsid w:val="00170A86"/>
    <w:rsid w:val="00171230"/>
    <w:rsid w:val="00171336"/>
    <w:rsid w:val="001742C4"/>
    <w:rsid w:val="00174A47"/>
    <w:rsid w:val="00175E03"/>
    <w:rsid w:val="00176F71"/>
    <w:rsid w:val="0018027E"/>
    <w:rsid w:val="001819B9"/>
    <w:rsid w:val="001819F2"/>
    <w:rsid w:val="00181F21"/>
    <w:rsid w:val="0018375D"/>
    <w:rsid w:val="00186409"/>
    <w:rsid w:val="00187672"/>
    <w:rsid w:val="00191208"/>
    <w:rsid w:val="001945CA"/>
    <w:rsid w:val="00194C78"/>
    <w:rsid w:val="00197E2B"/>
    <w:rsid w:val="001A0CE8"/>
    <w:rsid w:val="001A1B5B"/>
    <w:rsid w:val="001A2610"/>
    <w:rsid w:val="001A64D4"/>
    <w:rsid w:val="001A71B7"/>
    <w:rsid w:val="001A7272"/>
    <w:rsid w:val="001B591E"/>
    <w:rsid w:val="001B624D"/>
    <w:rsid w:val="001B649D"/>
    <w:rsid w:val="001C229E"/>
    <w:rsid w:val="001C2CBC"/>
    <w:rsid w:val="001C728F"/>
    <w:rsid w:val="001D4D0C"/>
    <w:rsid w:val="001D57A5"/>
    <w:rsid w:val="001D5ADF"/>
    <w:rsid w:val="001D5AF4"/>
    <w:rsid w:val="001D7E4B"/>
    <w:rsid w:val="001E0C02"/>
    <w:rsid w:val="001E0D39"/>
    <w:rsid w:val="001E2F33"/>
    <w:rsid w:val="001E4205"/>
    <w:rsid w:val="001E4BCF"/>
    <w:rsid w:val="001E5F7B"/>
    <w:rsid w:val="001F034C"/>
    <w:rsid w:val="001F2F8A"/>
    <w:rsid w:val="001F31FB"/>
    <w:rsid w:val="001F500A"/>
    <w:rsid w:val="001F6258"/>
    <w:rsid w:val="00202445"/>
    <w:rsid w:val="00207802"/>
    <w:rsid w:val="00210608"/>
    <w:rsid w:val="0022132A"/>
    <w:rsid w:val="00225E39"/>
    <w:rsid w:val="002263FC"/>
    <w:rsid w:val="002312D9"/>
    <w:rsid w:val="00236471"/>
    <w:rsid w:val="00237FAA"/>
    <w:rsid w:val="0024000F"/>
    <w:rsid w:val="002465AC"/>
    <w:rsid w:val="00247B5F"/>
    <w:rsid w:val="00250B5A"/>
    <w:rsid w:val="00252599"/>
    <w:rsid w:val="002551F6"/>
    <w:rsid w:val="00255285"/>
    <w:rsid w:val="0025604D"/>
    <w:rsid w:val="002561B1"/>
    <w:rsid w:val="00256911"/>
    <w:rsid w:val="00260CEB"/>
    <w:rsid w:val="00262D28"/>
    <w:rsid w:val="00270CF4"/>
    <w:rsid w:val="00271992"/>
    <w:rsid w:val="002755C9"/>
    <w:rsid w:val="00275D84"/>
    <w:rsid w:val="00276E84"/>
    <w:rsid w:val="00277F1D"/>
    <w:rsid w:val="0028091A"/>
    <w:rsid w:val="0028499E"/>
    <w:rsid w:val="00285774"/>
    <w:rsid w:val="0028685C"/>
    <w:rsid w:val="002902D5"/>
    <w:rsid w:val="00291E8A"/>
    <w:rsid w:val="002920BD"/>
    <w:rsid w:val="00293974"/>
    <w:rsid w:val="00297261"/>
    <w:rsid w:val="002A1356"/>
    <w:rsid w:val="002A1E1D"/>
    <w:rsid w:val="002A3366"/>
    <w:rsid w:val="002B2EBC"/>
    <w:rsid w:val="002B6FA7"/>
    <w:rsid w:val="002B7395"/>
    <w:rsid w:val="002C1CB0"/>
    <w:rsid w:val="002C2A5D"/>
    <w:rsid w:val="002C3FA6"/>
    <w:rsid w:val="002D268B"/>
    <w:rsid w:val="002D51DF"/>
    <w:rsid w:val="002D5249"/>
    <w:rsid w:val="002E24EA"/>
    <w:rsid w:val="002E2C90"/>
    <w:rsid w:val="002E2D8C"/>
    <w:rsid w:val="002E4398"/>
    <w:rsid w:val="002F2729"/>
    <w:rsid w:val="002F4085"/>
    <w:rsid w:val="00302265"/>
    <w:rsid w:val="00304673"/>
    <w:rsid w:val="00306B17"/>
    <w:rsid w:val="00313BE0"/>
    <w:rsid w:val="00314168"/>
    <w:rsid w:val="003265D6"/>
    <w:rsid w:val="00330E47"/>
    <w:rsid w:val="00332312"/>
    <w:rsid w:val="00337AC1"/>
    <w:rsid w:val="00337E18"/>
    <w:rsid w:val="00341CAF"/>
    <w:rsid w:val="003506E7"/>
    <w:rsid w:val="0035119A"/>
    <w:rsid w:val="003522BE"/>
    <w:rsid w:val="00353766"/>
    <w:rsid w:val="003540EB"/>
    <w:rsid w:val="00364995"/>
    <w:rsid w:val="00365005"/>
    <w:rsid w:val="00367DA5"/>
    <w:rsid w:val="00370853"/>
    <w:rsid w:val="0037759E"/>
    <w:rsid w:val="00380639"/>
    <w:rsid w:val="00384175"/>
    <w:rsid w:val="00390A50"/>
    <w:rsid w:val="00390CF2"/>
    <w:rsid w:val="00392B96"/>
    <w:rsid w:val="0039349E"/>
    <w:rsid w:val="00394A61"/>
    <w:rsid w:val="003A0E21"/>
    <w:rsid w:val="003A37CA"/>
    <w:rsid w:val="003A52C5"/>
    <w:rsid w:val="003A5668"/>
    <w:rsid w:val="003A59D2"/>
    <w:rsid w:val="003A5C25"/>
    <w:rsid w:val="003A7E7B"/>
    <w:rsid w:val="003B6624"/>
    <w:rsid w:val="003B7343"/>
    <w:rsid w:val="003B792F"/>
    <w:rsid w:val="003C068B"/>
    <w:rsid w:val="003C1272"/>
    <w:rsid w:val="003C1AB8"/>
    <w:rsid w:val="003C4222"/>
    <w:rsid w:val="003C5B6F"/>
    <w:rsid w:val="003D6382"/>
    <w:rsid w:val="003E1864"/>
    <w:rsid w:val="003E3E0B"/>
    <w:rsid w:val="003E53BD"/>
    <w:rsid w:val="003E57D1"/>
    <w:rsid w:val="003E59BE"/>
    <w:rsid w:val="003E63D4"/>
    <w:rsid w:val="003F129E"/>
    <w:rsid w:val="003F3118"/>
    <w:rsid w:val="003F59C0"/>
    <w:rsid w:val="003F7316"/>
    <w:rsid w:val="003F77F2"/>
    <w:rsid w:val="003F7AD4"/>
    <w:rsid w:val="004011B5"/>
    <w:rsid w:val="00403DA0"/>
    <w:rsid w:val="00404BAE"/>
    <w:rsid w:val="00404D7E"/>
    <w:rsid w:val="004063EA"/>
    <w:rsid w:val="00406C35"/>
    <w:rsid w:val="00406DAA"/>
    <w:rsid w:val="004077B3"/>
    <w:rsid w:val="00412B0E"/>
    <w:rsid w:val="00414913"/>
    <w:rsid w:val="004155C0"/>
    <w:rsid w:val="0041645E"/>
    <w:rsid w:val="004267CE"/>
    <w:rsid w:val="00426F5A"/>
    <w:rsid w:val="00427E2F"/>
    <w:rsid w:val="00434254"/>
    <w:rsid w:val="004356D3"/>
    <w:rsid w:val="00437EDC"/>
    <w:rsid w:val="00443D4F"/>
    <w:rsid w:val="0044510E"/>
    <w:rsid w:val="00445F0D"/>
    <w:rsid w:val="004471E8"/>
    <w:rsid w:val="004516C0"/>
    <w:rsid w:val="00451786"/>
    <w:rsid w:val="004545E1"/>
    <w:rsid w:val="004559AC"/>
    <w:rsid w:val="00460B20"/>
    <w:rsid w:val="00462AB0"/>
    <w:rsid w:val="00464E08"/>
    <w:rsid w:val="00465D64"/>
    <w:rsid w:val="004713A6"/>
    <w:rsid w:val="00471F20"/>
    <w:rsid w:val="00474021"/>
    <w:rsid w:val="004746D2"/>
    <w:rsid w:val="0047526A"/>
    <w:rsid w:val="00475731"/>
    <w:rsid w:val="00477EA1"/>
    <w:rsid w:val="0048035C"/>
    <w:rsid w:val="0048426A"/>
    <w:rsid w:val="004914E4"/>
    <w:rsid w:val="00495742"/>
    <w:rsid w:val="004A3EC2"/>
    <w:rsid w:val="004A47F1"/>
    <w:rsid w:val="004A5E19"/>
    <w:rsid w:val="004A7CC6"/>
    <w:rsid w:val="004B06B5"/>
    <w:rsid w:val="004B0AEF"/>
    <w:rsid w:val="004B0E13"/>
    <w:rsid w:val="004B1400"/>
    <w:rsid w:val="004B21AA"/>
    <w:rsid w:val="004B32A0"/>
    <w:rsid w:val="004B59B5"/>
    <w:rsid w:val="004B7407"/>
    <w:rsid w:val="004B7F29"/>
    <w:rsid w:val="004C1D5E"/>
    <w:rsid w:val="004C3A16"/>
    <w:rsid w:val="004D0DB9"/>
    <w:rsid w:val="004E045D"/>
    <w:rsid w:val="004E3665"/>
    <w:rsid w:val="004E5C8D"/>
    <w:rsid w:val="004E60BD"/>
    <w:rsid w:val="004E6996"/>
    <w:rsid w:val="004E77AA"/>
    <w:rsid w:val="004F09CA"/>
    <w:rsid w:val="004F4225"/>
    <w:rsid w:val="004F506C"/>
    <w:rsid w:val="004F5145"/>
    <w:rsid w:val="004F60C6"/>
    <w:rsid w:val="004F6BB6"/>
    <w:rsid w:val="004F79CC"/>
    <w:rsid w:val="00501492"/>
    <w:rsid w:val="0050578F"/>
    <w:rsid w:val="005121CA"/>
    <w:rsid w:val="00512B62"/>
    <w:rsid w:val="00515121"/>
    <w:rsid w:val="005158E2"/>
    <w:rsid w:val="00517373"/>
    <w:rsid w:val="005214DD"/>
    <w:rsid w:val="005215C7"/>
    <w:rsid w:val="00524865"/>
    <w:rsid w:val="0052662E"/>
    <w:rsid w:val="005271E1"/>
    <w:rsid w:val="005306F0"/>
    <w:rsid w:val="005342BD"/>
    <w:rsid w:val="00534EA9"/>
    <w:rsid w:val="00535AD0"/>
    <w:rsid w:val="005366FC"/>
    <w:rsid w:val="00536F95"/>
    <w:rsid w:val="0054191E"/>
    <w:rsid w:val="00544200"/>
    <w:rsid w:val="0054549F"/>
    <w:rsid w:val="00545CB7"/>
    <w:rsid w:val="00546D11"/>
    <w:rsid w:val="00547380"/>
    <w:rsid w:val="00555717"/>
    <w:rsid w:val="00555E2A"/>
    <w:rsid w:val="00560426"/>
    <w:rsid w:val="00561B6F"/>
    <w:rsid w:val="00565104"/>
    <w:rsid w:val="00565E3C"/>
    <w:rsid w:val="005678EC"/>
    <w:rsid w:val="00572D2C"/>
    <w:rsid w:val="005744E4"/>
    <w:rsid w:val="0057582F"/>
    <w:rsid w:val="0057790C"/>
    <w:rsid w:val="00577B83"/>
    <w:rsid w:val="0058060B"/>
    <w:rsid w:val="0058176C"/>
    <w:rsid w:val="0058262E"/>
    <w:rsid w:val="0058297E"/>
    <w:rsid w:val="00586BF1"/>
    <w:rsid w:val="00587447"/>
    <w:rsid w:val="00587D50"/>
    <w:rsid w:val="00593C88"/>
    <w:rsid w:val="00597B8E"/>
    <w:rsid w:val="005A1476"/>
    <w:rsid w:val="005A1D4B"/>
    <w:rsid w:val="005A5C1B"/>
    <w:rsid w:val="005A7213"/>
    <w:rsid w:val="005B35AD"/>
    <w:rsid w:val="005B4124"/>
    <w:rsid w:val="005B5336"/>
    <w:rsid w:val="005B6878"/>
    <w:rsid w:val="005B7546"/>
    <w:rsid w:val="005B774E"/>
    <w:rsid w:val="005C2AD8"/>
    <w:rsid w:val="005C533B"/>
    <w:rsid w:val="005C7887"/>
    <w:rsid w:val="005D099C"/>
    <w:rsid w:val="005D1D12"/>
    <w:rsid w:val="005E5A57"/>
    <w:rsid w:val="005E5B57"/>
    <w:rsid w:val="005F020C"/>
    <w:rsid w:val="005F1EBD"/>
    <w:rsid w:val="005F304E"/>
    <w:rsid w:val="005F3D3C"/>
    <w:rsid w:val="005F51AE"/>
    <w:rsid w:val="005F5273"/>
    <w:rsid w:val="0060168D"/>
    <w:rsid w:val="00601DF3"/>
    <w:rsid w:val="006049CB"/>
    <w:rsid w:val="00605173"/>
    <w:rsid w:val="00607A70"/>
    <w:rsid w:val="00610580"/>
    <w:rsid w:val="00612025"/>
    <w:rsid w:val="00613384"/>
    <w:rsid w:val="006137E1"/>
    <w:rsid w:val="00616A24"/>
    <w:rsid w:val="00623713"/>
    <w:rsid w:val="00627C47"/>
    <w:rsid w:val="0063065F"/>
    <w:rsid w:val="006325C8"/>
    <w:rsid w:val="00633442"/>
    <w:rsid w:val="0064051D"/>
    <w:rsid w:val="00641517"/>
    <w:rsid w:val="0064314F"/>
    <w:rsid w:val="006437F4"/>
    <w:rsid w:val="00651072"/>
    <w:rsid w:val="006536E9"/>
    <w:rsid w:val="00654955"/>
    <w:rsid w:val="00655999"/>
    <w:rsid w:val="00661D3D"/>
    <w:rsid w:val="00665C72"/>
    <w:rsid w:val="00666B6D"/>
    <w:rsid w:val="006678F4"/>
    <w:rsid w:val="00675E51"/>
    <w:rsid w:val="00675F73"/>
    <w:rsid w:val="00676CA6"/>
    <w:rsid w:val="00676FFC"/>
    <w:rsid w:val="00677535"/>
    <w:rsid w:val="00680A45"/>
    <w:rsid w:val="00681FB6"/>
    <w:rsid w:val="00685C0A"/>
    <w:rsid w:val="00686921"/>
    <w:rsid w:val="00686C1F"/>
    <w:rsid w:val="00691B0E"/>
    <w:rsid w:val="006929AD"/>
    <w:rsid w:val="006A2D85"/>
    <w:rsid w:val="006B03AB"/>
    <w:rsid w:val="006B22D1"/>
    <w:rsid w:val="006B2693"/>
    <w:rsid w:val="006B37E0"/>
    <w:rsid w:val="006B3E5B"/>
    <w:rsid w:val="006B47EB"/>
    <w:rsid w:val="006B6DF9"/>
    <w:rsid w:val="006C101A"/>
    <w:rsid w:val="006C2413"/>
    <w:rsid w:val="006D32A2"/>
    <w:rsid w:val="006E02EB"/>
    <w:rsid w:val="006E25C2"/>
    <w:rsid w:val="006E5007"/>
    <w:rsid w:val="006E6033"/>
    <w:rsid w:val="006F02DD"/>
    <w:rsid w:val="006F1727"/>
    <w:rsid w:val="006F2321"/>
    <w:rsid w:val="006F68C4"/>
    <w:rsid w:val="00704B18"/>
    <w:rsid w:val="00705C2D"/>
    <w:rsid w:val="00707BDE"/>
    <w:rsid w:val="0071304F"/>
    <w:rsid w:val="00715481"/>
    <w:rsid w:val="007156A7"/>
    <w:rsid w:val="00717380"/>
    <w:rsid w:val="00717738"/>
    <w:rsid w:val="00717A0C"/>
    <w:rsid w:val="0072166B"/>
    <w:rsid w:val="00730B3A"/>
    <w:rsid w:val="007313DF"/>
    <w:rsid w:val="00741F3C"/>
    <w:rsid w:val="00744AC4"/>
    <w:rsid w:val="00745231"/>
    <w:rsid w:val="00746784"/>
    <w:rsid w:val="00753648"/>
    <w:rsid w:val="007552A4"/>
    <w:rsid w:val="00756FAF"/>
    <w:rsid w:val="007614AA"/>
    <w:rsid w:val="00763C12"/>
    <w:rsid w:val="00764D4B"/>
    <w:rsid w:val="00764E50"/>
    <w:rsid w:val="00765485"/>
    <w:rsid w:val="00765754"/>
    <w:rsid w:val="00770396"/>
    <w:rsid w:val="00771CD5"/>
    <w:rsid w:val="00774C7D"/>
    <w:rsid w:val="00775C08"/>
    <w:rsid w:val="00780878"/>
    <w:rsid w:val="00781EF6"/>
    <w:rsid w:val="00781FAB"/>
    <w:rsid w:val="00786629"/>
    <w:rsid w:val="00792F45"/>
    <w:rsid w:val="007942C7"/>
    <w:rsid w:val="00795CCA"/>
    <w:rsid w:val="00795EFD"/>
    <w:rsid w:val="00797276"/>
    <w:rsid w:val="007A0410"/>
    <w:rsid w:val="007A4924"/>
    <w:rsid w:val="007A70AE"/>
    <w:rsid w:val="007B0B51"/>
    <w:rsid w:val="007B29AC"/>
    <w:rsid w:val="007B373A"/>
    <w:rsid w:val="007B3E73"/>
    <w:rsid w:val="007B5CBC"/>
    <w:rsid w:val="007B7101"/>
    <w:rsid w:val="007B7996"/>
    <w:rsid w:val="007C698F"/>
    <w:rsid w:val="007C7314"/>
    <w:rsid w:val="007D4C92"/>
    <w:rsid w:val="007D5091"/>
    <w:rsid w:val="007D59EE"/>
    <w:rsid w:val="007E596A"/>
    <w:rsid w:val="007E69B3"/>
    <w:rsid w:val="007F0335"/>
    <w:rsid w:val="007F0AC9"/>
    <w:rsid w:val="007F1803"/>
    <w:rsid w:val="007F3DBF"/>
    <w:rsid w:val="007F6049"/>
    <w:rsid w:val="0080016E"/>
    <w:rsid w:val="00802F36"/>
    <w:rsid w:val="00810E73"/>
    <w:rsid w:val="00811E1F"/>
    <w:rsid w:val="00811FB1"/>
    <w:rsid w:val="00821205"/>
    <w:rsid w:val="008268EE"/>
    <w:rsid w:val="00827511"/>
    <w:rsid w:val="00846757"/>
    <w:rsid w:val="008475F5"/>
    <w:rsid w:val="00856DD0"/>
    <w:rsid w:val="00857B7C"/>
    <w:rsid w:val="00860267"/>
    <w:rsid w:val="0086079C"/>
    <w:rsid w:val="00861BDE"/>
    <w:rsid w:val="00863109"/>
    <w:rsid w:val="00863EEF"/>
    <w:rsid w:val="008668A0"/>
    <w:rsid w:val="0087613A"/>
    <w:rsid w:val="008820CA"/>
    <w:rsid w:val="008821EF"/>
    <w:rsid w:val="008862C6"/>
    <w:rsid w:val="00890D39"/>
    <w:rsid w:val="00891D3E"/>
    <w:rsid w:val="0089258D"/>
    <w:rsid w:val="008956E9"/>
    <w:rsid w:val="00896264"/>
    <w:rsid w:val="00896327"/>
    <w:rsid w:val="008A01A4"/>
    <w:rsid w:val="008A1656"/>
    <w:rsid w:val="008A5AEA"/>
    <w:rsid w:val="008A7CB6"/>
    <w:rsid w:val="008B4D1D"/>
    <w:rsid w:val="008B55DF"/>
    <w:rsid w:val="008B64D0"/>
    <w:rsid w:val="008B66B0"/>
    <w:rsid w:val="008B7CB1"/>
    <w:rsid w:val="008C2439"/>
    <w:rsid w:val="008C31DD"/>
    <w:rsid w:val="008C332E"/>
    <w:rsid w:val="008C3A9C"/>
    <w:rsid w:val="008D0548"/>
    <w:rsid w:val="008D0A83"/>
    <w:rsid w:val="008D211C"/>
    <w:rsid w:val="008D21D2"/>
    <w:rsid w:val="008D57BD"/>
    <w:rsid w:val="008D6002"/>
    <w:rsid w:val="008E4B99"/>
    <w:rsid w:val="008E5AF4"/>
    <w:rsid w:val="009013C1"/>
    <w:rsid w:val="00901943"/>
    <w:rsid w:val="00907541"/>
    <w:rsid w:val="00910067"/>
    <w:rsid w:val="009133B7"/>
    <w:rsid w:val="00913A34"/>
    <w:rsid w:val="00915144"/>
    <w:rsid w:val="009175C3"/>
    <w:rsid w:val="00921EA8"/>
    <w:rsid w:val="00923970"/>
    <w:rsid w:val="009259D5"/>
    <w:rsid w:val="00926C7F"/>
    <w:rsid w:val="00931D87"/>
    <w:rsid w:val="00935B9B"/>
    <w:rsid w:val="00940B2A"/>
    <w:rsid w:val="009465F7"/>
    <w:rsid w:val="00950A9E"/>
    <w:rsid w:val="00951C22"/>
    <w:rsid w:val="00952B31"/>
    <w:rsid w:val="00953166"/>
    <w:rsid w:val="00960D41"/>
    <w:rsid w:val="00960FD8"/>
    <w:rsid w:val="00961823"/>
    <w:rsid w:val="0096218D"/>
    <w:rsid w:val="00963D0A"/>
    <w:rsid w:val="00964CC6"/>
    <w:rsid w:val="00970625"/>
    <w:rsid w:val="00976185"/>
    <w:rsid w:val="00977D3A"/>
    <w:rsid w:val="00983B56"/>
    <w:rsid w:val="00986077"/>
    <w:rsid w:val="00987475"/>
    <w:rsid w:val="00990870"/>
    <w:rsid w:val="00993410"/>
    <w:rsid w:val="009957B3"/>
    <w:rsid w:val="009A1A7C"/>
    <w:rsid w:val="009B1496"/>
    <w:rsid w:val="009B2C7D"/>
    <w:rsid w:val="009B60FB"/>
    <w:rsid w:val="009B6250"/>
    <w:rsid w:val="009B6FA0"/>
    <w:rsid w:val="009B7C7D"/>
    <w:rsid w:val="009C7335"/>
    <w:rsid w:val="009D1369"/>
    <w:rsid w:val="009D3810"/>
    <w:rsid w:val="009D4B33"/>
    <w:rsid w:val="009D4D95"/>
    <w:rsid w:val="009D5B2E"/>
    <w:rsid w:val="009D6D37"/>
    <w:rsid w:val="009E2385"/>
    <w:rsid w:val="009E2FFF"/>
    <w:rsid w:val="009E3B90"/>
    <w:rsid w:val="009E4CDC"/>
    <w:rsid w:val="009E5FD8"/>
    <w:rsid w:val="009F1EF0"/>
    <w:rsid w:val="009F4101"/>
    <w:rsid w:val="009F45CC"/>
    <w:rsid w:val="009F477E"/>
    <w:rsid w:val="009F4D1C"/>
    <w:rsid w:val="009F580D"/>
    <w:rsid w:val="009F5937"/>
    <w:rsid w:val="009F6248"/>
    <w:rsid w:val="00A00740"/>
    <w:rsid w:val="00A014CE"/>
    <w:rsid w:val="00A04BE6"/>
    <w:rsid w:val="00A10A09"/>
    <w:rsid w:val="00A10CD2"/>
    <w:rsid w:val="00A118EF"/>
    <w:rsid w:val="00A11B6D"/>
    <w:rsid w:val="00A1345E"/>
    <w:rsid w:val="00A137BE"/>
    <w:rsid w:val="00A14618"/>
    <w:rsid w:val="00A166B7"/>
    <w:rsid w:val="00A205F8"/>
    <w:rsid w:val="00A227DB"/>
    <w:rsid w:val="00A22870"/>
    <w:rsid w:val="00A2596F"/>
    <w:rsid w:val="00A3281A"/>
    <w:rsid w:val="00A3357B"/>
    <w:rsid w:val="00A34FE6"/>
    <w:rsid w:val="00A36C66"/>
    <w:rsid w:val="00A3763C"/>
    <w:rsid w:val="00A4017C"/>
    <w:rsid w:val="00A40A6B"/>
    <w:rsid w:val="00A41E99"/>
    <w:rsid w:val="00A45055"/>
    <w:rsid w:val="00A51E18"/>
    <w:rsid w:val="00A5370F"/>
    <w:rsid w:val="00A61693"/>
    <w:rsid w:val="00A6381F"/>
    <w:rsid w:val="00A645CE"/>
    <w:rsid w:val="00A67505"/>
    <w:rsid w:val="00A70FB9"/>
    <w:rsid w:val="00A73029"/>
    <w:rsid w:val="00A73817"/>
    <w:rsid w:val="00A73FE3"/>
    <w:rsid w:val="00A75336"/>
    <w:rsid w:val="00A7640C"/>
    <w:rsid w:val="00A81BCB"/>
    <w:rsid w:val="00A82C81"/>
    <w:rsid w:val="00A83F90"/>
    <w:rsid w:val="00A851EA"/>
    <w:rsid w:val="00A85A00"/>
    <w:rsid w:val="00A90BAB"/>
    <w:rsid w:val="00A91377"/>
    <w:rsid w:val="00A9145F"/>
    <w:rsid w:val="00A91D99"/>
    <w:rsid w:val="00A922EF"/>
    <w:rsid w:val="00A9305B"/>
    <w:rsid w:val="00A93EF4"/>
    <w:rsid w:val="00A954B0"/>
    <w:rsid w:val="00A956B0"/>
    <w:rsid w:val="00A95A75"/>
    <w:rsid w:val="00AA13C1"/>
    <w:rsid w:val="00AA5D57"/>
    <w:rsid w:val="00AA65FC"/>
    <w:rsid w:val="00AB2A4B"/>
    <w:rsid w:val="00AB53B9"/>
    <w:rsid w:val="00AB5C61"/>
    <w:rsid w:val="00AB6D47"/>
    <w:rsid w:val="00AC0398"/>
    <w:rsid w:val="00AC1EC6"/>
    <w:rsid w:val="00AD03ED"/>
    <w:rsid w:val="00AD55CE"/>
    <w:rsid w:val="00AD7805"/>
    <w:rsid w:val="00AE07D3"/>
    <w:rsid w:val="00AE1A1E"/>
    <w:rsid w:val="00AE2193"/>
    <w:rsid w:val="00AE2B39"/>
    <w:rsid w:val="00AE7799"/>
    <w:rsid w:val="00AF0BF9"/>
    <w:rsid w:val="00AF115F"/>
    <w:rsid w:val="00AF13F4"/>
    <w:rsid w:val="00AF1D41"/>
    <w:rsid w:val="00AF2F6B"/>
    <w:rsid w:val="00AF5FD2"/>
    <w:rsid w:val="00AF7D1C"/>
    <w:rsid w:val="00AF7E11"/>
    <w:rsid w:val="00B002FE"/>
    <w:rsid w:val="00B01ACA"/>
    <w:rsid w:val="00B10AC2"/>
    <w:rsid w:val="00B20FFB"/>
    <w:rsid w:val="00B21358"/>
    <w:rsid w:val="00B21E6C"/>
    <w:rsid w:val="00B2632C"/>
    <w:rsid w:val="00B31CDA"/>
    <w:rsid w:val="00B34C40"/>
    <w:rsid w:val="00B36755"/>
    <w:rsid w:val="00B3747A"/>
    <w:rsid w:val="00B375A0"/>
    <w:rsid w:val="00B50861"/>
    <w:rsid w:val="00B5127C"/>
    <w:rsid w:val="00B52D55"/>
    <w:rsid w:val="00B601FF"/>
    <w:rsid w:val="00B61494"/>
    <w:rsid w:val="00B6348F"/>
    <w:rsid w:val="00B63D2D"/>
    <w:rsid w:val="00B645F0"/>
    <w:rsid w:val="00B64EA2"/>
    <w:rsid w:val="00B703DC"/>
    <w:rsid w:val="00B716A8"/>
    <w:rsid w:val="00B8207D"/>
    <w:rsid w:val="00B82803"/>
    <w:rsid w:val="00B90CE9"/>
    <w:rsid w:val="00B93F8E"/>
    <w:rsid w:val="00B96AB7"/>
    <w:rsid w:val="00BA081A"/>
    <w:rsid w:val="00BA0D32"/>
    <w:rsid w:val="00BA0FFE"/>
    <w:rsid w:val="00BA2B3E"/>
    <w:rsid w:val="00BA4BEA"/>
    <w:rsid w:val="00BA51F9"/>
    <w:rsid w:val="00BA59A6"/>
    <w:rsid w:val="00BA5A05"/>
    <w:rsid w:val="00BA67F9"/>
    <w:rsid w:val="00BB4B8D"/>
    <w:rsid w:val="00BB4BD8"/>
    <w:rsid w:val="00BB766F"/>
    <w:rsid w:val="00BC0FDB"/>
    <w:rsid w:val="00BC16C0"/>
    <w:rsid w:val="00BC1BAC"/>
    <w:rsid w:val="00BC2215"/>
    <w:rsid w:val="00BD0B65"/>
    <w:rsid w:val="00BD2AE1"/>
    <w:rsid w:val="00BD5E56"/>
    <w:rsid w:val="00BD7051"/>
    <w:rsid w:val="00BE34DF"/>
    <w:rsid w:val="00BE4F64"/>
    <w:rsid w:val="00BE682F"/>
    <w:rsid w:val="00BE717B"/>
    <w:rsid w:val="00BE71A6"/>
    <w:rsid w:val="00BF3A38"/>
    <w:rsid w:val="00BF4A67"/>
    <w:rsid w:val="00BF4B97"/>
    <w:rsid w:val="00BF5B91"/>
    <w:rsid w:val="00BF7366"/>
    <w:rsid w:val="00BF74F0"/>
    <w:rsid w:val="00BF7B70"/>
    <w:rsid w:val="00C00259"/>
    <w:rsid w:val="00C0391A"/>
    <w:rsid w:val="00C03DAC"/>
    <w:rsid w:val="00C04EAA"/>
    <w:rsid w:val="00C06D3B"/>
    <w:rsid w:val="00C119BE"/>
    <w:rsid w:val="00C16E00"/>
    <w:rsid w:val="00C21400"/>
    <w:rsid w:val="00C21BCC"/>
    <w:rsid w:val="00C226C9"/>
    <w:rsid w:val="00C2276F"/>
    <w:rsid w:val="00C25DD2"/>
    <w:rsid w:val="00C26A47"/>
    <w:rsid w:val="00C27183"/>
    <w:rsid w:val="00C27364"/>
    <w:rsid w:val="00C3022F"/>
    <w:rsid w:val="00C31808"/>
    <w:rsid w:val="00C34ABE"/>
    <w:rsid w:val="00C36F16"/>
    <w:rsid w:val="00C37927"/>
    <w:rsid w:val="00C450BD"/>
    <w:rsid w:val="00C47802"/>
    <w:rsid w:val="00C530FE"/>
    <w:rsid w:val="00C60DF5"/>
    <w:rsid w:val="00C6142D"/>
    <w:rsid w:val="00C632D7"/>
    <w:rsid w:val="00C63A58"/>
    <w:rsid w:val="00C63D9B"/>
    <w:rsid w:val="00C656E8"/>
    <w:rsid w:val="00C66347"/>
    <w:rsid w:val="00C67D77"/>
    <w:rsid w:val="00C75252"/>
    <w:rsid w:val="00C81497"/>
    <w:rsid w:val="00C81F65"/>
    <w:rsid w:val="00C82F23"/>
    <w:rsid w:val="00C8419D"/>
    <w:rsid w:val="00C8634E"/>
    <w:rsid w:val="00C878D7"/>
    <w:rsid w:val="00C9037C"/>
    <w:rsid w:val="00C936B2"/>
    <w:rsid w:val="00C9433D"/>
    <w:rsid w:val="00C94472"/>
    <w:rsid w:val="00C954EA"/>
    <w:rsid w:val="00C9704D"/>
    <w:rsid w:val="00C97486"/>
    <w:rsid w:val="00CA30F8"/>
    <w:rsid w:val="00CA53FC"/>
    <w:rsid w:val="00CA668D"/>
    <w:rsid w:val="00CB003A"/>
    <w:rsid w:val="00CB085F"/>
    <w:rsid w:val="00CB3119"/>
    <w:rsid w:val="00CB3FC3"/>
    <w:rsid w:val="00CC0B33"/>
    <w:rsid w:val="00CC4534"/>
    <w:rsid w:val="00CD1BC7"/>
    <w:rsid w:val="00CD3136"/>
    <w:rsid w:val="00CD5099"/>
    <w:rsid w:val="00CD58CD"/>
    <w:rsid w:val="00CD61E0"/>
    <w:rsid w:val="00CD68BD"/>
    <w:rsid w:val="00CE2D06"/>
    <w:rsid w:val="00CE332E"/>
    <w:rsid w:val="00CE6F37"/>
    <w:rsid w:val="00CE78C0"/>
    <w:rsid w:val="00CF2066"/>
    <w:rsid w:val="00CF2CA4"/>
    <w:rsid w:val="00CF4A47"/>
    <w:rsid w:val="00CF53A8"/>
    <w:rsid w:val="00CF6A78"/>
    <w:rsid w:val="00D01021"/>
    <w:rsid w:val="00D03489"/>
    <w:rsid w:val="00D116B1"/>
    <w:rsid w:val="00D12A06"/>
    <w:rsid w:val="00D14901"/>
    <w:rsid w:val="00D20B1E"/>
    <w:rsid w:val="00D218DF"/>
    <w:rsid w:val="00D23D3E"/>
    <w:rsid w:val="00D240B8"/>
    <w:rsid w:val="00D24768"/>
    <w:rsid w:val="00D24A88"/>
    <w:rsid w:val="00D3076F"/>
    <w:rsid w:val="00D367C2"/>
    <w:rsid w:val="00D41729"/>
    <w:rsid w:val="00D417A3"/>
    <w:rsid w:val="00D51E0C"/>
    <w:rsid w:val="00D5303C"/>
    <w:rsid w:val="00D5510C"/>
    <w:rsid w:val="00D568EF"/>
    <w:rsid w:val="00D56F34"/>
    <w:rsid w:val="00D600BD"/>
    <w:rsid w:val="00D625C4"/>
    <w:rsid w:val="00D62846"/>
    <w:rsid w:val="00D71D19"/>
    <w:rsid w:val="00D77556"/>
    <w:rsid w:val="00D77E3D"/>
    <w:rsid w:val="00D813E8"/>
    <w:rsid w:val="00D83594"/>
    <w:rsid w:val="00D84037"/>
    <w:rsid w:val="00D8477F"/>
    <w:rsid w:val="00D851F7"/>
    <w:rsid w:val="00D87BBF"/>
    <w:rsid w:val="00D87D0B"/>
    <w:rsid w:val="00D905A2"/>
    <w:rsid w:val="00D90E17"/>
    <w:rsid w:val="00D93209"/>
    <w:rsid w:val="00D93DA0"/>
    <w:rsid w:val="00D94340"/>
    <w:rsid w:val="00D95842"/>
    <w:rsid w:val="00D96EE2"/>
    <w:rsid w:val="00D97B1A"/>
    <w:rsid w:val="00DA033B"/>
    <w:rsid w:val="00DA05AC"/>
    <w:rsid w:val="00DA2717"/>
    <w:rsid w:val="00DA35D5"/>
    <w:rsid w:val="00DA5F5B"/>
    <w:rsid w:val="00DB07B0"/>
    <w:rsid w:val="00DB1622"/>
    <w:rsid w:val="00DB29A8"/>
    <w:rsid w:val="00DB345E"/>
    <w:rsid w:val="00DB47F1"/>
    <w:rsid w:val="00DC5878"/>
    <w:rsid w:val="00DD050F"/>
    <w:rsid w:val="00DD104D"/>
    <w:rsid w:val="00DD6046"/>
    <w:rsid w:val="00DD6760"/>
    <w:rsid w:val="00DD7AFB"/>
    <w:rsid w:val="00DE0234"/>
    <w:rsid w:val="00DE76C6"/>
    <w:rsid w:val="00DE7858"/>
    <w:rsid w:val="00DF17C1"/>
    <w:rsid w:val="00DF17FE"/>
    <w:rsid w:val="00DF3373"/>
    <w:rsid w:val="00E02D8C"/>
    <w:rsid w:val="00E03689"/>
    <w:rsid w:val="00E03BEA"/>
    <w:rsid w:val="00E03DE3"/>
    <w:rsid w:val="00E04243"/>
    <w:rsid w:val="00E04766"/>
    <w:rsid w:val="00E079BB"/>
    <w:rsid w:val="00E07A7C"/>
    <w:rsid w:val="00E10885"/>
    <w:rsid w:val="00E11046"/>
    <w:rsid w:val="00E13A9C"/>
    <w:rsid w:val="00E146F2"/>
    <w:rsid w:val="00E161CC"/>
    <w:rsid w:val="00E1628E"/>
    <w:rsid w:val="00E17EDF"/>
    <w:rsid w:val="00E20513"/>
    <w:rsid w:val="00E20F4D"/>
    <w:rsid w:val="00E227DE"/>
    <w:rsid w:val="00E238E9"/>
    <w:rsid w:val="00E24973"/>
    <w:rsid w:val="00E27BB3"/>
    <w:rsid w:val="00E32A9D"/>
    <w:rsid w:val="00E3516F"/>
    <w:rsid w:val="00E35C1A"/>
    <w:rsid w:val="00E35CD0"/>
    <w:rsid w:val="00E422CF"/>
    <w:rsid w:val="00E425BD"/>
    <w:rsid w:val="00E45587"/>
    <w:rsid w:val="00E45F6B"/>
    <w:rsid w:val="00E53DB8"/>
    <w:rsid w:val="00E64CE5"/>
    <w:rsid w:val="00E71397"/>
    <w:rsid w:val="00E73EC5"/>
    <w:rsid w:val="00E77A64"/>
    <w:rsid w:val="00E8070F"/>
    <w:rsid w:val="00E80CE1"/>
    <w:rsid w:val="00E8245B"/>
    <w:rsid w:val="00E845BB"/>
    <w:rsid w:val="00E85AF5"/>
    <w:rsid w:val="00E87A27"/>
    <w:rsid w:val="00E92231"/>
    <w:rsid w:val="00E92FD5"/>
    <w:rsid w:val="00E96BF2"/>
    <w:rsid w:val="00EA2F92"/>
    <w:rsid w:val="00EB21ED"/>
    <w:rsid w:val="00EB5A48"/>
    <w:rsid w:val="00EB5E62"/>
    <w:rsid w:val="00EC0C69"/>
    <w:rsid w:val="00EC0DB0"/>
    <w:rsid w:val="00EC4776"/>
    <w:rsid w:val="00EC5BC3"/>
    <w:rsid w:val="00EC5FAF"/>
    <w:rsid w:val="00EC6749"/>
    <w:rsid w:val="00EC7817"/>
    <w:rsid w:val="00ED4EC9"/>
    <w:rsid w:val="00ED50C9"/>
    <w:rsid w:val="00ED6199"/>
    <w:rsid w:val="00EE0B0E"/>
    <w:rsid w:val="00EE3088"/>
    <w:rsid w:val="00EF2363"/>
    <w:rsid w:val="00EF5ECB"/>
    <w:rsid w:val="00EF6DCC"/>
    <w:rsid w:val="00EF71E5"/>
    <w:rsid w:val="00EF748D"/>
    <w:rsid w:val="00EF781C"/>
    <w:rsid w:val="00EF7CB5"/>
    <w:rsid w:val="00F004C2"/>
    <w:rsid w:val="00F015DB"/>
    <w:rsid w:val="00F02CD8"/>
    <w:rsid w:val="00F06072"/>
    <w:rsid w:val="00F10B74"/>
    <w:rsid w:val="00F1396F"/>
    <w:rsid w:val="00F1487E"/>
    <w:rsid w:val="00F14905"/>
    <w:rsid w:val="00F1757F"/>
    <w:rsid w:val="00F235CB"/>
    <w:rsid w:val="00F23B72"/>
    <w:rsid w:val="00F24F5A"/>
    <w:rsid w:val="00F265B4"/>
    <w:rsid w:val="00F27C5F"/>
    <w:rsid w:val="00F305F7"/>
    <w:rsid w:val="00F311DB"/>
    <w:rsid w:val="00F31337"/>
    <w:rsid w:val="00F34B54"/>
    <w:rsid w:val="00F40753"/>
    <w:rsid w:val="00F41911"/>
    <w:rsid w:val="00F41CA8"/>
    <w:rsid w:val="00F4591C"/>
    <w:rsid w:val="00F51DC7"/>
    <w:rsid w:val="00F51FEB"/>
    <w:rsid w:val="00F52733"/>
    <w:rsid w:val="00F53311"/>
    <w:rsid w:val="00F5656B"/>
    <w:rsid w:val="00F56D95"/>
    <w:rsid w:val="00F6095F"/>
    <w:rsid w:val="00F6525E"/>
    <w:rsid w:val="00F67F05"/>
    <w:rsid w:val="00F72D0B"/>
    <w:rsid w:val="00F7395C"/>
    <w:rsid w:val="00F73AC9"/>
    <w:rsid w:val="00F7485D"/>
    <w:rsid w:val="00F74F56"/>
    <w:rsid w:val="00F75F2D"/>
    <w:rsid w:val="00F76131"/>
    <w:rsid w:val="00F77798"/>
    <w:rsid w:val="00F82532"/>
    <w:rsid w:val="00F853A4"/>
    <w:rsid w:val="00F85CB8"/>
    <w:rsid w:val="00F9259A"/>
    <w:rsid w:val="00F9369B"/>
    <w:rsid w:val="00F9526D"/>
    <w:rsid w:val="00F95C6D"/>
    <w:rsid w:val="00F96A5B"/>
    <w:rsid w:val="00FA30DB"/>
    <w:rsid w:val="00FA49D0"/>
    <w:rsid w:val="00FA6B23"/>
    <w:rsid w:val="00FB0552"/>
    <w:rsid w:val="00FB7F1C"/>
    <w:rsid w:val="00FC174E"/>
    <w:rsid w:val="00FC2B60"/>
    <w:rsid w:val="00FC33E4"/>
    <w:rsid w:val="00FC4D8E"/>
    <w:rsid w:val="00FC5902"/>
    <w:rsid w:val="00FC5AAC"/>
    <w:rsid w:val="00FC5C02"/>
    <w:rsid w:val="00FD0BF8"/>
    <w:rsid w:val="00FD0D7E"/>
    <w:rsid w:val="00FD1539"/>
    <w:rsid w:val="00FD79FF"/>
    <w:rsid w:val="00FE3BAD"/>
    <w:rsid w:val="00FE40CB"/>
    <w:rsid w:val="00FE5155"/>
    <w:rsid w:val="00FF3E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3BB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6A2D85"/>
    <w:pPr>
      <w:spacing w:line="480" w:lineRule="auto"/>
      <w:outlineLvl w:val="1"/>
    </w:pPr>
    <w:rPr>
      <w:rFonts w:ascii="Palatino Linotype" w:hAnsi="Palatino Linotype"/>
      <w:b/>
      <w:i/>
    </w:rPr>
  </w:style>
  <w:style w:type="paragraph" w:styleId="Heading4">
    <w:name w:val="heading 4"/>
    <w:basedOn w:val="Normal"/>
    <w:next w:val="Normal"/>
    <w:link w:val="Heading4Char"/>
    <w:semiHidden/>
    <w:unhideWhenUsed/>
    <w:qFormat/>
    <w:rsid w:val="005306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table" w:styleId="TableGrid">
    <w:name w:val="Table Grid"/>
    <w:basedOn w:val="TableNormal"/>
    <w:rsid w:val="0040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06D3B"/>
    <w:rPr>
      <w:sz w:val="16"/>
      <w:szCs w:val="16"/>
    </w:rPr>
  </w:style>
  <w:style w:type="paragraph" w:styleId="CommentText">
    <w:name w:val="annotation text"/>
    <w:basedOn w:val="Normal"/>
    <w:link w:val="CommentTextChar"/>
    <w:rsid w:val="00C06D3B"/>
    <w:rPr>
      <w:sz w:val="20"/>
      <w:szCs w:val="20"/>
    </w:rPr>
  </w:style>
  <w:style w:type="character" w:customStyle="1" w:styleId="CommentTextChar">
    <w:name w:val="Comment Text Char"/>
    <w:basedOn w:val="DefaultParagraphFont"/>
    <w:link w:val="CommentText"/>
    <w:rsid w:val="00C06D3B"/>
  </w:style>
  <w:style w:type="paragraph" w:styleId="CommentSubject">
    <w:name w:val="annotation subject"/>
    <w:basedOn w:val="CommentText"/>
    <w:next w:val="CommentText"/>
    <w:link w:val="CommentSubjectChar"/>
    <w:rsid w:val="00C06D3B"/>
    <w:rPr>
      <w:b/>
      <w:bCs/>
    </w:rPr>
  </w:style>
  <w:style w:type="character" w:customStyle="1" w:styleId="CommentSubjectChar">
    <w:name w:val="Comment Subject Char"/>
    <w:link w:val="CommentSubject"/>
    <w:rsid w:val="00C06D3B"/>
    <w:rPr>
      <w:b/>
      <w:bCs/>
    </w:rPr>
  </w:style>
  <w:style w:type="paragraph" w:styleId="Revision">
    <w:name w:val="Revision"/>
    <w:hidden/>
    <w:uiPriority w:val="99"/>
    <w:semiHidden/>
    <w:rsid w:val="00474021"/>
    <w:rPr>
      <w:sz w:val="24"/>
      <w:szCs w:val="24"/>
    </w:rPr>
  </w:style>
  <w:style w:type="paragraph" w:styleId="ListParagraph">
    <w:name w:val="List Paragraph"/>
    <w:basedOn w:val="Normal"/>
    <w:uiPriority w:val="34"/>
    <w:qFormat/>
    <w:rsid w:val="003E53BD"/>
    <w:pPr>
      <w:ind w:left="720"/>
      <w:contextualSpacing/>
    </w:pPr>
    <w:rPr>
      <w:rFonts w:eastAsiaTheme="minorHAnsi"/>
    </w:rPr>
  </w:style>
  <w:style w:type="paragraph" w:styleId="FootnoteText">
    <w:name w:val="footnote text"/>
    <w:basedOn w:val="Normal"/>
    <w:link w:val="FootnoteTextChar"/>
    <w:semiHidden/>
    <w:unhideWhenUsed/>
    <w:rsid w:val="00F265B4"/>
    <w:rPr>
      <w:sz w:val="20"/>
      <w:szCs w:val="20"/>
    </w:rPr>
  </w:style>
  <w:style w:type="character" w:customStyle="1" w:styleId="FootnoteTextChar">
    <w:name w:val="Footnote Text Char"/>
    <w:basedOn w:val="DefaultParagraphFont"/>
    <w:link w:val="FootnoteText"/>
    <w:semiHidden/>
    <w:rsid w:val="00F265B4"/>
  </w:style>
  <w:style w:type="character" w:styleId="FootnoteReference">
    <w:name w:val="footnote reference"/>
    <w:basedOn w:val="DefaultParagraphFont"/>
    <w:semiHidden/>
    <w:unhideWhenUsed/>
    <w:rsid w:val="00F265B4"/>
    <w:rPr>
      <w:vertAlign w:val="superscript"/>
    </w:rPr>
  </w:style>
  <w:style w:type="character" w:customStyle="1" w:styleId="Heading2Char">
    <w:name w:val="Heading 2 Char"/>
    <w:basedOn w:val="DefaultParagraphFont"/>
    <w:link w:val="Heading2"/>
    <w:uiPriority w:val="99"/>
    <w:rsid w:val="006A2D85"/>
    <w:rPr>
      <w:rFonts w:ascii="Palatino Linotype" w:hAnsi="Palatino Linotype"/>
      <w:b/>
      <w:i/>
      <w:sz w:val="24"/>
      <w:szCs w:val="24"/>
    </w:rPr>
  </w:style>
  <w:style w:type="character" w:customStyle="1" w:styleId="BalloonTextChar">
    <w:name w:val="Balloon Text Char"/>
    <w:basedOn w:val="DefaultParagraphFont"/>
    <w:link w:val="BalloonText"/>
    <w:uiPriority w:val="99"/>
    <w:semiHidden/>
    <w:rsid w:val="006A2D85"/>
    <w:rPr>
      <w:rFonts w:ascii="Tahoma" w:hAnsi="Tahoma" w:cs="Tahoma"/>
      <w:sz w:val="16"/>
      <w:szCs w:val="16"/>
    </w:rPr>
  </w:style>
  <w:style w:type="character" w:styleId="Hyperlink">
    <w:name w:val="Hyperlink"/>
    <w:basedOn w:val="DefaultParagraphFont"/>
    <w:unhideWhenUsed/>
    <w:rsid w:val="00926C7F"/>
    <w:rPr>
      <w:color w:val="0000FF" w:themeColor="hyperlink"/>
      <w:u w:val="single"/>
    </w:rPr>
  </w:style>
  <w:style w:type="character" w:styleId="Strong">
    <w:name w:val="Strong"/>
    <w:qFormat/>
    <w:rsid w:val="004545E1"/>
    <w:rPr>
      <w:rFonts w:cs="Times New Roman"/>
      <w:b/>
      <w:bCs/>
    </w:rPr>
  </w:style>
  <w:style w:type="character" w:customStyle="1" w:styleId="Heading4Char">
    <w:name w:val="Heading 4 Char"/>
    <w:basedOn w:val="DefaultParagraphFont"/>
    <w:link w:val="Heading4"/>
    <w:semiHidden/>
    <w:rsid w:val="005306F0"/>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pdf/2021/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2222ef0-b167-44f5-92f7-438fda0857cd">DOASM-1118978317-184</_dlc_DocId>
    <_dlc_DocIdUrl xmlns="52222ef0-b167-44f5-92f7-438fda0857cd">
      <Url>https://my.treas.gov/Collab/ASM/CARESAct/_layouts/15/DocIdRedir.aspx?ID=DOASM-1118978317-184</Url>
      <Description>DOASM-1118978317-184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C97072EDB2B343AF767959F4EC5B06" ma:contentTypeVersion="1" ma:contentTypeDescription="Create a new document." ma:contentTypeScope="" ma:versionID="b8f1624c09902579f26848a0c292d530">
  <xsd:schema xmlns:xsd="http://www.w3.org/2001/XMLSchema" xmlns:xs="http://www.w3.org/2001/XMLSchema" xmlns:p="http://schemas.microsoft.com/office/2006/metadata/properties" xmlns:ns2="52222ef0-b167-44f5-92f7-438fda0857cd" xmlns:ns3="e1d73853-d819-42eb-a3e7-300e49034f2b" targetNamespace="http://schemas.microsoft.com/office/2006/metadata/properties" ma:root="true" ma:fieldsID="691cc623ce21c2dac6e4c5400c25a6af" ns2:_="" ns3:_="">
    <xsd:import namespace="52222ef0-b167-44f5-92f7-438fda0857cd"/>
    <xsd:import namespace="e1d73853-d819-42eb-a3e7-300e49034f2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d73853-d819-42eb-a3e7-300e49034f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59ABAB-3036-48C4-BF63-D8A1B72B0604}">
  <ds:schemaRefs>
    <ds:schemaRef ds:uri="http://schemas.microsoft.com/office/2006/metadata/properties"/>
    <ds:schemaRef ds:uri="http://schemas.microsoft.com/office/infopath/2007/PartnerControls"/>
    <ds:schemaRef ds:uri="52222ef0-b167-44f5-92f7-438fda0857cd"/>
  </ds:schemaRefs>
</ds:datastoreItem>
</file>

<file path=customXml/itemProps2.xml><?xml version="1.0" encoding="utf-8"?>
<ds:datastoreItem xmlns:ds="http://schemas.openxmlformats.org/officeDocument/2006/customXml" ds:itemID="{2FF282E0-F7BF-4C7E-9352-B77078898D5E}">
  <ds:schemaRefs>
    <ds:schemaRef ds:uri="http://schemas.microsoft.com/sharepoint/v3/contenttype/forms"/>
  </ds:schemaRefs>
</ds:datastoreItem>
</file>

<file path=customXml/itemProps3.xml><?xml version="1.0" encoding="utf-8"?>
<ds:datastoreItem xmlns:ds="http://schemas.openxmlformats.org/officeDocument/2006/customXml" ds:itemID="{1DE8BBA6-CE1E-444E-B53F-4C1BE780168C}">
  <ds:schemaRefs>
    <ds:schemaRef ds:uri="http://schemas.openxmlformats.org/officeDocument/2006/bibliography"/>
  </ds:schemaRefs>
</ds:datastoreItem>
</file>

<file path=customXml/itemProps4.xml><?xml version="1.0" encoding="utf-8"?>
<ds:datastoreItem xmlns:ds="http://schemas.openxmlformats.org/officeDocument/2006/customXml" ds:itemID="{6DF32F7B-587F-4B96-8D15-1DFD66119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e1d73853-d819-42eb-a3e7-300e49034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8D9965-C635-4F25-86DD-AD156F689F2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2228</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2023-01-30T20:59:00Z</dcterms:created>
  <dcterms:modified xsi:type="dcterms:W3CDTF">2023-01-30T20:59:00Z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0x0101003BC97072EDB2B343AF767959F4EC5B06</vt:lpwstr>
  </property>
  <property fmtid="{D5CDD505-2E9C-101B-9397-08002B2CF9AE}" pid="3" name="_dlc_DocIdItemGuid">
    <vt:lpwstr>f806af5e-6db0-4bd9-8c57-799387d5012b</vt:lpwstr>
  </property>
</Properties>
</file>