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7A5D4B" w:rsidP="00D73D2D" w14:paraId="29A4F240" w14:textId="77777777">
      <w:pPr>
        <w:suppressAutoHyphens/>
        <w:jc w:val="center"/>
        <w:rPr>
          <w:rFonts w:ascii="Arial" w:hAnsi="Arial" w:cs="Arial"/>
          <w:b/>
          <w:sz w:val="22"/>
          <w:szCs w:val="22"/>
        </w:rPr>
      </w:pPr>
      <w:r w:rsidRPr="007A5D4B">
        <w:rPr>
          <w:rFonts w:ascii="Arial" w:hAnsi="Arial" w:cs="Arial"/>
          <w:b/>
          <w:sz w:val="22"/>
          <w:szCs w:val="22"/>
        </w:rPr>
        <w:t>DEPARTMENT OF THE TREASURY</w:t>
      </w:r>
      <w:r w:rsidRPr="007A5D4B" w:rsidR="00D73D2D">
        <w:rPr>
          <w:rFonts w:ascii="Arial" w:hAnsi="Arial" w:cs="Arial"/>
          <w:b/>
          <w:sz w:val="22"/>
          <w:szCs w:val="22"/>
        </w:rPr>
        <w:t xml:space="preserve"> </w:t>
      </w:r>
    </w:p>
    <w:p w:rsidR="00AF1157" w:rsidRPr="002A2434" w:rsidP="00D73D2D" w14:paraId="37EE4E34" w14:textId="77777777">
      <w:pPr>
        <w:suppressAutoHyphens/>
        <w:jc w:val="center"/>
        <w:rPr>
          <w:rFonts w:ascii="Arial" w:hAnsi="Arial" w:cs="Arial"/>
          <w:b/>
        </w:rPr>
      </w:pPr>
    </w:p>
    <w:p w:rsidR="00AF1157" w:rsidRPr="007A5D4B" w:rsidP="00D73D2D" w14:paraId="4C3AE945" w14:textId="77777777">
      <w:pPr>
        <w:suppressAutoHyphens/>
        <w:jc w:val="center"/>
        <w:rPr>
          <w:rFonts w:ascii="Arial" w:hAnsi="Arial" w:cs="Arial"/>
          <w:b/>
          <w:sz w:val="22"/>
          <w:szCs w:val="22"/>
        </w:rPr>
      </w:pPr>
      <w:r w:rsidRPr="007A5D4B">
        <w:rPr>
          <w:rFonts w:ascii="Arial" w:hAnsi="Arial" w:cs="Arial"/>
          <w:b/>
          <w:sz w:val="22"/>
          <w:szCs w:val="22"/>
        </w:rPr>
        <w:t xml:space="preserve">ALCOHOL </w:t>
      </w:r>
      <w:r w:rsidRPr="007A5D4B" w:rsidR="00D004D6">
        <w:rPr>
          <w:rFonts w:ascii="Arial" w:hAnsi="Arial" w:cs="Arial"/>
          <w:b/>
          <w:sz w:val="22"/>
          <w:szCs w:val="22"/>
        </w:rPr>
        <w:t xml:space="preserve">AND </w:t>
      </w:r>
      <w:r w:rsidRPr="007A5D4B">
        <w:rPr>
          <w:rFonts w:ascii="Arial" w:hAnsi="Arial" w:cs="Arial"/>
          <w:b/>
          <w:sz w:val="22"/>
          <w:szCs w:val="22"/>
        </w:rPr>
        <w:t>TOBACCO TAX AND TRADE BUREAU</w:t>
      </w:r>
      <w:r w:rsidRPr="007A5D4B" w:rsidR="00D73D2D">
        <w:rPr>
          <w:rFonts w:ascii="Arial" w:hAnsi="Arial" w:cs="Arial"/>
          <w:b/>
          <w:sz w:val="22"/>
          <w:szCs w:val="22"/>
        </w:rPr>
        <w:t xml:space="preserve"> </w:t>
      </w:r>
    </w:p>
    <w:p w:rsidR="00AF1157" w:rsidRPr="004809A6" w:rsidP="00D73D2D" w14:paraId="0B13E7BE" w14:textId="77777777">
      <w:pPr>
        <w:suppressAutoHyphens/>
        <w:jc w:val="center"/>
        <w:rPr>
          <w:rFonts w:ascii="Arial" w:hAnsi="Arial" w:cs="Arial"/>
          <w:b/>
          <w:sz w:val="28"/>
          <w:szCs w:val="28"/>
        </w:rPr>
      </w:pPr>
    </w:p>
    <w:p w:rsidR="00AF1157" w:rsidRPr="007A5D4B" w:rsidP="00D73D2D" w14:paraId="15AE182D" w14:textId="77777777">
      <w:pPr>
        <w:suppressAutoHyphens/>
        <w:jc w:val="center"/>
        <w:rPr>
          <w:rFonts w:ascii="Arial" w:hAnsi="Arial" w:cs="Arial"/>
          <w:b/>
          <w:sz w:val="22"/>
          <w:szCs w:val="22"/>
        </w:rPr>
      </w:pPr>
      <w:r w:rsidRPr="007A5D4B">
        <w:rPr>
          <w:rFonts w:ascii="Arial" w:hAnsi="Arial" w:cs="Arial"/>
          <w:b/>
          <w:sz w:val="22"/>
          <w:szCs w:val="22"/>
        </w:rPr>
        <w:t xml:space="preserve">Supporting Statement </w:t>
      </w:r>
      <w:r w:rsidR="00D77905">
        <w:rPr>
          <w:rFonts w:ascii="Arial" w:hAnsi="Arial" w:cs="Arial"/>
          <w:b/>
          <w:sz w:val="22"/>
          <w:szCs w:val="22"/>
        </w:rPr>
        <w:t xml:space="preserve">Part </w:t>
      </w:r>
      <w:r w:rsidR="0013146D">
        <w:rPr>
          <w:rFonts w:ascii="Arial" w:hAnsi="Arial" w:cs="Arial"/>
          <w:b/>
          <w:sz w:val="22"/>
          <w:szCs w:val="22"/>
        </w:rPr>
        <w:t xml:space="preserve">A </w:t>
      </w:r>
      <w:r w:rsidRPr="007A5D4B" w:rsidR="00D73D2D">
        <w:rPr>
          <w:rFonts w:ascii="Arial" w:hAnsi="Arial" w:cs="Arial"/>
          <w:b/>
          <w:sz w:val="22"/>
          <w:szCs w:val="22"/>
        </w:rPr>
        <w:t>––</w:t>
      </w:r>
      <w:r w:rsidRPr="007A5D4B">
        <w:rPr>
          <w:rFonts w:ascii="Arial" w:hAnsi="Arial" w:cs="Arial"/>
          <w:b/>
          <w:sz w:val="22"/>
          <w:szCs w:val="22"/>
        </w:rPr>
        <w:t xml:space="preserve"> Information Collection Request</w:t>
      </w:r>
      <w:r w:rsidRPr="007A5D4B" w:rsidR="00D73D2D">
        <w:rPr>
          <w:rFonts w:ascii="Arial" w:hAnsi="Arial" w:cs="Arial"/>
          <w:b/>
          <w:sz w:val="22"/>
          <w:szCs w:val="22"/>
        </w:rPr>
        <w:t xml:space="preserve"> </w:t>
      </w:r>
    </w:p>
    <w:p w:rsidR="00AF1157" w:rsidRPr="00DD7E42" w:rsidP="00D73D2D" w14:paraId="52E23A02" w14:textId="77777777">
      <w:pPr>
        <w:suppressAutoHyphens/>
        <w:jc w:val="center"/>
        <w:rPr>
          <w:rFonts w:ascii="Arial" w:hAnsi="Arial" w:cs="Arial"/>
          <w:b/>
          <w:sz w:val="28"/>
          <w:szCs w:val="28"/>
        </w:rPr>
      </w:pPr>
    </w:p>
    <w:p w:rsidR="00AF1157" w:rsidRPr="004809A6" w:rsidP="00D73D2D" w14:paraId="4BD83964" w14:textId="77777777">
      <w:pPr>
        <w:suppressAutoHyphens/>
        <w:jc w:val="center"/>
        <w:rPr>
          <w:rFonts w:ascii="Arial" w:hAnsi="Arial" w:cs="Arial"/>
          <w:b/>
          <w:sz w:val="22"/>
          <w:szCs w:val="22"/>
          <w:u w:val="single"/>
        </w:rPr>
      </w:pPr>
      <w:r w:rsidRPr="004809A6">
        <w:rPr>
          <w:rFonts w:ascii="Arial" w:hAnsi="Arial" w:cs="Arial"/>
          <w:b/>
          <w:sz w:val="22"/>
          <w:szCs w:val="22"/>
          <w:u w:val="single"/>
        </w:rPr>
        <w:t>OMB Control Number 1513</w:t>
      </w:r>
      <w:r w:rsidRPr="004809A6" w:rsidR="00D73D2D">
        <w:rPr>
          <w:rFonts w:ascii="Arial" w:hAnsi="Arial" w:cs="Arial"/>
          <w:b/>
          <w:sz w:val="22"/>
          <w:szCs w:val="22"/>
          <w:u w:val="single"/>
        </w:rPr>
        <w:t>–</w:t>
      </w:r>
      <w:r w:rsidRPr="004809A6" w:rsidR="00431FD7">
        <w:rPr>
          <w:rFonts w:ascii="Arial" w:hAnsi="Arial" w:cs="Arial"/>
          <w:b/>
          <w:sz w:val="22"/>
          <w:szCs w:val="22"/>
          <w:u w:val="single"/>
        </w:rPr>
        <w:t>0132</w:t>
      </w:r>
      <w:r w:rsidRPr="004809A6" w:rsidR="00987432">
        <w:rPr>
          <w:rFonts w:ascii="Arial" w:hAnsi="Arial" w:cs="Arial"/>
          <w:b/>
          <w:sz w:val="22"/>
          <w:szCs w:val="22"/>
          <w:u w:val="single"/>
        </w:rPr>
        <w:t xml:space="preserve"> </w:t>
      </w:r>
    </w:p>
    <w:p w:rsidR="00E86B1B" w:rsidRPr="002A2434" w:rsidP="00DD7E42" w14:paraId="411E82ED" w14:textId="77777777">
      <w:pPr>
        <w:suppressAutoHyphens/>
        <w:jc w:val="center"/>
        <w:rPr>
          <w:rFonts w:ascii="Arial" w:hAnsi="Arial" w:cs="Arial"/>
          <w:b/>
          <w:sz w:val="28"/>
          <w:szCs w:val="28"/>
          <w:u w:val="single"/>
        </w:rPr>
      </w:pPr>
    </w:p>
    <w:p w:rsidR="009A6532" w:rsidRPr="00DD7E42" w:rsidP="00DD7E42" w14:paraId="4A919085" w14:textId="77777777">
      <w:pPr>
        <w:jc w:val="center"/>
        <w:rPr>
          <w:rFonts w:ascii="Arial" w:hAnsi="Arial" w:cs="Arial"/>
          <w:b/>
          <w:sz w:val="22"/>
          <w:szCs w:val="22"/>
          <w:highlight w:val="yellow"/>
        </w:rPr>
      </w:pPr>
      <w:r w:rsidRPr="00DD7E42">
        <w:rPr>
          <w:rFonts w:ascii="Arial" w:hAnsi="Arial" w:cs="Arial"/>
          <w:b/>
          <w:sz w:val="22"/>
          <w:szCs w:val="22"/>
        </w:rPr>
        <w:t>Generic Clearance for the Collection of Qualitative Feedback on Agency Service Delivery</w:t>
      </w:r>
      <w:r w:rsidR="00DD7E42">
        <w:rPr>
          <w:rFonts w:ascii="Arial" w:hAnsi="Arial" w:cs="Arial"/>
          <w:b/>
          <w:sz w:val="22"/>
          <w:szCs w:val="22"/>
        </w:rPr>
        <w:t xml:space="preserve"> </w:t>
      </w:r>
    </w:p>
    <w:p w:rsidR="002A2434" w:rsidRPr="002A2434" w:rsidP="009A6532" w14:paraId="5FC745BC" w14:textId="77777777">
      <w:pPr>
        <w:rPr>
          <w:rFonts w:ascii="Arial" w:hAnsi="Arial" w:cs="Arial"/>
          <w:sz w:val="36"/>
          <w:szCs w:val="36"/>
          <w:highlight w:val="yellow"/>
        </w:rPr>
      </w:pPr>
    </w:p>
    <w:p w:rsidR="002A2434" w:rsidRPr="000E3AC4" w:rsidP="002A2434" w14:paraId="7AC9FC3C" w14:textId="77777777">
      <w:pPr>
        <w:ind w:right="-324"/>
        <w:rPr>
          <w:rFonts w:ascii="Arial" w:hAnsi="Arial" w:cs="Arial"/>
          <w:b/>
          <w:sz w:val="22"/>
          <w:szCs w:val="22"/>
          <w:u w:val="single"/>
        </w:rPr>
      </w:pPr>
      <w:r w:rsidRPr="000E3AC4">
        <w:rPr>
          <w:rFonts w:ascii="Arial" w:hAnsi="Arial" w:cs="Arial"/>
          <w:b/>
          <w:sz w:val="22"/>
          <w:szCs w:val="22"/>
          <w:u w:val="single"/>
        </w:rPr>
        <w:t xml:space="preserve">Changes Since Last Approval </w:t>
      </w:r>
    </w:p>
    <w:p w:rsidR="002A2434" w:rsidRPr="000E3AC4" w:rsidP="002A2434" w14:paraId="31DE7D1D" w14:textId="77777777">
      <w:pPr>
        <w:ind w:right="-324"/>
        <w:rPr>
          <w:rFonts w:ascii="Arial" w:hAnsi="Arial" w:cs="Arial"/>
          <w:sz w:val="22"/>
          <w:szCs w:val="22"/>
        </w:rPr>
      </w:pPr>
    </w:p>
    <w:p w:rsidR="002A2434" w:rsidRPr="000E3AC4" w:rsidP="002A2434" w14:paraId="3F7289FE" w14:textId="77777777">
      <w:pPr>
        <w:spacing w:after="120"/>
        <w:ind w:left="360" w:right="-324"/>
        <w:rPr>
          <w:rFonts w:ascii="Arial" w:hAnsi="Arial" w:cs="Arial"/>
          <w:sz w:val="22"/>
          <w:szCs w:val="22"/>
        </w:rPr>
      </w:pPr>
      <w:r w:rsidRPr="000E3AC4">
        <w:rPr>
          <w:rFonts w:ascii="Arial" w:hAnsi="Arial" w:cs="Arial"/>
          <w:sz w:val="22"/>
          <w:szCs w:val="22"/>
        </w:rPr>
        <w:t xml:space="preserve">Changes made to the Supporting Statement since this collection’s last approval: </w:t>
      </w:r>
    </w:p>
    <w:p w:rsidR="002A2434" w:rsidRPr="000E3AC4" w:rsidP="002A2434" w14:paraId="2824A18D" w14:textId="77777777">
      <w:pPr>
        <w:numPr>
          <w:ilvl w:val="0"/>
          <w:numId w:val="8"/>
        </w:numPr>
        <w:spacing w:after="120" w:line="259" w:lineRule="auto"/>
        <w:ind w:right="-324"/>
        <w:rPr>
          <w:rFonts w:ascii="Arial" w:hAnsi="Arial" w:cs="Arial"/>
          <w:sz w:val="22"/>
          <w:szCs w:val="22"/>
        </w:rPr>
      </w:pPr>
      <w:r w:rsidRPr="000E3AC4">
        <w:rPr>
          <w:rFonts w:ascii="Arial" w:hAnsi="Arial" w:cs="Arial"/>
          <w:sz w:val="22"/>
          <w:szCs w:val="22"/>
        </w:rPr>
        <w:t xml:space="preserve">In Question 8, TTB is updating the 60-day notice publication information for this information collection request. </w:t>
      </w:r>
    </w:p>
    <w:p w:rsidR="002A2434" w:rsidP="002A2434" w14:paraId="2056749E" w14:textId="77777777">
      <w:pPr>
        <w:numPr>
          <w:ilvl w:val="0"/>
          <w:numId w:val="8"/>
        </w:numPr>
        <w:spacing w:after="120"/>
        <w:ind w:right="-331"/>
        <w:rPr>
          <w:rFonts w:ascii="Arial" w:hAnsi="Arial" w:cs="Arial"/>
          <w:sz w:val="22"/>
          <w:szCs w:val="22"/>
        </w:rPr>
      </w:pPr>
      <w:r w:rsidRPr="000E3AC4">
        <w:rPr>
          <w:rFonts w:ascii="Arial" w:hAnsi="Arial" w:cs="Arial"/>
          <w:sz w:val="22"/>
          <w:szCs w:val="22"/>
        </w:rPr>
        <w:t xml:space="preserve">In Question 12, TTB is revising the </w:t>
      </w:r>
      <w:r>
        <w:rPr>
          <w:rFonts w:ascii="Arial" w:hAnsi="Arial" w:cs="Arial"/>
          <w:sz w:val="22"/>
          <w:szCs w:val="22"/>
        </w:rPr>
        <w:t xml:space="preserve">respondent </w:t>
      </w:r>
      <w:r w:rsidRPr="000E3AC4">
        <w:rPr>
          <w:rFonts w:ascii="Arial" w:hAnsi="Arial" w:cs="Arial"/>
          <w:sz w:val="22"/>
          <w:szCs w:val="22"/>
        </w:rPr>
        <w:t xml:space="preserve">labor costs associated with this information request. </w:t>
      </w:r>
    </w:p>
    <w:p w:rsidR="002A2434" w:rsidRPr="00075AA1" w:rsidP="002A2434" w14:paraId="2FC4956F" w14:textId="77777777">
      <w:pPr>
        <w:pStyle w:val="ListParagraph"/>
        <w:numPr>
          <w:ilvl w:val="0"/>
          <w:numId w:val="8"/>
        </w:numPr>
        <w:suppressAutoHyphens/>
        <w:rPr>
          <w:rFonts w:ascii="Arial" w:hAnsi="Arial" w:cs="Arial"/>
          <w:sz w:val="22"/>
          <w:szCs w:val="22"/>
        </w:rPr>
      </w:pPr>
      <w:r w:rsidRPr="00075AA1">
        <w:rPr>
          <w:rFonts w:ascii="Arial" w:hAnsi="Arial" w:cs="Arial"/>
          <w:sz w:val="22"/>
          <w:szCs w:val="22"/>
        </w:rPr>
        <w:t xml:space="preserve">In Question 14, in revising the estimated costs to the Federal government associated with this information collection request. </w:t>
      </w:r>
    </w:p>
    <w:p w:rsidR="002A2434" w:rsidRPr="002A2434" w:rsidP="002A2434" w14:paraId="23A59A78" w14:textId="77777777">
      <w:pPr>
        <w:suppressAutoHyphens/>
        <w:rPr>
          <w:rFonts w:ascii="Arial" w:hAnsi="Arial" w:cs="Arial"/>
          <w:sz w:val="36"/>
          <w:szCs w:val="36"/>
        </w:rPr>
      </w:pPr>
    </w:p>
    <w:p w:rsidR="00AF1157" w:rsidRPr="007A5D4B" w:rsidP="00D73D2D" w14:paraId="46261523" w14:textId="77777777">
      <w:pPr>
        <w:suppressAutoHyphens/>
        <w:rPr>
          <w:rFonts w:ascii="Arial" w:hAnsi="Arial" w:cs="Arial"/>
          <w:b/>
          <w:sz w:val="22"/>
          <w:szCs w:val="22"/>
          <w:u w:val="single"/>
        </w:rPr>
      </w:pPr>
      <w:r w:rsidRPr="007A5D4B">
        <w:rPr>
          <w:rFonts w:ascii="Arial" w:hAnsi="Arial" w:cs="Arial"/>
          <w:b/>
          <w:sz w:val="22"/>
          <w:szCs w:val="22"/>
          <w:u w:val="single"/>
        </w:rPr>
        <w:t>A.  J</w:t>
      </w:r>
      <w:r w:rsidRPr="007A5D4B" w:rsidR="00BD3333">
        <w:rPr>
          <w:rFonts w:ascii="Arial" w:hAnsi="Arial" w:cs="Arial"/>
          <w:b/>
          <w:sz w:val="22"/>
          <w:szCs w:val="22"/>
          <w:u w:val="single"/>
        </w:rPr>
        <w:t>ustification</w:t>
      </w:r>
      <w:r w:rsidRPr="007A5D4B" w:rsidR="00D73D2D">
        <w:rPr>
          <w:rFonts w:ascii="Arial" w:hAnsi="Arial" w:cs="Arial"/>
          <w:b/>
          <w:sz w:val="22"/>
          <w:szCs w:val="22"/>
          <w:u w:val="single"/>
        </w:rPr>
        <w:t xml:space="preserve"> </w:t>
      </w:r>
    </w:p>
    <w:p w:rsidR="00AF1157" w:rsidRPr="007A5D4B" w:rsidP="00D73D2D" w14:paraId="3E05AF37" w14:textId="77777777">
      <w:pPr>
        <w:suppressAutoHyphens/>
        <w:rPr>
          <w:rFonts w:ascii="Arial" w:hAnsi="Arial" w:cs="Arial"/>
          <w:sz w:val="22"/>
          <w:szCs w:val="22"/>
        </w:rPr>
      </w:pPr>
    </w:p>
    <w:p w:rsidR="00AF1157" w:rsidRPr="007A5D4B" w:rsidP="00D73D2D" w14:paraId="7B1FA01A" w14:textId="1C0B64E2">
      <w:pPr>
        <w:tabs>
          <w:tab w:val="left" w:pos="360"/>
        </w:tabs>
        <w:suppressAutoHyphens/>
        <w:rPr>
          <w:rFonts w:ascii="Arial" w:hAnsi="Arial" w:cs="Arial"/>
          <w:i/>
          <w:sz w:val="22"/>
          <w:szCs w:val="22"/>
        </w:rPr>
      </w:pPr>
      <w:r w:rsidRPr="007A5D4B">
        <w:rPr>
          <w:rFonts w:ascii="Arial" w:hAnsi="Arial" w:cs="Arial"/>
          <w:i/>
          <w:sz w:val="22"/>
          <w:szCs w:val="22"/>
        </w:rPr>
        <w:t xml:space="preserve">1.  </w:t>
      </w:r>
      <w:r w:rsidRPr="007A5D4B">
        <w:rPr>
          <w:rFonts w:ascii="Arial" w:hAnsi="Arial" w:cs="Arial"/>
          <w:i/>
          <w:sz w:val="22"/>
          <w:szCs w:val="22"/>
        </w:rPr>
        <w:t>What are the circumstances that make this collection of information necessary</w:t>
      </w:r>
      <w:r w:rsidRPr="007A5D4B">
        <w:rPr>
          <w:rFonts w:ascii="Arial" w:hAnsi="Arial" w:cs="Arial"/>
          <w:i/>
          <w:sz w:val="22"/>
          <w:szCs w:val="22"/>
        </w:rPr>
        <w:t>,</w:t>
      </w:r>
      <w:r w:rsidRPr="007A5D4B">
        <w:rPr>
          <w:rFonts w:ascii="Arial" w:hAnsi="Arial" w:cs="Arial"/>
          <w:i/>
          <w:sz w:val="22"/>
          <w:szCs w:val="22"/>
        </w:rPr>
        <w:t xml:space="preserve"> and what legal or administrative requirements necessitate the collection?</w:t>
      </w:r>
      <w:r w:rsidRPr="007A5D4B" w:rsidR="005E4F99">
        <w:rPr>
          <w:rFonts w:ascii="Arial" w:hAnsi="Arial" w:cs="Arial"/>
          <w:i/>
          <w:sz w:val="22"/>
          <w:szCs w:val="22"/>
        </w:rPr>
        <w:t xml:space="preserve">  Also</w:t>
      </w:r>
      <w:r w:rsidR="002A2434">
        <w:rPr>
          <w:rFonts w:ascii="Arial" w:hAnsi="Arial" w:cs="Arial"/>
          <w:i/>
          <w:sz w:val="22"/>
          <w:szCs w:val="22"/>
        </w:rPr>
        <w:t>,</w:t>
      </w:r>
      <w:r w:rsidRPr="007A5D4B" w:rsidR="005E4F99">
        <w:rPr>
          <w:rFonts w:ascii="Arial" w:hAnsi="Arial" w:cs="Arial"/>
          <w:i/>
          <w:sz w:val="22"/>
          <w:szCs w:val="22"/>
        </w:rPr>
        <w:t xml:space="preserve"> </w:t>
      </w:r>
      <w:r w:rsidRPr="007A5D4B">
        <w:rPr>
          <w:rFonts w:ascii="Arial" w:hAnsi="Arial" w:cs="Arial"/>
          <w:i/>
          <w:sz w:val="22"/>
          <w:szCs w:val="22"/>
        </w:rPr>
        <w:t xml:space="preserve">align </w:t>
      </w:r>
      <w:r w:rsidRPr="007A5D4B" w:rsidR="005E4F99">
        <w:rPr>
          <w:rFonts w:ascii="Arial" w:hAnsi="Arial" w:cs="Arial"/>
          <w:i/>
          <w:sz w:val="22"/>
          <w:szCs w:val="22"/>
        </w:rPr>
        <w:t xml:space="preserve">the information collection to </w:t>
      </w:r>
      <w:r w:rsidRPr="007A5D4B" w:rsidR="00074898">
        <w:rPr>
          <w:rFonts w:ascii="Arial" w:hAnsi="Arial" w:cs="Arial"/>
          <w:i/>
          <w:sz w:val="22"/>
          <w:szCs w:val="22"/>
        </w:rPr>
        <w:t>TTB</w:t>
      </w:r>
      <w:r w:rsidRPr="007A5D4B">
        <w:rPr>
          <w:rFonts w:ascii="Arial" w:hAnsi="Arial" w:cs="Arial"/>
          <w:i/>
          <w:sz w:val="22"/>
          <w:szCs w:val="22"/>
        </w:rPr>
        <w:t>’s</w:t>
      </w:r>
      <w:r w:rsidRPr="007A5D4B" w:rsidR="00074898">
        <w:rPr>
          <w:rFonts w:ascii="Arial" w:hAnsi="Arial" w:cs="Arial"/>
          <w:i/>
          <w:sz w:val="22"/>
          <w:szCs w:val="22"/>
        </w:rPr>
        <w:t xml:space="preserve"> </w:t>
      </w:r>
      <w:r w:rsidRPr="007A5D4B" w:rsidR="005E4F99">
        <w:rPr>
          <w:rFonts w:ascii="Arial" w:hAnsi="Arial" w:cs="Arial"/>
          <w:i/>
          <w:sz w:val="22"/>
          <w:szCs w:val="22"/>
        </w:rPr>
        <w:t>Line of Business/Sub-function and IT Investment if one is used.</w:t>
      </w:r>
      <w:r w:rsidRPr="007A5D4B">
        <w:rPr>
          <w:rFonts w:ascii="Arial" w:hAnsi="Arial" w:cs="Arial"/>
          <w:i/>
          <w:sz w:val="22"/>
          <w:szCs w:val="22"/>
        </w:rPr>
        <w:t xml:space="preserve"> </w:t>
      </w:r>
    </w:p>
    <w:p w:rsidR="00AF1157" w:rsidP="008B146B" w14:paraId="074DFE75" w14:textId="77777777">
      <w:pPr>
        <w:ind w:left="360"/>
        <w:rPr>
          <w:rFonts w:ascii="Arial" w:hAnsi="Arial" w:cs="Arial"/>
          <w:sz w:val="22"/>
          <w:szCs w:val="22"/>
        </w:rPr>
      </w:pPr>
    </w:p>
    <w:p w:rsidR="000B6799" w:rsidP="000B6799" w14:paraId="56278F77" w14:textId="77777777">
      <w:pPr>
        <w:ind w:left="360"/>
        <w:rPr>
          <w:rFonts w:ascii="Arial" w:hAnsi="Arial" w:cs="Arial"/>
          <w:sz w:val="22"/>
          <w:szCs w:val="22"/>
        </w:rPr>
      </w:pPr>
      <w:r w:rsidRPr="00987432">
        <w:rPr>
          <w:rFonts w:ascii="Arial" w:hAnsi="Arial" w:cs="Arial"/>
          <w:sz w:val="22"/>
          <w:szCs w:val="22"/>
        </w:rPr>
        <w:t xml:space="preserve">The Alcohol and Tobacco Tax and Trade Bureau (TTB) administers the Federal Alcohol Administration Act (FAA Act, 27 U.S.C. </w:t>
      </w:r>
      <w:r>
        <w:rPr>
          <w:rFonts w:ascii="Arial" w:hAnsi="Arial" w:cs="Arial"/>
          <w:sz w:val="22"/>
          <w:szCs w:val="22"/>
        </w:rPr>
        <w:t>chapter 8</w:t>
      </w:r>
      <w:r w:rsidRPr="00987432">
        <w:rPr>
          <w:rFonts w:ascii="Arial" w:hAnsi="Arial" w:cs="Arial"/>
          <w:sz w:val="22"/>
          <w:szCs w:val="22"/>
        </w:rPr>
        <w:t>)</w:t>
      </w:r>
      <w:r>
        <w:rPr>
          <w:rFonts w:ascii="Arial" w:hAnsi="Arial" w:cs="Arial"/>
          <w:sz w:val="22"/>
          <w:szCs w:val="22"/>
        </w:rPr>
        <w:t xml:space="preserve"> and portions of the Internal Revenue Code of 1986, as amended (IRC, 26 U.S.C. </w:t>
      </w:r>
      <w:r w:rsidRPr="00987432">
        <w:rPr>
          <w:rFonts w:ascii="Arial" w:hAnsi="Arial" w:cs="Arial"/>
          <w:sz w:val="22"/>
          <w:szCs w:val="22"/>
        </w:rPr>
        <w:t>chapter 51 (distilled spirits, wine</w:t>
      </w:r>
      <w:r>
        <w:rPr>
          <w:rFonts w:ascii="Arial" w:hAnsi="Arial" w:cs="Arial"/>
          <w:sz w:val="22"/>
          <w:szCs w:val="22"/>
        </w:rPr>
        <w:t>,</w:t>
      </w:r>
      <w:r w:rsidRPr="00987432">
        <w:rPr>
          <w:rFonts w:ascii="Arial" w:hAnsi="Arial" w:cs="Arial"/>
          <w:sz w:val="22"/>
          <w:szCs w:val="22"/>
        </w:rPr>
        <w:t xml:space="preserve"> and beer), chapter 52 (tobacco products</w:t>
      </w:r>
      <w:r>
        <w:rPr>
          <w:rFonts w:ascii="Arial" w:hAnsi="Arial" w:cs="Arial"/>
          <w:sz w:val="22"/>
          <w:szCs w:val="22"/>
        </w:rPr>
        <w:t>, processed tobacco,</w:t>
      </w:r>
      <w:r w:rsidRPr="00987432">
        <w:rPr>
          <w:rFonts w:ascii="Arial" w:hAnsi="Arial" w:cs="Arial"/>
          <w:sz w:val="22"/>
          <w:szCs w:val="22"/>
        </w:rPr>
        <w:t xml:space="preserve"> and cigarette papers and tubes), and sections 4181–4182 (firearms and ammunition excise taxes)</w:t>
      </w:r>
      <w:r>
        <w:rPr>
          <w:rFonts w:ascii="Arial" w:hAnsi="Arial" w:cs="Arial"/>
          <w:sz w:val="22"/>
          <w:szCs w:val="22"/>
        </w:rPr>
        <w:t>),</w:t>
      </w:r>
      <w:r w:rsidRPr="00987432">
        <w:rPr>
          <w:rFonts w:ascii="Arial" w:hAnsi="Arial" w:cs="Arial"/>
          <w:sz w:val="22"/>
          <w:szCs w:val="22"/>
        </w:rPr>
        <w:t xml:space="preserve"> pursuant to section 1111(d) of the Homeland Security Act of 2002, as codified at 6 U.S.C. 531(d).  In addition, the Secretary of the Treasury has delegated certain </w:t>
      </w:r>
      <w:r>
        <w:rPr>
          <w:rFonts w:ascii="Arial" w:hAnsi="Arial" w:cs="Arial"/>
          <w:sz w:val="22"/>
          <w:szCs w:val="22"/>
        </w:rPr>
        <w:t xml:space="preserve">FAA Act and </w:t>
      </w:r>
      <w:r w:rsidRPr="00987432">
        <w:rPr>
          <w:rFonts w:ascii="Arial" w:hAnsi="Arial" w:cs="Arial"/>
          <w:sz w:val="22"/>
          <w:szCs w:val="22"/>
        </w:rPr>
        <w:t xml:space="preserve">IRC administrative and enforcement authorities to TTB through Treasury Department Order 120–01. </w:t>
      </w:r>
    </w:p>
    <w:p w:rsidR="00431FD7" w:rsidP="000B6799" w14:paraId="46B7B494" w14:textId="77777777">
      <w:pPr>
        <w:ind w:left="360"/>
        <w:rPr>
          <w:rFonts w:ascii="Arial" w:hAnsi="Arial" w:cs="Arial"/>
          <w:sz w:val="22"/>
          <w:szCs w:val="22"/>
        </w:rPr>
      </w:pPr>
    </w:p>
    <w:p w:rsidR="00431FD7" w:rsidP="000B6799" w14:paraId="10975E45" w14:textId="078FAFD8">
      <w:pPr>
        <w:ind w:left="360"/>
        <w:rPr>
          <w:rFonts w:ascii="Arial" w:hAnsi="Arial" w:cs="Arial"/>
          <w:sz w:val="22"/>
          <w:szCs w:val="22"/>
        </w:rPr>
      </w:pPr>
      <w:r>
        <w:rPr>
          <w:rFonts w:ascii="Arial" w:hAnsi="Arial" w:cs="Arial"/>
          <w:sz w:val="22"/>
          <w:szCs w:val="22"/>
        </w:rPr>
        <w:t xml:space="preserve">Executive Order 12862, Setting Customer Service Standards, </w:t>
      </w:r>
      <w:r w:rsidR="00F30C53">
        <w:rPr>
          <w:rFonts w:ascii="Arial" w:hAnsi="Arial" w:cs="Arial"/>
          <w:sz w:val="22"/>
          <w:szCs w:val="22"/>
        </w:rPr>
        <w:t xml:space="preserve">sets forth a </w:t>
      </w:r>
      <w:r w:rsidR="00B21D2A">
        <w:rPr>
          <w:rFonts w:ascii="Arial" w:hAnsi="Arial" w:cs="Arial"/>
          <w:sz w:val="22"/>
          <w:szCs w:val="22"/>
        </w:rPr>
        <w:t xml:space="preserve">standard </w:t>
      </w:r>
      <w:r w:rsidR="00F30C53">
        <w:rPr>
          <w:rFonts w:ascii="Arial" w:hAnsi="Arial" w:cs="Arial"/>
          <w:sz w:val="22"/>
          <w:szCs w:val="22"/>
        </w:rPr>
        <w:t xml:space="preserve">of quality </w:t>
      </w:r>
      <w:r w:rsidR="00B21D2A">
        <w:rPr>
          <w:rFonts w:ascii="Arial" w:hAnsi="Arial" w:cs="Arial"/>
          <w:sz w:val="22"/>
          <w:szCs w:val="22"/>
        </w:rPr>
        <w:t xml:space="preserve">for services provided to the public by </w:t>
      </w:r>
      <w:r>
        <w:rPr>
          <w:rFonts w:ascii="Arial" w:hAnsi="Arial" w:cs="Arial"/>
          <w:sz w:val="22"/>
          <w:szCs w:val="22"/>
        </w:rPr>
        <w:t>Federal agencies</w:t>
      </w:r>
      <w:r w:rsidR="00B21D2A">
        <w:rPr>
          <w:rFonts w:ascii="Arial" w:hAnsi="Arial" w:cs="Arial"/>
          <w:sz w:val="22"/>
          <w:szCs w:val="22"/>
        </w:rPr>
        <w:t xml:space="preserve">—customer service equal to the best in business—and </w:t>
      </w:r>
      <w:r w:rsidR="00F30C53">
        <w:rPr>
          <w:rFonts w:ascii="Arial" w:hAnsi="Arial" w:cs="Arial"/>
          <w:sz w:val="22"/>
          <w:szCs w:val="22"/>
        </w:rPr>
        <w:t xml:space="preserve">it </w:t>
      </w:r>
      <w:r w:rsidR="00B21D2A">
        <w:rPr>
          <w:rFonts w:ascii="Arial" w:hAnsi="Arial" w:cs="Arial"/>
          <w:sz w:val="22"/>
          <w:szCs w:val="22"/>
        </w:rPr>
        <w:t xml:space="preserve">directs agencies to </w:t>
      </w:r>
      <w:r w:rsidR="00F30C53">
        <w:rPr>
          <w:rFonts w:ascii="Arial" w:hAnsi="Arial" w:cs="Arial"/>
          <w:sz w:val="22"/>
          <w:szCs w:val="22"/>
        </w:rPr>
        <w:t xml:space="preserve">meet </w:t>
      </w:r>
      <w:r w:rsidR="00B21D2A">
        <w:rPr>
          <w:rFonts w:ascii="Arial" w:hAnsi="Arial" w:cs="Arial"/>
          <w:sz w:val="22"/>
          <w:szCs w:val="22"/>
        </w:rPr>
        <w:t xml:space="preserve">this goal </w:t>
      </w:r>
      <w:r w:rsidR="00DD7E42">
        <w:rPr>
          <w:rFonts w:ascii="Arial" w:hAnsi="Arial" w:cs="Arial"/>
          <w:sz w:val="22"/>
          <w:szCs w:val="22"/>
        </w:rPr>
        <w:t>by</w:t>
      </w:r>
      <w:r w:rsidR="00F30C53">
        <w:rPr>
          <w:rFonts w:ascii="Arial" w:hAnsi="Arial" w:cs="Arial"/>
          <w:sz w:val="22"/>
          <w:szCs w:val="22"/>
        </w:rPr>
        <w:t xml:space="preserve"> </w:t>
      </w:r>
      <w:r w:rsidR="00DD7E42">
        <w:rPr>
          <w:rFonts w:ascii="Arial" w:hAnsi="Arial" w:cs="Arial"/>
          <w:sz w:val="22"/>
          <w:szCs w:val="22"/>
        </w:rPr>
        <w:t xml:space="preserve">using </w:t>
      </w:r>
      <w:r w:rsidR="00B21D2A">
        <w:rPr>
          <w:rFonts w:ascii="Arial" w:hAnsi="Arial" w:cs="Arial"/>
          <w:sz w:val="22"/>
          <w:szCs w:val="22"/>
        </w:rPr>
        <w:t>surveys and other means</w:t>
      </w:r>
      <w:r w:rsidR="004809A6">
        <w:rPr>
          <w:rFonts w:ascii="Arial" w:hAnsi="Arial" w:cs="Arial"/>
          <w:sz w:val="22"/>
          <w:szCs w:val="22"/>
        </w:rPr>
        <w:t xml:space="preserve"> to gather customer feedback</w:t>
      </w:r>
      <w:r w:rsidR="00B21D2A">
        <w:rPr>
          <w:rFonts w:ascii="Arial" w:hAnsi="Arial" w:cs="Arial"/>
          <w:sz w:val="22"/>
          <w:szCs w:val="22"/>
        </w:rPr>
        <w:t xml:space="preserve">.  </w:t>
      </w:r>
      <w:r w:rsidR="00DD7E42">
        <w:rPr>
          <w:rFonts w:ascii="Arial" w:hAnsi="Arial" w:cs="Arial"/>
          <w:sz w:val="22"/>
          <w:szCs w:val="22"/>
        </w:rPr>
        <w:t>To m</w:t>
      </w:r>
      <w:r w:rsidR="001E368E">
        <w:rPr>
          <w:rFonts w:ascii="Arial" w:hAnsi="Arial" w:cs="Arial"/>
          <w:sz w:val="22"/>
          <w:szCs w:val="22"/>
        </w:rPr>
        <w:t xml:space="preserve">eet this goal, TTB uses various surveys, focus groups, and other </w:t>
      </w:r>
      <w:r w:rsidR="005C45FD">
        <w:rPr>
          <w:rFonts w:ascii="Arial" w:hAnsi="Arial" w:cs="Arial"/>
          <w:sz w:val="22"/>
          <w:szCs w:val="22"/>
        </w:rPr>
        <w:t xml:space="preserve">information </w:t>
      </w:r>
      <w:r w:rsidR="001E368E">
        <w:rPr>
          <w:rFonts w:ascii="Arial" w:hAnsi="Arial" w:cs="Arial"/>
          <w:sz w:val="22"/>
          <w:szCs w:val="22"/>
        </w:rPr>
        <w:t>collection</w:t>
      </w:r>
      <w:r w:rsidR="002A2434">
        <w:rPr>
          <w:rFonts w:ascii="Arial" w:hAnsi="Arial" w:cs="Arial"/>
          <w:sz w:val="22"/>
          <w:szCs w:val="22"/>
        </w:rPr>
        <w:t xml:space="preserve"> method</w:t>
      </w:r>
      <w:r w:rsidR="00B21D2A">
        <w:rPr>
          <w:rFonts w:ascii="Arial" w:hAnsi="Arial" w:cs="Arial"/>
          <w:sz w:val="22"/>
          <w:szCs w:val="22"/>
        </w:rPr>
        <w:t xml:space="preserve">s </w:t>
      </w:r>
      <w:r w:rsidR="001E368E">
        <w:rPr>
          <w:rFonts w:ascii="Arial" w:hAnsi="Arial" w:cs="Arial"/>
          <w:sz w:val="22"/>
          <w:szCs w:val="22"/>
        </w:rPr>
        <w:t xml:space="preserve">to gather feedback </w:t>
      </w:r>
      <w:r w:rsidR="006C176A">
        <w:rPr>
          <w:rFonts w:ascii="Arial" w:hAnsi="Arial" w:cs="Arial"/>
          <w:sz w:val="22"/>
          <w:szCs w:val="22"/>
        </w:rPr>
        <w:t xml:space="preserve">on agency </w:t>
      </w:r>
      <w:r w:rsidR="007956C4">
        <w:rPr>
          <w:rFonts w:ascii="Arial" w:hAnsi="Arial" w:cs="Arial"/>
          <w:sz w:val="22"/>
          <w:szCs w:val="22"/>
        </w:rPr>
        <w:t xml:space="preserve">programs and service delivery </w:t>
      </w:r>
      <w:r w:rsidR="005C45FD">
        <w:rPr>
          <w:rFonts w:ascii="Arial" w:hAnsi="Arial" w:cs="Arial"/>
          <w:sz w:val="22"/>
          <w:szCs w:val="22"/>
        </w:rPr>
        <w:t>from regulated industry members</w:t>
      </w:r>
      <w:r w:rsidR="0025735F">
        <w:rPr>
          <w:rFonts w:ascii="Arial" w:hAnsi="Arial" w:cs="Arial"/>
          <w:sz w:val="22"/>
          <w:szCs w:val="22"/>
        </w:rPr>
        <w:t xml:space="preserve"> and other stakeholders </w:t>
      </w:r>
      <w:r w:rsidR="007956C4">
        <w:rPr>
          <w:rFonts w:ascii="Arial" w:hAnsi="Arial" w:cs="Arial"/>
          <w:sz w:val="22"/>
          <w:szCs w:val="22"/>
        </w:rPr>
        <w:t>in an efficient and timely manner</w:t>
      </w:r>
      <w:r w:rsidR="001E368E">
        <w:rPr>
          <w:rFonts w:ascii="Arial" w:hAnsi="Arial" w:cs="Arial"/>
          <w:sz w:val="22"/>
          <w:szCs w:val="22"/>
        </w:rPr>
        <w:t xml:space="preserve">. </w:t>
      </w:r>
    </w:p>
    <w:p w:rsidR="001E368E" w:rsidP="000B6799" w14:paraId="1A084201" w14:textId="77777777">
      <w:pPr>
        <w:ind w:left="360"/>
        <w:rPr>
          <w:rFonts w:ascii="Arial" w:hAnsi="Arial" w:cs="Arial"/>
          <w:sz w:val="22"/>
          <w:szCs w:val="22"/>
        </w:rPr>
      </w:pPr>
    </w:p>
    <w:p w:rsidR="00974AE8" w:rsidP="00416FCF" w14:paraId="49D8D809" w14:textId="64F7D247">
      <w:pPr>
        <w:ind w:left="360"/>
        <w:rPr>
          <w:rFonts w:ascii="Arial" w:hAnsi="Arial" w:cs="Arial"/>
          <w:sz w:val="22"/>
          <w:szCs w:val="22"/>
        </w:rPr>
      </w:pPr>
      <w:r>
        <w:rPr>
          <w:rFonts w:ascii="Arial" w:hAnsi="Arial" w:cs="Arial"/>
          <w:sz w:val="22"/>
          <w:szCs w:val="22"/>
        </w:rPr>
        <w:t>Th</w:t>
      </w:r>
      <w:r w:rsidR="002A2434">
        <w:rPr>
          <w:rFonts w:ascii="Arial" w:hAnsi="Arial" w:cs="Arial"/>
          <w:sz w:val="22"/>
          <w:szCs w:val="22"/>
        </w:rPr>
        <w:t>is</w:t>
      </w:r>
      <w:r>
        <w:rPr>
          <w:rFonts w:ascii="Arial" w:hAnsi="Arial" w:cs="Arial"/>
          <w:sz w:val="22"/>
          <w:szCs w:val="22"/>
        </w:rPr>
        <w:t xml:space="preserve"> generic clearance</w:t>
      </w:r>
      <w:r w:rsidR="002A2434">
        <w:rPr>
          <w:rFonts w:ascii="Arial" w:hAnsi="Arial" w:cs="Arial"/>
          <w:sz w:val="22"/>
          <w:szCs w:val="22"/>
        </w:rPr>
        <w:t>,</w:t>
      </w:r>
      <w:r>
        <w:rPr>
          <w:rFonts w:ascii="Arial" w:hAnsi="Arial" w:cs="Arial"/>
          <w:sz w:val="22"/>
          <w:szCs w:val="22"/>
        </w:rPr>
        <w:t xml:space="preserve"> and the</w:t>
      </w:r>
      <w:r w:rsidR="00F30C53">
        <w:rPr>
          <w:rFonts w:ascii="Arial" w:hAnsi="Arial" w:cs="Arial"/>
          <w:sz w:val="22"/>
          <w:szCs w:val="22"/>
        </w:rPr>
        <w:t xml:space="preserve"> </w:t>
      </w:r>
      <w:r w:rsidR="008931DC">
        <w:rPr>
          <w:rFonts w:ascii="Arial" w:hAnsi="Arial" w:cs="Arial"/>
          <w:sz w:val="22"/>
          <w:szCs w:val="22"/>
        </w:rPr>
        <w:t>feedback</w:t>
      </w:r>
      <w:r>
        <w:rPr>
          <w:rFonts w:ascii="Arial" w:hAnsi="Arial" w:cs="Arial"/>
          <w:sz w:val="22"/>
          <w:szCs w:val="22"/>
        </w:rPr>
        <w:t xml:space="preserve"> information collection</w:t>
      </w:r>
      <w:r w:rsidR="0025735F">
        <w:rPr>
          <w:rFonts w:ascii="Arial" w:hAnsi="Arial" w:cs="Arial"/>
          <w:sz w:val="22"/>
          <w:szCs w:val="22"/>
        </w:rPr>
        <w:t xml:space="preserve">s </w:t>
      </w:r>
      <w:r>
        <w:rPr>
          <w:rFonts w:ascii="Arial" w:hAnsi="Arial" w:cs="Arial"/>
          <w:sz w:val="22"/>
          <w:szCs w:val="22"/>
        </w:rPr>
        <w:t xml:space="preserve">approved under </w:t>
      </w:r>
      <w:r w:rsidR="002A2434">
        <w:rPr>
          <w:rFonts w:ascii="Arial" w:hAnsi="Arial" w:cs="Arial"/>
          <w:sz w:val="22"/>
          <w:szCs w:val="22"/>
        </w:rPr>
        <w:t xml:space="preserve">it, </w:t>
      </w:r>
      <w:r>
        <w:rPr>
          <w:rFonts w:ascii="Arial" w:hAnsi="Arial" w:cs="Arial"/>
          <w:sz w:val="22"/>
          <w:szCs w:val="22"/>
        </w:rPr>
        <w:t>provide TTB with information</w:t>
      </w:r>
      <w:r w:rsidR="00B21D2A">
        <w:rPr>
          <w:rFonts w:ascii="Arial" w:hAnsi="Arial" w:cs="Arial"/>
          <w:sz w:val="22"/>
          <w:szCs w:val="22"/>
        </w:rPr>
        <w:t xml:space="preserve"> on </w:t>
      </w:r>
      <w:r>
        <w:rPr>
          <w:rFonts w:ascii="Arial" w:hAnsi="Arial" w:cs="Arial"/>
          <w:sz w:val="22"/>
          <w:szCs w:val="22"/>
        </w:rPr>
        <w:t xml:space="preserve">customer perceptions, experiences, and expectations regarding </w:t>
      </w:r>
      <w:r w:rsidR="00B21D2A">
        <w:rPr>
          <w:rFonts w:ascii="Arial" w:hAnsi="Arial" w:cs="Arial"/>
          <w:sz w:val="22"/>
          <w:szCs w:val="22"/>
        </w:rPr>
        <w:t xml:space="preserve">its </w:t>
      </w:r>
      <w:r>
        <w:rPr>
          <w:rFonts w:ascii="Arial" w:hAnsi="Arial" w:cs="Arial"/>
          <w:sz w:val="22"/>
          <w:szCs w:val="22"/>
        </w:rPr>
        <w:t>programs and services</w:t>
      </w:r>
      <w:r w:rsidR="00416FCF">
        <w:rPr>
          <w:rFonts w:ascii="Arial" w:hAnsi="Arial" w:cs="Arial"/>
          <w:sz w:val="22"/>
          <w:szCs w:val="22"/>
        </w:rPr>
        <w:t xml:space="preserve">.  The collected information can give TTB </w:t>
      </w:r>
      <w:r w:rsidRPr="00974AE8">
        <w:rPr>
          <w:rFonts w:ascii="Arial" w:hAnsi="Arial" w:cs="Arial"/>
          <w:sz w:val="22"/>
          <w:szCs w:val="22"/>
        </w:rPr>
        <w:t>early warning of issues with service</w:t>
      </w:r>
      <w:r w:rsidR="006C176A">
        <w:rPr>
          <w:rFonts w:ascii="Arial" w:hAnsi="Arial" w:cs="Arial"/>
          <w:sz w:val="22"/>
          <w:szCs w:val="22"/>
        </w:rPr>
        <w:t>s</w:t>
      </w:r>
      <w:r w:rsidRPr="00974AE8">
        <w:rPr>
          <w:rFonts w:ascii="Arial" w:hAnsi="Arial" w:cs="Arial"/>
          <w:sz w:val="22"/>
          <w:szCs w:val="22"/>
        </w:rPr>
        <w:t xml:space="preserve"> or focus </w:t>
      </w:r>
      <w:r w:rsidR="006C176A">
        <w:rPr>
          <w:rFonts w:ascii="Arial" w:hAnsi="Arial" w:cs="Arial"/>
          <w:sz w:val="22"/>
          <w:szCs w:val="22"/>
        </w:rPr>
        <w:t xml:space="preserve">TTB’s </w:t>
      </w:r>
      <w:r w:rsidRPr="00974AE8">
        <w:rPr>
          <w:rFonts w:ascii="Arial" w:hAnsi="Arial" w:cs="Arial"/>
          <w:sz w:val="22"/>
          <w:szCs w:val="22"/>
        </w:rPr>
        <w:t xml:space="preserve">attention on areas where </w:t>
      </w:r>
      <w:r w:rsidR="00416FCF">
        <w:rPr>
          <w:rFonts w:ascii="Arial" w:hAnsi="Arial" w:cs="Arial"/>
          <w:sz w:val="22"/>
          <w:szCs w:val="22"/>
        </w:rPr>
        <w:t xml:space="preserve">changes in </w:t>
      </w:r>
      <w:r w:rsidRPr="00974AE8">
        <w:rPr>
          <w:rFonts w:ascii="Arial" w:hAnsi="Arial" w:cs="Arial"/>
          <w:sz w:val="22"/>
          <w:szCs w:val="22"/>
        </w:rPr>
        <w:t>communication, training</w:t>
      </w:r>
      <w:r w:rsidR="00416FCF">
        <w:rPr>
          <w:rFonts w:ascii="Arial" w:hAnsi="Arial" w:cs="Arial"/>
          <w:sz w:val="22"/>
          <w:szCs w:val="22"/>
        </w:rPr>
        <w:t xml:space="preserve">, or </w:t>
      </w:r>
      <w:r w:rsidRPr="00974AE8">
        <w:rPr>
          <w:rFonts w:ascii="Arial" w:hAnsi="Arial" w:cs="Arial"/>
          <w:sz w:val="22"/>
          <w:szCs w:val="22"/>
        </w:rPr>
        <w:t xml:space="preserve">operations </w:t>
      </w:r>
      <w:r w:rsidR="002E7559">
        <w:rPr>
          <w:rFonts w:ascii="Arial" w:hAnsi="Arial" w:cs="Arial"/>
          <w:sz w:val="22"/>
          <w:szCs w:val="22"/>
        </w:rPr>
        <w:t xml:space="preserve">will </w:t>
      </w:r>
      <w:r w:rsidRPr="00974AE8">
        <w:rPr>
          <w:rFonts w:ascii="Arial" w:hAnsi="Arial" w:cs="Arial"/>
          <w:sz w:val="22"/>
          <w:szCs w:val="22"/>
        </w:rPr>
        <w:t xml:space="preserve">improve delivery of </w:t>
      </w:r>
      <w:r w:rsidR="00DD7E42">
        <w:rPr>
          <w:rFonts w:ascii="Arial" w:hAnsi="Arial" w:cs="Arial"/>
          <w:sz w:val="22"/>
          <w:szCs w:val="22"/>
        </w:rPr>
        <w:t xml:space="preserve">agency </w:t>
      </w:r>
      <w:r w:rsidRPr="00974AE8">
        <w:rPr>
          <w:rFonts w:ascii="Arial" w:hAnsi="Arial" w:cs="Arial"/>
          <w:sz w:val="22"/>
          <w:szCs w:val="22"/>
        </w:rPr>
        <w:t>products or services.</w:t>
      </w:r>
      <w:r w:rsidR="00416FCF">
        <w:rPr>
          <w:rFonts w:ascii="Arial" w:hAnsi="Arial" w:cs="Arial"/>
          <w:sz w:val="22"/>
          <w:szCs w:val="22"/>
        </w:rPr>
        <w:t xml:space="preserve"> </w:t>
      </w:r>
      <w:r w:rsidRPr="00974AE8">
        <w:rPr>
          <w:rFonts w:ascii="Arial" w:hAnsi="Arial" w:cs="Arial"/>
          <w:sz w:val="22"/>
          <w:szCs w:val="22"/>
        </w:rPr>
        <w:t xml:space="preserve"> </w:t>
      </w:r>
      <w:r w:rsidR="006C176A">
        <w:rPr>
          <w:rFonts w:ascii="Arial" w:hAnsi="Arial" w:cs="Arial"/>
          <w:sz w:val="22"/>
          <w:szCs w:val="22"/>
        </w:rPr>
        <w:t xml:space="preserve">The </w:t>
      </w:r>
      <w:r w:rsidR="00416FCF">
        <w:rPr>
          <w:rFonts w:ascii="Arial" w:hAnsi="Arial" w:cs="Arial"/>
          <w:sz w:val="22"/>
          <w:szCs w:val="22"/>
        </w:rPr>
        <w:t xml:space="preserve">approved </w:t>
      </w:r>
      <w:r w:rsidR="008931DC">
        <w:rPr>
          <w:rFonts w:ascii="Arial" w:hAnsi="Arial" w:cs="Arial"/>
          <w:sz w:val="22"/>
          <w:szCs w:val="22"/>
        </w:rPr>
        <w:t xml:space="preserve">information </w:t>
      </w:r>
      <w:r w:rsidRPr="00974AE8" w:rsidR="00416FCF">
        <w:rPr>
          <w:rFonts w:ascii="Arial" w:hAnsi="Arial" w:cs="Arial"/>
          <w:sz w:val="22"/>
          <w:szCs w:val="22"/>
        </w:rPr>
        <w:t>collection</w:t>
      </w:r>
      <w:r w:rsidR="008931DC">
        <w:rPr>
          <w:rFonts w:ascii="Arial" w:hAnsi="Arial" w:cs="Arial"/>
          <w:sz w:val="22"/>
          <w:szCs w:val="22"/>
        </w:rPr>
        <w:t xml:space="preserve">s </w:t>
      </w:r>
      <w:r w:rsidR="006C176A">
        <w:rPr>
          <w:rFonts w:ascii="Arial" w:hAnsi="Arial" w:cs="Arial"/>
          <w:sz w:val="22"/>
          <w:szCs w:val="22"/>
        </w:rPr>
        <w:t xml:space="preserve">also </w:t>
      </w:r>
      <w:r w:rsidRPr="00974AE8" w:rsidR="00416FCF">
        <w:rPr>
          <w:rFonts w:ascii="Arial" w:hAnsi="Arial" w:cs="Arial"/>
          <w:sz w:val="22"/>
          <w:szCs w:val="22"/>
        </w:rPr>
        <w:t>allow for ongoing, collaborative</w:t>
      </w:r>
      <w:r w:rsidR="00416FCF">
        <w:rPr>
          <w:rFonts w:ascii="Arial" w:hAnsi="Arial" w:cs="Arial"/>
          <w:sz w:val="22"/>
          <w:szCs w:val="22"/>
        </w:rPr>
        <w:t>,</w:t>
      </w:r>
      <w:r w:rsidRPr="00974AE8" w:rsidR="00416FCF">
        <w:rPr>
          <w:rFonts w:ascii="Arial" w:hAnsi="Arial" w:cs="Arial"/>
          <w:sz w:val="22"/>
          <w:szCs w:val="22"/>
        </w:rPr>
        <w:t xml:space="preserve"> and actionable communication</w:t>
      </w:r>
      <w:r w:rsidR="0013146D">
        <w:rPr>
          <w:rFonts w:ascii="Arial" w:hAnsi="Arial" w:cs="Arial"/>
          <w:sz w:val="22"/>
          <w:szCs w:val="22"/>
        </w:rPr>
        <w:t>s</w:t>
      </w:r>
      <w:r w:rsidRPr="00974AE8" w:rsidR="00416FCF">
        <w:rPr>
          <w:rFonts w:ascii="Arial" w:hAnsi="Arial" w:cs="Arial"/>
          <w:sz w:val="22"/>
          <w:szCs w:val="22"/>
        </w:rPr>
        <w:t xml:space="preserve"> between </w:t>
      </w:r>
      <w:r w:rsidR="00416FCF">
        <w:rPr>
          <w:rFonts w:ascii="Arial" w:hAnsi="Arial" w:cs="Arial"/>
          <w:sz w:val="22"/>
          <w:szCs w:val="22"/>
        </w:rPr>
        <w:t xml:space="preserve">TTB </w:t>
      </w:r>
      <w:r w:rsidRPr="00974AE8" w:rsidR="00416FCF">
        <w:rPr>
          <w:rFonts w:ascii="Arial" w:hAnsi="Arial" w:cs="Arial"/>
          <w:sz w:val="22"/>
          <w:szCs w:val="22"/>
        </w:rPr>
        <w:t>and its customers</w:t>
      </w:r>
      <w:r w:rsidR="002E7559">
        <w:rPr>
          <w:rFonts w:ascii="Arial" w:hAnsi="Arial" w:cs="Arial"/>
          <w:sz w:val="22"/>
          <w:szCs w:val="22"/>
        </w:rPr>
        <w:t xml:space="preserve">.  </w:t>
      </w:r>
      <w:r w:rsidR="00416FCF">
        <w:rPr>
          <w:rFonts w:ascii="Arial" w:hAnsi="Arial" w:cs="Arial"/>
          <w:sz w:val="22"/>
          <w:szCs w:val="22"/>
        </w:rPr>
        <w:t xml:space="preserve">In sum, the collected information allows TTB to improve its program </w:t>
      </w:r>
      <w:r w:rsidR="002E7559">
        <w:rPr>
          <w:rFonts w:ascii="Arial" w:hAnsi="Arial" w:cs="Arial"/>
          <w:sz w:val="22"/>
          <w:szCs w:val="22"/>
        </w:rPr>
        <w:t xml:space="preserve">management </w:t>
      </w:r>
      <w:r w:rsidR="00416FCF">
        <w:rPr>
          <w:rFonts w:ascii="Arial" w:hAnsi="Arial" w:cs="Arial"/>
          <w:sz w:val="22"/>
          <w:szCs w:val="22"/>
        </w:rPr>
        <w:t>and service delivery</w:t>
      </w:r>
      <w:r w:rsidR="002E7559">
        <w:rPr>
          <w:rFonts w:ascii="Arial" w:hAnsi="Arial" w:cs="Arial"/>
          <w:sz w:val="22"/>
          <w:szCs w:val="22"/>
        </w:rPr>
        <w:t xml:space="preserve">, </w:t>
      </w:r>
      <w:r w:rsidR="00416FCF">
        <w:rPr>
          <w:rFonts w:ascii="Arial" w:hAnsi="Arial" w:cs="Arial"/>
          <w:sz w:val="22"/>
          <w:szCs w:val="22"/>
        </w:rPr>
        <w:t xml:space="preserve">which helps TTB to ensure that its customers have effective, efficient, and satisfactory experiences </w:t>
      </w:r>
      <w:r w:rsidR="002E7559">
        <w:rPr>
          <w:rFonts w:ascii="Arial" w:hAnsi="Arial" w:cs="Arial"/>
          <w:sz w:val="22"/>
          <w:szCs w:val="22"/>
        </w:rPr>
        <w:t xml:space="preserve">when interacting with the agency. </w:t>
      </w:r>
    </w:p>
    <w:p w:rsidR="00431FD7" w:rsidP="000B6799" w14:paraId="1EE4A98A" w14:textId="77777777">
      <w:pPr>
        <w:ind w:left="360"/>
        <w:rPr>
          <w:rFonts w:ascii="Arial" w:hAnsi="Arial" w:cs="Arial"/>
          <w:sz w:val="22"/>
          <w:szCs w:val="22"/>
        </w:rPr>
      </w:pPr>
    </w:p>
    <w:p w:rsidR="00ED4A03" w:rsidRPr="00ED4A03" w:rsidP="002A2434" w14:paraId="13CFE228" w14:textId="069139FC">
      <w:pPr>
        <w:suppressAutoHyphens/>
        <w:ind w:left="360"/>
        <w:rPr>
          <w:rFonts w:ascii="Arial" w:hAnsi="Arial" w:cs="Arial"/>
          <w:sz w:val="22"/>
          <w:szCs w:val="22"/>
        </w:rPr>
      </w:pPr>
      <w:r w:rsidRPr="00ED4A03">
        <w:rPr>
          <w:rFonts w:ascii="Arial" w:hAnsi="Arial" w:cs="Arial"/>
          <w:sz w:val="22"/>
          <w:szCs w:val="22"/>
        </w:rPr>
        <w:t>Th</w:t>
      </w:r>
      <w:r w:rsidR="00095F53">
        <w:rPr>
          <w:rFonts w:ascii="Arial" w:hAnsi="Arial" w:cs="Arial"/>
          <w:sz w:val="22"/>
          <w:szCs w:val="22"/>
        </w:rPr>
        <w:t>is</w:t>
      </w:r>
      <w:r w:rsidRPr="00ED4A03">
        <w:rPr>
          <w:rFonts w:ascii="Arial" w:hAnsi="Arial" w:cs="Arial"/>
          <w:sz w:val="22"/>
          <w:szCs w:val="22"/>
        </w:rPr>
        <w:t xml:space="preserve"> information collection is aligned with</w:t>
      </w:r>
      <w:r w:rsidRPr="00ED4A03" w:rsidR="00D73D2D">
        <w:rPr>
          <w:rFonts w:ascii="Arial" w:hAnsi="Arial" w:cs="Arial"/>
          <w:sz w:val="22"/>
          <w:szCs w:val="22"/>
        </w:rPr>
        <w:t xml:space="preserve"> </w:t>
      </w:r>
      <w:r w:rsidRPr="00702570">
        <w:rPr>
          <w:rFonts w:ascii="Arial" w:hAnsi="Arial" w:cs="Arial"/>
          <w:sz w:val="22"/>
          <w:szCs w:val="22"/>
          <w:u w:val="single"/>
        </w:rPr>
        <w:t>Line of Business/Sub-function:</w:t>
      </w:r>
      <w:r w:rsidRPr="00ED4A03">
        <w:rPr>
          <w:rFonts w:ascii="Arial" w:hAnsi="Arial" w:cs="Arial"/>
          <w:sz w:val="22"/>
          <w:szCs w:val="22"/>
        </w:rPr>
        <w:t xml:space="preserve">  </w:t>
      </w:r>
      <w:r w:rsidR="0065781E">
        <w:rPr>
          <w:rFonts w:ascii="Arial" w:hAnsi="Arial" w:cs="Arial"/>
          <w:sz w:val="22"/>
          <w:szCs w:val="22"/>
        </w:rPr>
        <w:t xml:space="preserve">General Government / Taxation Management. </w:t>
      </w:r>
    </w:p>
    <w:p w:rsidR="005E4F99" w:rsidRPr="002A2434" w:rsidP="00D73D2D" w14:paraId="602A99CF" w14:textId="77777777">
      <w:pPr>
        <w:suppressAutoHyphens/>
        <w:rPr>
          <w:rFonts w:ascii="Arial" w:hAnsi="Arial" w:cs="Arial"/>
          <w:sz w:val="28"/>
          <w:szCs w:val="28"/>
        </w:rPr>
      </w:pPr>
    </w:p>
    <w:p w:rsidR="00AF1157" w:rsidRPr="002E7559" w:rsidP="00D73D2D" w14:paraId="5D5B70E4" w14:textId="77777777">
      <w:pPr>
        <w:suppressAutoHyphens/>
        <w:rPr>
          <w:rFonts w:ascii="Arial" w:hAnsi="Arial" w:cs="Arial"/>
          <w:i/>
          <w:sz w:val="22"/>
          <w:szCs w:val="22"/>
        </w:rPr>
      </w:pPr>
      <w:r w:rsidRPr="002E7559">
        <w:rPr>
          <w:rFonts w:ascii="Arial" w:hAnsi="Arial" w:cs="Arial"/>
          <w:i/>
          <w:sz w:val="22"/>
          <w:szCs w:val="22"/>
        </w:rPr>
        <w:t>2.  How, by whom</w:t>
      </w:r>
      <w:r w:rsidRPr="002E7559" w:rsidR="00101DE7">
        <w:rPr>
          <w:rFonts w:ascii="Arial" w:hAnsi="Arial" w:cs="Arial"/>
          <w:i/>
          <w:sz w:val="22"/>
          <w:szCs w:val="22"/>
        </w:rPr>
        <w:t>,</w:t>
      </w:r>
      <w:r w:rsidRPr="002E7559">
        <w:rPr>
          <w:rFonts w:ascii="Arial" w:hAnsi="Arial" w:cs="Arial"/>
          <w:i/>
          <w:sz w:val="22"/>
          <w:szCs w:val="22"/>
        </w:rPr>
        <w:t xml:space="preserve"> and for what purpose is this information used?</w:t>
      </w:r>
      <w:r w:rsidRPr="002E7559" w:rsidR="00D73D2D">
        <w:rPr>
          <w:rFonts w:ascii="Arial" w:hAnsi="Arial" w:cs="Arial"/>
          <w:i/>
          <w:sz w:val="22"/>
          <w:szCs w:val="22"/>
        </w:rPr>
        <w:t xml:space="preserve"> </w:t>
      </w:r>
    </w:p>
    <w:p w:rsidR="00AF1157" w:rsidRPr="002E7559" w:rsidP="000329F4" w14:paraId="1806BABD" w14:textId="77777777">
      <w:pPr>
        <w:suppressAutoHyphens/>
        <w:ind w:left="360"/>
        <w:rPr>
          <w:rFonts w:ascii="Arial" w:hAnsi="Arial" w:cs="Arial"/>
          <w:sz w:val="22"/>
          <w:szCs w:val="22"/>
        </w:rPr>
      </w:pPr>
    </w:p>
    <w:p w:rsidR="0028159D" w:rsidP="000F59E5" w14:paraId="5536AB51" w14:textId="77777777">
      <w:pPr>
        <w:suppressAutoHyphens/>
        <w:ind w:left="360"/>
        <w:rPr>
          <w:rFonts w:ascii="Arial" w:hAnsi="Arial" w:cs="Arial"/>
          <w:sz w:val="22"/>
          <w:szCs w:val="22"/>
        </w:rPr>
      </w:pPr>
      <w:r w:rsidRPr="0028159D">
        <w:rPr>
          <w:rFonts w:ascii="Arial" w:hAnsi="Arial" w:cs="Arial"/>
          <w:sz w:val="22"/>
          <w:szCs w:val="22"/>
        </w:rPr>
        <w:t>TTB uses the surveys, focus groups, usability tests, and other information collections approved under this generic clearance to gather timely feedback from its customers regarding its programs and services.  The information collections approved under this clearance focus on areas such as the accuracy, appropriateness, and efficiency of TTB’s programs and services, and the timeliness and resolution of service delivery issues</w:t>
      </w:r>
      <w:r>
        <w:rPr>
          <w:rFonts w:ascii="Arial" w:hAnsi="Arial" w:cs="Arial"/>
          <w:sz w:val="22"/>
          <w:szCs w:val="22"/>
        </w:rPr>
        <w:t xml:space="preserve">.  Bureau employees analyze </w:t>
      </w:r>
      <w:r w:rsidRPr="0028159D">
        <w:rPr>
          <w:rFonts w:ascii="Arial" w:hAnsi="Arial" w:cs="Arial"/>
          <w:sz w:val="22"/>
          <w:szCs w:val="22"/>
        </w:rPr>
        <w:t xml:space="preserve">the collected information </w:t>
      </w:r>
      <w:r>
        <w:rPr>
          <w:rFonts w:ascii="Arial" w:hAnsi="Arial" w:cs="Arial"/>
          <w:sz w:val="22"/>
          <w:szCs w:val="22"/>
        </w:rPr>
        <w:t xml:space="preserve">and make recommendations </w:t>
      </w:r>
      <w:r w:rsidRPr="0028159D">
        <w:rPr>
          <w:rFonts w:ascii="Arial" w:hAnsi="Arial" w:cs="Arial"/>
          <w:sz w:val="22"/>
          <w:szCs w:val="22"/>
        </w:rPr>
        <w:t xml:space="preserve">to help improve </w:t>
      </w:r>
      <w:r w:rsidR="003741F7">
        <w:rPr>
          <w:rFonts w:ascii="Arial" w:hAnsi="Arial" w:cs="Arial"/>
          <w:sz w:val="22"/>
          <w:szCs w:val="22"/>
        </w:rPr>
        <w:t xml:space="preserve">TTB </w:t>
      </w:r>
      <w:r w:rsidRPr="0028159D">
        <w:rPr>
          <w:rFonts w:ascii="Arial" w:hAnsi="Arial" w:cs="Arial"/>
          <w:sz w:val="22"/>
          <w:szCs w:val="22"/>
        </w:rPr>
        <w:t>programs and service delivery</w:t>
      </w:r>
      <w:r w:rsidR="003741F7">
        <w:rPr>
          <w:rFonts w:ascii="Arial" w:hAnsi="Arial" w:cs="Arial"/>
          <w:sz w:val="22"/>
          <w:szCs w:val="22"/>
        </w:rPr>
        <w:t xml:space="preserve"> so that TTB</w:t>
      </w:r>
      <w:r w:rsidRPr="0028159D">
        <w:rPr>
          <w:rFonts w:ascii="Arial" w:hAnsi="Arial" w:cs="Arial"/>
          <w:sz w:val="22"/>
          <w:szCs w:val="22"/>
        </w:rPr>
        <w:t xml:space="preserve"> customers and stakeholders have effective, efficient, and satisfactory experiences when interacting with the agency.</w:t>
      </w:r>
      <w:r>
        <w:rPr>
          <w:rFonts w:ascii="Arial" w:hAnsi="Arial" w:cs="Arial"/>
          <w:sz w:val="22"/>
          <w:szCs w:val="22"/>
        </w:rPr>
        <w:t xml:space="preserve"> </w:t>
      </w:r>
    </w:p>
    <w:p w:rsidR="00AF1157" w:rsidRPr="002A2434" w:rsidP="00D73D2D" w14:paraId="2D572748" w14:textId="77777777">
      <w:pPr>
        <w:ind w:left="576" w:hanging="576"/>
        <w:rPr>
          <w:rFonts w:ascii="Arial" w:hAnsi="Arial" w:cs="Arial"/>
          <w:sz w:val="28"/>
          <w:szCs w:val="28"/>
        </w:rPr>
      </w:pPr>
    </w:p>
    <w:p w:rsidR="00AF1157" w:rsidRPr="007A5D4B" w:rsidP="00D73D2D" w14:paraId="038ABB5E" w14:textId="77777777">
      <w:pPr>
        <w:suppressAutoHyphens/>
        <w:rPr>
          <w:rFonts w:ascii="Arial" w:hAnsi="Arial" w:cs="Arial"/>
          <w:i/>
          <w:sz w:val="22"/>
          <w:szCs w:val="22"/>
        </w:rPr>
      </w:pPr>
      <w:r w:rsidRPr="007A5D4B">
        <w:rPr>
          <w:rFonts w:ascii="Arial" w:hAnsi="Arial" w:cs="Arial"/>
          <w:i/>
          <w:sz w:val="22"/>
          <w:szCs w:val="22"/>
        </w:rPr>
        <w:t xml:space="preserve">3.  </w:t>
      </w:r>
      <w:r w:rsidRPr="007A5D4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5D4B">
        <w:rPr>
          <w:rFonts w:ascii="Arial" w:hAnsi="Arial" w:cs="Arial"/>
          <w:i/>
          <w:sz w:val="22"/>
          <w:szCs w:val="22"/>
        </w:rPr>
        <w:t xml:space="preserve"> </w:t>
      </w:r>
    </w:p>
    <w:p w:rsidR="00AF1157" w:rsidRPr="007A5D4B" w:rsidP="00D73D2D" w14:paraId="7C42C030" w14:textId="77777777">
      <w:pPr>
        <w:suppressAutoHyphens/>
        <w:rPr>
          <w:rFonts w:ascii="Arial" w:hAnsi="Arial" w:cs="Arial"/>
          <w:sz w:val="22"/>
          <w:szCs w:val="22"/>
        </w:rPr>
      </w:pPr>
    </w:p>
    <w:p w:rsidR="00F10C50" w:rsidP="008A6C79" w14:paraId="27D3F6BD" w14:textId="6D55341B">
      <w:pPr>
        <w:tabs>
          <w:tab w:val="left" w:pos="8496"/>
        </w:tabs>
        <w:suppressAutoHyphens/>
        <w:spacing w:line="240" w:lineRule="atLeast"/>
        <w:ind w:left="360"/>
        <w:rPr>
          <w:rFonts w:ascii="Arial" w:hAnsi="Arial" w:cs="Arial"/>
          <w:sz w:val="22"/>
          <w:szCs w:val="22"/>
        </w:rPr>
      </w:pPr>
      <w:r>
        <w:rPr>
          <w:rFonts w:ascii="Arial" w:hAnsi="Arial" w:cs="Arial"/>
          <w:sz w:val="22"/>
          <w:szCs w:val="22"/>
        </w:rPr>
        <w:t xml:space="preserve">When appropriate, TTB </w:t>
      </w:r>
      <w:r w:rsidR="004809A6">
        <w:rPr>
          <w:rFonts w:ascii="Arial" w:hAnsi="Arial" w:cs="Arial"/>
          <w:sz w:val="22"/>
          <w:szCs w:val="22"/>
        </w:rPr>
        <w:t xml:space="preserve">uses </w:t>
      </w:r>
      <w:r>
        <w:rPr>
          <w:rFonts w:ascii="Arial" w:hAnsi="Arial" w:cs="Arial"/>
          <w:sz w:val="22"/>
          <w:szCs w:val="22"/>
        </w:rPr>
        <w:t>electronic or online information collection instruments</w:t>
      </w:r>
      <w:r w:rsidR="0025735F">
        <w:rPr>
          <w:rFonts w:ascii="Arial" w:hAnsi="Arial" w:cs="Arial"/>
          <w:sz w:val="22"/>
          <w:szCs w:val="22"/>
        </w:rPr>
        <w:t>, such as Survey Monkey</w:t>
      </w:r>
      <w:r w:rsidR="002A2434">
        <w:rPr>
          <w:rFonts w:ascii="Arial" w:hAnsi="Arial" w:cs="Arial"/>
          <w:sz w:val="22"/>
          <w:szCs w:val="22"/>
        </w:rPr>
        <w:t xml:space="preserve"> and Zoom</w:t>
      </w:r>
      <w:r w:rsidR="0025735F">
        <w:rPr>
          <w:rFonts w:ascii="Arial" w:hAnsi="Arial" w:cs="Arial"/>
          <w:sz w:val="22"/>
          <w:szCs w:val="22"/>
        </w:rPr>
        <w:t>,</w:t>
      </w:r>
      <w:r>
        <w:rPr>
          <w:rFonts w:ascii="Arial" w:hAnsi="Arial" w:cs="Arial"/>
          <w:sz w:val="22"/>
          <w:szCs w:val="22"/>
        </w:rPr>
        <w:t xml:space="preserve"> to gather customer feedback on its programs and services. </w:t>
      </w:r>
    </w:p>
    <w:p w:rsidR="00AF1157" w:rsidRPr="002A2434" w:rsidP="00D73D2D" w14:paraId="09AD6989" w14:textId="77777777">
      <w:pPr>
        <w:suppressAutoHyphens/>
        <w:rPr>
          <w:rFonts w:ascii="Arial" w:hAnsi="Arial" w:cs="Arial"/>
          <w:sz w:val="28"/>
          <w:szCs w:val="28"/>
        </w:rPr>
      </w:pPr>
    </w:p>
    <w:p w:rsidR="00AF1157" w:rsidRPr="007A5D4B" w:rsidP="00D73D2D" w14:paraId="5CB65B13" w14:textId="77777777">
      <w:pPr>
        <w:suppressAutoHyphens/>
        <w:rPr>
          <w:rFonts w:ascii="Arial" w:hAnsi="Arial" w:cs="Arial"/>
          <w:i/>
          <w:sz w:val="22"/>
          <w:szCs w:val="22"/>
        </w:rPr>
      </w:pPr>
      <w:r w:rsidRPr="007A5D4B">
        <w:rPr>
          <w:rFonts w:ascii="Arial" w:hAnsi="Arial" w:cs="Arial"/>
          <w:i/>
          <w:sz w:val="22"/>
          <w:szCs w:val="22"/>
        </w:rPr>
        <w:t xml:space="preserve">4.  </w:t>
      </w:r>
      <w:r w:rsidRPr="007A5D4B">
        <w:rPr>
          <w:rFonts w:ascii="Arial" w:hAnsi="Arial" w:cs="Arial"/>
          <w:i/>
          <w:sz w:val="22"/>
          <w:szCs w:val="22"/>
        </w:rPr>
        <w:t>What efforts are used to identi</w:t>
      </w:r>
      <w:r w:rsidRPr="007A5D4B" w:rsidR="009E4E4C">
        <w:rPr>
          <w:rFonts w:ascii="Arial" w:hAnsi="Arial" w:cs="Arial"/>
          <w:i/>
          <w:sz w:val="22"/>
          <w:szCs w:val="22"/>
        </w:rPr>
        <w:t>f</w:t>
      </w:r>
      <w:r w:rsidRPr="007A5D4B">
        <w:rPr>
          <w:rFonts w:ascii="Arial" w:hAnsi="Arial" w:cs="Arial"/>
          <w:i/>
          <w:sz w:val="22"/>
          <w:szCs w:val="22"/>
        </w:rPr>
        <w:t xml:space="preserve">y duplication?  </w:t>
      </w:r>
      <w:r w:rsidRPr="007A5D4B" w:rsidR="007A5D4B">
        <w:rPr>
          <w:rFonts w:ascii="Arial" w:hAnsi="Arial" w:cs="Arial"/>
          <w:i/>
          <w:sz w:val="22"/>
          <w:szCs w:val="22"/>
        </w:rPr>
        <w:t xml:space="preserve">Can </w:t>
      </w:r>
      <w:r w:rsidRPr="007A5D4B">
        <w:rPr>
          <w:rFonts w:ascii="Arial" w:hAnsi="Arial" w:cs="Arial"/>
          <w:i/>
          <w:sz w:val="22"/>
          <w:szCs w:val="22"/>
        </w:rPr>
        <w:t>similar information</w:t>
      </w:r>
      <w:r w:rsidRPr="007A5D4B" w:rsidR="00DF5F98">
        <w:rPr>
          <w:rFonts w:ascii="Arial" w:hAnsi="Arial" w:cs="Arial"/>
          <w:i/>
          <w:sz w:val="22"/>
          <w:szCs w:val="22"/>
        </w:rPr>
        <w:t xml:space="preserve"> </w:t>
      </w:r>
      <w:r w:rsidRPr="007A5D4B">
        <w:rPr>
          <w:rFonts w:ascii="Arial" w:hAnsi="Arial" w:cs="Arial"/>
          <w:i/>
          <w:sz w:val="22"/>
          <w:szCs w:val="22"/>
        </w:rPr>
        <w:t>already available be used or modified for use for</w:t>
      </w:r>
      <w:r w:rsidRPr="007A5D4B" w:rsidR="00DF5F98">
        <w:rPr>
          <w:rFonts w:ascii="Arial" w:hAnsi="Arial" w:cs="Arial"/>
          <w:i/>
          <w:sz w:val="22"/>
          <w:szCs w:val="22"/>
        </w:rPr>
        <w:t xml:space="preserve"> the purposes described in Item </w:t>
      </w:r>
      <w:r w:rsidRPr="007A5D4B">
        <w:rPr>
          <w:rFonts w:ascii="Arial" w:hAnsi="Arial" w:cs="Arial"/>
          <w:i/>
          <w:sz w:val="22"/>
          <w:szCs w:val="22"/>
        </w:rPr>
        <w:t>2</w:t>
      </w:r>
      <w:r w:rsidRPr="007A5D4B" w:rsidR="00DF5F98">
        <w:rPr>
          <w:rFonts w:ascii="Arial" w:hAnsi="Arial" w:cs="Arial"/>
          <w:i/>
          <w:sz w:val="22"/>
          <w:szCs w:val="22"/>
        </w:rPr>
        <w:t xml:space="preserve"> </w:t>
      </w:r>
      <w:r w:rsidRPr="007A5D4B">
        <w:rPr>
          <w:rFonts w:ascii="Arial" w:hAnsi="Arial" w:cs="Arial"/>
          <w:i/>
          <w:sz w:val="22"/>
          <w:szCs w:val="22"/>
        </w:rPr>
        <w:t>above?</w:t>
      </w:r>
      <w:r w:rsidRPr="007A5D4B" w:rsidR="00DF5F98">
        <w:rPr>
          <w:rFonts w:ascii="Arial" w:hAnsi="Arial" w:cs="Arial"/>
          <w:i/>
          <w:sz w:val="22"/>
          <w:szCs w:val="22"/>
        </w:rPr>
        <w:t xml:space="preserve"> </w:t>
      </w:r>
    </w:p>
    <w:p w:rsidR="00AF1157" w:rsidRPr="007A5D4B" w:rsidP="00D73D2D" w14:paraId="5AD0CB7B" w14:textId="77777777">
      <w:pPr>
        <w:suppressAutoHyphens/>
        <w:ind w:left="480" w:hanging="480"/>
        <w:rPr>
          <w:rFonts w:ascii="Arial" w:hAnsi="Arial" w:cs="Arial"/>
          <w:sz w:val="22"/>
          <w:szCs w:val="22"/>
        </w:rPr>
      </w:pPr>
    </w:p>
    <w:p w:rsidR="00F30C53" w:rsidRPr="00D50640" w:rsidP="00F30C53" w14:paraId="171B16E3" w14:textId="0E94DFD2">
      <w:pPr>
        <w:ind w:left="360"/>
        <w:rPr>
          <w:rFonts w:ascii="Arial" w:hAnsi="Arial" w:cs="Arial"/>
          <w:sz w:val="22"/>
          <w:szCs w:val="22"/>
        </w:rPr>
      </w:pPr>
      <w:r w:rsidRPr="00DD7E42">
        <w:rPr>
          <w:rFonts w:ascii="Arial" w:hAnsi="Arial" w:cs="Arial"/>
          <w:sz w:val="22"/>
          <w:szCs w:val="22"/>
        </w:rPr>
        <w:t>Th</w:t>
      </w:r>
      <w:r w:rsidRPr="00DD7E42" w:rsidR="00DD7E42">
        <w:rPr>
          <w:rFonts w:ascii="Arial" w:hAnsi="Arial" w:cs="Arial"/>
          <w:sz w:val="22"/>
          <w:szCs w:val="22"/>
        </w:rPr>
        <w:t>e</w:t>
      </w:r>
      <w:r w:rsidRPr="00DD7E42">
        <w:rPr>
          <w:rFonts w:ascii="Arial" w:hAnsi="Arial" w:cs="Arial"/>
          <w:sz w:val="22"/>
          <w:szCs w:val="22"/>
        </w:rPr>
        <w:t xml:space="preserve"> information collections approved under this generic clearance gather customer feedback information</w:t>
      </w:r>
      <w:r w:rsidRPr="006E3278">
        <w:rPr>
          <w:rFonts w:ascii="Arial" w:hAnsi="Arial" w:cs="Arial"/>
          <w:sz w:val="22"/>
          <w:szCs w:val="22"/>
        </w:rPr>
        <w:t xml:space="preserve"> that is pertinent and specific to each respondent</w:t>
      </w:r>
      <w:r>
        <w:rPr>
          <w:rFonts w:ascii="Arial" w:hAnsi="Arial" w:cs="Arial"/>
          <w:sz w:val="22"/>
          <w:szCs w:val="22"/>
        </w:rPr>
        <w:t>’s experience and interaction with TTB’s programs and services</w:t>
      </w:r>
      <w:r w:rsidR="004809A6">
        <w:rPr>
          <w:rFonts w:ascii="Arial" w:hAnsi="Arial" w:cs="Arial"/>
          <w:sz w:val="22"/>
          <w:szCs w:val="22"/>
        </w:rPr>
        <w:t xml:space="preserve">.  </w:t>
      </w:r>
      <w:r w:rsidRPr="006E3278">
        <w:rPr>
          <w:rFonts w:ascii="Arial" w:hAnsi="Arial" w:cs="Arial"/>
          <w:sz w:val="22"/>
          <w:szCs w:val="22"/>
        </w:rPr>
        <w:t xml:space="preserve">As far as TTB is able to determine, similar information is not available </w:t>
      </w:r>
      <w:r w:rsidR="002A2434">
        <w:rPr>
          <w:rFonts w:ascii="Arial" w:hAnsi="Arial" w:cs="Arial"/>
          <w:sz w:val="22"/>
          <w:szCs w:val="22"/>
        </w:rPr>
        <w:t xml:space="preserve">to the Bureau </w:t>
      </w:r>
      <w:r w:rsidRPr="006E3278">
        <w:rPr>
          <w:rFonts w:ascii="Arial" w:hAnsi="Arial" w:cs="Arial"/>
          <w:sz w:val="22"/>
          <w:szCs w:val="22"/>
        </w:rPr>
        <w:t>elsewhere.</w:t>
      </w:r>
      <w:r>
        <w:rPr>
          <w:rFonts w:ascii="Arial" w:hAnsi="Arial" w:cs="Arial"/>
          <w:sz w:val="22"/>
          <w:szCs w:val="22"/>
        </w:rPr>
        <w:t xml:space="preserve"> </w:t>
      </w:r>
    </w:p>
    <w:p w:rsidR="007A5D4B" w:rsidRPr="002A2434" w:rsidP="007A5D4B" w14:paraId="0549B6D8" w14:textId="77777777">
      <w:pPr>
        <w:suppressAutoHyphens/>
        <w:rPr>
          <w:rFonts w:ascii="Arial" w:hAnsi="Arial" w:cs="Arial"/>
          <w:sz w:val="28"/>
          <w:szCs w:val="28"/>
        </w:rPr>
      </w:pPr>
    </w:p>
    <w:p w:rsidR="00AF1157" w:rsidRPr="007A5D4B" w:rsidP="00D73D2D" w14:paraId="77F82EAB" w14:textId="77777777">
      <w:pPr>
        <w:suppressAutoHyphens/>
        <w:rPr>
          <w:rFonts w:ascii="Arial" w:hAnsi="Arial" w:cs="Arial"/>
          <w:i/>
          <w:sz w:val="22"/>
          <w:szCs w:val="22"/>
        </w:rPr>
      </w:pPr>
      <w:r w:rsidRPr="007A5D4B">
        <w:rPr>
          <w:rFonts w:ascii="Arial" w:hAnsi="Arial" w:cs="Arial"/>
          <w:i/>
          <w:sz w:val="22"/>
          <w:szCs w:val="22"/>
        </w:rPr>
        <w:t xml:space="preserve">5.  </w:t>
      </w:r>
      <w:r w:rsidRPr="007A5D4B">
        <w:rPr>
          <w:rFonts w:ascii="Arial" w:hAnsi="Arial" w:cs="Arial"/>
          <w:i/>
          <w:sz w:val="22"/>
          <w:szCs w:val="22"/>
        </w:rPr>
        <w:t>If this collection of information impacts small businesses or other small entities,</w:t>
      </w:r>
      <w:r w:rsidRPr="007A5D4B" w:rsidR="00DF5F98">
        <w:rPr>
          <w:rFonts w:ascii="Arial" w:hAnsi="Arial" w:cs="Arial"/>
          <w:i/>
          <w:sz w:val="22"/>
          <w:szCs w:val="22"/>
        </w:rPr>
        <w:t xml:space="preserve"> </w:t>
      </w:r>
      <w:r w:rsidRPr="007A5D4B">
        <w:rPr>
          <w:rFonts w:ascii="Arial" w:hAnsi="Arial" w:cs="Arial"/>
          <w:i/>
          <w:sz w:val="22"/>
          <w:szCs w:val="22"/>
        </w:rPr>
        <w:t>what methods are used to minimize burden?</w:t>
      </w:r>
      <w:r w:rsidRPr="007A5D4B">
        <w:rPr>
          <w:rFonts w:ascii="Arial" w:hAnsi="Arial" w:cs="Arial"/>
          <w:i/>
          <w:sz w:val="22"/>
          <w:szCs w:val="22"/>
        </w:rPr>
        <w:t xml:space="preserve"> </w:t>
      </w:r>
    </w:p>
    <w:p w:rsidR="007A5D4B" w:rsidRPr="007A5D4B" w:rsidP="007A5D4B" w14:paraId="07234ACA" w14:textId="77777777">
      <w:pPr>
        <w:suppressAutoHyphens/>
        <w:ind w:left="480" w:hanging="480"/>
        <w:rPr>
          <w:rFonts w:ascii="Arial" w:hAnsi="Arial" w:cs="Arial"/>
          <w:sz w:val="22"/>
          <w:szCs w:val="22"/>
        </w:rPr>
      </w:pPr>
    </w:p>
    <w:p w:rsidR="007A5D4B" w:rsidRPr="007A5D4B" w:rsidP="004D086A" w14:paraId="6FF8D3D0" w14:textId="77777777">
      <w:pPr>
        <w:ind w:left="360"/>
        <w:rPr>
          <w:rFonts w:ascii="Arial" w:hAnsi="Arial" w:cs="Arial"/>
          <w:sz w:val="22"/>
          <w:szCs w:val="22"/>
        </w:rPr>
      </w:pPr>
      <w:r w:rsidRPr="006E3278">
        <w:rPr>
          <w:rFonts w:ascii="Arial" w:hAnsi="Arial" w:cs="Arial"/>
          <w:sz w:val="22"/>
          <w:szCs w:val="22"/>
        </w:rPr>
        <w:t xml:space="preserve">Participation in TTB </w:t>
      </w:r>
      <w:r w:rsidR="00DD7E42">
        <w:rPr>
          <w:rFonts w:ascii="Arial" w:hAnsi="Arial" w:cs="Arial"/>
          <w:sz w:val="22"/>
          <w:szCs w:val="22"/>
        </w:rPr>
        <w:t xml:space="preserve">the surveys and </w:t>
      </w:r>
      <w:r w:rsidRPr="006E3278">
        <w:rPr>
          <w:rFonts w:ascii="Arial" w:hAnsi="Arial" w:cs="Arial"/>
          <w:sz w:val="22"/>
          <w:szCs w:val="22"/>
        </w:rPr>
        <w:t>other information collection</w:t>
      </w:r>
      <w:r w:rsidR="006C176A">
        <w:rPr>
          <w:rFonts w:ascii="Arial" w:hAnsi="Arial" w:cs="Arial"/>
          <w:sz w:val="22"/>
          <w:szCs w:val="22"/>
        </w:rPr>
        <w:t xml:space="preserve">s issued </w:t>
      </w:r>
      <w:r w:rsidRPr="006E3278">
        <w:rPr>
          <w:rFonts w:ascii="Arial" w:hAnsi="Arial" w:cs="Arial"/>
          <w:sz w:val="22"/>
          <w:szCs w:val="22"/>
        </w:rPr>
        <w:t>under this generic clearance is voluntary.  TTB minimize</w:t>
      </w:r>
      <w:r w:rsidR="004809A6">
        <w:rPr>
          <w:rFonts w:ascii="Arial" w:hAnsi="Arial" w:cs="Arial"/>
          <w:sz w:val="22"/>
          <w:szCs w:val="22"/>
        </w:rPr>
        <w:t>s</w:t>
      </w:r>
      <w:r w:rsidRPr="006E3278">
        <w:rPr>
          <w:rFonts w:ascii="Arial" w:hAnsi="Arial" w:cs="Arial"/>
          <w:sz w:val="22"/>
          <w:szCs w:val="22"/>
        </w:rPr>
        <w:t xml:space="preserve"> the burden on </w:t>
      </w:r>
      <w:r w:rsidR="00DD7E42">
        <w:rPr>
          <w:rFonts w:ascii="Arial" w:hAnsi="Arial" w:cs="Arial"/>
          <w:sz w:val="22"/>
          <w:szCs w:val="22"/>
        </w:rPr>
        <w:t xml:space="preserve">small </w:t>
      </w:r>
      <w:r w:rsidRPr="006E3278">
        <w:rPr>
          <w:rFonts w:ascii="Arial" w:hAnsi="Arial" w:cs="Arial"/>
          <w:sz w:val="22"/>
          <w:szCs w:val="22"/>
        </w:rPr>
        <w:t>entities by using sampling</w:t>
      </w:r>
      <w:r w:rsidR="004809A6">
        <w:rPr>
          <w:rFonts w:ascii="Arial" w:hAnsi="Arial" w:cs="Arial"/>
          <w:sz w:val="22"/>
          <w:szCs w:val="22"/>
        </w:rPr>
        <w:t xml:space="preserve"> and short, easy-to-complete electronic and online collection instruments, and by </w:t>
      </w:r>
      <w:r w:rsidRPr="006E3278">
        <w:rPr>
          <w:rFonts w:ascii="Arial" w:hAnsi="Arial" w:cs="Arial"/>
          <w:sz w:val="22"/>
          <w:szCs w:val="22"/>
        </w:rPr>
        <w:t>asking for readily available information</w:t>
      </w:r>
      <w:r w:rsidR="004809A6">
        <w:rPr>
          <w:rFonts w:ascii="Arial" w:hAnsi="Arial" w:cs="Arial"/>
          <w:sz w:val="22"/>
          <w:szCs w:val="22"/>
        </w:rPr>
        <w:t>.</w:t>
      </w:r>
      <w:r w:rsidRPr="006E3278">
        <w:rPr>
          <w:rFonts w:ascii="Arial" w:hAnsi="Arial" w:cs="Arial"/>
          <w:sz w:val="22"/>
          <w:szCs w:val="22"/>
        </w:rPr>
        <w:t xml:space="preserve">  As such, </w:t>
      </w:r>
      <w:r w:rsidRPr="006E3278" w:rsidR="00853E85">
        <w:rPr>
          <w:rFonts w:ascii="Arial" w:hAnsi="Arial" w:cs="Arial"/>
          <w:sz w:val="22"/>
          <w:szCs w:val="22"/>
        </w:rPr>
        <w:t xml:space="preserve">this </w:t>
      </w:r>
      <w:r w:rsidR="006C176A">
        <w:rPr>
          <w:rFonts w:ascii="Arial" w:hAnsi="Arial" w:cs="Arial"/>
          <w:sz w:val="22"/>
          <w:szCs w:val="22"/>
        </w:rPr>
        <w:t xml:space="preserve">generic clearance and the information collections approved under it do </w:t>
      </w:r>
      <w:r w:rsidRPr="006E3278" w:rsidR="00853E85">
        <w:rPr>
          <w:rFonts w:ascii="Arial" w:hAnsi="Arial" w:cs="Arial"/>
          <w:sz w:val="22"/>
          <w:szCs w:val="22"/>
        </w:rPr>
        <w:t>not have a significant impact on a substantial number of small businesses or other entities.</w:t>
      </w:r>
      <w:r w:rsidRPr="00853E85" w:rsidR="00853E85">
        <w:rPr>
          <w:rFonts w:ascii="Arial" w:hAnsi="Arial" w:cs="Arial"/>
          <w:sz w:val="22"/>
          <w:szCs w:val="22"/>
        </w:rPr>
        <w:t xml:space="preserve"> </w:t>
      </w:r>
    </w:p>
    <w:p w:rsidR="007A5D4B" w:rsidRPr="002A2434" w:rsidP="007A5D4B" w14:paraId="37E2C7C0" w14:textId="77777777">
      <w:pPr>
        <w:suppressAutoHyphens/>
        <w:rPr>
          <w:rFonts w:ascii="Arial" w:hAnsi="Arial" w:cs="Arial"/>
          <w:sz w:val="28"/>
          <w:szCs w:val="28"/>
        </w:rPr>
      </w:pPr>
    </w:p>
    <w:p w:rsidR="00AF1157" w:rsidRPr="007A5D4B" w:rsidP="00D73D2D" w14:paraId="1215EDE4" w14:textId="77777777">
      <w:pPr>
        <w:suppressAutoHyphens/>
        <w:rPr>
          <w:rFonts w:ascii="Arial" w:hAnsi="Arial" w:cs="Arial"/>
          <w:i/>
          <w:sz w:val="22"/>
          <w:szCs w:val="22"/>
        </w:rPr>
      </w:pPr>
      <w:r w:rsidRPr="007A5D4B">
        <w:rPr>
          <w:rFonts w:ascii="Arial" w:hAnsi="Arial" w:cs="Arial"/>
          <w:i/>
          <w:sz w:val="22"/>
          <w:szCs w:val="22"/>
        </w:rPr>
        <w:t xml:space="preserve">6.  </w:t>
      </w:r>
      <w:r w:rsidRPr="007A5D4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7A5D4B">
        <w:rPr>
          <w:rFonts w:ascii="Arial" w:hAnsi="Arial" w:cs="Arial"/>
          <w:i/>
          <w:sz w:val="22"/>
          <w:szCs w:val="22"/>
        </w:rPr>
        <w:t xml:space="preserve"> </w:t>
      </w:r>
    </w:p>
    <w:p w:rsidR="00AF1157" w:rsidRPr="007A5D4B" w:rsidP="00D73D2D" w14:paraId="6E53EED6" w14:textId="77777777">
      <w:pPr>
        <w:suppressAutoHyphens/>
        <w:ind w:left="480" w:hanging="480"/>
        <w:rPr>
          <w:rFonts w:ascii="Arial" w:hAnsi="Arial" w:cs="Arial"/>
          <w:sz w:val="22"/>
          <w:szCs w:val="22"/>
        </w:rPr>
      </w:pPr>
    </w:p>
    <w:p w:rsidR="00CA07BF" w:rsidRPr="00CA07BF" w:rsidP="00CA07BF" w14:paraId="24FE6BA0" w14:textId="77777777">
      <w:pPr>
        <w:ind w:left="360"/>
        <w:rPr>
          <w:rFonts w:ascii="Arial" w:hAnsi="Arial" w:cs="Arial"/>
          <w:sz w:val="22"/>
          <w:szCs w:val="22"/>
        </w:rPr>
      </w:pPr>
      <w:r w:rsidRPr="0056503C">
        <w:rPr>
          <w:rFonts w:ascii="Arial" w:hAnsi="Arial" w:cs="Arial"/>
          <w:sz w:val="22"/>
          <w:szCs w:val="22"/>
        </w:rPr>
        <w:t>Without the</w:t>
      </w:r>
      <w:r>
        <w:rPr>
          <w:rFonts w:ascii="Arial" w:hAnsi="Arial" w:cs="Arial"/>
          <w:sz w:val="22"/>
          <w:szCs w:val="22"/>
        </w:rPr>
        <w:t xml:space="preserve"> use of the information collection</w:t>
      </w:r>
      <w:r w:rsidR="0013146D">
        <w:rPr>
          <w:rFonts w:ascii="Arial" w:hAnsi="Arial" w:cs="Arial"/>
          <w:sz w:val="22"/>
          <w:szCs w:val="22"/>
        </w:rPr>
        <w:t>s</w:t>
      </w:r>
      <w:r>
        <w:rPr>
          <w:rFonts w:ascii="Arial" w:hAnsi="Arial" w:cs="Arial"/>
          <w:sz w:val="22"/>
          <w:szCs w:val="22"/>
        </w:rPr>
        <w:t xml:space="preserve"> issued under this generic clearance, TTB </w:t>
      </w:r>
      <w:r w:rsidR="000E425B">
        <w:rPr>
          <w:rFonts w:ascii="Arial" w:hAnsi="Arial" w:cs="Arial"/>
          <w:sz w:val="22"/>
          <w:szCs w:val="22"/>
        </w:rPr>
        <w:t xml:space="preserve">could </w:t>
      </w:r>
      <w:r w:rsidRPr="0056503C">
        <w:rPr>
          <w:rFonts w:ascii="Arial" w:hAnsi="Arial" w:cs="Arial"/>
          <w:sz w:val="22"/>
          <w:szCs w:val="22"/>
        </w:rPr>
        <w:t xml:space="preserve">not </w:t>
      </w:r>
      <w:r>
        <w:rPr>
          <w:rFonts w:ascii="Arial" w:hAnsi="Arial" w:cs="Arial"/>
          <w:sz w:val="22"/>
          <w:szCs w:val="22"/>
        </w:rPr>
        <w:t xml:space="preserve">gather timely feedback from its customers </w:t>
      </w:r>
      <w:r w:rsidR="000E425B">
        <w:rPr>
          <w:rFonts w:ascii="Arial" w:hAnsi="Arial" w:cs="Arial"/>
          <w:sz w:val="22"/>
          <w:szCs w:val="22"/>
        </w:rPr>
        <w:t>regarding its programs and services, and it would not be a</w:t>
      </w:r>
      <w:r>
        <w:rPr>
          <w:rFonts w:ascii="Arial" w:hAnsi="Arial" w:cs="Arial"/>
          <w:sz w:val="22"/>
          <w:szCs w:val="22"/>
        </w:rPr>
        <w:t xml:space="preserve">ble to make </w:t>
      </w:r>
      <w:r w:rsidR="0097430D">
        <w:rPr>
          <w:rFonts w:ascii="Arial" w:hAnsi="Arial" w:cs="Arial"/>
          <w:sz w:val="22"/>
          <w:szCs w:val="22"/>
        </w:rPr>
        <w:t xml:space="preserve">needed </w:t>
      </w:r>
      <w:r w:rsidR="004809A6">
        <w:rPr>
          <w:rFonts w:ascii="Arial" w:hAnsi="Arial" w:cs="Arial"/>
          <w:sz w:val="22"/>
          <w:szCs w:val="22"/>
        </w:rPr>
        <w:t xml:space="preserve">adjustments to </w:t>
      </w:r>
      <w:r>
        <w:rPr>
          <w:rFonts w:ascii="Arial" w:hAnsi="Arial" w:cs="Arial"/>
          <w:sz w:val="22"/>
          <w:szCs w:val="22"/>
        </w:rPr>
        <w:t>its programs and services</w:t>
      </w:r>
      <w:r w:rsidR="004809A6">
        <w:rPr>
          <w:rFonts w:ascii="Arial" w:hAnsi="Arial" w:cs="Arial"/>
          <w:sz w:val="22"/>
          <w:szCs w:val="22"/>
        </w:rPr>
        <w:t xml:space="preserve"> in order to improve it</w:t>
      </w:r>
      <w:r>
        <w:rPr>
          <w:rFonts w:ascii="Arial" w:hAnsi="Arial" w:cs="Arial"/>
          <w:sz w:val="22"/>
          <w:szCs w:val="22"/>
        </w:rPr>
        <w:t>s customer service</w:t>
      </w:r>
      <w:r w:rsidR="0097430D">
        <w:rPr>
          <w:rFonts w:ascii="Arial" w:hAnsi="Arial" w:cs="Arial"/>
          <w:sz w:val="22"/>
          <w:szCs w:val="22"/>
        </w:rPr>
        <w:t xml:space="preserve"> delivery</w:t>
      </w:r>
      <w:r>
        <w:rPr>
          <w:rFonts w:ascii="Arial" w:hAnsi="Arial" w:cs="Arial"/>
          <w:sz w:val="22"/>
          <w:szCs w:val="22"/>
        </w:rPr>
        <w:t xml:space="preserve">. </w:t>
      </w:r>
    </w:p>
    <w:p w:rsidR="007A5D4B" w:rsidRPr="002A2434" w:rsidP="007A5D4B" w14:paraId="4F73918C" w14:textId="77777777">
      <w:pPr>
        <w:suppressAutoHyphens/>
        <w:rPr>
          <w:rFonts w:ascii="Arial" w:hAnsi="Arial" w:cs="Arial"/>
          <w:sz w:val="28"/>
          <w:szCs w:val="28"/>
        </w:rPr>
      </w:pPr>
    </w:p>
    <w:p w:rsidR="00EC4FC3" w:rsidRPr="007A5D4B" w:rsidP="00D73D2D" w14:paraId="1FA37915" w14:textId="77777777">
      <w:pPr>
        <w:suppressAutoHyphens/>
        <w:rPr>
          <w:rFonts w:ascii="Arial" w:hAnsi="Arial" w:cs="Arial"/>
          <w:i/>
          <w:sz w:val="22"/>
          <w:szCs w:val="22"/>
        </w:rPr>
      </w:pPr>
      <w:r w:rsidRPr="007A5D4B">
        <w:rPr>
          <w:rFonts w:ascii="Arial" w:hAnsi="Arial" w:cs="Arial"/>
          <w:i/>
          <w:sz w:val="22"/>
          <w:szCs w:val="22"/>
        </w:rPr>
        <w:t xml:space="preserve">7.  </w:t>
      </w:r>
      <w:r w:rsidRPr="007A5D4B">
        <w:rPr>
          <w:rFonts w:ascii="Arial" w:hAnsi="Arial" w:cs="Arial"/>
          <w:i/>
          <w:sz w:val="22"/>
          <w:szCs w:val="22"/>
        </w:rPr>
        <w:t>Are there any special circumstances associated with this information collection</w:t>
      </w:r>
      <w:r w:rsidRPr="007A5D4B" w:rsidR="005C282B">
        <w:rPr>
          <w:rFonts w:ascii="Arial" w:hAnsi="Arial" w:cs="Arial"/>
          <w:i/>
          <w:sz w:val="22"/>
          <w:szCs w:val="22"/>
        </w:rPr>
        <w:t xml:space="preserve"> that would require it to be conducted in a manner inconsistent with OMB guidelines</w:t>
      </w:r>
      <w:r w:rsidRPr="007A5D4B">
        <w:rPr>
          <w:rFonts w:ascii="Arial" w:hAnsi="Arial" w:cs="Arial"/>
          <w:i/>
          <w:sz w:val="22"/>
          <w:szCs w:val="22"/>
        </w:rPr>
        <w:t xml:space="preserve">? </w:t>
      </w:r>
    </w:p>
    <w:p w:rsidR="00101DE7" w:rsidRPr="007A5D4B" w:rsidP="00D73D2D" w14:paraId="5D68F092" w14:textId="77777777">
      <w:pPr>
        <w:rPr>
          <w:rFonts w:ascii="Arial" w:hAnsi="Arial" w:cs="Arial"/>
          <w:sz w:val="22"/>
          <w:szCs w:val="22"/>
        </w:rPr>
      </w:pPr>
    </w:p>
    <w:p w:rsidR="00EC4FC3" w:rsidRPr="007A5D4B" w:rsidP="004D086A" w14:paraId="1DE1F7FE" w14:textId="77777777">
      <w:pPr>
        <w:ind w:left="360"/>
        <w:rPr>
          <w:rFonts w:ascii="Arial" w:hAnsi="Arial" w:cs="Arial"/>
          <w:sz w:val="22"/>
          <w:szCs w:val="22"/>
        </w:rPr>
      </w:pPr>
      <w:r w:rsidRPr="00853E85">
        <w:rPr>
          <w:rFonts w:ascii="Arial" w:hAnsi="Arial" w:cs="Arial"/>
          <w:sz w:val="22"/>
          <w:szCs w:val="22"/>
        </w:rPr>
        <w:t>There are no special circumstances associated with this information collection.</w:t>
      </w:r>
      <w:r w:rsidR="007A5D4B">
        <w:rPr>
          <w:rFonts w:ascii="Arial" w:hAnsi="Arial" w:cs="Arial"/>
          <w:sz w:val="22"/>
          <w:szCs w:val="22"/>
        </w:rPr>
        <w:t xml:space="preserve"> </w:t>
      </w:r>
    </w:p>
    <w:p w:rsidR="00EC4FC3" w:rsidRPr="002A2434" w:rsidP="00D73D2D" w14:paraId="00F394C8" w14:textId="77777777">
      <w:pPr>
        <w:rPr>
          <w:rFonts w:ascii="Arial" w:hAnsi="Arial" w:cs="Arial"/>
          <w:sz w:val="28"/>
          <w:szCs w:val="28"/>
        </w:rPr>
      </w:pPr>
    </w:p>
    <w:p w:rsidR="005C282B" w:rsidRPr="00186D62" w:rsidP="00D73D2D" w14:paraId="1B9F7767" w14:textId="77777777">
      <w:pPr>
        <w:rPr>
          <w:rFonts w:ascii="Arial" w:hAnsi="Arial" w:cs="Arial"/>
          <w:i/>
          <w:sz w:val="22"/>
          <w:szCs w:val="22"/>
        </w:rPr>
      </w:pPr>
      <w:r w:rsidRPr="007A5D4B">
        <w:rPr>
          <w:rFonts w:ascii="Arial" w:hAnsi="Arial" w:cs="Arial"/>
          <w:i/>
          <w:sz w:val="22"/>
          <w:szCs w:val="22"/>
        </w:rPr>
        <w:t xml:space="preserve">8.  </w:t>
      </w:r>
      <w:r w:rsidRPr="007A5D4B" w:rsidR="00EC4FC3">
        <w:rPr>
          <w:rFonts w:ascii="Arial" w:hAnsi="Arial" w:cs="Arial"/>
          <w:i/>
          <w:sz w:val="22"/>
          <w:szCs w:val="22"/>
        </w:rPr>
        <w:t>What effort was made to notify the general public about this collection of information?</w:t>
      </w:r>
      <w:r w:rsidRPr="007A5D4B">
        <w:rPr>
          <w:rFonts w:ascii="Arial" w:hAnsi="Arial" w:cs="Arial"/>
          <w:i/>
          <w:sz w:val="22"/>
          <w:szCs w:val="22"/>
        </w:rPr>
        <w:t xml:space="preserve">  Summarize the public comments that were received and describe the action taken by the </w:t>
      </w:r>
      <w:r w:rsidRPr="00186D62">
        <w:rPr>
          <w:rFonts w:ascii="Arial" w:hAnsi="Arial" w:cs="Arial"/>
          <w:i/>
          <w:sz w:val="22"/>
          <w:szCs w:val="22"/>
        </w:rPr>
        <w:t>agency in response to those comments.</w:t>
      </w:r>
      <w:r w:rsidRPr="00186D62">
        <w:rPr>
          <w:rFonts w:ascii="Arial" w:hAnsi="Arial" w:cs="Arial"/>
          <w:i/>
          <w:sz w:val="22"/>
          <w:szCs w:val="22"/>
        </w:rPr>
        <w:t xml:space="preserve"> </w:t>
      </w:r>
    </w:p>
    <w:p w:rsidR="005C282B" w:rsidRPr="00186D62" w:rsidP="00D73D2D" w14:paraId="4FB46D7B" w14:textId="77777777">
      <w:pPr>
        <w:suppressAutoHyphens/>
        <w:ind w:left="480" w:hanging="480"/>
        <w:rPr>
          <w:rFonts w:ascii="Arial" w:hAnsi="Arial" w:cs="Arial"/>
          <w:sz w:val="22"/>
          <w:szCs w:val="22"/>
        </w:rPr>
      </w:pPr>
    </w:p>
    <w:p w:rsidR="00D414AB" w:rsidRPr="00186D62" w:rsidP="004D086A" w14:paraId="57D8DC77" w14:textId="6CFF9FDF">
      <w:pPr>
        <w:ind w:left="360"/>
        <w:rPr>
          <w:rFonts w:ascii="Arial" w:hAnsi="Arial" w:cs="Arial"/>
          <w:sz w:val="22"/>
          <w:szCs w:val="22"/>
        </w:rPr>
      </w:pPr>
      <w:r w:rsidRPr="002A2434">
        <w:rPr>
          <w:rFonts w:ascii="Arial" w:hAnsi="Arial" w:cs="Arial"/>
          <w:sz w:val="22"/>
          <w:szCs w:val="22"/>
        </w:rPr>
        <w:t>To solicit comments from the public, TTB published a “60-day” comment request notice regarding this information collection in the Federal Register on August 6, 2024, at 89 FR 64039.  TTB received no comments on this information collection in response.</w:t>
      </w:r>
      <w:r>
        <w:rPr>
          <w:rFonts w:ascii="Arial" w:hAnsi="Arial" w:cs="Arial"/>
          <w:sz w:val="22"/>
          <w:szCs w:val="22"/>
        </w:rPr>
        <w:t xml:space="preserve"> </w:t>
      </w:r>
    </w:p>
    <w:p w:rsidR="00734B25" w:rsidRPr="002A2434" w:rsidP="00D73D2D" w14:paraId="358E9C0B" w14:textId="77777777">
      <w:pPr>
        <w:suppressAutoHyphens/>
        <w:rPr>
          <w:rFonts w:ascii="Arial" w:hAnsi="Arial" w:cs="Arial"/>
          <w:sz w:val="28"/>
          <w:szCs w:val="28"/>
        </w:rPr>
      </w:pPr>
    </w:p>
    <w:p w:rsidR="00EC4FC3" w:rsidRPr="00186D62" w:rsidP="00D73D2D" w14:paraId="3B053188" w14:textId="77777777">
      <w:pPr>
        <w:suppressAutoHyphens/>
        <w:rPr>
          <w:rFonts w:ascii="Arial" w:hAnsi="Arial" w:cs="Arial"/>
          <w:i/>
          <w:sz w:val="22"/>
          <w:szCs w:val="22"/>
        </w:rPr>
      </w:pPr>
      <w:r w:rsidRPr="00186D62">
        <w:rPr>
          <w:rFonts w:ascii="Arial" w:hAnsi="Arial" w:cs="Arial"/>
          <w:i/>
          <w:sz w:val="22"/>
          <w:szCs w:val="22"/>
        </w:rPr>
        <w:t xml:space="preserve">9.  </w:t>
      </w:r>
      <w:r w:rsidRPr="00186D62" w:rsidR="00D656EA">
        <w:rPr>
          <w:rFonts w:ascii="Arial" w:hAnsi="Arial" w:cs="Arial"/>
          <w:i/>
          <w:sz w:val="22"/>
          <w:szCs w:val="22"/>
        </w:rPr>
        <w:t xml:space="preserve">Was any payment or </w:t>
      </w:r>
      <w:r w:rsidRPr="00186D62">
        <w:rPr>
          <w:rFonts w:ascii="Arial" w:hAnsi="Arial" w:cs="Arial"/>
          <w:i/>
          <w:sz w:val="22"/>
          <w:szCs w:val="22"/>
        </w:rPr>
        <w:t xml:space="preserve">gift </w:t>
      </w:r>
      <w:r w:rsidRPr="00186D62" w:rsidR="00D656EA">
        <w:rPr>
          <w:rFonts w:ascii="Arial" w:hAnsi="Arial" w:cs="Arial"/>
          <w:i/>
          <w:sz w:val="22"/>
          <w:szCs w:val="22"/>
        </w:rPr>
        <w:t xml:space="preserve">given </w:t>
      </w:r>
      <w:r w:rsidRPr="00186D62">
        <w:rPr>
          <w:rFonts w:ascii="Arial" w:hAnsi="Arial" w:cs="Arial"/>
          <w:i/>
          <w:sz w:val="22"/>
          <w:szCs w:val="22"/>
        </w:rPr>
        <w:t>to respondents, other than re</w:t>
      </w:r>
      <w:r w:rsidRPr="00186D62" w:rsidR="00101DE7">
        <w:rPr>
          <w:rFonts w:ascii="Arial" w:hAnsi="Arial" w:cs="Arial"/>
          <w:i/>
          <w:sz w:val="22"/>
          <w:szCs w:val="22"/>
        </w:rPr>
        <w:t>mun</w:t>
      </w:r>
      <w:r w:rsidRPr="00186D62">
        <w:rPr>
          <w:rFonts w:ascii="Arial" w:hAnsi="Arial" w:cs="Arial"/>
          <w:i/>
          <w:sz w:val="22"/>
          <w:szCs w:val="22"/>
        </w:rPr>
        <w:t>eration of contractors or grantees?</w:t>
      </w:r>
      <w:r w:rsidRPr="00186D62" w:rsidR="00D656EA">
        <w:rPr>
          <w:rFonts w:ascii="Arial" w:hAnsi="Arial" w:cs="Arial"/>
          <w:i/>
          <w:sz w:val="22"/>
          <w:szCs w:val="22"/>
        </w:rPr>
        <w:t xml:space="preserve">  If so, why? </w:t>
      </w:r>
    </w:p>
    <w:p w:rsidR="00EC4FC3" w:rsidRPr="00186D62" w:rsidP="00D73D2D" w14:paraId="5149F896" w14:textId="77777777">
      <w:pPr>
        <w:suppressAutoHyphens/>
        <w:rPr>
          <w:rFonts w:ascii="Arial" w:hAnsi="Arial" w:cs="Arial"/>
          <w:sz w:val="22"/>
          <w:szCs w:val="22"/>
        </w:rPr>
      </w:pPr>
    </w:p>
    <w:p w:rsidR="0097430D" w:rsidRPr="0097430D" w:rsidP="0097430D" w14:paraId="1DD26597" w14:textId="77777777">
      <w:pPr>
        <w:suppressAutoHyphens/>
        <w:ind w:left="360"/>
        <w:rPr>
          <w:rFonts w:ascii="Arial" w:hAnsi="Arial" w:cs="Arial"/>
          <w:sz w:val="22"/>
          <w:szCs w:val="22"/>
        </w:rPr>
      </w:pPr>
      <w:r>
        <w:rPr>
          <w:rFonts w:ascii="Arial" w:hAnsi="Arial" w:cs="Arial"/>
          <w:sz w:val="22"/>
          <w:szCs w:val="22"/>
        </w:rPr>
        <w:t xml:space="preserve">Except as noted below, TTB </w:t>
      </w:r>
      <w:r w:rsidRPr="0097430D">
        <w:rPr>
          <w:rFonts w:ascii="Arial" w:hAnsi="Arial" w:cs="Arial"/>
          <w:sz w:val="22"/>
          <w:szCs w:val="22"/>
        </w:rPr>
        <w:t xml:space="preserve">will not provide payment or other forms of remuneration to respondents </w:t>
      </w:r>
      <w:r>
        <w:rPr>
          <w:rFonts w:ascii="Arial" w:hAnsi="Arial" w:cs="Arial"/>
          <w:sz w:val="22"/>
          <w:szCs w:val="22"/>
        </w:rPr>
        <w:t xml:space="preserve">to </w:t>
      </w:r>
      <w:r w:rsidR="000E425B">
        <w:rPr>
          <w:rFonts w:ascii="Arial" w:hAnsi="Arial" w:cs="Arial"/>
          <w:sz w:val="22"/>
          <w:szCs w:val="22"/>
        </w:rPr>
        <w:t xml:space="preserve">the </w:t>
      </w:r>
      <w:r w:rsidR="004809A6">
        <w:rPr>
          <w:rFonts w:ascii="Arial" w:hAnsi="Arial" w:cs="Arial"/>
          <w:sz w:val="22"/>
          <w:szCs w:val="22"/>
        </w:rPr>
        <w:t xml:space="preserve">information </w:t>
      </w:r>
      <w:r w:rsidR="000E425B">
        <w:rPr>
          <w:rFonts w:ascii="Arial" w:hAnsi="Arial" w:cs="Arial"/>
          <w:sz w:val="22"/>
          <w:szCs w:val="22"/>
        </w:rPr>
        <w:t xml:space="preserve">collections approved under this generic clearance.  </w:t>
      </w:r>
      <w:r w:rsidR="008931DC">
        <w:rPr>
          <w:rFonts w:ascii="Arial" w:hAnsi="Arial" w:cs="Arial"/>
          <w:sz w:val="22"/>
          <w:szCs w:val="22"/>
        </w:rPr>
        <w:t>I</w:t>
      </w:r>
      <w:r>
        <w:rPr>
          <w:rFonts w:ascii="Arial" w:hAnsi="Arial" w:cs="Arial"/>
          <w:sz w:val="22"/>
          <w:szCs w:val="22"/>
        </w:rPr>
        <w:t>n the case of in-person focus groups</w:t>
      </w:r>
      <w:r w:rsidR="00F30C53">
        <w:rPr>
          <w:rFonts w:ascii="Arial" w:hAnsi="Arial" w:cs="Arial"/>
          <w:sz w:val="22"/>
          <w:szCs w:val="22"/>
        </w:rPr>
        <w:t xml:space="preserve"> </w:t>
      </w:r>
      <w:r>
        <w:rPr>
          <w:rFonts w:ascii="Arial" w:hAnsi="Arial" w:cs="Arial"/>
          <w:sz w:val="22"/>
          <w:szCs w:val="22"/>
        </w:rPr>
        <w:t>and usability tests, TTB may provide stipends of up to $75.00 per p</w:t>
      </w:r>
      <w:r w:rsidR="00CF2166">
        <w:rPr>
          <w:rFonts w:ascii="Arial" w:hAnsi="Arial" w:cs="Arial"/>
          <w:sz w:val="22"/>
          <w:szCs w:val="22"/>
        </w:rPr>
        <w:t>articipant</w:t>
      </w:r>
      <w:r w:rsidR="000D2738">
        <w:rPr>
          <w:rFonts w:ascii="Arial" w:hAnsi="Arial" w:cs="Arial"/>
          <w:sz w:val="22"/>
          <w:szCs w:val="22"/>
        </w:rPr>
        <w:t xml:space="preserve">.  In cases where TTB plans to offer a stipend, TTB will provide </w:t>
      </w:r>
      <w:r w:rsidRPr="0097430D">
        <w:rPr>
          <w:rFonts w:ascii="Arial" w:hAnsi="Arial" w:cs="Arial"/>
          <w:sz w:val="22"/>
          <w:szCs w:val="22"/>
        </w:rPr>
        <w:t>OMB with justification</w:t>
      </w:r>
      <w:r w:rsidR="000D2738">
        <w:rPr>
          <w:rFonts w:ascii="Arial" w:hAnsi="Arial" w:cs="Arial"/>
          <w:sz w:val="22"/>
          <w:szCs w:val="22"/>
        </w:rPr>
        <w:t xml:space="preserve"> for the stipend</w:t>
      </w:r>
      <w:r w:rsidRPr="0097430D">
        <w:rPr>
          <w:rFonts w:ascii="Arial" w:hAnsi="Arial" w:cs="Arial"/>
          <w:sz w:val="22"/>
          <w:szCs w:val="22"/>
        </w:rPr>
        <w:t xml:space="preserve"> in the request for clearance of the</w:t>
      </w:r>
      <w:r w:rsidR="000D2738">
        <w:rPr>
          <w:rFonts w:ascii="Arial" w:hAnsi="Arial" w:cs="Arial"/>
          <w:sz w:val="22"/>
          <w:szCs w:val="22"/>
        </w:rPr>
        <w:t xml:space="preserve"> specific information collection. </w:t>
      </w:r>
    </w:p>
    <w:p w:rsidR="00EC4FC3" w:rsidRPr="002A2434" w:rsidP="00D73D2D" w14:paraId="2B901631" w14:textId="77777777">
      <w:pPr>
        <w:suppressAutoHyphens/>
        <w:rPr>
          <w:rFonts w:ascii="Arial" w:hAnsi="Arial" w:cs="Arial"/>
          <w:sz w:val="28"/>
          <w:szCs w:val="28"/>
        </w:rPr>
      </w:pPr>
    </w:p>
    <w:p w:rsidR="00EC4FC3" w:rsidRPr="00D656EA" w:rsidP="00D73D2D" w14:paraId="51B02274" w14:textId="77777777">
      <w:pPr>
        <w:suppressAutoHyphens/>
        <w:rPr>
          <w:rFonts w:ascii="Arial" w:hAnsi="Arial" w:cs="Arial"/>
          <w:i/>
          <w:sz w:val="22"/>
          <w:szCs w:val="22"/>
        </w:rPr>
      </w:pPr>
      <w:r w:rsidRPr="00D656EA">
        <w:rPr>
          <w:rFonts w:ascii="Arial" w:hAnsi="Arial" w:cs="Arial"/>
          <w:i/>
          <w:sz w:val="22"/>
          <w:szCs w:val="22"/>
        </w:rPr>
        <w:t>10.</w:t>
      </w:r>
      <w:r w:rsidRPr="00D656EA">
        <w:rPr>
          <w:rFonts w:ascii="Arial" w:hAnsi="Arial" w:cs="Arial"/>
          <w:i/>
          <w:sz w:val="22"/>
          <w:szCs w:val="22"/>
        </w:rPr>
        <w:t xml:space="preserve">  What assurance of confidentiality was provided to respondents</w:t>
      </w:r>
      <w:r>
        <w:rPr>
          <w:rFonts w:ascii="Arial" w:hAnsi="Arial" w:cs="Arial"/>
          <w:i/>
          <w:sz w:val="22"/>
          <w:szCs w:val="22"/>
        </w:rPr>
        <w:t>,</w:t>
      </w:r>
      <w:r w:rsidRPr="00D656EA">
        <w:rPr>
          <w:rFonts w:ascii="Arial" w:hAnsi="Arial" w:cs="Arial"/>
          <w:i/>
          <w:sz w:val="22"/>
          <w:szCs w:val="22"/>
        </w:rPr>
        <w:t xml:space="preserve"> and what was the basis for the assurance in statute, regulations,</w:t>
      </w:r>
      <w:r w:rsidRPr="00D656EA" w:rsidR="00734B25">
        <w:rPr>
          <w:rFonts w:ascii="Arial" w:hAnsi="Arial" w:cs="Arial"/>
          <w:i/>
          <w:sz w:val="22"/>
          <w:szCs w:val="22"/>
        </w:rPr>
        <w:t xml:space="preserve"> </w:t>
      </w:r>
      <w:r w:rsidRPr="00D656EA">
        <w:rPr>
          <w:rFonts w:ascii="Arial" w:hAnsi="Arial" w:cs="Arial"/>
          <w:i/>
          <w:sz w:val="22"/>
          <w:szCs w:val="22"/>
        </w:rPr>
        <w:t>or agency policy?</w:t>
      </w:r>
      <w:r>
        <w:rPr>
          <w:rFonts w:ascii="Arial" w:hAnsi="Arial" w:cs="Arial"/>
          <w:i/>
          <w:sz w:val="22"/>
          <w:szCs w:val="22"/>
        </w:rPr>
        <w:t xml:space="preserve"> </w:t>
      </w:r>
    </w:p>
    <w:p w:rsidR="00EC4FC3" w:rsidRPr="007A5D4B" w:rsidP="00D73D2D" w14:paraId="6D268F02" w14:textId="77777777">
      <w:pPr>
        <w:rPr>
          <w:rFonts w:ascii="Arial" w:hAnsi="Arial" w:cs="Arial"/>
          <w:sz w:val="22"/>
          <w:szCs w:val="22"/>
        </w:rPr>
      </w:pPr>
    </w:p>
    <w:p w:rsidR="003E5A0D" w:rsidP="003E5A0D" w14:paraId="7B493BE1" w14:textId="77777777">
      <w:pPr>
        <w:ind w:left="360"/>
        <w:rPr>
          <w:rFonts w:ascii="Arial" w:hAnsi="Arial" w:cs="Arial"/>
          <w:sz w:val="22"/>
          <w:szCs w:val="22"/>
        </w:rPr>
      </w:pPr>
      <w:r w:rsidRPr="000826EF">
        <w:rPr>
          <w:rFonts w:ascii="Arial" w:hAnsi="Arial" w:cs="Arial"/>
          <w:sz w:val="22"/>
          <w:szCs w:val="22"/>
        </w:rPr>
        <w:t>I</w:t>
      </w:r>
      <w:r>
        <w:rPr>
          <w:rFonts w:ascii="Arial" w:hAnsi="Arial" w:cs="Arial"/>
          <w:sz w:val="22"/>
          <w:szCs w:val="22"/>
        </w:rPr>
        <w:t>n general, Federal law at 5 </w:t>
      </w:r>
      <w:r w:rsidRPr="000826EF">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taxpayer information unless </w:t>
      </w:r>
      <w:r w:rsidR="00FD0E7D">
        <w:rPr>
          <w:rFonts w:ascii="Arial" w:hAnsi="Arial" w:cs="Arial"/>
          <w:sz w:val="22"/>
          <w:szCs w:val="22"/>
        </w:rPr>
        <w:t xml:space="preserve">that section </w:t>
      </w:r>
      <w:r w:rsidRPr="000826EF">
        <w:rPr>
          <w:rFonts w:ascii="Arial" w:hAnsi="Arial" w:cs="Arial"/>
          <w:sz w:val="22"/>
          <w:szCs w:val="22"/>
        </w:rPr>
        <w:t>specifically authorize</w:t>
      </w:r>
      <w:r w:rsidR="00FD0E7D">
        <w:rPr>
          <w:rFonts w:ascii="Arial" w:hAnsi="Arial" w:cs="Arial"/>
          <w:sz w:val="22"/>
          <w:szCs w:val="22"/>
        </w:rPr>
        <w:t xml:space="preserve">s disclosure.  </w:t>
      </w:r>
      <w:r>
        <w:rPr>
          <w:rFonts w:ascii="Arial" w:hAnsi="Arial" w:cs="Arial"/>
          <w:sz w:val="22"/>
          <w:szCs w:val="22"/>
        </w:rPr>
        <w:t xml:space="preserve">However, </w:t>
      </w:r>
      <w:r w:rsidR="000E425B">
        <w:rPr>
          <w:rFonts w:ascii="Arial" w:hAnsi="Arial" w:cs="Arial"/>
          <w:sz w:val="22"/>
          <w:szCs w:val="22"/>
        </w:rPr>
        <w:t>TTB provides n</w:t>
      </w:r>
      <w:r w:rsidRPr="00853E85" w:rsidR="00E51AD7">
        <w:rPr>
          <w:rFonts w:ascii="Arial" w:hAnsi="Arial" w:cs="Arial"/>
          <w:sz w:val="22"/>
          <w:szCs w:val="22"/>
        </w:rPr>
        <w:t xml:space="preserve">o specific assurance of confidentiality </w:t>
      </w:r>
      <w:r>
        <w:rPr>
          <w:rFonts w:ascii="Arial" w:hAnsi="Arial" w:cs="Arial"/>
          <w:sz w:val="22"/>
          <w:szCs w:val="22"/>
        </w:rPr>
        <w:t>for th</w:t>
      </w:r>
      <w:r>
        <w:rPr>
          <w:rFonts w:ascii="Arial" w:hAnsi="Arial" w:cs="Arial"/>
          <w:sz w:val="22"/>
          <w:szCs w:val="22"/>
        </w:rPr>
        <w:t xml:space="preserve">e information collected under this </w:t>
      </w:r>
      <w:r>
        <w:rPr>
          <w:rFonts w:ascii="Arial" w:hAnsi="Arial" w:cs="Arial"/>
          <w:sz w:val="22"/>
          <w:szCs w:val="22"/>
        </w:rPr>
        <w:t xml:space="preserve">generic </w:t>
      </w:r>
      <w:r w:rsidR="00CF2166">
        <w:rPr>
          <w:rFonts w:ascii="Arial" w:hAnsi="Arial" w:cs="Arial"/>
          <w:sz w:val="22"/>
          <w:szCs w:val="22"/>
        </w:rPr>
        <w:t>clearance</w:t>
      </w:r>
      <w:r>
        <w:rPr>
          <w:rFonts w:ascii="Arial" w:hAnsi="Arial" w:cs="Arial"/>
          <w:sz w:val="22"/>
          <w:szCs w:val="22"/>
        </w:rPr>
        <w:t xml:space="preserve">. </w:t>
      </w:r>
      <w:r>
        <w:rPr>
          <w:rFonts w:ascii="Arial" w:hAnsi="Arial" w:cs="Arial"/>
          <w:sz w:val="22"/>
          <w:szCs w:val="22"/>
        </w:rPr>
        <w:t xml:space="preserve"> </w:t>
      </w:r>
      <w:r w:rsidRPr="000826EF">
        <w:rPr>
          <w:rFonts w:ascii="Arial" w:hAnsi="Arial" w:cs="Arial"/>
          <w:sz w:val="22"/>
          <w:szCs w:val="22"/>
        </w:rPr>
        <w:t xml:space="preserve">For each collection issued under this generic clearance, TTB will include a statement regarding the use of the collected information, including any assurance of confidentiality or any public release of such information. </w:t>
      </w:r>
    </w:p>
    <w:p w:rsidR="00AF1157" w:rsidRPr="002A2434" w:rsidP="00D73D2D" w14:paraId="438B2631" w14:textId="77777777">
      <w:pPr>
        <w:suppressAutoHyphens/>
        <w:rPr>
          <w:rFonts w:ascii="Arial" w:hAnsi="Arial" w:cs="Arial"/>
          <w:sz w:val="28"/>
          <w:szCs w:val="28"/>
        </w:rPr>
      </w:pPr>
    </w:p>
    <w:p w:rsidR="00A201BF" w:rsidRPr="00965E7F" w:rsidP="00A201BF" w14:paraId="4C44FE97" w14:textId="77777777">
      <w:pPr>
        <w:rPr>
          <w:rFonts w:ascii="Arial" w:hAnsi="Arial" w:cs="Arial"/>
          <w:i/>
          <w:sz w:val="22"/>
          <w:szCs w:val="22"/>
        </w:rPr>
      </w:pPr>
      <w:r w:rsidRPr="00965E7F">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965E7F" w:rsidP="00A201BF" w14:paraId="0DE7CA10" w14:textId="77777777">
      <w:pPr>
        <w:rPr>
          <w:rFonts w:ascii="Arial" w:hAnsi="Arial" w:cs="Arial"/>
          <w:i/>
          <w:sz w:val="22"/>
          <w:szCs w:val="22"/>
        </w:rPr>
      </w:pPr>
    </w:p>
    <w:p w:rsidR="00865FAC" w:rsidP="00A201BF" w14:paraId="103F8E2C" w14:textId="675A91B1">
      <w:pPr>
        <w:widowControl w:val="0"/>
        <w:suppressAutoHyphens/>
        <w:autoSpaceDE w:val="0"/>
        <w:autoSpaceDN w:val="0"/>
        <w:adjustRightInd w:val="0"/>
        <w:ind w:left="360"/>
        <w:rPr>
          <w:rFonts w:ascii="Arial" w:hAnsi="Arial" w:cs="Arial"/>
          <w:sz w:val="22"/>
          <w:szCs w:val="22"/>
        </w:rPr>
      </w:pPr>
      <w:r w:rsidRPr="00865FAC">
        <w:rPr>
          <w:rFonts w:ascii="Arial" w:hAnsi="Arial" w:cs="Arial"/>
          <w:sz w:val="22"/>
          <w:szCs w:val="22"/>
        </w:rPr>
        <w:t xml:space="preserve">This </w:t>
      </w:r>
      <w:r w:rsidR="00403CE3">
        <w:rPr>
          <w:rFonts w:ascii="Arial" w:hAnsi="Arial" w:cs="Arial"/>
          <w:sz w:val="22"/>
          <w:szCs w:val="22"/>
        </w:rPr>
        <w:t xml:space="preserve">generic clearance and the information collections issued under it </w:t>
      </w:r>
      <w:r w:rsidRPr="00865FAC">
        <w:rPr>
          <w:rFonts w:ascii="Arial" w:hAnsi="Arial" w:cs="Arial"/>
          <w:sz w:val="22"/>
          <w:szCs w:val="22"/>
        </w:rPr>
        <w:t xml:space="preserve">contain no questions of a sensitive nature.  In addition, this </w:t>
      </w:r>
      <w:r w:rsidR="002C5FFF">
        <w:rPr>
          <w:rFonts w:ascii="Arial" w:hAnsi="Arial" w:cs="Arial"/>
          <w:sz w:val="22"/>
          <w:szCs w:val="22"/>
        </w:rPr>
        <w:t xml:space="preserve">generic </w:t>
      </w:r>
      <w:r w:rsidR="00FD3262">
        <w:rPr>
          <w:rFonts w:ascii="Arial" w:hAnsi="Arial" w:cs="Arial"/>
          <w:sz w:val="22"/>
          <w:szCs w:val="22"/>
        </w:rPr>
        <w:t xml:space="preserve">clearance and the </w:t>
      </w:r>
      <w:r w:rsidR="002C5FFF">
        <w:rPr>
          <w:rFonts w:ascii="Arial" w:hAnsi="Arial" w:cs="Arial"/>
          <w:sz w:val="22"/>
          <w:szCs w:val="22"/>
        </w:rPr>
        <w:t xml:space="preserve">information </w:t>
      </w:r>
      <w:r w:rsidRPr="00865FAC">
        <w:rPr>
          <w:rFonts w:ascii="Arial" w:hAnsi="Arial" w:cs="Arial"/>
          <w:sz w:val="22"/>
          <w:szCs w:val="22"/>
        </w:rPr>
        <w:t>collection</w:t>
      </w:r>
      <w:r w:rsidR="00FD3262">
        <w:rPr>
          <w:rFonts w:ascii="Arial" w:hAnsi="Arial" w:cs="Arial"/>
          <w:sz w:val="22"/>
          <w:szCs w:val="22"/>
        </w:rPr>
        <w:t xml:space="preserve">s issued under it do not </w:t>
      </w:r>
      <w:r w:rsidRPr="00865FAC">
        <w:rPr>
          <w:rFonts w:ascii="Arial" w:hAnsi="Arial" w:cs="Arial"/>
          <w:sz w:val="22"/>
          <w:szCs w:val="22"/>
        </w:rPr>
        <w:t>collect personally identifiable information (PII) in an</w:t>
      </w:r>
      <w:r w:rsidR="00FD3262">
        <w:rPr>
          <w:rFonts w:ascii="Arial" w:hAnsi="Arial" w:cs="Arial"/>
          <w:sz w:val="22"/>
          <w:szCs w:val="22"/>
        </w:rPr>
        <w:t>y</w:t>
      </w:r>
      <w:r w:rsidRPr="00865FAC">
        <w:rPr>
          <w:rFonts w:ascii="Arial" w:hAnsi="Arial" w:cs="Arial"/>
          <w:sz w:val="22"/>
          <w:szCs w:val="22"/>
        </w:rPr>
        <w:t xml:space="preserve"> electronic </w:t>
      </w:r>
      <w:r w:rsidRPr="00865FAC" w:rsidR="000E425B">
        <w:rPr>
          <w:rFonts w:ascii="Arial" w:hAnsi="Arial" w:cs="Arial"/>
          <w:sz w:val="22"/>
          <w:szCs w:val="22"/>
        </w:rPr>
        <w:t>system,</w:t>
      </w:r>
      <w:r w:rsidR="000E425B">
        <w:rPr>
          <w:rFonts w:ascii="Arial" w:hAnsi="Arial" w:cs="Arial"/>
          <w:sz w:val="22"/>
          <w:szCs w:val="22"/>
        </w:rPr>
        <w:t xml:space="preserve"> and respondents anonymously complete t</w:t>
      </w:r>
      <w:r w:rsidR="00FD3262">
        <w:rPr>
          <w:rFonts w:ascii="Arial" w:hAnsi="Arial" w:cs="Arial"/>
          <w:sz w:val="22"/>
          <w:szCs w:val="22"/>
        </w:rPr>
        <w:t xml:space="preserve">he </w:t>
      </w:r>
      <w:r w:rsidR="000E425B">
        <w:rPr>
          <w:rFonts w:ascii="Arial" w:hAnsi="Arial" w:cs="Arial"/>
          <w:sz w:val="22"/>
          <w:szCs w:val="22"/>
        </w:rPr>
        <w:t xml:space="preserve">approved collections, </w:t>
      </w:r>
      <w:r w:rsidR="00ED2E4D">
        <w:rPr>
          <w:rFonts w:ascii="Arial" w:hAnsi="Arial" w:cs="Arial"/>
          <w:sz w:val="22"/>
          <w:szCs w:val="22"/>
        </w:rPr>
        <w:t>including in-pe</w:t>
      </w:r>
      <w:r w:rsidR="00DA4B98">
        <w:rPr>
          <w:rFonts w:ascii="Arial" w:hAnsi="Arial" w:cs="Arial"/>
          <w:sz w:val="22"/>
          <w:szCs w:val="22"/>
        </w:rPr>
        <w:t>rson collections</w:t>
      </w:r>
      <w:r w:rsidR="00ED2E4D">
        <w:rPr>
          <w:rFonts w:ascii="Arial" w:hAnsi="Arial" w:cs="Arial"/>
          <w:sz w:val="22"/>
          <w:szCs w:val="22"/>
        </w:rPr>
        <w:t xml:space="preserve">.  </w:t>
      </w:r>
      <w:r w:rsidRPr="00865FAC">
        <w:rPr>
          <w:rFonts w:ascii="Arial" w:hAnsi="Arial" w:cs="Arial"/>
          <w:sz w:val="22"/>
          <w:szCs w:val="22"/>
        </w:rPr>
        <w:t xml:space="preserve">Therefore, no Privacy Impact Assessment (PIA) or System of Records Notice (SORN) is required for this </w:t>
      </w:r>
      <w:r w:rsidR="00403CE3">
        <w:rPr>
          <w:rFonts w:ascii="Arial" w:hAnsi="Arial" w:cs="Arial"/>
          <w:sz w:val="22"/>
          <w:szCs w:val="22"/>
        </w:rPr>
        <w:t xml:space="preserve">generic clearance or </w:t>
      </w:r>
      <w:r w:rsidR="002A2434">
        <w:rPr>
          <w:rFonts w:ascii="Arial" w:hAnsi="Arial" w:cs="Arial"/>
          <w:sz w:val="22"/>
          <w:szCs w:val="22"/>
        </w:rPr>
        <w:t xml:space="preserve">for </w:t>
      </w:r>
      <w:r w:rsidR="00FD3262">
        <w:rPr>
          <w:rFonts w:ascii="Arial" w:hAnsi="Arial" w:cs="Arial"/>
          <w:sz w:val="22"/>
          <w:szCs w:val="22"/>
        </w:rPr>
        <w:t xml:space="preserve">the </w:t>
      </w:r>
      <w:r w:rsidR="00403CE3">
        <w:rPr>
          <w:rFonts w:ascii="Arial" w:hAnsi="Arial" w:cs="Arial"/>
          <w:sz w:val="22"/>
          <w:szCs w:val="22"/>
        </w:rPr>
        <w:t xml:space="preserve">information collections issued under it. </w:t>
      </w:r>
    </w:p>
    <w:p w:rsidR="00865FAC" w:rsidP="00A201BF" w14:paraId="713DF6F6" w14:textId="77777777">
      <w:pPr>
        <w:widowControl w:val="0"/>
        <w:suppressAutoHyphens/>
        <w:autoSpaceDE w:val="0"/>
        <w:autoSpaceDN w:val="0"/>
        <w:adjustRightInd w:val="0"/>
        <w:ind w:left="360"/>
        <w:rPr>
          <w:rFonts w:ascii="Arial" w:hAnsi="Arial" w:cs="Arial"/>
          <w:sz w:val="22"/>
          <w:szCs w:val="22"/>
        </w:rPr>
      </w:pPr>
    </w:p>
    <w:p w:rsidR="002C5FFF" w:rsidP="00406359" w14:paraId="601DC3F3" w14:textId="5C200A1B">
      <w:pPr>
        <w:widowControl w:val="0"/>
        <w:suppressAutoHyphens/>
        <w:autoSpaceDE w:val="0"/>
        <w:autoSpaceDN w:val="0"/>
        <w:adjustRightInd w:val="0"/>
        <w:ind w:left="360"/>
        <w:rPr>
          <w:rFonts w:ascii="Arial" w:hAnsi="Arial" w:cs="Arial"/>
          <w:sz w:val="22"/>
          <w:szCs w:val="22"/>
        </w:rPr>
      </w:pPr>
      <w:r>
        <w:rPr>
          <w:rFonts w:ascii="Arial" w:hAnsi="Arial" w:cs="Arial"/>
          <w:sz w:val="22"/>
          <w:szCs w:val="22"/>
        </w:rPr>
        <w:t xml:space="preserve">However, </w:t>
      </w:r>
      <w:r w:rsidR="00ED2E4D">
        <w:rPr>
          <w:rFonts w:ascii="Arial" w:hAnsi="Arial" w:cs="Arial"/>
          <w:sz w:val="22"/>
          <w:szCs w:val="22"/>
        </w:rPr>
        <w:t>TTB may use PII</w:t>
      </w:r>
      <w:r w:rsidR="00FD3262">
        <w:rPr>
          <w:rFonts w:ascii="Arial" w:hAnsi="Arial" w:cs="Arial"/>
          <w:sz w:val="22"/>
          <w:szCs w:val="22"/>
        </w:rPr>
        <w:t>, such as names, mailing and emai</w:t>
      </w:r>
      <w:r w:rsidR="00DA4B98">
        <w:rPr>
          <w:rFonts w:ascii="Arial" w:hAnsi="Arial" w:cs="Arial"/>
          <w:sz w:val="22"/>
          <w:szCs w:val="22"/>
        </w:rPr>
        <w:t>l</w:t>
      </w:r>
      <w:r w:rsidR="00FD3262">
        <w:rPr>
          <w:rFonts w:ascii="Arial" w:hAnsi="Arial" w:cs="Arial"/>
          <w:sz w:val="22"/>
          <w:szCs w:val="22"/>
        </w:rPr>
        <w:t xml:space="preserve"> addresses, and telephone numbers, </w:t>
      </w:r>
      <w:r w:rsidR="00ED2E4D">
        <w:rPr>
          <w:rFonts w:ascii="Arial" w:hAnsi="Arial" w:cs="Arial"/>
          <w:sz w:val="22"/>
          <w:szCs w:val="22"/>
        </w:rPr>
        <w:t>provided under other information collections</w:t>
      </w:r>
      <w:r>
        <w:rPr>
          <w:rFonts w:ascii="Arial" w:hAnsi="Arial" w:cs="Arial"/>
          <w:sz w:val="22"/>
          <w:szCs w:val="22"/>
        </w:rPr>
        <w:t xml:space="preserve"> and stored in various TTB electronic systems</w:t>
      </w:r>
      <w:r w:rsidR="00FD3262">
        <w:rPr>
          <w:rFonts w:ascii="Arial" w:hAnsi="Arial" w:cs="Arial"/>
          <w:sz w:val="22"/>
          <w:szCs w:val="22"/>
        </w:rPr>
        <w:t xml:space="preserve"> </w:t>
      </w:r>
      <w:r w:rsidR="00ED2E4D">
        <w:rPr>
          <w:rFonts w:ascii="Arial" w:hAnsi="Arial" w:cs="Arial"/>
          <w:sz w:val="22"/>
          <w:szCs w:val="22"/>
        </w:rPr>
        <w:t xml:space="preserve">to </w:t>
      </w:r>
      <w:r w:rsidR="00DA4B98">
        <w:rPr>
          <w:rFonts w:ascii="Arial" w:hAnsi="Arial" w:cs="Arial"/>
          <w:sz w:val="22"/>
          <w:szCs w:val="22"/>
        </w:rPr>
        <w:t xml:space="preserve">develop lists of, or </w:t>
      </w:r>
      <w:r w:rsidR="00697D19">
        <w:rPr>
          <w:rFonts w:ascii="Arial" w:hAnsi="Arial" w:cs="Arial"/>
          <w:sz w:val="22"/>
          <w:szCs w:val="22"/>
        </w:rPr>
        <w:t xml:space="preserve">to </w:t>
      </w:r>
      <w:r w:rsidR="00DA4B98">
        <w:rPr>
          <w:rFonts w:ascii="Arial" w:hAnsi="Arial" w:cs="Arial"/>
          <w:sz w:val="22"/>
          <w:szCs w:val="22"/>
        </w:rPr>
        <w:t xml:space="preserve">contact, </w:t>
      </w:r>
      <w:r w:rsidR="00ED2E4D">
        <w:rPr>
          <w:rFonts w:ascii="Arial" w:hAnsi="Arial" w:cs="Arial"/>
          <w:sz w:val="22"/>
          <w:szCs w:val="22"/>
        </w:rPr>
        <w:t xml:space="preserve">potential respondents to </w:t>
      </w:r>
      <w:r>
        <w:rPr>
          <w:rFonts w:ascii="Arial" w:hAnsi="Arial" w:cs="Arial"/>
          <w:sz w:val="22"/>
          <w:szCs w:val="22"/>
        </w:rPr>
        <w:t xml:space="preserve">the </w:t>
      </w:r>
      <w:r w:rsidR="0013146D">
        <w:rPr>
          <w:rFonts w:ascii="Arial" w:hAnsi="Arial" w:cs="Arial"/>
          <w:sz w:val="22"/>
          <w:szCs w:val="22"/>
        </w:rPr>
        <w:t>information collection</w:t>
      </w:r>
      <w:r>
        <w:rPr>
          <w:rFonts w:ascii="Arial" w:hAnsi="Arial" w:cs="Arial"/>
          <w:sz w:val="22"/>
          <w:szCs w:val="22"/>
        </w:rPr>
        <w:t>s</w:t>
      </w:r>
      <w:r w:rsidR="00ED2E4D">
        <w:rPr>
          <w:rFonts w:ascii="Arial" w:hAnsi="Arial" w:cs="Arial"/>
          <w:sz w:val="22"/>
          <w:szCs w:val="22"/>
        </w:rPr>
        <w:t xml:space="preserve"> issued under this generic clearance.  </w:t>
      </w:r>
      <w:r>
        <w:rPr>
          <w:rFonts w:ascii="Arial" w:hAnsi="Arial" w:cs="Arial"/>
          <w:sz w:val="22"/>
          <w:szCs w:val="22"/>
        </w:rPr>
        <w:t xml:space="preserve">These include </w:t>
      </w:r>
      <w:r>
        <w:rPr>
          <w:rFonts w:ascii="Arial" w:hAnsi="Arial" w:cs="Arial"/>
          <w:sz w:val="22"/>
          <w:szCs w:val="22"/>
        </w:rPr>
        <w:t xml:space="preserve">TTB’s </w:t>
      </w:r>
      <w:r>
        <w:rPr>
          <w:rFonts w:ascii="Arial" w:hAnsi="Arial" w:cs="Arial"/>
          <w:sz w:val="22"/>
          <w:szCs w:val="22"/>
        </w:rPr>
        <w:t>Certificate</w:t>
      </w:r>
      <w:r w:rsidR="00FD3262">
        <w:rPr>
          <w:rFonts w:ascii="Arial" w:hAnsi="Arial" w:cs="Arial"/>
          <w:sz w:val="22"/>
          <w:szCs w:val="22"/>
        </w:rPr>
        <w:t>s</w:t>
      </w:r>
      <w:r>
        <w:rPr>
          <w:rFonts w:ascii="Arial" w:hAnsi="Arial" w:cs="Arial"/>
          <w:sz w:val="22"/>
          <w:szCs w:val="22"/>
        </w:rPr>
        <w:t xml:space="preserve"> of Label Approval Online (COLAs Online), Formulas Online (FONL), </w:t>
      </w:r>
      <w:r>
        <w:rPr>
          <w:rFonts w:ascii="Arial" w:hAnsi="Arial" w:cs="Arial"/>
          <w:sz w:val="22"/>
          <w:szCs w:val="22"/>
        </w:rPr>
        <w:t xml:space="preserve">and </w:t>
      </w:r>
      <w:r>
        <w:rPr>
          <w:rFonts w:ascii="Arial" w:hAnsi="Arial" w:cs="Arial"/>
          <w:sz w:val="22"/>
          <w:szCs w:val="22"/>
        </w:rPr>
        <w:t>Permits Online (PONL)</w:t>
      </w:r>
      <w:r>
        <w:rPr>
          <w:rFonts w:ascii="Arial" w:hAnsi="Arial" w:cs="Arial"/>
          <w:sz w:val="22"/>
          <w:szCs w:val="22"/>
        </w:rPr>
        <w:t xml:space="preserve"> systems.  </w:t>
      </w:r>
      <w:r w:rsidRPr="002C5FFF">
        <w:rPr>
          <w:rFonts w:ascii="Arial" w:hAnsi="Arial" w:cs="Arial"/>
          <w:sz w:val="22"/>
          <w:szCs w:val="22"/>
        </w:rPr>
        <w:t>TTB has conducted a Privacy and Civil Liberties Impact Assessment</w:t>
      </w:r>
      <w:r>
        <w:rPr>
          <w:rFonts w:ascii="Arial" w:hAnsi="Arial" w:cs="Arial"/>
          <w:sz w:val="22"/>
          <w:szCs w:val="22"/>
        </w:rPr>
        <w:t>s</w:t>
      </w:r>
      <w:r w:rsidRPr="002C5FFF">
        <w:rPr>
          <w:rFonts w:ascii="Arial" w:hAnsi="Arial" w:cs="Arial"/>
          <w:sz w:val="22"/>
          <w:szCs w:val="22"/>
        </w:rPr>
        <w:t xml:space="preserve"> (PCLIA</w:t>
      </w:r>
      <w:r>
        <w:rPr>
          <w:rFonts w:ascii="Arial" w:hAnsi="Arial" w:cs="Arial"/>
          <w:sz w:val="22"/>
          <w:szCs w:val="22"/>
        </w:rPr>
        <w:t>s</w:t>
      </w:r>
      <w:r w:rsidRPr="002C5FFF">
        <w:rPr>
          <w:rFonts w:ascii="Arial" w:hAnsi="Arial" w:cs="Arial"/>
          <w:sz w:val="22"/>
          <w:szCs w:val="22"/>
        </w:rPr>
        <w:t xml:space="preserve">) for its electronic </w:t>
      </w:r>
      <w:r>
        <w:rPr>
          <w:rFonts w:ascii="Arial" w:hAnsi="Arial" w:cs="Arial"/>
          <w:sz w:val="22"/>
          <w:szCs w:val="22"/>
        </w:rPr>
        <w:t>systems, and TTB has issued a System of Records Notice (SORN) for</w:t>
      </w:r>
      <w:r w:rsidRPr="002C5FFF">
        <w:rPr>
          <w:rFonts w:ascii="Arial" w:hAnsi="Arial" w:cs="Arial"/>
          <w:sz w:val="22"/>
          <w:szCs w:val="22"/>
        </w:rPr>
        <w:t xml:space="preserve"> </w:t>
      </w:r>
      <w:r>
        <w:rPr>
          <w:rFonts w:ascii="Arial" w:hAnsi="Arial" w:cs="Arial"/>
          <w:sz w:val="22"/>
          <w:szCs w:val="22"/>
        </w:rPr>
        <w:t>its</w:t>
      </w:r>
      <w:r w:rsidRPr="002C5FFF">
        <w:rPr>
          <w:rFonts w:ascii="Arial" w:hAnsi="Arial" w:cs="Arial"/>
          <w:sz w:val="22"/>
          <w:szCs w:val="22"/>
        </w:rPr>
        <w:t xml:space="preserve"> record system</w:t>
      </w:r>
      <w:r>
        <w:rPr>
          <w:rFonts w:ascii="Arial" w:hAnsi="Arial" w:cs="Arial"/>
          <w:sz w:val="22"/>
          <w:szCs w:val="22"/>
        </w:rPr>
        <w:t xml:space="preserve"> (</w:t>
      </w:r>
      <w:r w:rsidRPr="002C5FFF">
        <w:rPr>
          <w:rFonts w:ascii="Arial" w:hAnsi="Arial" w:cs="Arial"/>
          <w:sz w:val="22"/>
          <w:szCs w:val="22"/>
        </w:rPr>
        <w:t>titled “Department of the Treasury, Alcohol and Tobacco Tax and Trade Bureau (TTB) .001—Regulatory Enforcement System of Records</w:t>
      </w:r>
      <w:r>
        <w:rPr>
          <w:rFonts w:ascii="Arial" w:hAnsi="Arial" w:cs="Arial"/>
          <w:sz w:val="22"/>
          <w:szCs w:val="22"/>
        </w:rPr>
        <w:t xml:space="preserve">), which was published in the Federal Register on </w:t>
      </w:r>
      <w:r w:rsidRPr="002C5FFF">
        <w:rPr>
          <w:rFonts w:ascii="Arial" w:hAnsi="Arial" w:cs="Arial"/>
          <w:sz w:val="22"/>
          <w:szCs w:val="22"/>
        </w:rPr>
        <w:t xml:space="preserve">October 11, 2022, at 87 FR 61435.  Links to TTB’s PCLIAs and SORN may be found on the TTB website at </w:t>
      </w:r>
      <w:r w:rsidRPr="002C5FFF">
        <w:rPr>
          <w:rFonts w:ascii="Arial" w:hAnsi="Arial" w:cs="Arial"/>
          <w:i/>
          <w:iCs/>
          <w:sz w:val="22"/>
          <w:szCs w:val="22"/>
        </w:rPr>
        <w:t>https://www.ttb.gov/public-information/foia</w:t>
      </w:r>
      <w:r w:rsidRPr="002C5FFF">
        <w:rPr>
          <w:rFonts w:ascii="Arial" w:hAnsi="Arial" w:cs="Arial"/>
          <w:sz w:val="22"/>
          <w:szCs w:val="22"/>
        </w:rPr>
        <w:t>.</w:t>
      </w:r>
      <w:r>
        <w:rPr>
          <w:rFonts w:ascii="Arial" w:hAnsi="Arial" w:cs="Arial"/>
          <w:sz w:val="22"/>
          <w:szCs w:val="22"/>
        </w:rPr>
        <w:t xml:space="preserve"> </w:t>
      </w:r>
    </w:p>
    <w:p w:rsidR="00A201BF" w:rsidRPr="002C5FFF" w:rsidP="00D73D2D" w14:paraId="14D96738" w14:textId="77777777">
      <w:pPr>
        <w:suppressAutoHyphens/>
        <w:rPr>
          <w:rFonts w:ascii="Arial" w:hAnsi="Arial" w:cs="Arial"/>
          <w:sz w:val="28"/>
          <w:szCs w:val="28"/>
        </w:rPr>
      </w:pPr>
    </w:p>
    <w:p w:rsidR="005D367A" w:rsidRPr="005A544C" w:rsidP="005D367A" w14:paraId="73599D0B" w14:textId="77777777">
      <w:pPr>
        <w:rPr>
          <w:rFonts w:ascii="Arial" w:hAnsi="Arial" w:cs="Arial"/>
          <w:i/>
          <w:sz w:val="22"/>
          <w:szCs w:val="22"/>
        </w:rPr>
      </w:pPr>
      <w:r w:rsidRPr="005A544C">
        <w:rPr>
          <w:rFonts w:ascii="Arial" w:hAnsi="Arial" w:cs="Arial"/>
          <w:i/>
          <w:sz w:val="22"/>
          <w:szCs w:val="22"/>
        </w:rPr>
        <w:t xml:space="preserve">12.  What is the estimated hour burden of this collection of information? </w:t>
      </w:r>
    </w:p>
    <w:p w:rsidR="005D367A" w:rsidRPr="005A544C" w:rsidP="005D367A" w14:paraId="4FEA96B2" w14:textId="77777777">
      <w:pPr>
        <w:rPr>
          <w:rFonts w:ascii="Arial" w:hAnsi="Arial" w:cs="Arial"/>
          <w:sz w:val="22"/>
          <w:szCs w:val="22"/>
        </w:rPr>
      </w:pPr>
    </w:p>
    <w:p w:rsidR="005D367A" w:rsidP="005D367A" w14:paraId="75A4137C" w14:textId="71723845">
      <w:pPr>
        <w:ind w:left="360"/>
        <w:rPr>
          <w:rFonts w:ascii="Arial" w:hAnsi="Arial" w:cs="Arial"/>
          <w:sz w:val="22"/>
          <w:szCs w:val="22"/>
        </w:rPr>
      </w:pPr>
      <w:r w:rsidRPr="005A544C">
        <w:rPr>
          <w:rFonts w:ascii="Arial" w:hAnsi="Arial" w:cs="Arial"/>
          <w:sz w:val="22"/>
          <w:szCs w:val="22"/>
          <w:u w:val="single"/>
        </w:rPr>
        <w:t>Estimated Respondent Burden:</w:t>
      </w:r>
      <w:r w:rsidRPr="005A544C">
        <w:rPr>
          <w:rFonts w:ascii="Arial" w:hAnsi="Arial" w:cs="Arial"/>
          <w:sz w:val="22"/>
          <w:szCs w:val="22"/>
        </w:rPr>
        <w:t xml:space="preserve">  </w:t>
      </w:r>
      <w:r w:rsidRPr="005D367A">
        <w:rPr>
          <w:rFonts w:ascii="Arial" w:hAnsi="Arial" w:cs="Arial"/>
          <w:sz w:val="22"/>
          <w:szCs w:val="22"/>
        </w:rPr>
        <w:t xml:space="preserve">TTB will use a variety of information collections to gather customer feedback from respondents.  Respondents will be TTB-regulated industry members, stakeholders, and other members of the public who have contacted or done business with the </w:t>
      </w:r>
      <w:r w:rsidR="002C5FFF">
        <w:rPr>
          <w:rFonts w:ascii="Arial" w:hAnsi="Arial" w:cs="Arial"/>
          <w:sz w:val="22"/>
          <w:szCs w:val="22"/>
        </w:rPr>
        <w:t>Bureau</w:t>
      </w:r>
      <w:r w:rsidRPr="005D367A">
        <w:rPr>
          <w:rFonts w:ascii="Arial" w:hAnsi="Arial" w:cs="Arial"/>
          <w:sz w:val="22"/>
          <w:szCs w:val="22"/>
        </w:rPr>
        <w:t xml:space="preserve">.  TTB estimates that it will survey or request feedback from </w:t>
      </w:r>
      <w:r w:rsidR="004D41BF">
        <w:rPr>
          <w:rFonts w:ascii="Arial" w:hAnsi="Arial" w:cs="Arial"/>
          <w:sz w:val="22"/>
          <w:szCs w:val="22"/>
        </w:rPr>
        <w:t xml:space="preserve">no more than </w:t>
      </w:r>
      <w:r w:rsidRPr="005D367A">
        <w:rPr>
          <w:rFonts w:ascii="Arial" w:hAnsi="Arial" w:cs="Arial"/>
          <w:sz w:val="22"/>
          <w:szCs w:val="22"/>
        </w:rPr>
        <w:t xml:space="preserve">25,000 respondents annually, with each respondent making one voluntary annual response at an estimated average burden of </w:t>
      </w:r>
      <w:r w:rsidR="002C5FFF">
        <w:rPr>
          <w:rFonts w:ascii="Arial" w:hAnsi="Arial" w:cs="Arial"/>
          <w:sz w:val="22"/>
          <w:szCs w:val="22"/>
        </w:rPr>
        <w:t xml:space="preserve">no more than </w:t>
      </w:r>
      <w:r w:rsidRPr="005D367A">
        <w:rPr>
          <w:rFonts w:ascii="Arial" w:hAnsi="Arial" w:cs="Arial"/>
          <w:sz w:val="22"/>
          <w:szCs w:val="22"/>
        </w:rPr>
        <w:t xml:space="preserve">one hour per response, for a total estimated annual burden of </w:t>
      </w:r>
      <w:r w:rsidR="004D41BF">
        <w:rPr>
          <w:rFonts w:ascii="Arial" w:hAnsi="Arial" w:cs="Arial"/>
          <w:sz w:val="22"/>
          <w:szCs w:val="22"/>
        </w:rPr>
        <w:t xml:space="preserve">no more than </w:t>
      </w:r>
      <w:r w:rsidRPr="005D367A">
        <w:rPr>
          <w:rFonts w:ascii="Arial" w:hAnsi="Arial" w:cs="Arial"/>
          <w:sz w:val="22"/>
          <w:szCs w:val="22"/>
        </w:rPr>
        <w:t>25,000 hours.</w:t>
      </w:r>
      <w:r w:rsidR="004D41BF">
        <w:rPr>
          <w:rFonts w:ascii="Arial" w:hAnsi="Arial" w:cs="Arial"/>
          <w:sz w:val="22"/>
          <w:szCs w:val="22"/>
        </w:rPr>
        <w:t xml:space="preserve"> </w:t>
      </w:r>
    </w:p>
    <w:p w:rsidR="005D367A" w:rsidRPr="005A544C" w:rsidP="005D367A" w14:paraId="328C80AC" w14:textId="77777777">
      <w:pPr>
        <w:autoSpaceDE w:val="0"/>
        <w:autoSpaceDN w:val="0"/>
        <w:adjustRightInd w:val="0"/>
        <w:ind w:left="360"/>
        <w:rPr>
          <w:rFonts w:ascii="Arial" w:hAnsi="Arial" w:cs="Arial"/>
          <w:sz w:val="22"/>
          <w:szCs w:val="22"/>
        </w:rPr>
      </w:pPr>
    </w:p>
    <w:p w:rsidR="005D367A" w:rsidRPr="00064ACD" w:rsidP="005D367A" w14:paraId="53310D71" w14:textId="14E715CD">
      <w:pPr>
        <w:ind w:left="360"/>
        <w:rPr>
          <w:rFonts w:ascii="Arial" w:hAnsi="Arial" w:cs="Arial"/>
          <w:sz w:val="22"/>
          <w:szCs w:val="22"/>
        </w:rPr>
      </w:pPr>
      <w:r w:rsidRPr="005A544C">
        <w:rPr>
          <w:rFonts w:ascii="Arial" w:hAnsi="Arial" w:cs="Arial"/>
          <w:sz w:val="22"/>
          <w:szCs w:val="22"/>
          <w:u w:val="single"/>
        </w:rPr>
        <w:t>Estimated Respondent Labor Costs:</w:t>
      </w:r>
      <w:r w:rsidRPr="005A544C">
        <w:rPr>
          <w:rFonts w:ascii="Arial" w:hAnsi="Arial" w:cs="Arial"/>
          <w:sz w:val="22"/>
          <w:szCs w:val="22"/>
        </w:rPr>
        <w:t xml:space="preserve">  </w:t>
      </w:r>
      <w:r w:rsidR="00701D3E">
        <w:rPr>
          <w:rFonts w:ascii="Arial" w:hAnsi="Arial" w:cs="Arial"/>
          <w:sz w:val="22"/>
          <w:szCs w:val="22"/>
        </w:rPr>
        <w:t xml:space="preserve">Based on the average fully-loaded </w:t>
      </w:r>
      <w:r w:rsidR="00892E68">
        <w:rPr>
          <w:rFonts w:ascii="Arial" w:hAnsi="Arial" w:cs="Arial"/>
          <w:sz w:val="22"/>
          <w:szCs w:val="22"/>
        </w:rPr>
        <w:t>labor</w:t>
      </w:r>
      <w:r w:rsidR="00701D3E">
        <w:rPr>
          <w:rFonts w:ascii="Arial" w:hAnsi="Arial" w:cs="Arial"/>
          <w:sz w:val="22"/>
          <w:szCs w:val="22"/>
        </w:rPr>
        <w:t xml:space="preserve"> rate </w:t>
      </w:r>
      <w:r w:rsidR="00B65618">
        <w:rPr>
          <w:rFonts w:ascii="Arial" w:hAnsi="Arial" w:cs="Arial"/>
          <w:sz w:val="22"/>
          <w:szCs w:val="22"/>
        </w:rPr>
        <w:t>of $3</w:t>
      </w:r>
      <w:r w:rsidR="00D47D3A">
        <w:rPr>
          <w:rFonts w:ascii="Arial" w:hAnsi="Arial" w:cs="Arial"/>
          <w:sz w:val="22"/>
          <w:szCs w:val="22"/>
        </w:rPr>
        <w:t>7.24</w:t>
      </w:r>
      <w:r w:rsidR="00892E68">
        <w:rPr>
          <w:rFonts w:ascii="Arial" w:hAnsi="Arial" w:cs="Arial"/>
          <w:sz w:val="22"/>
          <w:szCs w:val="22"/>
        </w:rPr>
        <w:t xml:space="preserve"> per hour</w:t>
      </w:r>
      <w:r>
        <w:rPr>
          <w:rFonts w:ascii="Arial" w:hAnsi="Arial" w:cs="Arial"/>
          <w:sz w:val="20"/>
          <w:szCs w:val="20"/>
          <w:vertAlign w:val="superscript"/>
        </w:rPr>
        <w:footnoteReference w:id="2"/>
      </w:r>
      <w:r w:rsidR="00B65618">
        <w:rPr>
          <w:rFonts w:ascii="Arial" w:hAnsi="Arial" w:cs="Arial"/>
          <w:sz w:val="22"/>
          <w:szCs w:val="22"/>
        </w:rPr>
        <w:t xml:space="preserve"> </w:t>
      </w:r>
      <w:r w:rsidR="00701D3E">
        <w:rPr>
          <w:rFonts w:ascii="Arial" w:hAnsi="Arial" w:cs="Arial"/>
          <w:sz w:val="22"/>
          <w:szCs w:val="22"/>
        </w:rPr>
        <w:t xml:space="preserve">for all occupations in the beverage and tobacco product manufacturing industries, TTB estimates the </w:t>
      </w:r>
      <w:r w:rsidRPr="005A544C">
        <w:rPr>
          <w:rFonts w:ascii="Arial" w:hAnsi="Arial" w:cs="Arial"/>
          <w:sz w:val="22"/>
          <w:szCs w:val="22"/>
        </w:rPr>
        <w:t xml:space="preserve">annual per-respondent and total respondent labor costs for </w:t>
      </w:r>
      <w:r w:rsidR="00701D3E">
        <w:rPr>
          <w:rFonts w:ascii="Arial" w:hAnsi="Arial" w:cs="Arial"/>
          <w:sz w:val="22"/>
          <w:szCs w:val="22"/>
        </w:rPr>
        <w:t xml:space="preserve">its generic information collection clearance </w:t>
      </w:r>
      <w:r w:rsidRPr="005A544C">
        <w:rPr>
          <w:rFonts w:ascii="Arial" w:hAnsi="Arial" w:cs="Arial"/>
          <w:sz w:val="22"/>
          <w:szCs w:val="22"/>
        </w:rPr>
        <w:t>request as follows</w:t>
      </w:r>
      <w:r w:rsidRPr="00064ACD">
        <w:rPr>
          <w:rFonts w:ascii="Arial" w:hAnsi="Arial" w:cs="Arial"/>
          <w:sz w:val="22"/>
          <w:szCs w:val="22"/>
        </w:rPr>
        <w:t>:</w:t>
      </w:r>
      <w:r w:rsidR="00064ACD">
        <w:rPr>
          <w:rFonts w:ascii="Arial" w:hAnsi="Arial" w:cs="Arial"/>
          <w:sz w:val="22"/>
          <w:szCs w:val="22"/>
        </w:rPr>
        <w:t xml:space="preserve"> </w:t>
      </w:r>
      <w:r w:rsidRPr="00064ACD" w:rsidR="00064ACD">
        <w:rPr>
          <w:rFonts w:ascii="Arial" w:hAnsi="Arial" w:cs="Arial"/>
          <w:sz w:val="20"/>
          <w:szCs w:val="20"/>
          <w:vertAlign w:val="superscript"/>
        </w:rPr>
        <w:t xml:space="preserve"> </w:t>
      </w:r>
    </w:p>
    <w:p w:rsidR="00064ACD" w:rsidP="005D367A" w14:paraId="1BDD826B" w14:textId="77777777">
      <w:pPr>
        <w:ind w:left="360"/>
        <w:rPr>
          <w:rFonts w:ascii="Arial" w:hAnsi="Arial" w:cs="Arial"/>
          <w:sz w:val="22"/>
          <w:szCs w:val="22"/>
        </w:rPr>
      </w:pPr>
    </w:p>
    <w:p w:rsidR="00064ACD" w:rsidP="00064ACD" w14:paraId="1BE0F899" w14:textId="119505F0">
      <w:pPr>
        <w:pStyle w:val="ListParagraph"/>
        <w:numPr>
          <w:ilvl w:val="0"/>
          <w:numId w:val="7"/>
        </w:numPr>
        <w:rPr>
          <w:rFonts w:ascii="Arial" w:hAnsi="Arial" w:cs="Arial"/>
          <w:sz w:val="22"/>
          <w:szCs w:val="22"/>
        </w:rPr>
      </w:pPr>
      <w:r w:rsidRPr="00064ACD">
        <w:rPr>
          <w:rFonts w:ascii="Arial" w:hAnsi="Arial" w:cs="Arial"/>
          <w:sz w:val="22"/>
          <w:szCs w:val="22"/>
        </w:rPr>
        <w:t xml:space="preserve">1 </w:t>
      </w:r>
      <w:r w:rsidR="00D47D3A">
        <w:rPr>
          <w:rFonts w:ascii="Arial" w:hAnsi="Arial" w:cs="Arial"/>
          <w:sz w:val="22"/>
          <w:szCs w:val="22"/>
        </w:rPr>
        <w:t xml:space="preserve">Annual </w:t>
      </w:r>
      <w:r w:rsidRPr="00064ACD">
        <w:rPr>
          <w:rFonts w:ascii="Arial" w:hAnsi="Arial" w:cs="Arial"/>
          <w:sz w:val="22"/>
          <w:szCs w:val="22"/>
        </w:rPr>
        <w:t xml:space="preserve">Response x 1 Hour </w:t>
      </w:r>
      <w:r w:rsidRPr="00064ACD" w:rsidR="00FD0E7D">
        <w:rPr>
          <w:rFonts w:ascii="Arial" w:hAnsi="Arial" w:cs="Arial"/>
          <w:sz w:val="22"/>
          <w:szCs w:val="22"/>
        </w:rPr>
        <w:t>per</w:t>
      </w:r>
      <w:r w:rsidRPr="00064ACD">
        <w:rPr>
          <w:rFonts w:ascii="Arial" w:hAnsi="Arial" w:cs="Arial"/>
          <w:sz w:val="22"/>
          <w:szCs w:val="22"/>
        </w:rPr>
        <w:t xml:space="preserve"> Response x $3</w:t>
      </w:r>
      <w:r w:rsidR="00D47D3A">
        <w:rPr>
          <w:rFonts w:ascii="Arial" w:hAnsi="Arial" w:cs="Arial"/>
          <w:sz w:val="22"/>
          <w:szCs w:val="22"/>
        </w:rPr>
        <w:t>7.24</w:t>
      </w:r>
      <w:r w:rsidRPr="00064ACD">
        <w:rPr>
          <w:rFonts w:ascii="Arial" w:hAnsi="Arial" w:cs="Arial"/>
          <w:sz w:val="22"/>
          <w:szCs w:val="22"/>
        </w:rPr>
        <w:t xml:space="preserve"> </w:t>
      </w:r>
      <w:r w:rsidRPr="00064ACD" w:rsidR="00FD0E7D">
        <w:rPr>
          <w:rFonts w:ascii="Arial" w:hAnsi="Arial" w:cs="Arial"/>
          <w:sz w:val="22"/>
          <w:szCs w:val="22"/>
        </w:rPr>
        <w:t>per</w:t>
      </w:r>
      <w:r w:rsidRPr="00064ACD">
        <w:rPr>
          <w:rFonts w:ascii="Arial" w:hAnsi="Arial" w:cs="Arial"/>
          <w:sz w:val="22"/>
          <w:szCs w:val="22"/>
        </w:rPr>
        <w:t xml:space="preserve"> </w:t>
      </w:r>
      <w:r w:rsidR="00D47D3A">
        <w:rPr>
          <w:rFonts w:ascii="Arial" w:hAnsi="Arial" w:cs="Arial"/>
          <w:sz w:val="22"/>
          <w:szCs w:val="22"/>
        </w:rPr>
        <w:t>h</w:t>
      </w:r>
      <w:r w:rsidRPr="00064ACD">
        <w:rPr>
          <w:rFonts w:ascii="Arial" w:hAnsi="Arial" w:cs="Arial"/>
          <w:sz w:val="22"/>
          <w:szCs w:val="22"/>
        </w:rPr>
        <w:t xml:space="preserve">our </w:t>
      </w:r>
      <w:r w:rsidR="00D47D3A">
        <w:rPr>
          <w:rFonts w:ascii="Arial" w:hAnsi="Arial" w:cs="Arial"/>
          <w:sz w:val="22"/>
          <w:szCs w:val="22"/>
        </w:rPr>
        <w:t xml:space="preserve">in Respondent Labor Costs </w:t>
      </w:r>
      <w:r w:rsidRPr="00064ACD">
        <w:rPr>
          <w:rFonts w:ascii="Arial" w:hAnsi="Arial" w:cs="Arial"/>
          <w:sz w:val="22"/>
          <w:szCs w:val="22"/>
        </w:rPr>
        <w:t>= $3</w:t>
      </w:r>
      <w:r w:rsidR="00D47D3A">
        <w:rPr>
          <w:rFonts w:ascii="Arial" w:hAnsi="Arial" w:cs="Arial"/>
          <w:sz w:val="22"/>
          <w:szCs w:val="22"/>
        </w:rPr>
        <w:t>7.24</w:t>
      </w:r>
      <w:r>
        <w:rPr>
          <w:rFonts w:ascii="Arial" w:hAnsi="Arial" w:cs="Arial"/>
          <w:sz w:val="22"/>
          <w:szCs w:val="22"/>
        </w:rPr>
        <w:t xml:space="preserve"> </w:t>
      </w:r>
      <w:r w:rsidR="00FD0E7D">
        <w:rPr>
          <w:rFonts w:ascii="Arial" w:hAnsi="Arial" w:cs="Arial"/>
          <w:sz w:val="22"/>
          <w:szCs w:val="22"/>
        </w:rPr>
        <w:t>per</w:t>
      </w:r>
      <w:r>
        <w:rPr>
          <w:rFonts w:ascii="Arial" w:hAnsi="Arial" w:cs="Arial"/>
          <w:sz w:val="22"/>
          <w:szCs w:val="22"/>
        </w:rPr>
        <w:t xml:space="preserve"> Respon</w:t>
      </w:r>
      <w:r w:rsidR="00D47D3A">
        <w:rPr>
          <w:rFonts w:ascii="Arial" w:hAnsi="Arial" w:cs="Arial"/>
          <w:sz w:val="22"/>
          <w:szCs w:val="22"/>
        </w:rPr>
        <w:t xml:space="preserve">dent per year. </w:t>
      </w:r>
    </w:p>
    <w:p w:rsidR="00064ACD" w:rsidP="00064ACD" w14:paraId="20ADC220" w14:textId="77777777">
      <w:pPr>
        <w:pStyle w:val="ListParagraph"/>
        <w:ind w:left="1080"/>
        <w:rPr>
          <w:rFonts w:ascii="Arial" w:hAnsi="Arial" w:cs="Arial"/>
          <w:sz w:val="22"/>
          <w:szCs w:val="22"/>
        </w:rPr>
      </w:pPr>
    </w:p>
    <w:p w:rsidR="00064ACD" w:rsidRPr="00064ACD" w:rsidP="00064ACD" w14:paraId="44FD1679" w14:textId="6AEDD0D2">
      <w:pPr>
        <w:pStyle w:val="ListParagraph"/>
        <w:numPr>
          <w:ilvl w:val="0"/>
          <w:numId w:val="7"/>
        </w:numPr>
        <w:rPr>
          <w:rFonts w:ascii="Arial" w:hAnsi="Arial" w:cs="Arial"/>
          <w:sz w:val="22"/>
          <w:szCs w:val="22"/>
        </w:rPr>
      </w:pPr>
      <w:r w:rsidRPr="00064ACD">
        <w:rPr>
          <w:rFonts w:ascii="Arial" w:hAnsi="Arial" w:cs="Arial"/>
          <w:sz w:val="22"/>
          <w:szCs w:val="22"/>
        </w:rPr>
        <w:t>$</w:t>
      </w:r>
      <w:r w:rsidR="00D47D3A">
        <w:rPr>
          <w:rFonts w:ascii="Arial" w:hAnsi="Arial" w:cs="Arial"/>
          <w:sz w:val="22"/>
          <w:szCs w:val="22"/>
        </w:rPr>
        <w:t>37.24</w:t>
      </w:r>
      <w:r w:rsidRPr="00064ACD">
        <w:rPr>
          <w:rFonts w:ascii="Arial" w:hAnsi="Arial" w:cs="Arial"/>
          <w:sz w:val="22"/>
          <w:szCs w:val="22"/>
        </w:rPr>
        <w:t xml:space="preserve"> </w:t>
      </w:r>
      <w:r w:rsidRPr="00064ACD" w:rsidR="00FD0E7D">
        <w:rPr>
          <w:rFonts w:ascii="Arial" w:hAnsi="Arial" w:cs="Arial"/>
          <w:sz w:val="22"/>
          <w:szCs w:val="22"/>
        </w:rPr>
        <w:t>per</w:t>
      </w:r>
      <w:r w:rsidRPr="00064ACD">
        <w:rPr>
          <w:rFonts w:ascii="Arial" w:hAnsi="Arial" w:cs="Arial"/>
          <w:sz w:val="22"/>
          <w:szCs w:val="22"/>
        </w:rPr>
        <w:t xml:space="preserve"> Respondent x 25,000 Respondents = $</w:t>
      </w:r>
      <w:r w:rsidR="00D47D3A">
        <w:rPr>
          <w:rFonts w:ascii="Arial" w:hAnsi="Arial" w:cs="Arial"/>
          <w:sz w:val="22"/>
          <w:szCs w:val="22"/>
        </w:rPr>
        <w:t>931,000.00</w:t>
      </w:r>
      <w:r w:rsidRPr="00064ACD">
        <w:rPr>
          <w:rFonts w:ascii="Arial" w:hAnsi="Arial" w:cs="Arial"/>
          <w:sz w:val="22"/>
          <w:szCs w:val="22"/>
        </w:rPr>
        <w:t xml:space="preserve"> in Annual Respondent Labor Costs. </w:t>
      </w:r>
    </w:p>
    <w:p w:rsidR="005D367A" w:rsidRPr="005A544C" w:rsidP="005D367A" w14:paraId="3C53F96C" w14:textId="77777777">
      <w:pPr>
        <w:ind w:left="360"/>
        <w:rPr>
          <w:rFonts w:ascii="Arial" w:hAnsi="Arial" w:cs="Arial"/>
          <w:sz w:val="22"/>
          <w:szCs w:val="22"/>
          <w:u w:val="single"/>
        </w:rPr>
      </w:pPr>
    </w:p>
    <w:p w:rsidR="005D367A" w:rsidRPr="005A544C" w:rsidP="005D367A" w14:paraId="7C94796D" w14:textId="77777777">
      <w:pPr>
        <w:ind w:left="360"/>
        <w:rPr>
          <w:rFonts w:ascii="Arial" w:hAnsi="Arial" w:cs="Arial"/>
          <w:sz w:val="22"/>
          <w:szCs w:val="22"/>
        </w:rPr>
      </w:pPr>
      <w:r w:rsidRPr="005A544C">
        <w:rPr>
          <w:rFonts w:ascii="Arial" w:hAnsi="Arial" w:cs="Arial"/>
          <w:sz w:val="22"/>
          <w:szCs w:val="22"/>
          <w:u w:val="single"/>
        </w:rPr>
        <w:t>Respondent Record Retention:</w:t>
      </w:r>
      <w:r w:rsidRPr="005A544C">
        <w:rPr>
          <w:rFonts w:ascii="Arial" w:hAnsi="Arial" w:cs="Arial"/>
          <w:sz w:val="22"/>
          <w:szCs w:val="22"/>
        </w:rPr>
        <w:t xml:space="preserve">  The</w:t>
      </w:r>
      <w:r w:rsidR="00C33FFB">
        <w:rPr>
          <w:rFonts w:ascii="Arial" w:hAnsi="Arial" w:cs="Arial"/>
          <w:sz w:val="22"/>
          <w:szCs w:val="22"/>
        </w:rPr>
        <w:t xml:space="preserve">re is no recordkeeping requirement associated with this generic clearance or the individual information collections approved under it. </w:t>
      </w:r>
    </w:p>
    <w:p w:rsidR="005D367A" w:rsidRPr="00D47D3A" w:rsidP="005D367A" w14:paraId="67033897" w14:textId="77777777">
      <w:pPr>
        <w:autoSpaceDE w:val="0"/>
        <w:autoSpaceDN w:val="0"/>
        <w:adjustRightInd w:val="0"/>
        <w:rPr>
          <w:rFonts w:ascii="Arial" w:hAnsi="Arial" w:cs="Arial"/>
          <w:sz w:val="28"/>
          <w:szCs w:val="28"/>
        </w:rPr>
      </w:pPr>
    </w:p>
    <w:p w:rsidR="00C33FFB" w:rsidRPr="00C33FFB" w:rsidP="00C33FFB" w14:paraId="019EEB93" w14:textId="77777777">
      <w:pPr>
        <w:suppressAutoHyphens/>
        <w:rPr>
          <w:rFonts w:ascii="Arial" w:hAnsi="Arial" w:cs="Arial"/>
          <w:i/>
          <w:sz w:val="22"/>
          <w:szCs w:val="22"/>
        </w:rPr>
      </w:pPr>
      <w:r w:rsidRPr="00C33FFB">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C33FFB" w:rsidRPr="00C33FFB" w:rsidP="00C33FFB" w14:paraId="48C01D66" w14:textId="77777777">
      <w:pPr>
        <w:suppressAutoHyphens/>
        <w:ind w:left="480" w:hanging="480"/>
        <w:rPr>
          <w:rFonts w:ascii="Arial" w:hAnsi="Arial" w:cs="Arial"/>
          <w:sz w:val="22"/>
          <w:szCs w:val="22"/>
        </w:rPr>
      </w:pPr>
    </w:p>
    <w:p w:rsidR="00C33FFB" w:rsidRPr="00C33FFB" w:rsidP="00C33FFB" w14:paraId="0D34B856" w14:textId="51CE912A">
      <w:pPr>
        <w:suppressAutoHyphens/>
        <w:ind w:left="360"/>
        <w:rPr>
          <w:rFonts w:ascii="Arial" w:hAnsi="Arial" w:cs="Arial"/>
          <w:sz w:val="22"/>
          <w:szCs w:val="22"/>
        </w:rPr>
      </w:pPr>
      <w:r w:rsidRPr="00C33FFB">
        <w:rPr>
          <w:rFonts w:ascii="Arial" w:hAnsi="Arial" w:cs="Arial"/>
          <w:sz w:val="22"/>
          <w:szCs w:val="22"/>
        </w:rPr>
        <w:t xml:space="preserve">There are </w:t>
      </w:r>
      <w:r w:rsidR="00064ACD">
        <w:rPr>
          <w:rFonts w:ascii="Arial" w:hAnsi="Arial" w:cs="Arial"/>
          <w:sz w:val="22"/>
          <w:szCs w:val="22"/>
        </w:rPr>
        <w:t xml:space="preserve">no </w:t>
      </w:r>
      <w:r w:rsidRPr="00C33FFB">
        <w:rPr>
          <w:rFonts w:ascii="Arial" w:hAnsi="Arial" w:cs="Arial"/>
          <w:sz w:val="22"/>
          <w:szCs w:val="22"/>
        </w:rPr>
        <w:t xml:space="preserve">annualized </w:t>
      </w:r>
      <w:r w:rsidR="00D47D3A">
        <w:rPr>
          <w:rFonts w:ascii="Arial" w:hAnsi="Arial" w:cs="Arial"/>
          <w:sz w:val="22"/>
          <w:szCs w:val="22"/>
        </w:rPr>
        <w:t xml:space="preserve">non-labor </w:t>
      </w:r>
      <w:r w:rsidRPr="00C33FFB">
        <w:rPr>
          <w:rFonts w:ascii="Arial" w:hAnsi="Arial" w:cs="Arial"/>
          <w:sz w:val="22"/>
          <w:szCs w:val="22"/>
        </w:rPr>
        <w:t xml:space="preserve">costs to respondents associated with this generic clearance or the voluntary information collections issued under it. </w:t>
      </w:r>
    </w:p>
    <w:p w:rsidR="003B7C30" w:rsidRPr="00D47D3A" w:rsidP="005D367A" w14:paraId="3A9077DC" w14:textId="77777777">
      <w:pPr>
        <w:autoSpaceDE w:val="0"/>
        <w:autoSpaceDN w:val="0"/>
        <w:adjustRightInd w:val="0"/>
        <w:rPr>
          <w:rFonts w:ascii="Arial" w:hAnsi="Arial" w:cs="Arial"/>
          <w:sz w:val="28"/>
          <w:szCs w:val="28"/>
        </w:rPr>
      </w:pPr>
    </w:p>
    <w:p w:rsidR="00064ACD" w:rsidRPr="003B7C30" w:rsidP="00064ACD" w14:paraId="33CFCA01" w14:textId="77777777">
      <w:pPr>
        <w:suppressAutoHyphens/>
        <w:ind w:left="480" w:hanging="480"/>
        <w:rPr>
          <w:rFonts w:ascii="Arial" w:hAnsi="Arial" w:cs="Arial"/>
          <w:i/>
          <w:sz w:val="22"/>
          <w:szCs w:val="22"/>
        </w:rPr>
      </w:pPr>
      <w:r w:rsidRPr="003B7C30">
        <w:rPr>
          <w:rFonts w:ascii="Arial" w:hAnsi="Arial" w:cs="Arial"/>
          <w:i/>
          <w:sz w:val="22"/>
          <w:szCs w:val="22"/>
        </w:rPr>
        <w:t xml:space="preserve">14.  What is the annualized cost to the Federal Government? </w:t>
      </w:r>
    </w:p>
    <w:p w:rsidR="00064ACD" w:rsidRPr="003B7C30" w:rsidP="00064ACD" w14:paraId="45855DEE" w14:textId="77777777">
      <w:pPr>
        <w:suppressAutoHyphens/>
        <w:ind w:left="480" w:hanging="480"/>
        <w:rPr>
          <w:rFonts w:ascii="Arial" w:hAnsi="Arial" w:cs="Arial"/>
          <w:sz w:val="22"/>
          <w:szCs w:val="22"/>
        </w:rPr>
      </w:pPr>
    </w:p>
    <w:p w:rsidR="00064ACD" w:rsidRPr="003B7C30" w:rsidP="00064ACD" w14:paraId="28715DF0" w14:textId="77777777">
      <w:pPr>
        <w:ind w:left="360"/>
        <w:rPr>
          <w:rFonts w:ascii="Arial" w:hAnsi="Arial" w:cs="Arial"/>
          <w:sz w:val="22"/>
          <w:szCs w:val="22"/>
        </w:rPr>
      </w:pPr>
      <w:r w:rsidRPr="003B7C30">
        <w:rPr>
          <w:rFonts w:ascii="Arial" w:hAnsi="Arial" w:cs="Arial"/>
          <w:sz w:val="22"/>
          <w:szCs w:val="22"/>
        </w:rPr>
        <w:t xml:space="preserve">The costs to the Federal Government associated with this generic clearance vary by the type of information collection and instrument used to collect customer feedback information. </w:t>
      </w:r>
    </w:p>
    <w:p w:rsidR="00064ACD" w:rsidRPr="003B7C30" w:rsidP="00064ACD" w14:paraId="202D77F0" w14:textId="77777777">
      <w:pPr>
        <w:ind w:left="360"/>
        <w:rPr>
          <w:rFonts w:ascii="Arial" w:hAnsi="Arial" w:cs="Arial"/>
          <w:sz w:val="22"/>
          <w:szCs w:val="22"/>
        </w:rPr>
      </w:pPr>
    </w:p>
    <w:p w:rsidR="00064ACD" w:rsidRPr="003B7C30" w:rsidP="00064ACD" w14:paraId="0B5EEB10" w14:textId="6E616BAB">
      <w:pPr>
        <w:ind w:left="360"/>
        <w:rPr>
          <w:rFonts w:ascii="Arial" w:hAnsi="Arial" w:cs="Arial"/>
          <w:sz w:val="22"/>
          <w:szCs w:val="22"/>
        </w:rPr>
      </w:pPr>
      <w:r w:rsidRPr="003B7C30">
        <w:rPr>
          <w:rFonts w:ascii="Arial" w:hAnsi="Arial" w:cs="Arial"/>
          <w:sz w:val="22"/>
          <w:szCs w:val="22"/>
          <w:u w:val="single"/>
        </w:rPr>
        <w:t>Non-labor Costs:</w:t>
      </w:r>
      <w:r w:rsidRPr="003B7C30">
        <w:rPr>
          <w:rFonts w:ascii="Arial" w:hAnsi="Arial" w:cs="Arial"/>
          <w:sz w:val="22"/>
          <w:szCs w:val="22"/>
        </w:rPr>
        <w:t xml:space="preserve">  A typical 5,000 respondent customer satisfaction survey conducted </w:t>
      </w:r>
      <w:r w:rsidR="00D47D3A">
        <w:rPr>
          <w:rFonts w:ascii="Arial" w:hAnsi="Arial" w:cs="Arial"/>
          <w:sz w:val="22"/>
          <w:szCs w:val="22"/>
        </w:rPr>
        <w:t xml:space="preserve">online </w:t>
      </w:r>
      <w:r w:rsidRPr="003B7C30">
        <w:rPr>
          <w:rFonts w:ascii="Arial" w:hAnsi="Arial" w:cs="Arial"/>
          <w:sz w:val="22"/>
          <w:szCs w:val="22"/>
        </w:rPr>
        <w:t>by TTB via a</w:t>
      </w:r>
      <w:r w:rsidR="00D47D3A">
        <w:rPr>
          <w:rFonts w:ascii="Arial" w:hAnsi="Arial" w:cs="Arial"/>
          <w:sz w:val="22"/>
          <w:szCs w:val="22"/>
        </w:rPr>
        <w:t xml:space="preserve"> t</w:t>
      </w:r>
      <w:r w:rsidRPr="003B7C30">
        <w:rPr>
          <w:rFonts w:ascii="Arial" w:hAnsi="Arial" w:cs="Arial"/>
          <w:sz w:val="22"/>
          <w:szCs w:val="22"/>
        </w:rPr>
        <w:t xml:space="preserve">hird-party survey company costs approximately $700, while focus groups and other in-person information collections cost between $1,000 and $4,000 per collection.  Given a rate of three online surveys and one in-person information collection per year, TTB estimates that annual cost of the information collections approved under this generic clearance to no more than $6,100. </w:t>
      </w:r>
      <w:r w:rsidRPr="003B7C30" w:rsidR="003B7C30">
        <w:rPr>
          <w:rFonts w:ascii="Arial" w:hAnsi="Arial" w:cs="Arial"/>
          <w:sz w:val="22"/>
          <w:szCs w:val="22"/>
        </w:rPr>
        <w:t xml:space="preserve"> Printing and distribution costs to the Federal government have decreased to $0.00 in TTB’s cost estimate due to the use of online and electronic distribution and survey methods. </w:t>
      </w:r>
    </w:p>
    <w:p w:rsidR="00064ACD" w:rsidRPr="00AA35D7" w:rsidP="00064ACD" w14:paraId="536C731E" w14:textId="77777777">
      <w:pPr>
        <w:ind w:left="360"/>
        <w:rPr>
          <w:rFonts w:ascii="Arial" w:hAnsi="Arial" w:cs="Arial"/>
          <w:sz w:val="22"/>
          <w:szCs w:val="22"/>
        </w:rPr>
      </w:pPr>
    </w:p>
    <w:p w:rsidR="00064ACD" w:rsidRPr="00AA35D7" w:rsidP="00064ACD" w14:paraId="0289297B" w14:textId="089E1D06">
      <w:pPr>
        <w:ind w:left="360"/>
        <w:rPr>
          <w:rFonts w:ascii="Arial" w:hAnsi="Arial" w:cs="Arial"/>
          <w:sz w:val="22"/>
          <w:szCs w:val="22"/>
        </w:rPr>
      </w:pPr>
      <w:r w:rsidRPr="00AA35D7">
        <w:rPr>
          <w:rFonts w:ascii="Arial" w:hAnsi="Arial" w:cs="Arial"/>
          <w:sz w:val="22"/>
          <w:szCs w:val="22"/>
          <w:u w:val="single"/>
        </w:rPr>
        <w:t>Labor Costs:</w:t>
      </w:r>
      <w:r w:rsidRPr="00AA35D7">
        <w:rPr>
          <w:rFonts w:ascii="Arial" w:hAnsi="Arial" w:cs="Arial"/>
          <w:i/>
          <w:sz w:val="22"/>
          <w:szCs w:val="22"/>
        </w:rPr>
        <w:t xml:space="preserve"> </w:t>
      </w:r>
      <w:r w:rsidRPr="00AA35D7">
        <w:rPr>
          <w:rFonts w:ascii="Arial" w:hAnsi="Arial" w:cs="Arial"/>
          <w:sz w:val="22"/>
          <w:szCs w:val="22"/>
        </w:rPr>
        <w:t xml:space="preserve"> TTB estimates its labor costs for the development, execution, and analysis of customer feedback surveys and other </w:t>
      </w:r>
      <w:r w:rsidRPr="00AA35D7" w:rsidR="00D47D3A">
        <w:rPr>
          <w:rFonts w:ascii="Arial" w:hAnsi="Arial" w:cs="Arial"/>
          <w:sz w:val="22"/>
          <w:szCs w:val="22"/>
        </w:rPr>
        <w:t xml:space="preserve">information </w:t>
      </w:r>
      <w:r w:rsidRPr="00AA35D7">
        <w:rPr>
          <w:rFonts w:ascii="Arial" w:hAnsi="Arial" w:cs="Arial"/>
          <w:sz w:val="22"/>
          <w:szCs w:val="22"/>
        </w:rPr>
        <w:t xml:space="preserve">collections issued under OMB No. 1513–0132 as follows: </w:t>
      </w:r>
    </w:p>
    <w:p w:rsidR="005D367A" w:rsidRPr="00AA35D7" w:rsidP="005D367A" w14:paraId="63091685" w14:textId="77777777">
      <w:pPr>
        <w:autoSpaceDE w:val="0"/>
        <w:autoSpaceDN w:val="0"/>
        <w:adjustRightInd w:val="0"/>
        <w:ind w:left="360"/>
        <w:rPr>
          <w:rFonts w:ascii="Arial" w:hAnsi="Arial" w:cs="Arial"/>
          <w:sz w:val="22"/>
          <w:szCs w:val="22"/>
        </w:rPr>
      </w:pPr>
    </w:p>
    <w:tbl>
      <w:tblPr>
        <w:tblStyle w:val="TableGrid11"/>
        <w:tblW w:w="8640" w:type="dxa"/>
        <w:jc w:val="center"/>
        <w:tblBorders>
          <w:insideH w:val="dotted" w:sz="4" w:space="0" w:color="auto"/>
        </w:tblBorders>
        <w:tblLayout w:type="fixed"/>
        <w:tblLook w:val="04A0"/>
      </w:tblPr>
      <w:tblGrid>
        <w:gridCol w:w="1975"/>
        <w:gridCol w:w="1350"/>
        <w:gridCol w:w="1260"/>
        <w:gridCol w:w="1440"/>
        <w:gridCol w:w="1170"/>
        <w:gridCol w:w="1445"/>
      </w:tblGrid>
      <w:tr w14:paraId="5D36D785" w14:textId="77777777" w:rsidTr="002A2CA1">
        <w:tblPrEx>
          <w:tblW w:w="8640" w:type="dxa"/>
          <w:jc w:val="center"/>
          <w:tblBorders>
            <w:insideH w:val="dotted" w:sz="4" w:space="0" w:color="auto"/>
          </w:tblBorders>
          <w:tblLayout w:type="fixed"/>
          <w:tblLook w:val="04A0"/>
        </w:tblPrEx>
        <w:trPr>
          <w:trHeight w:val="890"/>
          <w:jc w:val="center"/>
        </w:trPr>
        <w:tc>
          <w:tcPr>
            <w:tcW w:w="1975" w:type="dxa"/>
            <w:tcBorders>
              <w:top w:val="single" w:sz="4" w:space="0" w:color="auto"/>
              <w:bottom w:val="single" w:sz="4" w:space="0" w:color="auto"/>
            </w:tcBorders>
            <w:vAlign w:val="center"/>
          </w:tcPr>
          <w:p w:rsidR="005D367A" w:rsidRPr="00AA35D7" w:rsidP="00226D5F" w14:paraId="6EB1C70E" w14:textId="77777777">
            <w:pPr>
              <w:suppressAutoHyphens/>
              <w:jc w:val="center"/>
              <w:rPr>
                <w:rFonts w:ascii="Arial" w:hAnsi="Arial" w:cs="Arial"/>
                <w:sz w:val="20"/>
                <w:szCs w:val="20"/>
              </w:rPr>
            </w:pPr>
            <w:r w:rsidRPr="00AA35D7">
              <w:rPr>
                <w:rFonts w:ascii="Arial" w:hAnsi="Arial" w:cs="Arial"/>
                <w:sz w:val="20"/>
                <w:szCs w:val="20"/>
              </w:rPr>
              <w:t xml:space="preserve">Position </w:t>
            </w:r>
          </w:p>
        </w:tc>
        <w:tc>
          <w:tcPr>
            <w:tcW w:w="1350" w:type="dxa"/>
            <w:tcBorders>
              <w:top w:val="single" w:sz="4" w:space="0" w:color="auto"/>
              <w:bottom w:val="single" w:sz="4" w:space="0" w:color="auto"/>
            </w:tcBorders>
            <w:tcMar>
              <w:left w:w="29" w:type="dxa"/>
              <w:right w:w="29" w:type="dxa"/>
            </w:tcMar>
            <w:vAlign w:val="center"/>
          </w:tcPr>
          <w:p w:rsidR="005D367A" w:rsidRPr="00AA35D7" w:rsidP="00226D5F" w14:paraId="352E53A8" w14:textId="77777777">
            <w:pPr>
              <w:suppressAutoHyphens/>
              <w:jc w:val="center"/>
              <w:rPr>
                <w:rFonts w:ascii="Arial" w:hAnsi="Arial" w:cs="Arial"/>
                <w:sz w:val="20"/>
                <w:szCs w:val="20"/>
              </w:rPr>
            </w:pPr>
            <w:r w:rsidRPr="00AA35D7">
              <w:rPr>
                <w:rFonts w:ascii="Arial" w:hAnsi="Arial" w:cs="Arial"/>
                <w:sz w:val="20"/>
                <w:szCs w:val="20"/>
              </w:rPr>
              <w:t>Fully-loaded Labor Rate/Hour</w:t>
            </w:r>
            <w:r>
              <w:rPr>
                <w:rFonts w:ascii="Arial" w:hAnsi="Arial" w:cs="Arial"/>
                <w:sz w:val="20"/>
                <w:szCs w:val="20"/>
                <w:vertAlign w:val="superscript"/>
              </w:rPr>
              <w:footnoteReference w:id="3"/>
            </w:r>
          </w:p>
        </w:tc>
        <w:tc>
          <w:tcPr>
            <w:tcW w:w="1260" w:type="dxa"/>
            <w:tcBorders>
              <w:top w:val="single" w:sz="4" w:space="0" w:color="auto"/>
              <w:bottom w:val="single" w:sz="4" w:space="0" w:color="auto"/>
            </w:tcBorders>
            <w:tcMar>
              <w:left w:w="29" w:type="dxa"/>
              <w:right w:w="29" w:type="dxa"/>
            </w:tcMar>
            <w:vAlign w:val="center"/>
          </w:tcPr>
          <w:p w:rsidR="005D367A" w:rsidRPr="00AA35D7" w:rsidP="004C7F54" w14:paraId="4D4C1957" w14:textId="77777777">
            <w:pPr>
              <w:suppressAutoHyphens/>
              <w:jc w:val="center"/>
              <w:rPr>
                <w:rFonts w:ascii="Arial" w:hAnsi="Arial" w:cs="Arial"/>
                <w:sz w:val="20"/>
                <w:szCs w:val="20"/>
              </w:rPr>
            </w:pPr>
            <w:r w:rsidRPr="00AA35D7">
              <w:rPr>
                <w:rFonts w:ascii="Arial" w:hAnsi="Arial" w:cs="Arial"/>
                <w:sz w:val="20"/>
                <w:szCs w:val="20"/>
              </w:rPr>
              <w:t xml:space="preserve">Time per </w:t>
            </w:r>
            <w:r w:rsidRPr="00AA35D7" w:rsidR="004C7F54">
              <w:rPr>
                <w:rFonts w:ascii="Arial" w:hAnsi="Arial" w:cs="Arial"/>
                <w:sz w:val="20"/>
                <w:szCs w:val="20"/>
              </w:rPr>
              <w:t>Collection</w:t>
            </w:r>
          </w:p>
        </w:tc>
        <w:tc>
          <w:tcPr>
            <w:tcW w:w="1440" w:type="dxa"/>
            <w:tcBorders>
              <w:top w:val="single" w:sz="4" w:space="0" w:color="auto"/>
              <w:bottom w:val="single" w:sz="4" w:space="0" w:color="auto"/>
            </w:tcBorders>
            <w:tcMar>
              <w:left w:w="29" w:type="dxa"/>
              <w:right w:w="29" w:type="dxa"/>
            </w:tcMar>
            <w:vAlign w:val="center"/>
          </w:tcPr>
          <w:p w:rsidR="005D367A" w:rsidRPr="00AA35D7" w:rsidP="004C7F54" w14:paraId="7B74F91E" w14:textId="77777777">
            <w:pPr>
              <w:suppressAutoHyphens/>
              <w:jc w:val="center"/>
              <w:rPr>
                <w:rFonts w:ascii="Arial" w:hAnsi="Arial" w:cs="Arial"/>
                <w:sz w:val="20"/>
                <w:szCs w:val="20"/>
              </w:rPr>
            </w:pPr>
            <w:r w:rsidRPr="00AA35D7">
              <w:rPr>
                <w:rFonts w:ascii="Arial" w:hAnsi="Arial" w:cs="Arial"/>
                <w:sz w:val="20"/>
                <w:szCs w:val="20"/>
              </w:rPr>
              <w:t xml:space="preserve">Labor Costs per </w:t>
            </w:r>
            <w:r w:rsidRPr="00AA35D7" w:rsidR="004C7F54">
              <w:rPr>
                <w:rFonts w:ascii="Arial" w:hAnsi="Arial" w:cs="Arial"/>
                <w:sz w:val="20"/>
                <w:szCs w:val="20"/>
              </w:rPr>
              <w:t>Collection</w:t>
            </w:r>
          </w:p>
        </w:tc>
        <w:tc>
          <w:tcPr>
            <w:tcW w:w="1170" w:type="dxa"/>
            <w:tcBorders>
              <w:top w:val="single" w:sz="4" w:space="0" w:color="auto"/>
              <w:bottom w:val="single" w:sz="4" w:space="0" w:color="auto"/>
            </w:tcBorders>
            <w:tcMar>
              <w:left w:w="29" w:type="dxa"/>
              <w:right w:w="29" w:type="dxa"/>
            </w:tcMar>
            <w:vAlign w:val="center"/>
          </w:tcPr>
          <w:p w:rsidR="005D367A" w:rsidRPr="00AA35D7" w:rsidP="004C7F54" w14:paraId="5185DDEC" w14:textId="77777777">
            <w:pPr>
              <w:suppressAutoHyphens/>
              <w:jc w:val="center"/>
              <w:rPr>
                <w:rFonts w:ascii="Arial" w:hAnsi="Arial" w:cs="Arial"/>
                <w:sz w:val="20"/>
                <w:szCs w:val="20"/>
              </w:rPr>
            </w:pPr>
            <w:r w:rsidRPr="00AA35D7">
              <w:rPr>
                <w:rFonts w:ascii="Arial" w:hAnsi="Arial" w:cs="Arial"/>
                <w:sz w:val="20"/>
                <w:szCs w:val="20"/>
              </w:rPr>
              <w:t>Collections Issued Per Year</w:t>
            </w:r>
          </w:p>
        </w:tc>
        <w:tc>
          <w:tcPr>
            <w:tcW w:w="1445" w:type="dxa"/>
            <w:tcBorders>
              <w:top w:val="single" w:sz="4" w:space="0" w:color="auto"/>
              <w:bottom w:val="single" w:sz="4" w:space="0" w:color="auto"/>
            </w:tcBorders>
            <w:tcMar>
              <w:left w:w="29" w:type="dxa"/>
              <w:right w:w="29" w:type="dxa"/>
            </w:tcMar>
            <w:vAlign w:val="center"/>
          </w:tcPr>
          <w:p w:rsidR="005D367A" w:rsidRPr="00AA35D7" w:rsidP="00226D5F" w14:paraId="179F817A" w14:textId="77777777">
            <w:pPr>
              <w:suppressAutoHyphens/>
              <w:jc w:val="center"/>
              <w:rPr>
                <w:rFonts w:ascii="Arial" w:hAnsi="Arial" w:cs="Arial"/>
                <w:sz w:val="20"/>
                <w:szCs w:val="20"/>
              </w:rPr>
            </w:pPr>
            <w:r w:rsidRPr="00AA35D7">
              <w:rPr>
                <w:rFonts w:ascii="Arial" w:hAnsi="Arial" w:cs="Arial"/>
                <w:sz w:val="20"/>
                <w:szCs w:val="20"/>
              </w:rPr>
              <w:t>Total TTB Labor Costs</w:t>
            </w:r>
          </w:p>
        </w:tc>
      </w:tr>
      <w:tr w14:paraId="059E7E65" w14:textId="77777777" w:rsidTr="002A2CA1">
        <w:tblPrEx>
          <w:tblW w:w="8640" w:type="dxa"/>
          <w:jc w:val="center"/>
          <w:tblLayout w:type="fixed"/>
          <w:tblLook w:val="04A0"/>
        </w:tblPrEx>
        <w:trPr>
          <w:trHeight w:val="530"/>
          <w:jc w:val="center"/>
        </w:trPr>
        <w:tc>
          <w:tcPr>
            <w:tcW w:w="1975" w:type="dxa"/>
            <w:tcBorders>
              <w:top w:val="dotted" w:sz="4" w:space="0" w:color="auto"/>
              <w:bottom w:val="dotted" w:sz="4" w:space="0" w:color="auto"/>
            </w:tcBorders>
            <w:vAlign w:val="center"/>
          </w:tcPr>
          <w:p w:rsidR="005D367A" w:rsidRPr="00AA35D7" w:rsidP="00226D5F" w14:paraId="1BF6FDFB" w14:textId="77777777">
            <w:pPr>
              <w:suppressAutoHyphens/>
              <w:jc w:val="center"/>
              <w:rPr>
                <w:rFonts w:ascii="Arial" w:hAnsi="Arial" w:cs="Arial"/>
                <w:sz w:val="20"/>
                <w:szCs w:val="20"/>
              </w:rPr>
            </w:pPr>
            <w:r w:rsidRPr="00AA35D7">
              <w:rPr>
                <w:rFonts w:ascii="Arial" w:hAnsi="Arial" w:cs="Arial"/>
                <w:sz w:val="20"/>
                <w:szCs w:val="20"/>
              </w:rPr>
              <w:t xml:space="preserve">GS–11, Step 5, </w:t>
            </w:r>
            <w:r w:rsidRPr="00AA35D7" w:rsidR="002A2CA1">
              <w:rPr>
                <w:rFonts w:ascii="Arial" w:hAnsi="Arial" w:cs="Arial"/>
                <w:sz w:val="20"/>
                <w:szCs w:val="20"/>
              </w:rPr>
              <w:t xml:space="preserve">I.T. </w:t>
            </w:r>
            <w:r w:rsidRPr="00AA35D7">
              <w:rPr>
                <w:rFonts w:ascii="Arial" w:hAnsi="Arial" w:cs="Arial"/>
                <w:sz w:val="20"/>
                <w:szCs w:val="20"/>
              </w:rPr>
              <w:t>Specialist</w:t>
            </w:r>
          </w:p>
        </w:tc>
        <w:tc>
          <w:tcPr>
            <w:tcW w:w="1350" w:type="dxa"/>
            <w:tcBorders>
              <w:top w:val="dotted" w:sz="4" w:space="0" w:color="auto"/>
              <w:bottom w:val="dotted" w:sz="4" w:space="0" w:color="auto"/>
            </w:tcBorders>
            <w:tcMar>
              <w:left w:w="29" w:type="dxa"/>
              <w:right w:w="29" w:type="dxa"/>
            </w:tcMar>
            <w:vAlign w:val="center"/>
          </w:tcPr>
          <w:p w:rsidR="005D367A" w:rsidRPr="00AA35D7" w:rsidP="002A2CA1" w14:paraId="6D7A58E7" w14:textId="3E614DC2">
            <w:pPr>
              <w:suppressAutoHyphens/>
              <w:jc w:val="center"/>
              <w:rPr>
                <w:rFonts w:ascii="Arial" w:hAnsi="Arial" w:cs="Arial"/>
                <w:sz w:val="20"/>
                <w:szCs w:val="20"/>
              </w:rPr>
            </w:pPr>
            <w:r w:rsidRPr="00AA35D7">
              <w:rPr>
                <w:rFonts w:ascii="Arial" w:hAnsi="Arial" w:cs="Arial"/>
                <w:sz w:val="20"/>
                <w:szCs w:val="20"/>
              </w:rPr>
              <w:t>$</w:t>
            </w:r>
            <w:r w:rsidRPr="00AA35D7" w:rsidR="00AA35D7">
              <w:rPr>
                <w:rFonts w:ascii="Arial" w:hAnsi="Arial" w:cs="Arial"/>
                <w:sz w:val="20"/>
                <w:szCs w:val="20"/>
              </w:rPr>
              <w:t>73.25</w:t>
            </w:r>
          </w:p>
        </w:tc>
        <w:tc>
          <w:tcPr>
            <w:tcW w:w="1260" w:type="dxa"/>
            <w:tcBorders>
              <w:top w:val="dotted" w:sz="4" w:space="0" w:color="auto"/>
              <w:bottom w:val="dotted" w:sz="4" w:space="0" w:color="auto"/>
            </w:tcBorders>
            <w:tcMar>
              <w:left w:w="29" w:type="dxa"/>
              <w:right w:w="29" w:type="dxa"/>
            </w:tcMar>
            <w:vAlign w:val="center"/>
          </w:tcPr>
          <w:p w:rsidR="005D367A" w:rsidRPr="00AA35D7" w:rsidP="00226D5F" w14:paraId="09B18424" w14:textId="77777777">
            <w:pPr>
              <w:suppressAutoHyphens/>
              <w:jc w:val="center"/>
              <w:rPr>
                <w:rFonts w:ascii="Arial" w:hAnsi="Arial" w:cs="Arial"/>
                <w:sz w:val="20"/>
                <w:szCs w:val="20"/>
              </w:rPr>
            </w:pPr>
            <w:r w:rsidRPr="00AA35D7">
              <w:rPr>
                <w:rFonts w:ascii="Arial" w:hAnsi="Arial" w:cs="Arial"/>
                <w:sz w:val="20"/>
                <w:szCs w:val="20"/>
              </w:rPr>
              <w:t>40 hours</w:t>
            </w:r>
          </w:p>
        </w:tc>
        <w:tc>
          <w:tcPr>
            <w:tcW w:w="1440" w:type="dxa"/>
            <w:tcBorders>
              <w:top w:val="dotted" w:sz="4" w:space="0" w:color="auto"/>
              <w:bottom w:val="dotted" w:sz="4" w:space="0" w:color="auto"/>
            </w:tcBorders>
            <w:tcMar>
              <w:left w:w="29" w:type="dxa"/>
              <w:right w:w="29" w:type="dxa"/>
            </w:tcMar>
            <w:vAlign w:val="center"/>
          </w:tcPr>
          <w:p w:rsidR="005D367A" w:rsidRPr="00AA35D7" w:rsidP="003B3541" w14:paraId="7A27140B" w14:textId="56CB0C30">
            <w:pPr>
              <w:suppressAutoHyphens/>
              <w:jc w:val="center"/>
              <w:rPr>
                <w:rFonts w:ascii="Arial" w:hAnsi="Arial" w:cs="Arial"/>
                <w:sz w:val="20"/>
                <w:szCs w:val="20"/>
              </w:rPr>
            </w:pPr>
            <w:r w:rsidRPr="00AA35D7">
              <w:rPr>
                <w:rFonts w:ascii="Arial" w:hAnsi="Arial" w:cs="Arial"/>
                <w:sz w:val="20"/>
                <w:szCs w:val="20"/>
              </w:rPr>
              <w:t>$2,930.00</w:t>
            </w:r>
          </w:p>
        </w:tc>
        <w:tc>
          <w:tcPr>
            <w:tcW w:w="1170" w:type="dxa"/>
            <w:tcMar>
              <w:left w:w="29" w:type="dxa"/>
              <w:right w:w="29" w:type="dxa"/>
            </w:tcMar>
            <w:vAlign w:val="center"/>
          </w:tcPr>
          <w:p w:rsidR="005D367A" w:rsidRPr="00AA35D7" w:rsidP="00226D5F" w14:paraId="4838E853" w14:textId="77777777">
            <w:pPr>
              <w:suppressAutoHyphens/>
              <w:jc w:val="center"/>
              <w:rPr>
                <w:rFonts w:ascii="Arial" w:hAnsi="Arial" w:cs="Arial"/>
                <w:sz w:val="20"/>
                <w:szCs w:val="20"/>
              </w:rPr>
            </w:pPr>
            <w:r w:rsidRPr="00AA35D7">
              <w:rPr>
                <w:rFonts w:ascii="Arial" w:hAnsi="Arial" w:cs="Arial"/>
                <w:sz w:val="20"/>
                <w:szCs w:val="20"/>
              </w:rPr>
              <w:t>4</w:t>
            </w:r>
          </w:p>
        </w:tc>
        <w:tc>
          <w:tcPr>
            <w:tcW w:w="1445" w:type="dxa"/>
            <w:tcBorders>
              <w:top w:val="dotted" w:sz="4" w:space="0" w:color="auto"/>
              <w:bottom w:val="dotted" w:sz="4" w:space="0" w:color="auto"/>
            </w:tcBorders>
            <w:tcMar>
              <w:left w:w="29" w:type="dxa"/>
              <w:right w:w="29" w:type="dxa"/>
            </w:tcMar>
            <w:vAlign w:val="center"/>
          </w:tcPr>
          <w:p w:rsidR="005D367A" w:rsidRPr="00AA35D7" w:rsidP="003B3541" w14:paraId="4A359B95" w14:textId="72FECDC5">
            <w:pPr>
              <w:suppressAutoHyphens/>
              <w:jc w:val="center"/>
              <w:rPr>
                <w:rFonts w:ascii="Arial" w:hAnsi="Arial" w:cs="Arial"/>
                <w:sz w:val="20"/>
                <w:szCs w:val="20"/>
              </w:rPr>
            </w:pPr>
            <w:r w:rsidRPr="00AA35D7">
              <w:rPr>
                <w:rFonts w:ascii="Arial" w:hAnsi="Arial" w:cs="Arial"/>
                <w:sz w:val="20"/>
                <w:szCs w:val="20"/>
              </w:rPr>
              <w:t>$11,720.00</w:t>
            </w:r>
          </w:p>
        </w:tc>
      </w:tr>
      <w:tr w14:paraId="7EAACB49" w14:textId="77777777" w:rsidTr="002A2CA1">
        <w:tblPrEx>
          <w:tblW w:w="8640" w:type="dxa"/>
          <w:jc w:val="center"/>
          <w:tblLayout w:type="fixed"/>
          <w:tblLook w:val="04A0"/>
        </w:tblPrEx>
        <w:trPr>
          <w:trHeight w:val="530"/>
          <w:jc w:val="center"/>
        </w:trPr>
        <w:tc>
          <w:tcPr>
            <w:tcW w:w="1975" w:type="dxa"/>
            <w:tcBorders>
              <w:top w:val="dotted" w:sz="4" w:space="0" w:color="auto"/>
              <w:bottom w:val="dotted" w:sz="4" w:space="0" w:color="auto"/>
            </w:tcBorders>
            <w:vAlign w:val="center"/>
          </w:tcPr>
          <w:p w:rsidR="005D367A" w:rsidRPr="00AA35D7" w:rsidP="002A2CA1" w14:paraId="2C63A54F" w14:textId="77777777">
            <w:pPr>
              <w:suppressAutoHyphens/>
              <w:jc w:val="center"/>
              <w:rPr>
                <w:rFonts w:ascii="Arial" w:hAnsi="Arial" w:cs="Arial"/>
                <w:sz w:val="20"/>
                <w:szCs w:val="20"/>
              </w:rPr>
            </w:pPr>
            <w:r w:rsidRPr="00AA35D7">
              <w:rPr>
                <w:rFonts w:ascii="Arial" w:hAnsi="Arial" w:cs="Arial"/>
                <w:sz w:val="20"/>
                <w:szCs w:val="20"/>
              </w:rPr>
              <w:t xml:space="preserve">GS–13, Step 5, Program Annalist or Manager </w:t>
            </w:r>
          </w:p>
        </w:tc>
        <w:tc>
          <w:tcPr>
            <w:tcW w:w="1350" w:type="dxa"/>
            <w:tcBorders>
              <w:top w:val="dotted" w:sz="4" w:space="0" w:color="auto"/>
              <w:bottom w:val="dotted" w:sz="4" w:space="0" w:color="auto"/>
            </w:tcBorders>
            <w:tcMar>
              <w:left w:w="29" w:type="dxa"/>
              <w:right w:w="29" w:type="dxa"/>
            </w:tcMar>
            <w:vAlign w:val="center"/>
          </w:tcPr>
          <w:p w:rsidR="005D367A" w:rsidRPr="00AA35D7" w:rsidP="00226D5F" w14:paraId="05C99F85" w14:textId="3733F9EF">
            <w:pPr>
              <w:suppressAutoHyphens/>
              <w:jc w:val="center"/>
              <w:rPr>
                <w:rFonts w:ascii="Arial" w:hAnsi="Arial" w:cs="Arial"/>
                <w:sz w:val="20"/>
                <w:szCs w:val="20"/>
              </w:rPr>
            </w:pPr>
            <w:r w:rsidRPr="00AA35D7">
              <w:rPr>
                <w:rFonts w:ascii="Arial" w:hAnsi="Arial" w:cs="Arial"/>
                <w:sz w:val="20"/>
                <w:szCs w:val="20"/>
              </w:rPr>
              <w:t>$</w:t>
            </w:r>
            <w:r w:rsidRPr="00AA35D7" w:rsidR="00AA35D7">
              <w:rPr>
                <w:rFonts w:ascii="Arial" w:hAnsi="Arial" w:cs="Arial"/>
                <w:sz w:val="20"/>
                <w:szCs w:val="20"/>
              </w:rPr>
              <w:t>104.42</w:t>
            </w:r>
          </w:p>
        </w:tc>
        <w:tc>
          <w:tcPr>
            <w:tcW w:w="1260" w:type="dxa"/>
            <w:tcBorders>
              <w:top w:val="dotted" w:sz="4" w:space="0" w:color="auto"/>
              <w:bottom w:val="dotted" w:sz="4" w:space="0" w:color="auto"/>
            </w:tcBorders>
            <w:tcMar>
              <w:left w:w="29" w:type="dxa"/>
              <w:right w:w="29" w:type="dxa"/>
            </w:tcMar>
            <w:vAlign w:val="center"/>
          </w:tcPr>
          <w:p w:rsidR="005D367A" w:rsidRPr="00AA35D7" w:rsidP="00226D5F" w14:paraId="22F9604C" w14:textId="77777777">
            <w:pPr>
              <w:suppressAutoHyphens/>
              <w:jc w:val="center"/>
              <w:rPr>
                <w:rFonts w:ascii="Arial" w:hAnsi="Arial" w:cs="Arial"/>
                <w:sz w:val="20"/>
                <w:szCs w:val="20"/>
              </w:rPr>
            </w:pPr>
            <w:r w:rsidRPr="00AA35D7">
              <w:rPr>
                <w:rFonts w:ascii="Arial" w:hAnsi="Arial" w:cs="Arial"/>
                <w:sz w:val="20"/>
                <w:szCs w:val="20"/>
              </w:rPr>
              <w:t>60 hours</w:t>
            </w:r>
          </w:p>
        </w:tc>
        <w:tc>
          <w:tcPr>
            <w:tcW w:w="1440" w:type="dxa"/>
            <w:tcBorders>
              <w:top w:val="dotted" w:sz="4" w:space="0" w:color="auto"/>
              <w:bottom w:val="dotted" w:sz="4" w:space="0" w:color="auto"/>
            </w:tcBorders>
            <w:tcMar>
              <w:left w:w="29" w:type="dxa"/>
              <w:right w:w="29" w:type="dxa"/>
            </w:tcMar>
            <w:vAlign w:val="center"/>
          </w:tcPr>
          <w:p w:rsidR="005D367A" w:rsidRPr="00AA35D7" w:rsidP="00226D5F" w14:paraId="53F0192D" w14:textId="1172D057">
            <w:pPr>
              <w:suppressAutoHyphens/>
              <w:jc w:val="center"/>
              <w:rPr>
                <w:rFonts w:ascii="Arial" w:hAnsi="Arial" w:cs="Arial"/>
                <w:sz w:val="20"/>
                <w:szCs w:val="20"/>
              </w:rPr>
            </w:pPr>
            <w:r w:rsidRPr="00AA35D7">
              <w:rPr>
                <w:rFonts w:ascii="Arial" w:hAnsi="Arial" w:cs="Arial"/>
                <w:sz w:val="20"/>
                <w:szCs w:val="20"/>
              </w:rPr>
              <w:t>$6,265.20</w:t>
            </w:r>
          </w:p>
        </w:tc>
        <w:tc>
          <w:tcPr>
            <w:tcW w:w="1170" w:type="dxa"/>
            <w:tcBorders>
              <w:bottom w:val="dotted" w:sz="4" w:space="0" w:color="auto"/>
            </w:tcBorders>
            <w:tcMar>
              <w:left w:w="29" w:type="dxa"/>
              <w:right w:w="29" w:type="dxa"/>
            </w:tcMar>
            <w:vAlign w:val="center"/>
          </w:tcPr>
          <w:p w:rsidR="005D367A" w:rsidRPr="00AA35D7" w:rsidP="00226D5F" w14:paraId="3D02BDD2" w14:textId="77777777">
            <w:pPr>
              <w:suppressAutoHyphens/>
              <w:jc w:val="center"/>
              <w:rPr>
                <w:rFonts w:ascii="Arial" w:hAnsi="Arial" w:cs="Arial"/>
                <w:sz w:val="20"/>
                <w:szCs w:val="20"/>
              </w:rPr>
            </w:pPr>
            <w:r w:rsidRPr="00AA35D7">
              <w:rPr>
                <w:rFonts w:ascii="Arial" w:hAnsi="Arial" w:cs="Arial"/>
                <w:sz w:val="20"/>
                <w:szCs w:val="20"/>
              </w:rPr>
              <w:t>4</w:t>
            </w:r>
          </w:p>
        </w:tc>
        <w:tc>
          <w:tcPr>
            <w:tcW w:w="1445" w:type="dxa"/>
            <w:tcBorders>
              <w:top w:val="dotted" w:sz="4" w:space="0" w:color="auto"/>
              <w:bottom w:val="dotted" w:sz="4" w:space="0" w:color="auto"/>
            </w:tcBorders>
            <w:tcMar>
              <w:left w:w="29" w:type="dxa"/>
              <w:right w:w="29" w:type="dxa"/>
            </w:tcMar>
            <w:vAlign w:val="center"/>
          </w:tcPr>
          <w:p w:rsidR="005D367A" w:rsidRPr="00AA35D7" w:rsidP="00226D5F" w14:paraId="2D38FF67" w14:textId="3CC75179">
            <w:pPr>
              <w:suppressAutoHyphens/>
              <w:jc w:val="center"/>
              <w:rPr>
                <w:rFonts w:ascii="Arial" w:hAnsi="Arial" w:cs="Arial"/>
                <w:sz w:val="20"/>
                <w:szCs w:val="20"/>
              </w:rPr>
            </w:pPr>
            <w:r w:rsidRPr="00AA35D7">
              <w:rPr>
                <w:rFonts w:ascii="Arial" w:hAnsi="Arial" w:cs="Arial"/>
                <w:sz w:val="20"/>
                <w:szCs w:val="20"/>
              </w:rPr>
              <w:t>$25,060.80</w:t>
            </w:r>
          </w:p>
        </w:tc>
      </w:tr>
      <w:tr w14:paraId="1AB5C701" w14:textId="77777777" w:rsidTr="002A2CA1">
        <w:tblPrEx>
          <w:tblW w:w="8640" w:type="dxa"/>
          <w:jc w:val="center"/>
          <w:tblLayout w:type="fixed"/>
          <w:tblLook w:val="04A0"/>
        </w:tblPrEx>
        <w:trPr>
          <w:trHeight w:val="620"/>
          <w:jc w:val="center"/>
        </w:trPr>
        <w:tc>
          <w:tcPr>
            <w:tcW w:w="1975" w:type="dxa"/>
            <w:tcBorders>
              <w:top w:val="single" w:sz="12" w:space="0" w:color="auto"/>
              <w:bottom w:val="single" w:sz="4" w:space="0" w:color="auto"/>
            </w:tcBorders>
            <w:vAlign w:val="center"/>
          </w:tcPr>
          <w:p w:rsidR="005D367A" w:rsidRPr="00AA35D7" w:rsidP="00226D5F" w14:paraId="7945AA8C" w14:textId="77777777">
            <w:pPr>
              <w:suppressAutoHyphens/>
              <w:jc w:val="center"/>
              <w:rPr>
                <w:rFonts w:ascii="Arial" w:hAnsi="Arial" w:cs="Arial"/>
                <w:b/>
                <w:sz w:val="20"/>
                <w:szCs w:val="20"/>
              </w:rPr>
            </w:pPr>
            <w:r w:rsidRPr="00AA35D7">
              <w:rPr>
                <w:rFonts w:ascii="Arial" w:hAnsi="Arial" w:cs="Arial"/>
                <w:b/>
                <w:sz w:val="20"/>
                <w:szCs w:val="20"/>
              </w:rPr>
              <w:t xml:space="preserve">TOTALS </w:t>
            </w:r>
          </w:p>
        </w:tc>
        <w:tc>
          <w:tcPr>
            <w:tcW w:w="1350" w:type="dxa"/>
            <w:tcBorders>
              <w:top w:val="single" w:sz="12" w:space="0" w:color="auto"/>
              <w:bottom w:val="single" w:sz="4" w:space="0" w:color="auto"/>
            </w:tcBorders>
            <w:tcMar>
              <w:left w:w="29" w:type="dxa"/>
              <w:right w:w="29" w:type="dxa"/>
            </w:tcMar>
            <w:vAlign w:val="center"/>
          </w:tcPr>
          <w:p w:rsidR="005D367A" w:rsidRPr="00AA35D7" w:rsidP="00226D5F" w14:paraId="00ACC6F5" w14:textId="03BD7ABE">
            <w:pPr>
              <w:suppressAutoHyphens/>
              <w:jc w:val="center"/>
              <w:rPr>
                <w:rFonts w:ascii="Arial" w:hAnsi="Arial" w:cs="Arial"/>
                <w:b/>
                <w:sz w:val="18"/>
                <w:szCs w:val="18"/>
              </w:rPr>
            </w:pPr>
            <w:r w:rsidRPr="00AA35D7">
              <w:rPr>
                <w:rFonts w:ascii="Arial" w:hAnsi="Arial" w:cs="Arial"/>
                <w:b/>
                <w:sz w:val="18"/>
                <w:szCs w:val="18"/>
              </w:rPr>
              <w:t>($</w:t>
            </w:r>
            <w:r w:rsidRPr="00AA35D7" w:rsidR="00AA35D7">
              <w:rPr>
                <w:rFonts w:ascii="Arial" w:hAnsi="Arial" w:cs="Arial"/>
                <w:b/>
                <w:sz w:val="18"/>
                <w:szCs w:val="18"/>
              </w:rPr>
              <w:t>91.952</w:t>
            </w:r>
            <w:r w:rsidRPr="00AA35D7">
              <w:rPr>
                <w:rFonts w:ascii="Arial" w:hAnsi="Arial" w:cs="Arial"/>
                <w:b/>
                <w:sz w:val="18"/>
                <w:szCs w:val="18"/>
              </w:rPr>
              <w:t>)</w:t>
            </w:r>
          </w:p>
        </w:tc>
        <w:tc>
          <w:tcPr>
            <w:tcW w:w="1260" w:type="dxa"/>
            <w:tcBorders>
              <w:top w:val="single" w:sz="12" w:space="0" w:color="auto"/>
              <w:bottom w:val="single" w:sz="4" w:space="0" w:color="auto"/>
            </w:tcBorders>
            <w:tcMar>
              <w:left w:w="29" w:type="dxa"/>
              <w:right w:w="29" w:type="dxa"/>
            </w:tcMar>
            <w:vAlign w:val="center"/>
          </w:tcPr>
          <w:p w:rsidR="005D367A" w:rsidRPr="00AA35D7" w:rsidP="00226D5F" w14:paraId="7F594F7C" w14:textId="77777777">
            <w:pPr>
              <w:suppressAutoHyphens/>
              <w:jc w:val="center"/>
              <w:rPr>
                <w:rFonts w:ascii="Arial" w:hAnsi="Arial" w:cs="Arial"/>
                <w:b/>
                <w:sz w:val="18"/>
                <w:szCs w:val="18"/>
              </w:rPr>
            </w:pPr>
            <w:r w:rsidRPr="00AA35D7">
              <w:rPr>
                <w:rFonts w:ascii="Arial" w:hAnsi="Arial" w:cs="Arial"/>
                <w:b/>
                <w:sz w:val="18"/>
                <w:szCs w:val="18"/>
              </w:rPr>
              <w:t>100 hours</w:t>
            </w:r>
          </w:p>
        </w:tc>
        <w:tc>
          <w:tcPr>
            <w:tcW w:w="1440" w:type="dxa"/>
            <w:tcBorders>
              <w:top w:val="single" w:sz="12" w:space="0" w:color="auto"/>
              <w:bottom w:val="single" w:sz="4" w:space="0" w:color="auto"/>
            </w:tcBorders>
            <w:tcMar>
              <w:left w:w="29" w:type="dxa"/>
              <w:right w:w="29" w:type="dxa"/>
            </w:tcMar>
            <w:vAlign w:val="center"/>
          </w:tcPr>
          <w:p w:rsidR="005D367A" w:rsidRPr="00AA35D7" w:rsidP="00226D5F" w14:paraId="204B47E1" w14:textId="6DDACFCA">
            <w:pPr>
              <w:suppressAutoHyphens/>
              <w:jc w:val="center"/>
              <w:rPr>
                <w:rFonts w:ascii="Arial" w:hAnsi="Arial" w:cs="Arial"/>
                <w:b/>
                <w:sz w:val="18"/>
                <w:szCs w:val="18"/>
              </w:rPr>
            </w:pPr>
            <w:r w:rsidRPr="00AA35D7">
              <w:rPr>
                <w:rFonts w:ascii="Arial" w:hAnsi="Arial" w:cs="Arial"/>
                <w:b/>
                <w:sz w:val="18"/>
                <w:szCs w:val="18"/>
              </w:rPr>
              <w:t>$</w:t>
            </w:r>
            <w:r w:rsidRPr="00AA35D7" w:rsidR="00AA35D7">
              <w:rPr>
                <w:rFonts w:ascii="Arial" w:hAnsi="Arial" w:cs="Arial"/>
                <w:b/>
                <w:sz w:val="18"/>
                <w:szCs w:val="18"/>
              </w:rPr>
              <w:t>9,195.20</w:t>
            </w:r>
          </w:p>
        </w:tc>
        <w:tc>
          <w:tcPr>
            <w:tcW w:w="1170" w:type="dxa"/>
            <w:tcBorders>
              <w:top w:val="single" w:sz="12" w:space="0" w:color="auto"/>
              <w:bottom w:val="single" w:sz="4" w:space="0" w:color="auto"/>
            </w:tcBorders>
            <w:tcMar>
              <w:left w:w="29" w:type="dxa"/>
              <w:right w:w="29" w:type="dxa"/>
            </w:tcMar>
            <w:vAlign w:val="center"/>
          </w:tcPr>
          <w:p w:rsidR="005D367A" w:rsidRPr="00AA35D7" w:rsidP="00226D5F" w14:paraId="03113D1D" w14:textId="77777777">
            <w:pPr>
              <w:suppressAutoHyphens/>
              <w:jc w:val="center"/>
              <w:rPr>
                <w:rFonts w:ascii="Arial" w:hAnsi="Arial" w:cs="Arial"/>
                <w:b/>
                <w:sz w:val="20"/>
                <w:szCs w:val="20"/>
              </w:rPr>
            </w:pPr>
            <w:r w:rsidRPr="00AA35D7">
              <w:rPr>
                <w:rFonts w:ascii="Arial" w:hAnsi="Arial" w:cs="Arial"/>
                <w:b/>
                <w:sz w:val="20"/>
                <w:szCs w:val="20"/>
              </w:rPr>
              <w:t>4</w:t>
            </w:r>
          </w:p>
        </w:tc>
        <w:tc>
          <w:tcPr>
            <w:tcW w:w="1445" w:type="dxa"/>
            <w:tcBorders>
              <w:top w:val="single" w:sz="12" w:space="0" w:color="auto"/>
              <w:bottom w:val="single" w:sz="4" w:space="0" w:color="auto"/>
            </w:tcBorders>
            <w:tcMar>
              <w:left w:w="29" w:type="dxa"/>
              <w:right w:w="29" w:type="dxa"/>
            </w:tcMar>
            <w:vAlign w:val="center"/>
          </w:tcPr>
          <w:p w:rsidR="005D367A" w:rsidRPr="00AA35D7" w:rsidP="003B3541" w14:paraId="476221C1" w14:textId="059A0320">
            <w:pPr>
              <w:suppressAutoHyphens/>
              <w:jc w:val="center"/>
              <w:rPr>
                <w:rFonts w:ascii="Arial" w:hAnsi="Arial" w:cs="Arial"/>
                <w:b/>
                <w:sz w:val="20"/>
                <w:szCs w:val="20"/>
              </w:rPr>
            </w:pPr>
            <w:r w:rsidRPr="00AA35D7">
              <w:rPr>
                <w:rFonts w:ascii="Arial" w:hAnsi="Arial" w:cs="Arial"/>
                <w:b/>
                <w:sz w:val="20"/>
                <w:szCs w:val="20"/>
              </w:rPr>
              <w:t>$36,780.80</w:t>
            </w:r>
          </w:p>
        </w:tc>
      </w:tr>
    </w:tbl>
    <w:p w:rsidR="005D367A" w:rsidRPr="00AA35D7" w:rsidP="003B7C30" w14:paraId="4AA02C55" w14:textId="51A463FA">
      <w:pPr>
        <w:tabs>
          <w:tab w:val="left" w:pos="7950"/>
        </w:tabs>
        <w:suppressAutoHyphens/>
        <w:ind w:left="360"/>
        <w:rPr>
          <w:rFonts w:ascii="Arial" w:hAnsi="Arial" w:cs="Arial"/>
          <w:sz w:val="18"/>
          <w:szCs w:val="18"/>
        </w:rPr>
      </w:pPr>
      <w:r w:rsidRPr="00AA35D7">
        <w:rPr>
          <w:rFonts w:ascii="Arial" w:hAnsi="Arial" w:cs="Arial"/>
          <w:sz w:val="18"/>
          <w:szCs w:val="18"/>
        </w:rPr>
        <w:t xml:space="preserve">All TTB labor costs rounded to the nearest whole cent unless otherwise noted. </w:t>
      </w:r>
    </w:p>
    <w:p w:rsidR="00AA35D7" w:rsidRPr="00AA35D7" w:rsidP="003B7C30" w14:paraId="02C1A92E" w14:textId="77777777">
      <w:pPr>
        <w:tabs>
          <w:tab w:val="left" w:pos="7950"/>
        </w:tabs>
        <w:suppressAutoHyphens/>
        <w:ind w:left="360"/>
        <w:rPr>
          <w:rFonts w:ascii="Arial" w:hAnsi="Arial" w:cs="Arial"/>
          <w:sz w:val="22"/>
          <w:szCs w:val="22"/>
        </w:rPr>
      </w:pPr>
    </w:p>
    <w:p w:rsidR="004C7F54" w:rsidRPr="00AA35D7" w:rsidP="004C7F54" w14:paraId="7DD190D7" w14:textId="6AC29C5C">
      <w:pPr>
        <w:autoSpaceDE w:val="0"/>
        <w:autoSpaceDN w:val="0"/>
        <w:adjustRightInd w:val="0"/>
        <w:ind w:left="360"/>
        <w:rPr>
          <w:rFonts w:ascii="Arial" w:hAnsi="Arial" w:cs="Arial"/>
          <w:sz w:val="22"/>
          <w:szCs w:val="22"/>
        </w:rPr>
      </w:pPr>
      <w:r w:rsidRPr="00AA35D7">
        <w:rPr>
          <w:rFonts w:ascii="Arial" w:hAnsi="Arial" w:cs="Arial"/>
          <w:sz w:val="22"/>
          <w:szCs w:val="22"/>
          <w:u w:val="single"/>
        </w:rPr>
        <w:t>Total Federal Government Costs:</w:t>
      </w:r>
      <w:r w:rsidRPr="00AA35D7">
        <w:rPr>
          <w:rFonts w:ascii="Arial" w:hAnsi="Arial" w:cs="Arial"/>
          <w:sz w:val="22"/>
          <w:szCs w:val="22"/>
        </w:rPr>
        <w:t xml:space="preserve">  $6,100.00 in non-labor costs + $</w:t>
      </w:r>
      <w:r w:rsidRPr="00AA35D7" w:rsidR="003B3541">
        <w:rPr>
          <w:rFonts w:ascii="Arial" w:hAnsi="Arial" w:cs="Arial"/>
          <w:sz w:val="22"/>
          <w:szCs w:val="22"/>
        </w:rPr>
        <w:t>3</w:t>
      </w:r>
      <w:r w:rsidRPr="00AA35D7" w:rsidR="00AA35D7">
        <w:rPr>
          <w:rFonts w:ascii="Arial" w:hAnsi="Arial" w:cs="Arial"/>
          <w:sz w:val="22"/>
          <w:szCs w:val="22"/>
        </w:rPr>
        <w:t>6,780.80</w:t>
      </w:r>
      <w:r w:rsidRPr="00AA35D7">
        <w:rPr>
          <w:rFonts w:ascii="Arial" w:hAnsi="Arial" w:cs="Arial"/>
          <w:sz w:val="22"/>
          <w:szCs w:val="22"/>
        </w:rPr>
        <w:t xml:space="preserve"> in labor costs = </w:t>
      </w:r>
      <w:r w:rsidRPr="00AA35D7">
        <w:rPr>
          <w:rFonts w:ascii="Arial" w:hAnsi="Arial" w:cs="Arial"/>
          <w:b/>
          <w:bCs/>
          <w:sz w:val="22"/>
          <w:szCs w:val="22"/>
        </w:rPr>
        <w:t>$</w:t>
      </w:r>
      <w:r w:rsidRPr="00AA35D7" w:rsidR="00AA35D7">
        <w:rPr>
          <w:rFonts w:ascii="Arial" w:hAnsi="Arial" w:cs="Arial"/>
          <w:b/>
          <w:bCs/>
          <w:sz w:val="22"/>
          <w:szCs w:val="22"/>
        </w:rPr>
        <w:t>42,880.80 i</w:t>
      </w:r>
      <w:r w:rsidRPr="00AA35D7">
        <w:rPr>
          <w:rFonts w:ascii="Arial" w:hAnsi="Arial" w:cs="Arial"/>
          <w:b/>
          <w:bCs/>
          <w:sz w:val="22"/>
          <w:szCs w:val="22"/>
        </w:rPr>
        <w:t>n total costs</w:t>
      </w:r>
      <w:r w:rsidRPr="00AA35D7">
        <w:rPr>
          <w:rFonts w:ascii="Arial" w:hAnsi="Arial" w:cs="Arial"/>
          <w:sz w:val="22"/>
          <w:szCs w:val="22"/>
        </w:rPr>
        <w:t xml:space="preserve">. </w:t>
      </w:r>
    </w:p>
    <w:p w:rsidR="005D367A" w:rsidRPr="00AA35D7" w:rsidP="00D73D2D" w14:paraId="6BAE91BF" w14:textId="77777777">
      <w:pPr>
        <w:suppressAutoHyphens/>
        <w:rPr>
          <w:rFonts w:ascii="Arial" w:hAnsi="Arial" w:cs="Arial"/>
          <w:sz w:val="28"/>
          <w:szCs w:val="28"/>
        </w:rPr>
      </w:pPr>
    </w:p>
    <w:p w:rsidR="00AF1157" w:rsidRPr="00AF060A" w:rsidP="00D73D2D" w14:paraId="231A4027" w14:textId="77777777">
      <w:pPr>
        <w:suppressAutoHyphens/>
        <w:rPr>
          <w:rFonts w:ascii="Arial" w:hAnsi="Arial" w:cs="Arial"/>
          <w:i/>
          <w:sz w:val="22"/>
          <w:szCs w:val="22"/>
        </w:rPr>
      </w:pPr>
      <w:r w:rsidRPr="00AA35D7">
        <w:rPr>
          <w:rFonts w:ascii="Arial" w:hAnsi="Arial" w:cs="Arial"/>
          <w:i/>
          <w:sz w:val="22"/>
          <w:szCs w:val="22"/>
        </w:rPr>
        <w:t xml:space="preserve">15.  </w:t>
      </w:r>
      <w:r w:rsidRPr="00AA35D7">
        <w:rPr>
          <w:rFonts w:ascii="Arial" w:hAnsi="Arial" w:cs="Arial"/>
          <w:i/>
          <w:sz w:val="22"/>
          <w:szCs w:val="22"/>
        </w:rPr>
        <w:t xml:space="preserve">What is the </w:t>
      </w:r>
      <w:r w:rsidRPr="00AF060A">
        <w:rPr>
          <w:rFonts w:ascii="Arial" w:hAnsi="Arial" w:cs="Arial"/>
          <w:i/>
          <w:sz w:val="22"/>
          <w:szCs w:val="22"/>
        </w:rPr>
        <w:t>reason for any program changes or adjustments reported?</w:t>
      </w:r>
      <w:r>
        <w:rPr>
          <w:rFonts w:ascii="Arial" w:hAnsi="Arial" w:cs="Arial"/>
          <w:i/>
          <w:sz w:val="22"/>
          <w:szCs w:val="22"/>
        </w:rPr>
        <w:t xml:space="preserve"> </w:t>
      </w:r>
    </w:p>
    <w:p w:rsidR="00AF1157" w:rsidP="00D73D2D" w14:paraId="411BE412" w14:textId="77777777">
      <w:pPr>
        <w:suppressAutoHyphens/>
        <w:rPr>
          <w:rFonts w:ascii="Arial" w:hAnsi="Arial" w:cs="Arial"/>
          <w:sz w:val="22"/>
          <w:szCs w:val="22"/>
        </w:rPr>
      </w:pPr>
    </w:p>
    <w:p w:rsidR="0069718A" w:rsidRPr="0069718A" w:rsidP="0069718A" w14:paraId="66096073" w14:textId="77777777">
      <w:pPr>
        <w:ind w:left="360"/>
        <w:rPr>
          <w:rFonts w:ascii="Arial" w:hAnsi="Arial" w:cs="Arial"/>
          <w:sz w:val="22"/>
          <w:szCs w:val="22"/>
        </w:rPr>
      </w:pPr>
      <w:r w:rsidRPr="00AB6F42">
        <w:rPr>
          <w:rFonts w:ascii="Arial" w:hAnsi="Arial" w:cs="Arial"/>
          <w:sz w:val="22"/>
          <w:szCs w:val="22"/>
        </w:rPr>
        <w:t xml:space="preserve">There are no program changes </w:t>
      </w:r>
      <w:r w:rsidR="00227A8C">
        <w:rPr>
          <w:rFonts w:ascii="Arial" w:hAnsi="Arial" w:cs="Arial"/>
          <w:sz w:val="22"/>
          <w:szCs w:val="22"/>
        </w:rPr>
        <w:t xml:space="preserve">or adjustments </w:t>
      </w:r>
      <w:r w:rsidRPr="00AB6F42">
        <w:rPr>
          <w:rFonts w:ascii="Arial" w:hAnsi="Arial" w:cs="Arial"/>
          <w:sz w:val="22"/>
          <w:szCs w:val="22"/>
        </w:rPr>
        <w:t xml:space="preserve">associated with this </w:t>
      </w:r>
      <w:r w:rsidR="00971644">
        <w:rPr>
          <w:rFonts w:ascii="Arial" w:hAnsi="Arial" w:cs="Arial"/>
          <w:sz w:val="22"/>
          <w:szCs w:val="22"/>
        </w:rPr>
        <w:t>generic clearance request</w:t>
      </w:r>
      <w:r w:rsidR="00227A8C">
        <w:rPr>
          <w:rFonts w:ascii="Arial" w:hAnsi="Arial" w:cs="Arial"/>
          <w:sz w:val="22"/>
          <w:szCs w:val="22"/>
        </w:rPr>
        <w:t xml:space="preserve"> at this time</w:t>
      </w:r>
      <w:r w:rsidR="00971644">
        <w:rPr>
          <w:rFonts w:ascii="Arial" w:hAnsi="Arial" w:cs="Arial"/>
          <w:sz w:val="22"/>
          <w:szCs w:val="22"/>
        </w:rPr>
        <w:t>.</w:t>
      </w:r>
      <w:r w:rsidR="00227A8C">
        <w:rPr>
          <w:rFonts w:ascii="Arial" w:hAnsi="Arial" w:cs="Arial"/>
          <w:sz w:val="22"/>
          <w:szCs w:val="22"/>
        </w:rPr>
        <w:t xml:space="preserve"> </w:t>
      </w:r>
    </w:p>
    <w:p w:rsidR="00AF060A" w:rsidRPr="00D47D3A" w:rsidP="00AF060A" w14:paraId="10C61AC9" w14:textId="77777777">
      <w:pPr>
        <w:suppressAutoHyphens/>
        <w:rPr>
          <w:rFonts w:ascii="Arial" w:hAnsi="Arial" w:cs="Arial"/>
          <w:sz w:val="28"/>
          <w:szCs w:val="28"/>
        </w:rPr>
      </w:pPr>
    </w:p>
    <w:p w:rsidR="00AF1157" w:rsidRPr="00CB2533" w:rsidP="00D73D2D" w14:paraId="1AFE3FED" w14:textId="77777777">
      <w:pPr>
        <w:suppressAutoHyphens/>
        <w:rPr>
          <w:rFonts w:ascii="Arial" w:hAnsi="Arial" w:cs="Arial"/>
          <w:i/>
          <w:sz w:val="22"/>
          <w:szCs w:val="22"/>
        </w:rPr>
      </w:pPr>
      <w:r w:rsidRPr="00CB2533">
        <w:rPr>
          <w:rFonts w:ascii="Arial" w:hAnsi="Arial" w:cs="Arial"/>
          <w:i/>
          <w:sz w:val="22"/>
          <w:szCs w:val="22"/>
        </w:rPr>
        <w:t xml:space="preserve">16.  </w:t>
      </w:r>
      <w:r w:rsidRPr="00CB2533">
        <w:rPr>
          <w:rFonts w:ascii="Arial" w:hAnsi="Arial" w:cs="Arial"/>
          <w:i/>
          <w:sz w:val="22"/>
          <w:szCs w:val="22"/>
        </w:rPr>
        <w:t>Outline plans for tabulation and publication for collections of information whose results will be published.</w:t>
      </w:r>
      <w:r w:rsidRPr="00CB2533">
        <w:rPr>
          <w:rFonts w:ascii="Arial" w:hAnsi="Arial" w:cs="Arial"/>
          <w:i/>
          <w:sz w:val="22"/>
          <w:szCs w:val="22"/>
        </w:rPr>
        <w:t xml:space="preserve"> </w:t>
      </w:r>
    </w:p>
    <w:p w:rsidR="00AF1157" w:rsidRPr="00CB2533" w:rsidP="00D73D2D" w14:paraId="26E735B3" w14:textId="77777777">
      <w:pPr>
        <w:suppressAutoHyphens/>
        <w:ind w:left="480" w:hanging="480"/>
        <w:rPr>
          <w:rFonts w:ascii="Arial" w:hAnsi="Arial" w:cs="Arial"/>
          <w:sz w:val="22"/>
          <w:szCs w:val="22"/>
        </w:rPr>
      </w:pPr>
    </w:p>
    <w:p w:rsidR="00BB0C65" w:rsidRPr="000229E6" w:rsidP="00BB0C65" w14:paraId="0F03DC43" w14:textId="6D418B26">
      <w:pPr>
        <w:suppressAutoHyphens/>
        <w:ind w:left="360"/>
        <w:rPr>
          <w:rFonts w:ascii="Arial" w:hAnsi="Arial" w:cs="Arial"/>
          <w:sz w:val="22"/>
          <w:szCs w:val="22"/>
          <w:highlight w:val="yellow"/>
        </w:rPr>
      </w:pPr>
      <w:r w:rsidRPr="00CB2533">
        <w:rPr>
          <w:rFonts w:ascii="Arial" w:hAnsi="Arial" w:cs="Arial"/>
          <w:sz w:val="22"/>
          <w:szCs w:val="22"/>
        </w:rPr>
        <w:t>The c</w:t>
      </w:r>
      <w:r w:rsidRPr="00CB2533">
        <w:rPr>
          <w:rFonts w:ascii="Arial" w:hAnsi="Arial" w:cs="Arial"/>
          <w:sz w:val="22"/>
          <w:szCs w:val="22"/>
        </w:rPr>
        <w:t>ustomer feedback collected</w:t>
      </w:r>
      <w:r w:rsidRPr="000229E6">
        <w:rPr>
          <w:rFonts w:ascii="Arial" w:hAnsi="Arial" w:cs="Arial"/>
          <w:sz w:val="22"/>
          <w:szCs w:val="22"/>
        </w:rPr>
        <w:t xml:space="preserve"> under this generic clearance provides useful information to TTB, but it does not yield data that </w:t>
      </w:r>
      <w:r w:rsidR="0028742C">
        <w:rPr>
          <w:rFonts w:ascii="Arial" w:hAnsi="Arial" w:cs="Arial"/>
          <w:sz w:val="22"/>
          <w:szCs w:val="22"/>
        </w:rPr>
        <w:t xml:space="preserve">TTB </w:t>
      </w:r>
      <w:r w:rsidRPr="000229E6">
        <w:rPr>
          <w:rFonts w:ascii="Arial" w:hAnsi="Arial" w:cs="Arial"/>
          <w:sz w:val="22"/>
          <w:szCs w:val="22"/>
        </w:rPr>
        <w:t xml:space="preserve">can </w:t>
      </w:r>
      <w:r w:rsidR="0028742C">
        <w:rPr>
          <w:rFonts w:ascii="Arial" w:hAnsi="Arial" w:cs="Arial"/>
          <w:sz w:val="22"/>
          <w:szCs w:val="22"/>
        </w:rPr>
        <w:t>g</w:t>
      </w:r>
      <w:r w:rsidRPr="000229E6">
        <w:rPr>
          <w:rFonts w:ascii="Arial" w:hAnsi="Arial" w:cs="Arial"/>
          <w:sz w:val="22"/>
          <w:szCs w:val="22"/>
        </w:rPr>
        <w:t xml:space="preserve">eneralize to the overall population.  </w:t>
      </w:r>
      <w:r w:rsidRPr="000229E6">
        <w:rPr>
          <w:rFonts w:ascii="Arial" w:hAnsi="Arial" w:cs="Arial"/>
          <w:sz w:val="22"/>
          <w:szCs w:val="22"/>
        </w:rPr>
        <w:t>TTB will use the f</w:t>
      </w:r>
      <w:r w:rsidRPr="000229E6">
        <w:rPr>
          <w:rFonts w:ascii="Arial" w:hAnsi="Arial" w:cs="Arial"/>
          <w:sz w:val="22"/>
          <w:szCs w:val="22"/>
        </w:rPr>
        <w:t xml:space="preserve">indings </w:t>
      </w:r>
      <w:r w:rsidRPr="000229E6">
        <w:rPr>
          <w:rFonts w:ascii="Arial" w:hAnsi="Arial" w:cs="Arial"/>
          <w:sz w:val="22"/>
          <w:szCs w:val="22"/>
        </w:rPr>
        <w:t xml:space="preserve">to improve its programs and service delivery, but TTB will not publish or </w:t>
      </w:r>
      <w:r w:rsidRPr="000229E6" w:rsidR="00D47D3A">
        <w:rPr>
          <w:rFonts w:ascii="Arial" w:hAnsi="Arial" w:cs="Arial"/>
          <w:sz w:val="22"/>
          <w:szCs w:val="22"/>
        </w:rPr>
        <w:t>publicly</w:t>
      </w:r>
      <w:r w:rsidRPr="000229E6">
        <w:rPr>
          <w:rFonts w:ascii="Arial" w:hAnsi="Arial" w:cs="Arial"/>
          <w:sz w:val="22"/>
          <w:szCs w:val="22"/>
        </w:rPr>
        <w:t xml:space="preserve"> release the results of the information collections approved under this generic clearance.  However, TTB may receive requests to release collected information from Congress or from the public under the Freedom of Information Act.   </w:t>
      </w:r>
      <w:r w:rsidRPr="000229E6" w:rsidR="000229E6">
        <w:rPr>
          <w:rFonts w:ascii="Arial" w:hAnsi="Arial" w:cs="Arial"/>
          <w:sz w:val="22"/>
          <w:szCs w:val="22"/>
        </w:rPr>
        <w:t xml:space="preserve">In response to such requests, TTB </w:t>
      </w:r>
      <w:r w:rsidRPr="000229E6">
        <w:rPr>
          <w:rFonts w:ascii="Arial" w:hAnsi="Arial" w:cs="Arial"/>
          <w:sz w:val="22"/>
          <w:szCs w:val="22"/>
        </w:rPr>
        <w:t xml:space="preserve">will disseminate the findings </w:t>
      </w:r>
      <w:r w:rsidRPr="000229E6" w:rsidR="000229E6">
        <w:rPr>
          <w:rFonts w:ascii="Arial" w:hAnsi="Arial" w:cs="Arial"/>
          <w:sz w:val="22"/>
          <w:szCs w:val="22"/>
        </w:rPr>
        <w:t xml:space="preserve">of information collections issued under this generic clearance </w:t>
      </w:r>
      <w:r w:rsidRPr="000229E6">
        <w:rPr>
          <w:rFonts w:ascii="Arial" w:hAnsi="Arial" w:cs="Arial"/>
          <w:sz w:val="22"/>
          <w:szCs w:val="22"/>
        </w:rPr>
        <w:t>when appropriate</w:t>
      </w:r>
      <w:r w:rsidRPr="000229E6" w:rsidR="000229E6">
        <w:rPr>
          <w:rFonts w:ascii="Arial" w:hAnsi="Arial" w:cs="Arial"/>
          <w:sz w:val="22"/>
          <w:szCs w:val="22"/>
        </w:rPr>
        <w:t xml:space="preserve"> and such disclosures will </w:t>
      </w:r>
      <w:r w:rsidRPr="000229E6">
        <w:rPr>
          <w:rFonts w:ascii="Arial" w:hAnsi="Arial" w:cs="Arial"/>
          <w:sz w:val="22"/>
          <w:szCs w:val="22"/>
        </w:rPr>
        <w:t xml:space="preserve">include </w:t>
      </w:r>
      <w:r w:rsidRPr="000229E6" w:rsidR="000229E6">
        <w:rPr>
          <w:rFonts w:ascii="Arial" w:hAnsi="Arial" w:cs="Arial"/>
          <w:sz w:val="22"/>
          <w:szCs w:val="22"/>
        </w:rPr>
        <w:t xml:space="preserve">a </w:t>
      </w:r>
      <w:r w:rsidRPr="000229E6">
        <w:rPr>
          <w:rFonts w:ascii="Arial" w:hAnsi="Arial" w:cs="Arial"/>
          <w:sz w:val="22"/>
          <w:szCs w:val="22"/>
        </w:rPr>
        <w:t xml:space="preserve">discussion of the limitation of </w:t>
      </w:r>
      <w:r w:rsidRPr="000229E6" w:rsidR="000229E6">
        <w:rPr>
          <w:rFonts w:ascii="Arial" w:hAnsi="Arial" w:cs="Arial"/>
          <w:sz w:val="22"/>
          <w:szCs w:val="22"/>
        </w:rPr>
        <w:t xml:space="preserve">such </w:t>
      </w:r>
      <w:r w:rsidRPr="000229E6">
        <w:rPr>
          <w:rFonts w:ascii="Arial" w:hAnsi="Arial" w:cs="Arial"/>
          <w:sz w:val="22"/>
          <w:szCs w:val="22"/>
        </w:rPr>
        <w:t>qualitative results.</w:t>
      </w:r>
      <w:r w:rsidRPr="000229E6" w:rsidR="000229E6">
        <w:rPr>
          <w:rFonts w:ascii="Arial" w:hAnsi="Arial" w:cs="Arial"/>
          <w:sz w:val="22"/>
          <w:szCs w:val="22"/>
        </w:rPr>
        <w:t xml:space="preserve"> </w:t>
      </w:r>
    </w:p>
    <w:p w:rsidR="00AF1157" w:rsidRPr="00D47D3A" w:rsidP="00D73D2D" w14:paraId="2225ADB7" w14:textId="77777777">
      <w:pPr>
        <w:suppressAutoHyphens/>
        <w:rPr>
          <w:rFonts w:ascii="Arial" w:hAnsi="Arial" w:cs="Arial"/>
          <w:sz w:val="28"/>
          <w:szCs w:val="28"/>
        </w:rPr>
      </w:pPr>
    </w:p>
    <w:p w:rsidR="00AF1157" w:rsidRPr="00CB2533" w:rsidP="00D73D2D" w14:paraId="1A8601E0" w14:textId="77777777">
      <w:pPr>
        <w:suppressAutoHyphens/>
        <w:rPr>
          <w:rFonts w:ascii="Arial" w:hAnsi="Arial" w:cs="Arial"/>
          <w:i/>
          <w:sz w:val="22"/>
          <w:szCs w:val="22"/>
        </w:rPr>
      </w:pPr>
      <w:r w:rsidRPr="00CB2533">
        <w:rPr>
          <w:rFonts w:ascii="Arial" w:hAnsi="Arial" w:cs="Arial"/>
          <w:i/>
          <w:sz w:val="22"/>
          <w:szCs w:val="22"/>
        </w:rPr>
        <w:t xml:space="preserve">17.  </w:t>
      </w:r>
      <w:r w:rsidRPr="00CB2533">
        <w:rPr>
          <w:rFonts w:ascii="Arial" w:hAnsi="Arial" w:cs="Arial"/>
          <w:i/>
          <w:sz w:val="22"/>
          <w:szCs w:val="22"/>
        </w:rPr>
        <w:t>If seeking approval to not display the expiration date for OMB approval of this information collection, what are the reasons that the display would be inappropriate?</w:t>
      </w:r>
      <w:r w:rsidRPr="00CB2533" w:rsidR="004D086A">
        <w:rPr>
          <w:rFonts w:ascii="Arial" w:hAnsi="Arial" w:cs="Arial"/>
          <w:i/>
          <w:sz w:val="22"/>
          <w:szCs w:val="22"/>
        </w:rPr>
        <w:t xml:space="preserve"> </w:t>
      </w:r>
    </w:p>
    <w:p w:rsidR="00AF1157" w:rsidRPr="007A5D4B" w:rsidP="00D73D2D" w14:paraId="2202B14A" w14:textId="77777777">
      <w:pPr>
        <w:suppressAutoHyphens/>
        <w:rPr>
          <w:rFonts w:ascii="Arial" w:hAnsi="Arial" w:cs="Arial"/>
          <w:sz w:val="22"/>
          <w:szCs w:val="22"/>
        </w:rPr>
      </w:pPr>
    </w:p>
    <w:p w:rsidR="00851169" w:rsidP="00CB2533" w14:paraId="5C581F3A" w14:textId="77777777">
      <w:pPr>
        <w:autoSpaceDE w:val="0"/>
        <w:autoSpaceDN w:val="0"/>
        <w:ind w:left="360"/>
        <w:rPr>
          <w:rFonts w:ascii="Arial" w:hAnsi="Arial" w:cs="Arial"/>
          <w:sz w:val="22"/>
          <w:szCs w:val="22"/>
        </w:rPr>
      </w:pPr>
      <w:r w:rsidRPr="000B6799">
        <w:rPr>
          <w:rFonts w:ascii="Arial" w:hAnsi="Arial" w:cs="Arial"/>
          <w:sz w:val="22"/>
          <w:szCs w:val="22"/>
        </w:rPr>
        <w:t>As a cost saving measure for TTB</w:t>
      </w:r>
      <w:r w:rsidR="0028742C">
        <w:rPr>
          <w:rFonts w:ascii="Arial" w:hAnsi="Arial" w:cs="Arial"/>
          <w:sz w:val="22"/>
          <w:szCs w:val="22"/>
        </w:rPr>
        <w:t>,</w:t>
      </w:r>
      <w:r w:rsidRPr="000B6799">
        <w:rPr>
          <w:rFonts w:ascii="Arial" w:hAnsi="Arial" w:cs="Arial"/>
          <w:sz w:val="22"/>
          <w:szCs w:val="22"/>
        </w:rPr>
        <w:t xml:space="preserve"> and t</w:t>
      </w:r>
      <w:r w:rsidR="000229E6">
        <w:rPr>
          <w:rFonts w:ascii="Arial" w:hAnsi="Arial" w:cs="Arial"/>
          <w:sz w:val="22"/>
          <w:szCs w:val="22"/>
        </w:rPr>
        <w:t xml:space="preserve">o prevent user confusion, </w:t>
      </w:r>
      <w:r w:rsidRPr="000B6799">
        <w:rPr>
          <w:rFonts w:ascii="Arial" w:hAnsi="Arial" w:cs="Arial"/>
          <w:sz w:val="22"/>
          <w:szCs w:val="22"/>
        </w:rPr>
        <w:t xml:space="preserve">TTB is seeking approval not to display the expiration date for OMB approval of this </w:t>
      </w:r>
      <w:r w:rsidR="000229E6">
        <w:rPr>
          <w:rFonts w:ascii="Arial" w:hAnsi="Arial" w:cs="Arial"/>
          <w:sz w:val="22"/>
          <w:szCs w:val="22"/>
        </w:rPr>
        <w:t xml:space="preserve">generic clearance on any </w:t>
      </w:r>
      <w:r w:rsidRPr="000B6799">
        <w:rPr>
          <w:rFonts w:ascii="Arial" w:hAnsi="Arial" w:cs="Arial"/>
          <w:sz w:val="22"/>
          <w:szCs w:val="22"/>
        </w:rPr>
        <w:t>information collection</w:t>
      </w:r>
      <w:r w:rsidR="000229E6">
        <w:rPr>
          <w:rFonts w:ascii="Arial" w:hAnsi="Arial" w:cs="Arial"/>
          <w:sz w:val="22"/>
          <w:szCs w:val="22"/>
        </w:rPr>
        <w:t>s issued under it</w:t>
      </w:r>
      <w:r w:rsidRPr="000B6799">
        <w:rPr>
          <w:rFonts w:ascii="Arial" w:hAnsi="Arial" w:cs="Arial"/>
          <w:sz w:val="22"/>
          <w:szCs w:val="22"/>
        </w:rPr>
        <w:t xml:space="preserve">.  By not displaying the expiration date of this </w:t>
      </w:r>
      <w:r w:rsidR="00CB2533">
        <w:rPr>
          <w:rFonts w:ascii="Arial" w:hAnsi="Arial" w:cs="Arial"/>
          <w:sz w:val="22"/>
          <w:szCs w:val="22"/>
        </w:rPr>
        <w:t>generic clearance</w:t>
      </w:r>
      <w:r w:rsidRPr="000B6799">
        <w:rPr>
          <w:rFonts w:ascii="Arial" w:hAnsi="Arial" w:cs="Arial"/>
          <w:sz w:val="22"/>
          <w:szCs w:val="22"/>
        </w:rPr>
        <w:t xml:space="preserve">, TTB will not have to update the expiration date on </w:t>
      </w:r>
      <w:r w:rsidR="00CB2533">
        <w:rPr>
          <w:rFonts w:ascii="Arial" w:hAnsi="Arial" w:cs="Arial"/>
          <w:sz w:val="22"/>
          <w:szCs w:val="22"/>
        </w:rPr>
        <w:t xml:space="preserve">reusable customer survey and other information collection instruments, whether issued on paper or </w:t>
      </w:r>
      <w:r w:rsidRPr="000B6799">
        <w:rPr>
          <w:rFonts w:ascii="Arial" w:hAnsi="Arial" w:cs="Arial"/>
          <w:sz w:val="22"/>
          <w:szCs w:val="22"/>
        </w:rPr>
        <w:t>electronic</w:t>
      </w:r>
      <w:r w:rsidR="00CB2533">
        <w:rPr>
          <w:rFonts w:ascii="Arial" w:hAnsi="Arial" w:cs="Arial"/>
          <w:sz w:val="22"/>
          <w:szCs w:val="22"/>
        </w:rPr>
        <w:t xml:space="preserve">ally.  </w:t>
      </w:r>
      <w:r w:rsidR="0028742C">
        <w:rPr>
          <w:rFonts w:ascii="Arial" w:hAnsi="Arial" w:cs="Arial"/>
          <w:sz w:val="22"/>
          <w:szCs w:val="22"/>
        </w:rPr>
        <w:t>N</w:t>
      </w:r>
      <w:r w:rsidRPr="000B6799">
        <w:rPr>
          <w:rFonts w:ascii="Arial" w:hAnsi="Arial" w:cs="Arial"/>
          <w:sz w:val="22"/>
          <w:szCs w:val="22"/>
        </w:rPr>
        <w:t>ot displaying the OMB approval expiration date on</w:t>
      </w:r>
      <w:r w:rsidR="00CB2533">
        <w:rPr>
          <w:rFonts w:ascii="Arial" w:hAnsi="Arial" w:cs="Arial"/>
          <w:sz w:val="22"/>
          <w:szCs w:val="22"/>
        </w:rPr>
        <w:t xml:space="preserve"> information collection instruments issued under this generic clearance </w:t>
      </w:r>
      <w:r w:rsidR="0028742C">
        <w:rPr>
          <w:rFonts w:ascii="Arial" w:hAnsi="Arial" w:cs="Arial"/>
          <w:sz w:val="22"/>
          <w:szCs w:val="22"/>
        </w:rPr>
        <w:t xml:space="preserve">also </w:t>
      </w:r>
      <w:r w:rsidRPr="000B6799">
        <w:rPr>
          <w:rFonts w:ascii="Arial" w:hAnsi="Arial" w:cs="Arial"/>
          <w:sz w:val="22"/>
          <w:szCs w:val="22"/>
        </w:rPr>
        <w:t xml:space="preserve">will avoid confusion among members of the public who may </w:t>
      </w:r>
      <w:r w:rsidR="00CB2533">
        <w:rPr>
          <w:rFonts w:ascii="Arial" w:hAnsi="Arial" w:cs="Arial"/>
          <w:sz w:val="22"/>
          <w:szCs w:val="22"/>
        </w:rPr>
        <w:t xml:space="preserve">respond to reused collections </w:t>
      </w:r>
      <w:r w:rsidRPr="000B6799">
        <w:rPr>
          <w:rFonts w:ascii="Arial" w:hAnsi="Arial" w:cs="Arial"/>
          <w:sz w:val="22"/>
          <w:szCs w:val="22"/>
        </w:rPr>
        <w:t xml:space="preserve">with expiration dates </w:t>
      </w:r>
      <w:r w:rsidR="00CB2533">
        <w:rPr>
          <w:rFonts w:ascii="Arial" w:hAnsi="Arial" w:cs="Arial"/>
          <w:sz w:val="22"/>
          <w:szCs w:val="22"/>
        </w:rPr>
        <w:t xml:space="preserve">displayed on them that have passed. </w:t>
      </w:r>
    </w:p>
    <w:p w:rsidR="00014CEB" w:rsidRPr="00D47D3A" w:rsidP="00CB2533" w14:paraId="3BB2C884" w14:textId="77777777">
      <w:pPr>
        <w:autoSpaceDE w:val="0"/>
        <w:autoSpaceDN w:val="0"/>
        <w:rPr>
          <w:rFonts w:ascii="Arial" w:hAnsi="Arial" w:cs="Arial"/>
          <w:sz w:val="28"/>
          <w:szCs w:val="28"/>
        </w:rPr>
      </w:pPr>
    </w:p>
    <w:p w:rsidR="00AF1157" w:rsidRPr="00AE22FE" w:rsidP="00D73D2D" w14:paraId="54C33EA0" w14:textId="77777777">
      <w:pPr>
        <w:suppressAutoHyphens/>
        <w:rPr>
          <w:rFonts w:ascii="Arial" w:hAnsi="Arial" w:cs="Arial"/>
          <w:i/>
          <w:sz w:val="22"/>
          <w:szCs w:val="22"/>
        </w:rPr>
      </w:pPr>
      <w:r w:rsidRPr="00AE22FE">
        <w:rPr>
          <w:rFonts w:ascii="Arial" w:hAnsi="Arial" w:cs="Arial"/>
          <w:i/>
          <w:sz w:val="22"/>
          <w:szCs w:val="22"/>
        </w:rPr>
        <w:t xml:space="preserve">18.  </w:t>
      </w:r>
      <w:r w:rsidRPr="00AE22FE">
        <w:rPr>
          <w:rFonts w:ascii="Arial" w:hAnsi="Arial" w:cs="Arial"/>
          <w:i/>
          <w:sz w:val="22"/>
          <w:szCs w:val="22"/>
        </w:rPr>
        <w:t>What are the exceptions to the certification statement?</w:t>
      </w:r>
      <w:r w:rsidRPr="00AE22FE" w:rsidR="00D56B01">
        <w:rPr>
          <w:rFonts w:ascii="Arial" w:hAnsi="Arial" w:cs="Arial"/>
          <w:i/>
          <w:sz w:val="22"/>
          <w:szCs w:val="22"/>
        </w:rPr>
        <w:t xml:space="preserve"> </w:t>
      </w:r>
    </w:p>
    <w:p w:rsidR="00AF1157" w:rsidRPr="00AE22FE" w:rsidP="00BA1A21" w14:paraId="614675B0" w14:textId="77777777">
      <w:pPr>
        <w:suppressAutoHyphens/>
        <w:ind w:left="360"/>
        <w:rPr>
          <w:rFonts w:ascii="Arial" w:hAnsi="Arial" w:cs="Arial"/>
          <w:sz w:val="22"/>
          <w:szCs w:val="22"/>
        </w:rPr>
      </w:pPr>
    </w:p>
    <w:p w:rsidR="00851169" w:rsidRPr="00A5320B" w:rsidP="00A5320B" w14:paraId="671DBA8D" w14:textId="77777777">
      <w:pPr>
        <w:spacing w:after="80"/>
        <w:ind w:left="360"/>
        <w:rPr>
          <w:rFonts w:ascii="Arial" w:hAnsi="Arial" w:cs="Arial"/>
          <w:sz w:val="22"/>
          <w:szCs w:val="22"/>
        </w:rPr>
      </w:pPr>
      <w:r w:rsidRPr="00A5320B">
        <w:rPr>
          <w:rFonts w:ascii="Arial" w:hAnsi="Arial" w:cs="Arial"/>
          <w:sz w:val="22"/>
          <w:szCs w:val="22"/>
        </w:rPr>
        <w:t xml:space="preserve">(f)  This is not a recordkeeping requirement. </w:t>
      </w:r>
    </w:p>
    <w:p w:rsidR="00851169" w:rsidRPr="00A5320B" w:rsidP="00A5320B" w14:paraId="7A8A9659" w14:textId="77777777">
      <w:pPr>
        <w:spacing w:after="80"/>
        <w:ind w:left="360"/>
        <w:rPr>
          <w:rFonts w:ascii="Arial" w:hAnsi="Arial" w:cs="Arial"/>
          <w:sz w:val="22"/>
          <w:szCs w:val="22"/>
        </w:rPr>
      </w:pPr>
      <w:r w:rsidRPr="00A5320B">
        <w:rPr>
          <w:rFonts w:ascii="Arial" w:hAnsi="Arial" w:cs="Arial"/>
          <w:sz w:val="22"/>
          <w:szCs w:val="22"/>
        </w:rPr>
        <w:t xml:space="preserve">(i)   No statistics are involved. </w:t>
      </w:r>
    </w:p>
    <w:p w:rsidR="00851169" w:rsidRPr="00A5320B" w:rsidP="00BA1A21" w14:paraId="31B6E073" w14:textId="77777777">
      <w:pPr>
        <w:ind w:left="360"/>
        <w:rPr>
          <w:rFonts w:ascii="Arial" w:hAnsi="Arial" w:cs="Arial"/>
          <w:sz w:val="22"/>
          <w:szCs w:val="22"/>
        </w:rPr>
      </w:pPr>
    </w:p>
    <w:p w:rsidR="00E115FD" w:rsidP="00D73D2D" w14:paraId="4FCD6907" w14:textId="77777777">
      <w:pPr>
        <w:rPr>
          <w:rFonts w:ascii="Arial" w:hAnsi="Arial" w:cs="Arial"/>
        </w:rPr>
      </w:pPr>
    </w:p>
    <w:sectPr w:rsidSect="007A5D4B">
      <w:headerReference w:type="default" r:id="rId5"/>
      <w:footerReference w:type="default" r:id="rId6"/>
      <w:headerReference w:type="firs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76A" w:rsidRPr="007A5D4B" w:rsidP="00EA24B6" w14:paraId="6631A1EF" w14:textId="77777777">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702570">
      <w:rPr>
        <w:rFonts w:ascii="Arial" w:hAnsi="Arial" w:cs="Arial"/>
        <w:sz w:val="20"/>
        <w:szCs w:val="20"/>
      </w:rPr>
      <w:t xml:space="preserve">OMB No. </w:t>
    </w:r>
    <w:r>
      <w:rPr>
        <w:rFonts w:ascii="Arial" w:hAnsi="Arial" w:cs="Arial"/>
        <w:sz w:val="20"/>
        <w:szCs w:val="20"/>
      </w:rPr>
      <w:t>1513–0132 Part A Supporting Statement (</w:t>
    </w:r>
    <w:r w:rsidR="004809A6">
      <w:rPr>
        <w:rFonts w:ascii="Arial" w:hAnsi="Arial" w:cs="Arial"/>
        <w:sz w:val="20"/>
        <w:szCs w:val="20"/>
      </w:rPr>
      <w:t>10</w:t>
    </w:r>
    <w:r>
      <w:rPr>
        <w:rFonts w:ascii="Arial" w:hAnsi="Arial" w:cs="Arial"/>
        <w:sz w:val="20"/>
        <w:szCs w:val="20"/>
      </w:rPr>
      <w:t>-20</w:t>
    </w:r>
    <w:r w:rsidR="000E425B">
      <w:rPr>
        <w:rFonts w:ascii="Arial" w:hAnsi="Arial" w:cs="Arial"/>
        <w:sz w:val="20"/>
        <w:szCs w:val="20"/>
      </w:rPr>
      <w:t>2</w:t>
    </w:r>
    <w:r>
      <w:rPr>
        <w:rFonts w:ascii="Arial" w:hAnsi="Arial" w:cs="Arial"/>
        <w:sz w:val="20"/>
        <w:szCs w:val="20"/>
      </w:rPr>
      <w:t xml:space="preserve">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76A" w:rsidRPr="007A5D4B" w:rsidP="00EA24B6" w14:paraId="34FCCAC0" w14:textId="77777777">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702570">
      <w:rPr>
        <w:rFonts w:ascii="Arial" w:hAnsi="Arial" w:cs="Arial"/>
        <w:sz w:val="20"/>
        <w:szCs w:val="20"/>
      </w:rPr>
      <w:t xml:space="preserve">OMB No. </w:t>
    </w:r>
    <w:r>
      <w:rPr>
        <w:rFonts w:ascii="Arial" w:hAnsi="Arial" w:cs="Arial"/>
        <w:sz w:val="20"/>
        <w:szCs w:val="20"/>
      </w:rPr>
      <w:t>1513–0132 Part A Supporting Statement (</w:t>
    </w:r>
    <w:r w:rsidR="004809A6">
      <w:rPr>
        <w:rFonts w:ascii="Arial" w:hAnsi="Arial" w:cs="Arial"/>
        <w:sz w:val="20"/>
        <w:szCs w:val="20"/>
      </w:rPr>
      <w:t>10</w:t>
    </w:r>
    <w:r>
      <w:rPr>
        <w:rFonts w:ascii="Arial" w:hAnsi="Arial" w:cs="Arial"/>
        <w:sz w:val="20"/>
        <w:szCs w:val="20"/>
      </w:rPr>
      <w:t>-20</w:t>
    </w:r>
    <w:r w:rsidR="00DD7E42">
      <w:rPr>
        <w:rFonts w:ascii="Arial" w:hAnsi="Arial" w:cs="Arial"/>
        <w:sz w:val="20"/>
        <w:szCs w:val="20"/>
      </w:rPr>
      <w:t>2</w:t>
    </w:r>
    <w:r>
      <w:rPr>
        <w:rFonts w:ascii="Arial" w:hAnsi="Arial" w:cs="Arial"/>
        <w:sz w:val="20"/>
        <w:szCs w:val="20"/>
      </w:rPr>
      <w:t xml:space="preserve">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4E48" w14:paraId="6D39A74D" w14:textId="77777777">
      <w:r>
        <w:separator/>
      </w:r>
    </w:p>
  </w:footnote>
  <w:footnote w:type="continuationSeparator" w:id="1">
    <w:p w:rsidR="007C4E48" w14:paraId="03594D7A" w14:textId="77777777">
      <w:r>
        <w:continuationSeparator/>
      </w:r>
    </w:p>
  </w:footnote>
  <w:footnote w:id="2">
    <w:p w:rsidR="00064ACD" w:rsidRPr="00E942AE" w:rsidP="00064ACD" w14:paraId="327F8198" w14:textId="0344F127">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E942AE">
        <w:rPr>
          <w:rFonts w:ascii="Arial" w:hAnsi="Arial" w:cs="Arial"/>
          <w:sz w:val="18"/>
          <w:szCs w:val="18"/>
        </w:rPr>
        <w:t xml:space="preserve">Fully-loaded Labor Rate = </w:t>
      </w:r>
      <w:r>
        <w:rPr>
          <w:rFonts w:ascii="Arial" w:hAnsi="Arial" w:cs="Arial"/>
          <w:sz w:val="18"/>
          <w:szCs w:val="18"/>
        </w:rPr>
        <w:t>Hourly w</w:t>
      </w:r>
      <w:r w:rsidRPr="00E942AE">
        <w:rPr>
          <w:rFonts w:ascii="Arial" w:hAnsi="Arial" w:cs="Arial"/>
          <w:sz w:val="18"/>
          <w:szCs w:val="18"/>
        </w:rPr>
        <w:t xml:space="preserve">age rate </w:t>
      </w:r>
      <w:r>
        <w:rPr>
          <w:rFonts w:ascii="Arial" w:hAnsi="Arial" w:cs="Arial"/>
          <w:sz w:val="18"/>
          <w:szCs w:val="18"/>
        </w:rPr>
        <w:t xml:space="preserve">+ benefit costs.  For the private sector, this is calculated as the hourly wage </w:t>
      </w:r>
      <w:r w:rsidRPr="00E942AE">
        <w:rPr>
          <w:rFonts w:ascii="Arial" w:hAnsi="Arial" w:cs="Arial"/>
          <w:sz w:val="18"/>
          <w:szCs w:val="18"/>
        </w:rPr>
        <w:t>x 1.4</w:t>
      </w:r>
      <w:r>
        <w:rPr>
          <w:rFonts w:ascii="Arial" w:hAnsi="Arial" w:cs="Arial"/>
          <w:sz w:val="18"/>
          <w:szCs w:val="18"/>
        </w:rPr>
        <w:t xml:space="preserve">4. </w:t>
      </w:r>
      <w:r w:rsidRPr="00E942AE">
        <w:rPr>
          <w:rFonts w:ascii="Arial" w:hAnsi="Arial" w:cs="Arial"/>
          <w:sz w:val="18"/>
          <w:szCs w:val="18"/>
        </w:rPr>
        <w:t xml:space="preserve"> Per the most recent U.S. Department of Labor, Bureau of Labor Statistics</w:t>
      </w:r>
      <w:r>
        <w:rPr>
          <w:rFonts w:ascii="Arial" w:hAnsi="Arial" w:cs="Arial"/>
          <w:sz w:val="18"/>
          <w:szCs w:val="18"/>
        </w:rPr>
        <w:t xml:space="preserve"> (BLS)</w:t>
      </w:r>
      <w:r w:rsidRPr="00E942AE">
        <w:rPr>
          <w:rFonts w:ascii="Arial" w:hAnsi="Arial" w:cs="Arial"/>
          <w:sz w:val="18"/>
          <w:szCs w:val="18"/>
        </w:rPr>
        <w:t>, data for National Industry-Specific Occupational Employment and Wage Estimates for NAICS 312</w:t>
      </w:r>
      <w:r>
        <w:rPr>
          <w:rFonts w:ascii="Arial" w:hAnsi="Arial" w:cs="Arial"/>
          <w:sz w:val="18"/>
          <w:szCs w:val="18"/>
        </w:rPr>
        <w:t>1</w:t>
      </w:r>
      <w:r w:rsidRPr="00E942AE">
        <w:rPr>
          <w:rFonts w:ascii="Arial" w:hAnsi="Arial" w:cs="Arial"/>
          <w:sz w:val="18"/>
          <w:szCs w:val="18"/>
        </w:rPr>
        <w:t xml:space="preserve">00—Beverage </w:t>
      </w:r>
      <w:r>
        <w:rPr>
          <w:rFonts w:ascii="Arial" w:hAnsi="Arial" w:cs="Arial"/>
          <w:sz w:val="18"/>
          <w:szCs w:val="18"/>
        </w:rPr>
        <w:t xml:space="preserve">and Tobacco Product </w:t>
      </w:r>
      <w:r w:rsidRPr="00E942AE">
        <w:rPr>
          <w:rFonts w:ascii="Arial" w:hAnsi="Arial" w:cs="Arial"/>
          <w:sz w:val="18"/>
          <w:szCs w:val="18"/>
        </w:rPr>
        <w:t xml:space="preserve">Manufacturing, the average fully-loaded labor rate per hour for </w:t>
      </w:r>
      <w:r>
        <w:rPr>
          <w:rFonts w:ascii="Arial" w:hAnsi="Arial" w:cs="Arial"/>
          <w:sz w:val="18"/>
          <w:szCs w:val="18"/>
        </w:rPr>
        <w:t xml:space="preserve">All Occupations </w:t>
      </w:r>
      <w:r w:rsidRPr="00E942AE">
        <w:rPr>
          <w:rFonts w:ascii="Arial" w:hAnsi="Arial" w:cs="Arial"/>
          <w:sz w:val="18"/>
          <w:szCs w:val="18"/>
        </w:rPr>
        <w:t>is $</w:t>
      </w:r>
      <w:r>
        <w:rPr>
          <w:rFonts w:ascii="Arial" w:hAnsi="Arial" w:cs="Arial"/>
          <w:sz w:val="18"/>
          <w:szCs w:val="18"/>
        </w:rPr>
        <w:t>3</w:t>
      </w:r>
      <w:r w:rsidR="00D47D3A">
        <w:rPr>
          <w:rFonts w:ascii="Arial" w:hAnsi="Arial" w:cs="Arial"/>
          <w:sz w:val="18"/>
          <w:szCs w:val="18"/>
        </w:rPr>
        <w:t>7.24</w:t>
      </w:r>
      <w:r w:rsidRPr="00E942AE">
        <w:rPr>
          <w:rFonts w:ascii="Arial" w:hAnsi="Arial" w:cs="Arial"/>
          <w:sz w:val="18"/>
          <w:szCs w:val="18"/>
        </w:rPr>
        <w:t xml:space="preserve"> ($2</w:t>
      </w:r>
      <w:r w:rsidR="00D47D3A">
        <w:rPr>
          <w:rFonts w:ascii="Arial" w:hAnsi="Arial" w:cs="Arial"/>
          <w:sz w:val="18"/>
          <w:szCs w:val="18"/>
        </w:rPr>
        <w:t>5.86</w:t>
      </w:r>
      <w:r w:rsidRPr="00E942AE">
        <w:rPr>
          <w:rFonts w:ascii="Arial" w:hAnsi="Arial" w:cs="Arial"/>
          <w:sz w:val="18"/>
          <w:szCs w:val="18"/>
        </w:rPr>
        <w:t xml:space="preserve"> in wages plus $</w:t>
      </w:r>
      <w:r w:rsidR="00D47D3A">
        <w:rPr>
          <w:rFonts w:ascii="Arial" w:hAnsi="Arial" w:cs="Arial"/>
          <w:sz w:val="18"/>
          <w:szCs w:val="18"/>
        </w:rPr>
        <w:t>11.38</w:t>
      </w:r>
      <w:r w:rsidRPr="00E942AE">
        <w:rPr>
          <w:rFonts w:ascii="Arial" w:hAnsi="Arial" w:cs="Arial"/>
          <w:sz w:val="18"/>
          <w:szCs w:val="18"/>
        </w:rPr>
        <w:t xml:space="preserve"> in benefit costs).  See the B</w:t>
      </w:r>
      <w:r>
        <w:rPr>
          <w:rFonts w:ascii="Arial" w:hAnsi="Arial" w:cs="Arial"/>
          <w:sz w:val="18"/>
          <w:szCs w:val="18"/>
        </w:rPr>
        <w:t>LS w</w:t>
      </w:r>
      <w:r w:rsidRPr="00E942AE">
        <w:rPr>
          <w:rFonts w:ascii="Arial" w:hAnsi="Arial" w:cs="Arial"/>
          <w:sz w:val="18"/>
          <w:szCs w:val="18"/>
        </w:rPr>
        <w:t>ebsite at</w:t>
      </w:r>
      <w:r>
        <w:rPr>
          <w:rFonts w:ascii="Arial" w:hAnsi="Arial" w:cs="Arial"/>
          <w:sz w:val="18"/>
          <w:szCs w:val="18"/>
        </w:rPr>
        <w:t xml:space="preserve"> </w:t>
      </w:r>
      <w:r w:rsidRPr="00892E68">
        <w:rPr>
          <w:rFonts w:ascii="Arial" w:hAnsi="Arial" w:cs="Arial"/>
          <w:i/>
          <w:sz w:val="18"/>
          <w:szCs w:val="18"/>
        </w:rPr>
        <w:t>https://www.bls.gov/oes/current/naics3_312000.htm</w:t>
      </w:r>
      <w:r>
        <w:rPr>
          <w:rFonts w:ascii="Arial" w:hAnsi="Arial" w:cs="Arial"/>
          <w:sz w:val="18"/>
          <w:szCs w:val="18"/>
        </w:rPr>
        <w:t xml:space="preserve">. </w:t>
      </w:r>
    </w:p>
  </w:footnote>
  <w:footnote w:id="3">
    <w:p w:rsidR="005D367A" w:rsidRPr="00C009D7" w:rsidP="005D367A" w14:paraId="609B6DCC" w14:textId="2FB1117F">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a factor of 1.63 to account for benefit costs.  Per the most recent Office of Personnel Management (OPM) wage data, the </w:t>
      </w:r>
      <w:r w:rsidR="00AA35D7">
        <w:rPr>
          <w:rFonts w:ascii="Arial" w:hAnsi="Arial" w:cs="Arial"/>
          <w:sz w:val="18"/>
          <w:szCs w:val="18"/>
        </w:rPr>
        <w:t xml:space="preserve">per-hour </w:t>
      </w:r>
      <w:r w:rsidRPr="003D22B5">
        <w:rPr>
          <w:rFonts w:ascii="Arial" w:hAnsi="Arial" w:cs="Arial"/>
          <w:sz w:val="18"/>
          <w:szCs w:val="18"/>
        </w:rPr>
        <w:t xml:space="preserve">fully-loaded labor rates for the </w:t>
      </w:r>
      <w:r w:rsidR="002A2CA1">
        <w:rPr>
          <w:rFonts w:ascii="Arial" w:hAnsi="Arial" w:cs="Arial"/>
          <w:sz w:val="18"/>
          <w:szCs w:val="18"/>
        </w:rPr>
        <w:t>Washington, DC</w:t>
      </w:r>
      <w:r w:rsidRPr="003D22B5">
        <w:rPr>
          <w:rFonts w:ascii="Arial" w:hAnsi="Arial" w:cs="Arial"/>
          <w:sz w:val="18"/>
          <w:szCs w:val="18"/>
        </w:rPr>
        <w:t>, wage area are:  (1) GS–1</w:t>
      </w:r>
      <w:r>
        <w:rPr>
          <w:rFonts w:ascii="Arial" w:hAnsi="Arial" w:cs="Arial"/>
          <w:sz w:val="18"/>
          <w:szCs w:val="18"/>
        </w:rPr>
        <w:t>1</w:t>
      </w:r>
      <w:r w:rsidRPr="003D22B5">
        <w:rPr>
          <w:rFonts w:ascii="Arial" w:hAnsi="Arial" w:cs="Arial"/>
          <w:sz w:val="18"/>
          <w:szCs w:val="18"/>
        </w:rPr>
        <w:t>, step 5, employee = $</w:t>
      </w:r>
      <w:r w:rsidR="00AA35D7">
        <w:rPr>
          <w:rFonts w:ascii="Arial" w:hAnsi="Arial" w:cs="Arial"/>
          <w:sz w:val="18"/>
          <w:szCs w:val="18"/>
        </w:rPr>
        <w:t>73.25</w:t>
      </w:r>
      <w:r w:rsidR="00340302">
        <w:rPr>
          <w:rFonts w:ascii="Arial" w:hAnsi="Arial" w:cs="Arial"/>
          <w:sz w:val="18"/>
          <w:szCs w:val="18"/>
        </w:rPr>
        <w:t>,</w:t>
      </w:r>
      <w:r w:rsidRPr="003D22B5">
        <w:rPr>
          <w:rFonts w:ascii="Arial" w:hAnsi="Arial" w:cs="Arial"/>
          <w:sz w:val="18"/>
          <w:szCs w:val="18"/>
        </w:rPr>
        <w:t xml:space="preserve"> </w:t>
      </w:r>
      <w:r w:rsidR="00AA35D7">
        <w:rPr>
          <w:rFonts w:ascii="Arial" w:hAnsi="Arial" w:cs="Arial"/>
          <w:sz w:val="18"/>
          <w:szCs w:val="18"/>
        </w:rPr>
        <w:t>based on a wage of $44.94/hour</w:t>
      </w:r>
      <w:r>
        <w:rPr>
          <w:rFonts w:ascii="Arial" w:hAnsi="Arial" w:cs="Arial"/>
          <w:sz w:val="18"/>
          <w:szCs w:val="18"/>
        </w:rPr>
        <w:t xml:space="preserve">; and </w:t>
      </w:r>
      <w:r w:rsidRPr="0001273E">
        <w:rPr>
          <w:rFonts w:ascii="Arial" w:hAnsi="Arial" w:cs="Arial"/>
          <w:sz w:val="18"/>
          <w:szCs w:val="18"/>
        </w:rPr>
        <w:t>(</w:t>
      </w:r>
      <w:r w:rsidR="002A2CA1">
        <w:rPr>
          <w:rFonts w:ascii="Arial" w:hAnsi="Arial" w:cs="Arial"/>
          <w:sz w:val="18"/>
          <w:szCs w:val="18"/>
        </w:rPr>
        <w:t>2</w:t>
      </w:r>
      <w:r w:rsidRPr="0001273E">
        <w:rPr>
          <w:rFonts w:ascii="Arial" w:hAnsi="Arial" w:cs="Arial"/>
          <w:sz w:val="18"/>
          <w:szCs w:val="18"/>
        </w:rPr>
        <w:t>)</w:t>
      </w:r>
      <w:r w:rsidR="002A2CA1">
        <w:rPr>
          <w:rFonts w:ascii="Arial" w:hAnsi="Arial" w:cs="Arial"/>
          <w:sz w:val="18"/>
          <w:szCs w:val="18"/>
        </w:rPr>
        <w:t> </w:t>
      </w:r>
      <w:r w:rsidRPr="0001273E">
        <w:rPr>
          <w:rFonts w:ascii="Arial" w:hAnsi="Arial" w:cs="Arial"/>
          <w:sz w:val="18"/>
          <w:szCs w:val="18"/>
        </w:rPr>
        <w:t>GS–13, step 5 = $</w:t>
      </w:r>
      <w:r w:rsidR="00340302">
        <w:rPr>
          <w:rFonts w:ascii="Arial" w:hAnsi="Arial" w:cs="Arial"/>
          <w:sz w:val="18"/>
          <w:szCs w:val="18"/>
        </w:rPr>
        <w:t>104.42, based on a wage of $64.06/hour</w:t>
      </w:r>
      <w:r w:rsidRPr="003D22B5">
        <w:rPr>
          <w:rFonts w:ascii="Arial" w:hAnsi="Arial" w:cs="Arial"/>
          <w:sz w:val="18"/>
          <w:szCs w:val="18"/>
        </w:rPr>
        <w:t xml:space="preserve">.  See the OPM website at </w:t>
      </w:r>
      <w:r w:rsidRPr="002A2CA1" w:rsidR="002A2CA1">
        <w:rPr>
          <w:rFonts w:ascii="Arial" w:hAnsi="Arial" w:cs="Arial"/>
          <w:i/>
          <w:sz w:val="18"/>
          <w:szCs w:val="18"/>
        </w:rPr>
        <w:t>https://www.opm.gov/policy-data-oversight/pay-leave/salaries-wages/salary-tables/pdf/202</w:t>
      </w:r>
      <w:r w:rsidR="00AA35D7">
        <w:rPr>
          <w:rFonts w:ascii="Arial" w:hAnsi="Arial" w:cs="Arial"/>
          <w:i/>
          <w:sz w:val="18"/>
          <w:szCs w:val="18"/>
        </w:rPr>
        <w:t>4</w:t>
      </w:r>
      <w:r w:rsidRPr="002A2CA1" w:rsidR="002A2CA1">
        <w:rPr>
          <w:rFonts w:ascii="Arial" w:hAnsi="Arial" w:cs="Arial"/>
          <w:i/>
          <w:sz w:val="18"/>
          <w:szCs w:val="18"/>
        </w:rPr>
        <w:t>/DCB_h.pdf</w:t>
      </w:r>
      <w:r w:rsidR="002A2CA1">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76A" w:rsidRPr="007A5D4B" w:rsidP="007A5D4B" w14:paraId="2CAB199D" w14:textId="7B1F529B">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6C4AE4">
      <w:rPr>
        <w:rStyle w:val="PageNumber"/>
        <w:rFonts w:ascii="Arial" w:hAnsi="Arial" w:cs="Arial"/>
        <w:noProof/>
        <w:sz w:val="22"/>
        <w:szCs w:val="22"/>
      </w:rPr>
      <w:t>5</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176A" w:rsidRPr="007A5D4B" w:rsidP="007A5D4B" w14:paraId="3AB29392"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13997FF9"/>
    <w:multiLevelType w:val="hybridMultilevel"/>
    <w:tmpl w:val="933AC0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C84EA2"/>
    <w:multiLevelType w:val="hybridMultilevel"/>
    <w:tmpl w:val="DB24B3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AE5205"/>
    <w:multiLevelType w:val="hybridMultilevel"/>
    <w:tmpl w:val="E0CC70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62188820">
    <w:abstractNumId w:val="6"/>
  </w:num>
  <w:num w:numId="2" w16cid:durableId="1160536270">
    <w:abstractNumId w:val="2"/>
  </w:num>
  <w:num w:numId="3" w16cid:durableId="374356843">
    <w:abstractNumId w:val="1"/>
  </w:num>
  <w:num w:numId="4" w16cid:durableId="433983754">
    <w:abstractNumId w:val="7"/>
  </w:num>
  <w:num w:numId="5" w16cid:durableId="315845314">
    <w:abstractNumId w:val="4"/>
  </w:num>
  <w:num w:numId="6" w16cid:durableId="1469280420">
    <w:abstractNumId w:val="0"/>
  </w:num>
  <w:num w:numId="7" w16cid:durableId="1206677781">
    <w:abstractNumId w:val="3"/>
  </w:num>
  <w:num w:numId="8" w16cid:durableId="114763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3E53"/>
    <w:rsid w:val="0001273E"/>
    <w:rsid w:val="00012E43"/>
    <w:rsid w:val="00014CEB"/>
    <w:rsid w:val="000229E6"/>
    <w:rsid w:val="0003032C"/>
    <w:rsid w:val="00030CEB"/>
    <w:rsid w:val="000329F4"/>
    <w:rsid w:val="0004708F"/>
    <w:rsid w:val="000473AC"/>
    <w:rsid w:val="0004764C"/>
    <w:rsid w:val="00064ACD"/>
    <w:rsid w:val="00074898"/>
    <w:rsid w:val="00075AA1"/>
    <w:rsid w:val="000826EF"/>
    <w:rsid w:val="00090251"/>
    <w:rsid w:val="00095F53"/>
    <w:rsid w:val="000972DD"/>
    <w:rsid w:val="000A0E67"/>
    <w:rsid w:val="000A2E33"/>
    <w:rsid w:val="000A4E1A"/>
    <w:rsid w:val="000B3E08"/>
    <w:rsid w:val="000B6799"/>
    <w:rsid w:val="000D2738"/>
    <w:rsid w:val="000D6313"/>
    <w:rsid w:val="000E3AC4"/>
    <w:rsid w:val="000E425B"/>
    <w:rsid w:val="000F59E5"/>
    <w:rsid w:val="00101DE7"/>
    <w:rsid w:val="0013146D"/>
    <w:rsid w:val="001538F6"/>
    <w:rsid w:val="001608E4"/>
    <w:rsid w:val="00172A09"/>
    <w:rsid w:val="00186D62"/>
    <w:rsid w:val="001A04D2"/>
    <w:rsid w:val="001E368E"/>
    <w:rsid w:val="001E7BDE"/>
    <w:rsid w:val="001F2913"/>
    <w:rsid w:val="00207E00"/>
    <w:rsid w:val="0022156B"/>
    <w:rsid w:val="00226D5F"/>
    <w:rsid w:val="00227A8C"/>
    <w:rsid w:val="00250066"/>
    <w:rsid w:val="0025735F"/>
    <w:rsid w:val="00273CEE"/>
    <w:rsid w:val="00276081"/>
    <w:rsid w:val="0028159D"/>
    <w:rsid w:val="0028742C"/>
    <w:rsid w:val="002A2434"/>
    <w:rsid w:val="002A2CA1"/>
    <w:rsid w:val="002B47FB"/>
    <w:rsid w:val="002C5FFF"/>
    <w:rsid w:val="002D1324"/>
    <w:rsid w:val="002E6145"/>
    <w:rsid w:val="002E7559"/>
    <w:rsid w:val="003301DA"/>
    <w:rsid w:val="0033260C"/>
    <w:rsid w:val="00336A52"/>
    <w:rsid w:val="00340302"/>
    <w:rsid w:val="003741F7"/>
    <w:rsid w:val="00381FFC"/>
    <w:rsid w:val="0038747C"/>
    <w:rsid w:val="003A4DFA"/>
    <w:rsid w:val="003B3541"/>
    <w:rsid w:val="003B7C30"/>
    <w:rsid w:val="003C1FD2"/>
    <w:rsid w:val="003D22B5"/>
    <w:rsid w:val="003E5A0D"/>
    <w:rsid w:val="00403CE3"/>
    <w:rsid w:val="00406359"/>
    <w:rsid w:val="00416FCF"/>
    <w:rsid w:val="00431FD7"/>
    <w:rsid w:val="0044522E"/>
    <w:rsid w:val="00447B6B"/>
    <w:rsid w:val="004809A6"/>
    <w:rsid w:val="00481BD2"/>
    <w:rsid w:val="004A3DE5"/>
    <w:rsid w:val="004A5396"/>
    <w:rsid w:val="004C3724"/>
    <w:rsid w:val="004C7F54"/>
    <w:rsid w:val="004D086A"/>
    <w:rsid w:val="004D1808"/>
    <w:rsid w:val="004D3468"/>
    <w:rsid w:val="004D41BF"/>
    <w:rsid w:val="004D4299"/>
    <w:rsid w:val="004E2C89"/>
    <w:rsid w:val="004F62C7"/>
    <w:rsid w:val="0050368E"/>
    <w:rsid w:val="005278E4"/>
    <w:rsid w:val="00536D29"/>
    <w:rsid w:val="0056503C"/>
    <w:rsid w:val="00597C08"/>
    <w:rsid w:val="005A544C"/>
    <w:rsid w:val="005A6AF2"/>
    <w:rsid w:val="005C282B"/>
    <w:rsid w:val="005C45FD"/>
    <w:rsid w:val="005D367A"/>
    <w:rsid w:val="005E4F99"/>
    <w:rsid w:val="005E4F9B"/>
    <w:rsid w:val="006106F2"/>
    <w:rsid w:val="006244FF"/>
    <w:rsid w:val="00631780"/>
    <w:rsid w:val="00631967"/>
    <w:rsid w:val="0065781E"/>
    <w:rsid w:val="00663972"/>
    <w:rsid w:val="0069718A"/>
    <w:rsid w:val="00697D19"/>
    <w:rsid w:val="006A35C6"/>
    <w:rsid w:val="006C176A"/>
    <w:rsid w:val="006C4AE4"/>
    <w:rsid w:val="006E3278"/>
    <w:rsid w:val="006F2142"/>
    <w:rsid w:val="00701D3E"/>
    <w:rsid w:val="00702570"/>
    <w:rsid w:val="00721C76"/>
    <w:rsid w:val="00734B25"/>
    <w:rsid w:val="00736DD6"/>
    <w:rsid w:val="00786402"/>
    <w:rsid w:val="007956C4"/>
    <w:rsid w:val="007A5D4B"/>
    <w:rsid w:val="007B4E08"/>
    <w:rsid w:val="007C2F67"/>
    <w:rsid w:val="007C4E48"/>
    <w:rsid w:val="007D5727"/>
    <w:rsid w:val="007E319C"/>
    <w:rsid w:val="007E57D5"/>
    <w:rsid w:val="007F40E3"/>
    <w:rsid w:val="00804B0C"/>
    <w:rsid w:val="00811A04"/>
    <w:rsid w:val="00827956"/>
    <w:rsid w:val="00827992"/>
    <w:rsid w:val="00841F65"/>
    <w:rsid w:val="00842524"/>
    <w:rsid w:val="0084640C"/>
    <w:rsid w:val="00851169"/>
    <w:rsid w:val="00853E85"/>
    <w:rsid w:val="008603B9"/>
    <w:rsid w:val="00865FAC"/>
    <w:rsid w:val="00874C51"/>
    <w:rsid w:val="00892E68"/>
    <w:rsid w:val="008931DC"/>
    <w:rsid w:val="008A2545"/>
    <w:rsid w:val="008A6C79"/>
    <w:rsid w:val="008B146B"/>
    <w:rsid w:val="008C399F"/>
    <w:rsid w:val="0095268E"/>
    <w:rsid w:val="0096457D"/>
    <w:rsid w:val="00965E7F"/>
    <w:rsid w:val="00971644"/>
    <w:rsid w:val="0097430D"/>
    <w:rsid w:val="00974AE8"/>
    <w:rsid w:val="00987432"/>
    <w:rsid w:val="00990656"/>
    <w:rsid w:val="009A1CD5"/>
    <w:rsid w:val="009A6532"/>
    <w:rsid w:val="009E4E4C"/>
    <w:rsid w:val="00A17E04"/>
    <w:rsid w:val="00A201BF"/>
    <w:rsid w:val="00A5167D"/>
    <w:rsid w:val="00A5320B"/>
    <w:rsid w:val="00A70A07"/>
    <w:rsid w:val="00AA35D7"/>
    <w:rsid w:val="00AA3F8F"/>
    <w:rsid w:val="00AA6881"/>
    <w:rsid w:val="00AB6F42"/>
    <w:rsid w:val="00AC686F"/>
    <w:rsid w:val="00AE22FE"/>
    <w:rsid w:val="00AF060A"/>
    <w:rsid w:val="00AF1157"/>
    <w:rsid w:val="00B06EE5"/>
    <w:rsid w:val="00B1047F"/>
    <w:rsid w:val="00B21D2A"/>
    <w:rsid w:val="00B23FF6"/>
    <w:rsid w:val="00B31E02"/>
    <w:rsid w:val="00B44122"/>
    <w:rsid w:val="00B508E9"/>
    <w:rsid w:val="00B513E6"/>
    <w:rsid w:val="00B65618"/>
    <w:rsid w:val="00B72AC4"/>
    <w:rsid w:val="00B74F2C"/>
    <w:rsid w:val="00B95061"/>
    <w:rsid w:val="00BA1A21"/>
    <w:rsid w:val="00BA20F1"/>
    <w:rsid w:val="00BB0C65"/>
    <w:rsid w:val="00BB67E5"/>
    <w:rsid w:val="00BC1D1F"/>
    <w:rsid w:val="00BD3333"/>
    <w:rsid w:val="00BE3C19"/>
    <w:rsid w:val="00C009D7"/>
    <w:rsid w:val="00C1057B"/>
    <w:rsid w:val="00C1362D"/>
    <w:rsid w:val="00C271EA"/>
    <w:rsid w:val="00C33FFB"/>
    <w:rsid w:val="00C71838"/>
    <w:rsid w:val="00CA07BF"/>
    <w:rsid w:val="00CA7E3C"/>
    <w:rsid w:val="00CB2533"/>
    <w:rsid w:val="00CC2DE7"/>
    <w:rsid w:val="00CD21EC"/>
    <w:rsid w:val="00CF1C87"/>
    <w:rsid w:val="00CF2166"/>
    <w:rsid w:val="00D004D6"/>
    <w:rsid w:val="00D01AA2"/>
    <w:rsid w:val="00D03A61"/>
    <w:rsid w:val="00D059BB"/>
    <w:rsid w:val="00D33228"/>
    <w:rsid w:val="00D414AB"/>
    <w:rsid w:val="00D47D3A"/>
    <w:rsid w:val="00D50640"/>
    <w:rsid w:val="00D56B01"/>
    <w:rsid w:val="00D6325C"/>
    <w:rsid w:val="00D656EA"/>
    <w:rsid w:val="00D73D2D"/>
    <w:rsid w:val="00D742EE"/>
    <w:rsid w:val="00D76DF0"/>
    <w:rsid w:val="00D77905"/>
    <w:rsid w:val="00D81AD4"/>
    <w:rsid w:val="00D85E10"/>
    <w:rsid w:val="00DA29D8"/>
    <w:rsid w:val="00DA4B98"/>
    <w:rsid w:val="00DD7E42"/>
    <w:rsid w:val="00DF5F98"/>
    <w:rsid w:val="00E115FD"/>
    <w:rsid w:val="00E323CD"/>
    <w:rsid w:val="00E414F9"/>
    <w:rsid w:val="00E41ED9"/>
    <w:rsid w:val="00E45CBA"/>
    <w:rsid w:val="00E51AD7"/>
    <w:rsid w:val="00E545BD"/>
    <w:rsid w:val="00E566E8"/>
    <w:rsid w:val="00E56E11"/>
    <w:rsid w:val="00E86B1B"/>
    <w:rsid w:val="00E942AE"/>
    <w:rsid w:val="00EA24B6"/>
    <w:rsid w:val="00EC4FC3"/>
    <w:rsid w:val="00ED2E4D"/>
    <w:rsid w:val="00ED4A03"/>
    <w:rsid w:val="00ED7233"/>
    <w:rsid w:val="00EE4237"/>
    <w:rsid w:val="00F03208"/>
    <w:rsid w:val="00F058FA"/>
    <w:rsid w:val="00F10C50"/>
    <w:rsid w:val="00F14BAC"/>
    <w:rsid w:val="00F30C53"/>
    <w:rsid w:val="00F618E0"/>
    <w:rsid w:val="00F95A6D"/>
    <w:rsid w:val="00FA228E"/>
    <w:rsid w:val="00FA7039"/>
    <w:rsid w:val="00FD0E7D"/>
    <w:rsid w:val="00FD18EE"/>
    <w:rsid w:val="00FD3262"/>
    <w:rsid w:val="00FE0B69"/>
    <w:rsid w:val="00FE29D6"/>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25F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character" w:styleId="FootnoteReference">
    <w:name w:val="footnote reference"/>
    <w:basedOn w:val="DefaultParagraphFont"/>
    <w:uiPriority w:val="99"/>
    <w:rsid w:val="005D367A"/>
    <w:rPr>
      <w:vertAlign w:val="superscript"/>
    </w:rPr>
  </w:style>
  <w:style w:type="table" w:customStyle="1" w:styleId="TableGrid11">
    <w:name w:val="Table Grid11"/>
    <w:basedOn w:val="TableNormal"/>
    <w:next w:val="TableGrid"/>
    <w:uiPriority w:val="39"/>
    <w:rsid w:val="005D36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36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2E68"/>
    <w:pPr>
      <w:ind w:left="720"/>
      <w:contextualSpacing/>
    </w:pPr>
  </w:style>
  <w:style w:type="character" w:styleId="UnresolvedMention">
    <w:name w:val="Unresolved Mention"/>
    <w:basedOn w:val="DefaultParagraphFont"/>
    <w:uiPriority w:val="99"/>
    <w:semiHidden/>
    <w:unhideWhenUsed/>
    <w:rsid w:val="002C5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2269</Words>
  <Characters>13188</Characters>
  <Application>Microsoft Office Word</Application>
  <DocSecurity>0</DocSecurity>
  <Lines>109</Lines>
  <Paragraphs>30</Paragraphs>
  <ScaleCrop>false</ScaleCrop>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2024-12-04T21:33:00Z</dcterms:created>
  <dcterms:modified xsi:type="dcterms:W3CDTF">2024-12-04T21:33:00Z</dcterms:modified>
</cp:coreProperties>
</file>