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4D574D" w:rsidP="009E3D48" w14:paraId="51B27533" w14:textId="77777777">
      <w:pPr>
        <w:jc w:val="center"/>
        <w:rPr>
          <w:rFonts w:ascii="Arial" w:hAnsi="Arial" w:cs="Arial"/>
          <w:b/>
          <w:bCs/>
          <w:szCs w:val="24"/>
        </w:rPr>
      </w:pPr>
      <w:r w:rsidRPr="004D574D">
        <w:rPr>
          <w:rFonts w:ascii="Arial" w:hAnsi="Arial" w:cs="Arial"/>
          <w:b/>
          <w:bCs/>
          <w:szCs w:val="24"/>
        </w:rPr>
        <w:t>SUPPORTING STATEMENT</w:t>
      </w:r>
    </w:p>
    <w:p w:rsidR="00A24315" w:rsidRPr="004D574D" w:rsidP="009E3D48" w14:paraId="4646F613" w14:textId="6C5585FD">
      <w:pPr>
        <w:jc w:val="center"/>
        <w:rPr>
          <w:rFonts w:ascii="Arial" w:hAnsi="Arial" w:cs="Arial"/>
          <w:szCs w:val="24"/>
        </w:rPr>
      </w:pPr>
      <w:r w:rsidRPr="004D574D">
        <w:rPr>
          <w:rFonts w:ascii="Arial" w:hAnsi="Arial" w:cs="Arial"/>
          <w:szCs w:val="24"/>
        </w:rPr>
        <w:t>Internal Revenue Service</w:t>
      </w:r>
      <w:r w:rsidR="00AF2B60">
        <w:rPr>
          <w:rFonts w:ascii="Arial" w:hAnsi="Arial" w:cs="Arial"/>
          <w:szCs w:val="24"/>
        </w:rPr>
        <w:t xml:space="preserve"> (IRS)</w:t>
      </w:r>
      <w:r w:rsidRPr="004D574D">
        <w:rPr>
          <w:rFonts w:ascii="Arial" w:hAnsi="Arial" w:cs="Arial"/>
          <w:szCs w:val="24"/>
        </w:rPr>
        <w:t xml:space="preserve"> </w:t>
      </w:r>
    </w:p>
    <w:p w:rsidR="009302A1" w:rsidRPr="004D574D" w:rsidP="009E3D48" w14:paraId="6122293C" w14:textId="48DAEB99">
      <w:pPr>
        <w:jc w:val="center"/>
        <w:rPr>
          <w:rFonts w:ascii="Arial" w:hAnsi="Arial" w:cs="Arial"/>
          <w:szCs w:val="24"/>
        </w:rPr>
      </w:pPr>
      <w:r>
        <w:rPr>
          <w:rFonts w:ascii="Arial" w:hAnsi="Arial" w:cs="Arial"/>
          <w:szCs w:val="24"/>
        </w:rPr>
        <w:t xml:space="preserve">Qualified Severance </w:t>
      </w:r>
    </w:p>
    <w:p w:rsidR="00F87A66" w:rsidRPr="004D574D" w:rsidP="009E3D48" w14:paraId="45E14AAF" w14:textId="02F7355F">
      <w:pPr>
        <w:jc w:val="center"/>
        <w:rPr>
          <w:rFonts w:ascii="Arial" w:hAnsi="Arial" w:cs="Arial"/>
          <w:b/>
          <w:bCs/>
          <w:szCs w:val="24"/>
        </w:rPr>
      </w:pPr>
      <w:r w:rsidRPr="004D574D">
        <w:rPr>
          <w:rFonts w:ascii="Arial" w:hAnsi="Arial" w:cs="Arial"/>
          <w:szCs w:val="24"/>
        </w:rPr>
        <w:t xml:space="preserve">OMB Control Number </w:t>
      </w:r>
      <w:r w:rsidRPr="004D574D">
        <w:rPr>
          <w:rFonts w:ascii="Arial" w:hAnsi="Arial" w:cs="Arial"/>
          <w:b/>
          <w:bCs/>
          <w:szCs w:val="24"/>
        </w:rPr>
        <w:t>1545-</w:t>
      </w:r>
      <w:r w:rsidR="00AB4DE7">
        <w:rPr>
          <w:rFonts w:ascii="Arial" w:hAnsi="Arial" w:cs="Arial"/>
          <w:b/>
          <w:bCs/>
          <w:szCs w:val="24"/>
        </w:rPr>
        <w:t>1902</w:t>
      </w:r>
    </w:p>
    <w:p w:rsidR="009E3D48" w:rsidRPr="004D574D" w:rsidP="009E3D48" w14:paraId="6EFAFEB4" w14:textId="77777777">
      <w:pPr>
        <w:rPr>
          <w:rFonts w:ascii="Arial" w:hAnsi="Arial" w:cs="Arial"/>
          <w:b/>
          <w:bCs/>
          <w:szCs w:val="24"/>
          <w:u w:val="single"/>
        </w:rPr>
      </w:pPr>
    </w:p>
    <w:p w:rsidR="009E3D48" w:rsidRPr="004D574D" w:rsidP="009E3D48" w14:paraId="2E0A2525"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CIRCUMSTANCES NECESSITATING COLLECTION OF INFORMATION </w:t>
      </w:r>
    </w:p>
    <w:p w:rsidR="00197CEF" w:rsidRPr="004D574D" w:rsidP="00197CEF" w14:paraId="563FC9B1" w14:textId="77777777">
      <w:pPr>
        <w:ind w:left="648" w:right="-72" w:hanging="720"/>
        <w:rPr>
          <w:rFonts w:ascii="Arial" w:hAnsi="Arial" w:cs="Arial"/>
          <w:b/>
          <w:szCs w:val="24"/>
          <w:u w:val="single"/>
        </w:rPr>
      </w:pPr>
      <w:r w:rsidRPr="004D574D">
        <w:rPr>
          <w:rFonts w:ascii="Arial" w:hAnsi="Arial" w:cs="Arial"/>
          <w:szCs w:val="24"/>
        </w:rPr>
        <w:t xml:space="preserve">    </w:t>
      </w:r>
      <w:r w:rsidRPr="004D574D">
        <w:rPr>
          <w:rFonts w:ascii="Arial" w:hAnsi="Arial" w:cs="Arial"/>
          <w:b/>
          <w:szCs w:val="24"/>
          <w:u w:val="single"/>
        </w:rPr>
        <w:t xml:space="preserve">  </w:t>
      </w:r>
    </w:p>
    <w:p w:rsidR="00AB4DE7" w:rsidP="00AB4DE7" w14:paraId="7DFA795B" w14:textId="500D1214">
      <w:pPr>
        <w:ind w:left="540"/>
        <w:rPr>
          <w:rFonts w:ascii="Arial" w:hAnsi="Arial" w:cs="Arial"/>
          <w:szCs w:val="24"/>
        </w:rPr>
      </w:pPr>
      <w:r w:rsidRPr="00AB4DE7">
        <w:rPr>
          <w:rFonts w:ascii="Arial" w:hAnsi="Arial" w:cs="Arial"/>
          <w:szCs w:val="24"/>
        </w:rPr>
        <w:t xml:space="preserve">Internal Revenue Code (IRC) section 2642(a)(3) provides that </w:t>
      </w:r>
      <w:r w:rsidR="00115335">
        <w:rPr>
          <w:rFonts w:ascii="Arial" w:hAnsi="Arial" w:cs="Arial"/>
          <w:szCs w:val="24"/>
        </w:rPr>
        <w:t>i</w:t>
      </w:r>
      <w:r w:rsidRPr="00115335" w:rsidR="00115335">
        <w:rPr>
          <w:rFonts w:ascii="Arial" w:hAnsi="Arial" w:cs="Arial"/>
          <w:szCs w:val="24"/>
        </w:rPr>
        <w:t>f a trust is divided in a qualified severance into two or more trusts, the separate trusts resulting from the severance will be treated as separate trusts for generation-skipping transfer (GST) tax purposes and the inclusion ratio of each new resulting trust may differ from the inclusion ratio of the original trust.</w:t>
      </w:r>
      <w:r w:rsidR="00FC50B3">
        <w:rPr>
          <w:rFonts w:ascii="Arial" w:hAnsi="Arial" w:cs="Arial"/>
          <w:szCs w:val="24"/>
        </w:rPr>
        <w:t xml:space="preserve"> IRC section 2654</w:t>
      </w:r>
      <w:r w:rsidR="00EB1C81">
        <w:rPr>
          <w:rFonts w:ascii="Arial" w:hAnsi="Arial" w:cs="Arial"/>
          <w:szCs w:val="24"/>
        </w:rPr>
        <w:t>(b)</w:t>
      </w:r>
      <w:r w:rsidR="00FC50B3">
        <w:rPr>
          <w:rFonts w:ascii="Arial" w:hAnsi="Arial" w:cs="Arial"/>
          <w:szCs w:val="24"/>
        </w:rPr>
        <w:t xml:space="preserve"> </w:t>
      </w:r>
      <w:r w:rsidR="00825872">
        <w:rPr>
          <w:rFonts w:ascii="Arial" w:hAnsi="Arial" w:cs="Arial"/>
          <w:szCs w:val="24"/>
        </w:rPr>
        <w:t>provides special rules for</w:t>
      </w:r>
      <w:r w:rsidR="00EB1C81">
        <w:rPr>
          <w:rFonts w:ascii="Arial" w:hAnsi="Arial" w:cs="Arial"/>
          <w:szCs w:val="24"/>
        </w:rPr>
        <w:t xml:space="preserve"> </w:t>
      </w:r>
      <w:r w:rsidR="00C45F7C">
        <w:rPr>
          <w:rFonts w:ascii="Arial" w:hAnsi="Arial" w:cs="Arial"/>
          <w:szCs w:val="24"/>
        </w:rPr>
        <w:t>certain trusts treated as separate trusts</w:t>
      </w:r>
      <w:r w:rsidR="00825872">
        <w:rPr>
          <w:rFonts w:ascii="Arial" w:hAnsi="Arial" w:cs="Arial"/>
          <w:szCs w:val="24"/>
        </w:rPr>
        <w:t>.</w:t>
      </w:r>
    </w:p>
    <w:p w:rsidR="00115335" w:rsidP="00AB4DE7" w14:paraId="69415C7F" w14:textId="77777777">
      <w:pPr>
        <w:ind w:left="540"/>
        <w:rPr>
          <w:rFonts w:ascii="Arial" w:hAnsi="Arial" w:cs="Arial"/>
          <w:szCs w:val="24"/>
        </w:rPr>
      </w:pPr>
    </w:p>
    <w:p w:rsidR="00197CEF" w:rsidP="00AB4DE7" w14:paraId="18A975C7" w14:textId="5CDF4F85">
      <w:pPr>
        <w:ind w:left="540"/>
        <w:rPr>
          <w:rFonts w:ascii="Arial" w:hAnsi="Arial" w:cs="Arial"/>
          <w:szCs w:val="24"/>
        </w:rPr>
      </w:pPr>
      <w:r w:rsidRPr="00AB4DE7">
        <w:rPr>
          <w:rFonts w:ascii="Arial" w:hAnsi="Arial" w:cs="Arial"/>
          <w:szCs w:val="24"/>
        </w:rPr>
        <w:t xml:space="preserve">A qualified severance is a division of a trust (other than a division described in </w:t>
      </w:r>
      <w:r>
        <w:rPr>
          <w:rFonts w:ascii="Arial" w:hAnsi="Arial" w:cs="Arial"/>
          <w:szCs w:val="24"/>
        </w:rPr>
        <w:t>section</w:t>
      </w:r>
      <w:r w:rsidRPr="00AB4DE7">
        <w:rPr>
          <w:rFonts w:ascii="Arial" w:hAnsi="Arial" w:cs="Arial"/>
          <w:szCs w:val="24"/>
        </w:rPr>
        <w:t xml:space="preserve"> 26.2654-1(b)) into two or more separate trusts that meet</w:t>
      </w:r>
      <w:r>
        <w:rPr>
          <w:rFonts w:ascii="Arial" w:hAnsi="Arial" w:cs="Arial"/>
          <w:szCs w:val="24"/>
        </w:rPr>
        <w:t xml:space="preserve"> the following </w:t>
      </w:r>
      <w:r w:rsidRPr="00AB4DE7">
        <w:rPr>
          <w:rFonts w:ascii="Arial" w:hAnsi="Arial" w:cs="Arial"/>
          <w:szCs w:val="24"/>
        </w:rPr>
        <w:t>requirements</w:t>
      </w:r>
      <w:r>
        <w:rPr>
          <w:rFonts w:ascii="Arial" w:hAnsi="Arial" w:cs="Arial"/>
          <w:szCs w:val="24"/>
        </w:rPr>
        <w:t>.</w:t>
      </w:r>
    </w:p>
    <w:p w:rsidR="00AB4DE7" w:rsidRPr="00AB4DE7" w:rsidP="00AB4DE7" w14:paraId="6EB998A6" w14:textId="3F8CA275">
      <w:pPr>
        <w:ind w:left="1260"/>
        <w:rPr>
          <w:rFonts w:ascii="Arial" w:hAnsi="Arial" w:cs="Arial"/>
          <w:szCs w:val="24"/>
        </w:rPr>
      </w:pPr>
      <w:r w:rsidRPr="00AB4DE7">
        <w:rPr>
          <w:rFonts w:ascii="Arial" w:hAnsi="Arial" w:cs="Arial"/>
          <w:szCs w:val="24"/>
        </w:rPr>
        <w:t>(1) The single trust is severed pursuant to the terms of the governing instrument, or pursuant to applicable local law.</w:t>
      </w:r>
    </w:p>
    <w:p w:rsidR="00AB4DE7" w:rsidRPr="00AB4DE7" w:rsidP="00AB4DE7" w14:paraId="6121F883" w14:textId="77777777">
      <w:pPr>
        <w:ind w:left="1260"/>
        <w:rPr>
          <w:rFonts w:ascii="Arial" w:hAnsi="Arial" w:cs="Arial"/>
          <w:szCs w:val="24"/>
        </w:rPr>
      </w:pPr>
    </w:p>
    <w:p w:rsidR="00AB4DE7" w:rsidRPr="00AB4DE7" w:rsidP="00AB4DE7" w14:paraId="6F479C1E" w14:textId="77777777">
      <w:pPr>
        <w:ind w:left="1260"/>
        <w:rPr>
          <w:rFonts w:ascii="Arial" w:hAnsi="Arial" w:cs="Arial"/>
          <w:szCs w:val="24"/>
        </w:rPr>
      </w:pPr>
      <w:r w:rsidRPr="00AB4DE7">
        <w:rPr>
          <w:rFonts w:ascii="Arial" w:hAnsi="Arial" w:cs="Arial"/>
          <w:szCs w:val="24"/>
        </w:rPr>
        <w:t>(2) The severance is effective under local law.</w:t>
      </w:r>
    </w:p>
    <w:p w:rsidR="00AB4DE7" w:rsidRPr="00AB4DE7" w:rsidP="00AB4DE7" w14:paraId="293D25A2" w14:textId="77777777">
      <w:pPr>
        <w:ind w:left="1260"/>
        <w:rPr>
          <w:rFonts w:ascii="Arial" w:hAnsi="Arial" w:cs="Arial"/>
          <w:szCs w:val="24"/>
        </w:rPr>
      </w:pPr>
    </w:p>
    <w:p w:rsidR="00AB4DE7" w:rsidRPr="00AB4DE7" w:rsidP="00AB4DE7" w14:paraId="29D97FB6" w14:textId="4E6815C2">
      <w:pPr>
        <w:ind w:left="1260"/>
        <w:rPr>
          <w:rFonts w:ascii="Arial" w:hAnsi="Arial" w:cs="Arial"/>
          <w:szCs w:val="24"/>
        </w:rPr>
      </w:pPr>
      <w:r w:rsidRPr="00AB4DE7">
        <w:rPr>
          <w:rFonts w:ascii="Arial" w:hAnsi="Arial" w:cs="Arial"/>
          <w:szCs w:val="24"/>
        </w:rPr>
        <w:t>(3) The date of severance is either the date selected by the trustee as of which the trust assets are to be valued to determine the funding of the resulting trusts, or the court-imposed date of funding in the case of an order of the local court with jurisdiction over the trust ordering the trustee to fund the resulting trusts on or as of a specific date. For a date to satisfy the definition in the preceding sentence, however, the funding must be commenced immediately upon, and funding must occur within a re</w:t>
      </w:r>
      <w:r w:rsidRPr="00AB4DE7">
        <w:rPr>
          <w:rFonts w:ascii="Arial" w:hAnsi="Arial" w:cs="Arial"/>
          <w:szCs w:val="24"/>
        </w:rPr>
        <w:t>asonable time (but in no event more than 90 days) after, the selected valuation date.</w:t>
      </w:r>
    </w:p>
    <w:p w:rsidR="00AB4DE7" w:rsidRPr="00AB4DE7" w:rsidP="00AB4DE7" w14:paraId="18052403" w14:textId="77777777">
      <w:pPr>
        <w:ind w:left="1260"/>
        <w:rPr>
          <w:rFonts w:ascii="Arial" w:hAnsi="Arial" w:cs="Arial"/>
          <w:szCs w:val="24"/>
        </w:rPr>
      </w:pPr>
    </w:p>
    <w:p w:rsidR="00D3549B" w:rsidP="00D3549B" w14:paraId="7D2E5A29" w14:textId="7FB8921C">
      <w:pPr>
        <w:ind w:left="1260"/>
        <w:rPr>
          <w:rFonts w:ascii="Arial" w:hAnsi="Arial" w:cs="Arial"/>
          <w:szCs w:val="24"/>
        </w:rPr>
      </w:pPr>
      <w:r w:rsidRPr="00AB4DE7">
        <w:rPr>
          <w:rFonts w:ascii="Arial" w:hAnsi="Arial" w:cs="Arial"/>
          <w:szCs w:val="24"/>
        </w:rPr>
        <w:t>(4) The single trust (original trust) is severed on a fractional basis, such that each new trust (resulting trust) is funded with a fraction or percentage of the original trust, and the sum of those fractions or percentages is one or one hundred percent, respectively.</w:t>
      </w:r>
    </w:p>
    <w:p w:rsidR="00115335" w:rsidP="00AB4DE7" w14:paraId="7E3898C9" w14:textId="77777777">
      <w:pPr>
        <w:ind w:left="1260"/>
        <w:rPr>
          <w:rFonts w:ascii="Arial" w:hAnsi="Arial" w:cs="Arial"/>
          <w:szCs w:val="24"/>
        </w:rPr>
      </w:pPr>
    </w:p>
    <w:p w:rsidR="00115335" w:rsidP="00115335" w14:paraId="28D3508B" w14:textId="1DAADAEB">
      <w:pPr>
        <w:ind w:left="540"/>
        <w:rPr>
          <w:rFonts w:ascii="Arial" w:hAnsi="Arial" w:cs="Arial"/>
          <w:szCs w:val="24"/>
        </w:rPr>
      </w:pPr>
      <w:r>
        <w:rPr>
          <w:rFonts w:ascii="Arial" w:hAnsi="Arial" w:cs="Arial"/>
          <w:szCs w:val="24"/>
        </w:rPr>
        <w:t xml:space="preserve">TD 9438 </w:t>
      </w:r>
      <w:r w:rsidRPr="00115335">
        <w:rPr>
          <w:rFonts w:ascii="Arial" w:hAnsi="Arial" w:cs="Arial"/>
          <w:szCs w:val="24"/>
        </w:rPr>
        <w:t>contains</w:t>
      </w:r>
      <w:r>
        <w:rPr>
          <w:rFonts w:ascii="Arial" w:hAnsi="Arial" w:cs="Arial"/>
          <w:szCs w:val="24"/>
        </w:rPr>
        <w:t xml:space="preserve"> </w:t>
      </w:r>
      <w:r w:rsidRPr="00115335">
        <w:rPr>
          <w:rFonts w:ascii="Arial" w:hAnsi="Arial" w:cs="Arial"/>
          <w:szCs w:val="24"/>
        </w:rPr>
        <w:t>final regulations providing guidance regarding</w:t>
      </w:r>
      <w:r>
        <w:rPr>
          <w:rFonts w:ascii="Arial" w:hAnsi="Arial" w:cs="Arial"/>
          <w:szCs w:val="24"/>
        </w:rPr>
        <w:t xml:space="preserve"> </w:t>
      </w:r>
      <w:r w:rsidRPr="00115335">
        <w:rPr>
          <w:rFonts w:ascii="Arial" w:hAnsi="Arial" w:cs="Arial"/>
          <w:szCs w:val="24"/>
        </w:rPr>
        <w:t>the qualified severance of a trust</w:t>
      </w:r>
      <w:r>
        <w:rPr>
          <w:rFonts w:ascii="Arial" w:hAnsi="Arial" w:cs="Arial"/>
          <w:szCs w:val="24"/>
        </w:rPr>
        <w:t xml:space="preserve"> </w:t>
      </w:r>
      <w:r w:rsidRPr="00115335">
        <w:rPr>
          <w:rFonts w:ascii="Arial" w:hAnsi="Arial" w:cs="Arial"/>
          <w:szCs w:val="24"/>
        </w:rPr>
        <w:t>for generation-skipping transfer (GST)</w:t>
      </w:r>
      <w:r>
        <w:rPr>
          <w:rFonts w:ascii="Arial" w:hAnsi="Arial" w:cs="Arial"/>
          <w:szCs w:val="24"/>
        </w:rPr>
        <w:t xml:space="preserve"> </w:t>
      </w:r>
      <w:r w:rsidRPr="00115335">
        <w:rPr>
          <w:rFonts w:ascii="Arial" w:hAnsi="Arial" w:cs="Arial"/>
          <w:szCs w:val="24"/>
        </w:rPr>
        <w:t>tax purposes under section 2642(a)(3) of</w:t>
      </w:r>
      <w:r>
        <w:rPr>
          <w:rFonts w:ascii="Arial" w:hAnsi="Arial" w:cs="Arial"/>
          <w:szCs w:val="24"/>
        </w:rPr>
        <w:t xml:space="preserve"> </w:t>
      </w:r>
      <w:r w:rsidRPr="00115335">
        <w:rPr>
          <w:rFonts w:ascii="Arial" w:hAnsi="Arial" w:cs="Arial"/>
          <w:szCs w:val="24"/>
        </w:rPr>
        <w:t>the Internal Revenue Code (Code), which</w:t>
      </w:r>
      <w:r>
        <w:rPr>
          <w:rFonts w:ascii="Arial" w:hAnsi="Arial" w:cs="Arial"/>
          <w:szCs w:val="24"/>
        </w:rPr>
        <w:t xml:space="preserve"> </w:t>
      </w:r>
      <w:r w:rsidRPr="00115335">
        <w:rPr>
          <w:rFonts w:ascii="Arial" w:hAnsi="Arial" w:cs="Arial"/>
          <w:szCs w:val="24"/>
        </w:rPr>
        <w:t>was added to the Code by the Economic</w:t>
      </w:r>
      <w:r>
        <w:rPr>
          <w:rFonts w:ascii="Arial" w:hAnsi="Arial" w:cs="Arial"/>
          <w:szCs w:val="24"/>
        </w:rPr>
        <w:t xml:space="preserve"> </w:t>
      </w:r>
      <w:r w:rsidRPr="00115335">
        <w:rPr>
          <w:rFonts w:ascii="Arial" w:hAnsi="Arial" w:cs="Arial"/>
          <w:szCs w:val="24"/>
        </w:rPr>
        <w:t>Growth and Tax Relief Reconciliation Act</w:t>
      </w:r>
      <w:r>
        <w:rPr>
          <w:rFonts w:ascii="Arial" w:hAnsi="Arial" w:cs="Arial"/>
          <w:szCs w:val="24"/>
        </w:rPr>
        <w:t xml:space="preserve"> </w:t>
      </w:r>
      <w:r w:rsidRPr="00115335">
        <w:rPr>
          <w:rFonts w:ascii="Arial" w:hAnsi="Arial" w:cs="Arial"/>
          <w:szCs w:val="24"/>
        </w:rPr>
        <w:t>of 2001 (EGTRRA).</w:t>
      </w:r>
    </w:p>
    <w:p w:rsidR="00115335" w:rsidP="00115335" w14:paraId="48C89417" w14:textId="77777777">
      <w:pPr>
        <w:ind w:left="540"/>
        <w:rPr>
          <w:rFonts w:ascii="Arial" w:hAnsi="Arial" w:cs="Arial"/>
          <w:szCs w:val="24"/>
        </w:rPr>
      </w:pPr>
    </w:p>
    <w:p w:rsidR="00115335" w:rsidP="00115335" w14:paraId="14962F9E" w14:textId="718B7872">
      <w:pPr>
        <w:ind w:left="540"/>
        <w:rPr>
          <w:rFonts w:ascii="Arial" w:hAnsi="Arial" w:cs="Arial"/>
          <w:szCs w:val="24"/>
        </w:rPr>
      </w:pPr>
      <w:r>
        <w:rPr>
          <w:rFonts w:ascii="Arial" w:hAnsi="Arial" w:cs="Arial"/>
          <w:szCs w:val="24"/>
        </w:rPr>
        <w:t xml:space="preserve">TD 9421 </w:t>
      </w:r>
      <w:r w:rsidRPr="00115335">
        <w:rPr>
          <w:rFonts w:ascii="Arial" w:hAnsi="Arial" w:cs="Arial"/>
          <w:szCs w:val="24"/>
        </w:rPr>
        <w:t>contains final</w:t>
      </w:r>
      <w:r>
        <w:rPr>
          <w:rFonts w:ascii="Arial" w:hAnsi="Arial" w:cs="Arial"/>
          <w:szCs w:val="24"/>
        </w:rPr>
        <w:t xml:space="preserve"> </w:t>
      </w:r>
      <w:r w:rsidRPr="00115335">
        <w:rPr>
          <w:rFonts w:ascii="Arial" w:hAnsi="Arial" w:cs="Arial"/>
          <w:szCs w:val="24"/>
        </w:rPr>
        <w:t>regulations providing guidance</w:t>
      </w:r>
      <w:r>
        <w:rPr>
          <w:rFonts w:ascii="Arial" w:hAnsi="Arial" w:cs="Arial"/>
          <w:szCs w:val="24"/>
        </w:rPr>
        <w:t xml:space="preserve"> </w:t>
      </w:r>
      <w:r w:rsidRPr="00115335">
        <w:rPr>
          <w:rFonts w:ascii="Arial" w:hAnsi="Arial" w:cs="Arial"/>
          <w:szCs w:val="24"/>
        </w:rPr>
        <w:t>regarding the generation-skipping</w:t>
      </w:r>
      <w:r>
        <w:rPr>
          <w:rFonts w:ascii="Arial" w:hAnsi="Arial" w:cs="Arial"/>
          <w:szCs w:val="24"/>
        </w:rPr>
        <w:t xml:space="preserve"> </w:t>
      </w:r>
      <w:r w:rsidRPr="00115335">
        <w:rPr>
          <w:rFonts w:ascii="Arial" w:hAnsi="Arial" w:cs="Arial"/>
          <w:szCs w:val="24"/>
        </w:rPr>
        <w:t>transfer (GST) tax consequences of the</w:t>
      </w:r>
      <w:r>
        <w:rPr>
          <w:rFonts w:ascii="Arial" w:hAnsi="Arial" w:cs="Arial"/>
          <w:szCs w:val="24"/>
        </w:rPr>
        <w:t xml:space="preserve"> </w:t>
      </w:r>
      <w:r w:rsidRPr="00115335">
        <w:rPr>
          <w:rFonts w:ascii="Arial" w:hAnsi="Arial" w:cs="Arial"/>
          <w:szCs w:val="24"/>
        </w:rPr>
        <w:t>severance of a trust in a manner that is</w:t>
      </w:r>
      <w:r>
        <w:rPr>
          <w:rFonts w:ascii="Arial" w:hAnsi="Arial" w:cs="Arial"/>
          <w:szCs w:val="24"/>
        </w:rPr>
        <w:t xml:space="preserve"> </w:t>
      </w:r>
      <w:r w:rsidRPr="00115335">
        <w:rPr>
          <w:rFonts w:ascii="Arial" w:hAnsi="Arial" w:cs="Arial"/>
          <w:szCs w:val="24"/>
        </w:rPr>
        <w:t>effective under state law, but that does</w:t>
      </w:r>
      <w:r>
        <w:rPr>
          <w:rFonts w:ascii="Arial" w:hAnsi="Arial" w:cs="Arial"/>
          <w:szCs w:val="24"/>
        </w:rPr>
        <w:t xml:space="preserve"> </w:t>
      </w:r>
      <w:r w:rsidRPr="00115335">
        <w:rPr>
          <w:rFonts w:ascii="Arial" w:hAnsi="Arial" w:cs="Arial"/>
          <w:szCs w:val="24"/>
        </w:rPr>
        <w:t xml:space="preserve">not meet the requirements of a </w:t>
      </w:r>
      <w:r w:rsidRPr="00115335">
        <w:rPr>
          <w:rFonts w:ascii="Arial" w:hAnsi="Arial" w:cs="Arial"/>
          <w:szCs w:val="24"/>
        </w:rPr>
        <w:t>qualified</w:t>
      </w:r>
      <w:r>
        <w:rPr>
          <w:rFonts w:ascii="Arial" w:hAnsi="Arial" w:cs="Arial"/>
          <w:szCs w:val="24"/>
        </w:rPr>
        <w:t xml:space="preserve"> </w:t>
      </w:r>
      <w:r w:rsidRPr="00115335">
        <w:rPr>
          <w:rFonts w:ascii="Arial" w:hAnsi="Arial" w:cs="Arial"/>
          <w:szCs w:val="24"/>
        </w:rPr>
        <w:t>severance under section 2642(a)(3) of</w:t>
      </w:r>
      <w:r>
        <w:rPr>
          <w:rFonts w:ascii="Arial" w:hAnsi="Arial" w:cs="Arial"/>
          <w:szCs w:val="24"/>
        </w:rPr>
        <w:t xml:space="preserve"> </w:t>
      </w:r>
      <w:r w:rsidRPr="00115335">
        <w:rPr>
          <w:rFonts w:ascii="Arial" w:hAnsi="Arial" w:cs="Arial"/>
          <w:szCs w:val="24"/>
        </w:rPr>
        <w:t>the Internal Revenue Code (Code).</w:t>
      </w:r>
      <w:r>
        <w:rPr>
          <w:rFonts w:ascii="Arial" w:hAnsi="Arial" w:cs="Arial"/>
          <w:szCs w:val="24"/>
        </w:rPr>
        <w:t xml:space="preserve"> </w:t>
      </w:r>
    </w:p>
    <w:p w:rsidR="00115335" w:rsidP="00115335" w14:paraId="12B6933C" w14:textId="77777777">
      <w:pPr>
        <w:ind w:left="540"/>
        <w:rPr>
          <w:rFonts w:ascii="Arial" w:hAnsi="Arial" w:cs="Arial"/>
          <w:szCs w:val="24"/>
        </w:rPr>
      </w:pPr>
    </w:p>
    <w:p w:rsidR="00D24B07" w:rsidP="00115335" w14:paraId="739E1ABE" w14:textId="522901A2">
      <w:pPr>
        <w:ind w:left="540"/>
        <w:rPr>
          <w:rFonts w:ascii="Arial" w:hAnsi="Arial" w:cs="Arial"/>
          <w:szCs w:val="24"/>
        </w:rPr>
      </w:pPr>
      <w:r>
        <w:rPr>
          <w:rFonts w:ascii="Arial" w:hAnsi="Arial" w:cs="Arial"/>
          <w:szCs w:val="24"/>
        </w:rPr>
        <w:t>26 CFR 26.264</w:t>
      </w:r>
      <w:r w:rsidR="00ED58B6">
        <w:rPr>
          <w:rFonts w:ascii="Arial" w:hAnsi="Arial" w:cs="Arial"/>
          <w:szCs w:val="24"/>
        </w:rPr>
        <w:t xml:space="preserve">2-6(e) requests that filers use Form 706-GS(T) to report a qualified severance, by writing “Qualified Severance at the top of the form and attaching a Notice of the Qualified Severance. </w:t>
      </w:r>
    </w:p>
    <w:p w:rsidR="00D24B07" w:rsidP="00115335" w14:paraId="3FE9E7ED" w14:textId="77777777">
      <w:pPr>
        <w:ind w:left="540"/>
        <w:rPr>
          <w:rFonts w:ascii="Arial" w:hAnsi="Arial" w:cs="Arial"/>
          <w:szCs w:val="24"/>
        </w:rPr>
      </w:pPr>
    </w:p>
    <w:p w:rsidR="00E545D7" w:rsidP="007241DE" w14:paraId="740134AA" w14:textId="61B1A71A">
      <w:pPr>
        <w:ind w:left="540"/>
        <w:rPr>
          <w:rFonts w:ascii="Arial" w:hAnsi="Arial" w:cs="Arial"/>
          <w:szCs w:val="24"/>
        </w:rPr>
      </w:pPr>
      <w:r>
        <w:rPr>
          <w:rFonts w:ascii="Arial" w:hAnsi="Arial" w:cs="Arial"/>
          <w:szCs w:val="24"/>
        </w:rPr>
        <w:t xml:space="preserve">26 CFR </w:t>
      </w:r>
      <w:r w:rsidR="00E00D8A">
        <w:rPr>
          <w:rFonts w:ascii="Arial" w:hAnsi="Arial" w:cs="Arial"/>
          <w:szCs w:val="24"/>
        </w:rPr>
        <w:t>26.</w:t>
      </w:r>
      <w:r>
        <w:rPr>
          <w:rFonts w:ascii="Arial" w:hAnsi="Arial" w:cs="Arial"/>
          <w:szCs w:val="24"/>
        </w:rPr>
        <w:t xml:space="preserve">2654-1(b)(2) </w:t>
      </w:r>
      <w:r w:rsidR="00EC41D4">
        <w:rPr>
          <w:rFonts w:ascii="Arial" w:hAnsi="Arial" w:cs="Arial"/>
          <w:szCs w:val="24"/>
        </w:rPr>
        <w:t xml:space="preserve">provides a special rule that if a court order severing the trust has not been issued at the time of the Federal estate tax return is filed, the executor must indicate on a statement attached to the return that a proceeding has commenced to sever the trust. </w:t>
      </w:r>
      <w:r w:rsidR="00A806D2">
        <w:rPr>
          <w:rFonts w:ascii="Arial" w:hAnsi="Arial" w:cs="Arial"/>
          <w:szCs w:val="24"/>
        </w:rPr>
        <w:t xml:space="preserve"> A copy of the petition or instrument used must be attached to the return. </w:t>
      </w:r>
    </w:p>
    <w:p w:rsidR="00D3549B" w:rsidP="00115335" w14:paraId="109A9193" w14:textId="77777777">
      <w:pPr>
        <w:ind w:left="540"/>
        <w:rPr>
          <w:rFonts w:ascii="Arial" w:hAnsi="Arial" w:cs="Arial"/>
          <w:szCs w:val="24"/>
        </w:rPr>
      </w:pPr>
    </w:p>
    <w:p w:rsidR="00AB4DE7" w:rsidP="00AB4DE7" w14:paraId="3CCE8F0F" w14:textId="463B9848">
      <w:pPr>
        <w:ind w:left="540"/>
        <w:rPr>
          <w:rFonts w:ascii="Arial" w:hAnsi="Arial" w:cs="Arial"/>
          <w:szCs w:val="24"/>
        </w:rPr>
      </w:pPr>
      <w:r>
        <w:rPr>
          <w:rFonts w:ascii="Arial" w:hAnsi="Arial" w:cs="Arial"/>
          <w:szCs w:val="24"/>
        </w:rPr>
        <w:t xml:space="preserve">This </w:t>
      </w:r>
      <w:r w:rsidR="005916A4">
        <w:rPr>
          <w:rFonts w:ascii="Arial" w:hAnsi="Arial" w:cs="Arial"/>
          <w:szCs w:val="24"/>
        </w:rPr>
        <w:t xml:space="preserve">request is being submitted to more accurately account for the separate burdens relating to severances of trusts as well as, renewal purposes.    </w:t>
      </w:r>
    </w:p>
    <w:p w:rsidR="00AB4DE7" w:rsidRPr="004D574D" w:rsidP="00AB4DE7" w14:paraId="1DCBB062" w14:textId="77777777">
      <w:pPr>
        <w:ind w:left="540"/>
        <w:rPr>
          <w:rFonts w:ascii="Arial" w:hAnsi="Arial" w:cs="Arial"/>
          <w:szCs w:val="24"/>
        </w:rPr>
      </w:pPr>
    </w:p>
    <w:p w:rsidR="009E3D48" w:rsidRPr="004D574D" w:rsidP="009E3D48" w14:paraId="381808F1"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USE OF DATA </w:t>
      </w:r>
    </w:p>
    <w:p w:rsidR="009E3D48" w:rsidRPr="004D574D" w:rsidP="009E3D48" w14:paraId="0D1BE17E" w14:textId="77777777">
      <w:pPr>
        <w:tabs>
          <w:tab w:val="left" w:pos="540"/>
        </w:tabs>
        <w:ind w:left="540" w:hanging="540"/>
        <w:rPr>
          <w:rFonts w:ascii="Arial" w:hAnsi="Arial" w:cs="Arial"/>
          <w:szCs w:val="24"/>
        </w:rPr>
      </w:pPr>
    </w:p>
    <w:p w:rsidR="00E20185" w:rsidRPr="004D574D" w:rsidP="00E20185" w14:paraId="01A64D62" w14:textId="4410FD3F">
      <w:pPr>
        <w:ind w:left="540"/>
        <w:rPr>
          <w:rFonts w:ascii="Arial" w:eastAsia="Times New Roman" w:hAnsi="Arial" w:cs="Arial"/>
          <w:szCs w:val="24"/>
        </w:rPr>
      </w:pPr>
      <w:r w:rsidRPr="00CF3F4A">
        <w:rPr>
          <w:rFonts w:ascii="Arial" w:eastAsia="Times New Roman" w:hAnsi="Arial" w:cs="Arial"/>
          <w:szCs w:val="24"/>
        </w:rPr>
        <w:t xml:space="preserve">This information </w:t>
      </w:r>
      <w:r>
        <w:rPr>
          <w:rFonts w:ascii="Arial" w:eastAsia="Times New Roman" w:hAnsi="Arial" w:cs="Arial"/>
          <w:szCs w:val="24"/>
        </w:rPr>
        <w:t xml:space="preserve">requested in this collection </w:t>
      </w:r>
      <w:r w:rsidRPr="00CF3F4A">
        <w:rPr>
          <w:rFonts w:ascii="Arial" w:eastAsia="Times New Roman" w:hAnsi="Arial" w:cs="Arial"/>
          <w:szCs w:val="24"/>
        </w:rPr>
        <w:t>is used by the IRS to identify</w:t>
      </w:r>
      <w:r>
        <w:rPr>
          <w:rFonts w:ascii="Arial" w:eastAsia="Times New Roman" w:hAnsi="Arial" w:cs="Arial"/>
          <w:szCs w:val="24"/>
        </w:rPr>
        <w:t xml:space="preserve"> and evaluate the proper division of a qualified severance of a trust</w:t>
      </w:r>
      <w:r w:rsidRPr="004D574D" w:rsidR="002C7C4B">
        <w:rPr>
          <w:rFonts w:ascii="Arial" w:eastAsia="Times New Roman" w:hAnsi="Arial" w:cs="Arial"/>
          <w:szCs w:val="24"/>
        </w:rPr>
        <w:t>.</w:t>
      </w:r>
    </w:p>
    <w:p w:rsidR="00E20185" w:rsidRPr="004D574D" w:rsidP="00E20185" w14:paraId="63F35B53" w14:textId="77777777">
      <w:pPr>
        <w:widowControl w:val="0"/>
        <w:autoSpaceDE w:val="0"/>
        <w:autoSpaceDN w:val="0"/>
        <w:adjustRightInd w:val="0"/>
        <w:rPr>
          <w:rFonts w:ascii="Arial" w:eastAsia="Times New Roman" w:hAnsi="Arial" w:cs="Arial"/>
          <w:szCs w:val="24"/>
          <w:u w:val="single"/>
        </w:rPr>
      </w:pPr>
    </w:p>
    <w:p w:rsidR="009E3D48" w:rsidRPr="004D574D" w:rsidP="009E3D48" w14:paraId="0A037E3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USE OF IMPROVED INFORMATION TECHNOLOGY TO REDUCE BURDEN </w:t>
      </w:r>
    </w:p>
    <w:p w:rsidR="009E3D48" w:rsidRPr="004D574D" w:rsidP="009E3D48" w14:paraId="430E8522" w14:textId="77777777">
      <w:pPr>
        <w:tabs>
          <w:tab w:val="left" w:pos="540"/>
        </w:tabs>
        <w:ind w:left="540" w:hanging="540"/>
        <w:rPr>
          <w:rFonts w:ascii="Arial" w:hAnsi="Arial" w:cs="Arial"/>
          <w:szCs w:val="24"/>
        </w:rPr>
      </w:pPr>
    </w:p>
    <w:p w:rsidR="00CF3F4A" w:rsidRPr="00AF2B60" w:rsidP="00CF3F4A" w14:paraId="6E46BFE5" w14:textId="4499B884">
      <w:pPr>
        <w:ind w:left="540"/>
        <w:rPr>
          <w:rFonts w:ascii="Arial" w:hAnsi="Arial" w:cs="Arial"/>
          <w:i/>
          <w:iCs/>
          <w:szCs w:val="24"/>
        </w:rPr>
      </w:pPr>
      <w:r w:rsidRPr="00CF3F4A">
        <w:rPr>
          <w:rFonts w:ascii="Arial" w:hAnsi="Arial" w:cs="Arial"/>
          <w:szCs w:val="24"/>
        </w:rPr>
        <w:t xml:space="preserve">A qualified severance is reported by filing Form 706-GS(T), </w:t>
      </w:r>
      <w:r w:rsidRPr="00AF2B60">
        <w:rPr>
          <w:rFonts w:ascii="Arial" w:hAnsi="Arial" w:cs="Arial"/>
          <w:i/>
          <w:iCs/>
          <w:szCs w:val="24"/>
        </w:rPr>
        <w:t>Generation-</w:t>
      </w:r>
    </w:p>
    <w:p w:rsidR="00801000" w:rsidRPr="00AF2B60" w:rsidP="00AF2B60" w14:paraId="1F16522E" w14:textId="2C6B8174">
      <w:pPr>
        <w:ind w:left="540"/>
        <w:rPr>
          <w:rFonts w:ascii="Arial" w:hAnsi="Arial" w:cs="Arial"/>
          <w:szCs w:val="24"/>
        </w:rPr>
      </w:pPr>
      <w:r w:rsidRPr="00AF2B60">
        <w:rPr>
          <w:rFonts w:ascii="Arial" w:hAnsi="Arial" w:cs="Arial"/>
          <w:i/>
          <w:iCs/>
          <w:szCs w:val="24"/>
        </w:rPr>
        <w:t>Skipping Transfer Tax Return for Terminations</w:t>
      </w:r>
      <w:r w:rsidR="00AF2B60">
        <w:rPr>
          <w:rFonts w:ascii="Arial" w:hAnsi="Arial" w:cs="Arial"/>
          <w:i/>
          <w:iCs/>
          <w:szCs w:val="24"/>
        </w:rPr>
        <w:t xml:space="preserve">.  </w:t>
      </w:r>
      <w:r w:rsidR="00AF2B60">
        <w:rPr>
          <w:rFonts w:ascii="Arial" w:hAnsi="Arial" w:cs="Arial"/>
          <w:szCs w:val="24"/>
        </w:rPr>
        <w:t>The</w:t>
      </w:r>
      <w:r w:rsidRPr="00AF2B60" w:rsidR="00AF2B60">
        <w:rPr>
          <w:rFonts w:ascii="Arial" w:hAnsi="Arial" w:cs="Arial"/>
          <w:szCs w:val="24"/>
        </w:rPr>
        <w:t xml:space="preserve"> IRS requests that the filer write “Qualified Severance” at the top of the form and</w:t>
      </w:r>
      <w:r w:rsidR="00AF2B60">
        <w:rPr>
          <w:rFonts w:ascii="Arial" w:hAnsi="Arial" w:cs="Arial"/>
          <w:szCs w:val="24"/>
        </w:rPr>
        <w:t xml:space="preserve"> </w:t>
      </w:r>
      <w:r w:rsidRPr="00AF2B60" w:rsidR="00AF2B60">
        <w:rPr>
          <w:rFonts w:ascii="Arial" w:hAnsi="Arial" w:cs="Arial"/>
          <w:szCs w:val="24"/>
        </w:rPr>
        <w:t>attach a Notice of Qualified Severance</w:t>
      </w:r>
      <w:r w:rsidR="00AF2B60">
        <w:rPr>
          <w:rFonts w:ascii="Arial" w:hAnsi="Arial" w:cs="Arial"/>
          <w:szCs w:val="24"/>
        </w:rPr>
        <w:t xml:space="preserve">.  This form is not currently available for electronic filing.  Filing instructions are provided in the instructions to the form.   </w:t>
      </w:r>
    </w:p>
    <w:p w:rsidR="00E20185" w:rsidRPr="004D574D" w:rsidP="00801000" w14:paraId="365B669C" w14:textId="77777777">
      <w:pPr>
        <w:tabs>
          <w:tab w:val="left" w:pos="540"/>
        </w:tabs>
        <w:ind w:left="540" w:hanging="540"/>
        <w:rPr>
          <w:rFonts w:ascii="Arial" w:hAnsi="Arial" w:cs="Arial"/>
          <w:szCs w:val="24"/>
        </w:rPr>
      </w:pPr>
    </w:p>
    <w:p w:rsidR="009E3D48" w:rsidRPr="004D574D" w:rsidP="009E3D48" w14:paraId="6B7C357A"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EFFORTS TO IDENTIFY DUPLICATION </w:t>
      </w:r>
    </w:p>
    <w:p w:rsidR="009E3D48" w:rsidRPr="004D574D" w:rsidP="009E3D48" w14:paraId="171C7C1D" w14:textId="77777777">
      <w:pPr>
        <w:tabs>
          <w:tab w:val="left" w:pos="540"/>
        </w:tabs>
        <w:ind w:left="540" w:hanging="540"/>
        <w:rPr>
          <w:rFonts w:ascii="Arial" w:hAnsi="Arial" w:cs="Arial"/>
          <w:szCs w:val="24"/>
        </w:rPr>
      </w:pPr>
    </w:p>
    <w:p w:rsidR="009E3D48" w:rsidRPr="004D574D" w:rsidP="009E3D48" w14:paraId="3AD22280" w14:textId="77777777">
      <w:pPr>
        <w:tabs>
          <w:tab w:val="left" w:pos="540"/>
        </w:tabs>
        <w:ind w:left="540" w:hanging="540"/>
        <w:rPr>
          <w:rFonts w:ascii="Arial" w:hAnsi="Arial" w:cs="Arial"/>
          <w:szCs w:val="24"/>
        </w:rPr>
      </w:pPr>
      <w:r w:rsidRPr="004D574D">
        <w:rPr>
          <w:rFonts w:ascii="Arial" w:hAnsi="Arial" w:cs="Arial"/>
          <w:szCs w:val="24"/>
        </w:rPr>
        <w:tab/>
      </w:r>
      <w:r w:rsidRPr="004D574D" w:rsidR="00A24315">
        <w:rPr>
          <w:rFonts w:ascii="Arial" w:hAnsi="Arial" w:cs="Arial"/>
          <w:szCs w:val="24"/>
        </w:rPr>
        <w:t xml:space="preserve">The information obtained through this collection is unique and is not already available or use or adaption from another source.  </w:t>
      </w:r>
    </w:p>
    <w:p w:rsidR="009E3D48" w:rsidRPr="004D574D" w:rsidP="009E3D48" w14:paraId="2A826AA8" w14:textId="77777777">
      <w:pPr>
        <w:tabs>
          <w:tab w:val="left" w:pos="540"/>
        </w:tabs>
        <w:ind w:left="540" w:hanging="540"/>
        <w:rPr>
          <w:rFonts w:ascii="Arial" w:hAnsi="Arial" w:cs="Arial"/>
          <w:szCs w:val="24"/>
        </w:rPr>
      </w:pPr>
    </w:p>
    <w:p w:rsidR="009E3D48" w:rsidRPr="004D574D" w:rsidP="009E3D48" w14:paraId="684286E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METHODS TO MINIMIZE BURDEN ON SMALL BUSINESSES OR OTHER SMALL ENTITIES </w:t>
      </w:r>
    </w:p>
    <w:p w:rsidR="009E3D48" w:rsidRPr="004D574D" w:rsidP="009E3D48" w14:paraId="5B3EE80B" w14:textId="77777777">
      <w:pPr>
        <w:tabs>
          <w:tab w:val="left" w:pos="540"/>
        </w:tabs>
        <w:ind w:left="540" w:hanging="540"/>
        <w:rPr>
          <w:rFonts w:ascii="Arial" w:hAnsi="Arial" w:cs="Arial"/>
          <w:szCs w:val="24"/>
        </w:rPr>
      </w:pPr>
    </w:p>
    <w:p w:rsidR="0077138D" w:rsidRPr="004D574D" w:rsidP="0077138D" w14:paraId="4D9B4C1C" w14:textId="4C7D70E2">
      <w:pPr>
        <w:tabs>
          <w:tab w:val="left" w:pos="540"/>
        </w:tabs>
        <w:ind w:left="540" w:hanging="540"/>
        <w:rPr>
          <w:rFonts w:ascii="Arial" w:hAnsi="Arial" w:cs="Arial"/>
          <w:szCs w:val="24"/>
        </w:rPr>
      </w:pPr>
      <w:r w:rsidRPr="004D574D">
        <w:rPr>
          <w:rFonts w:ascii="Arial" w:hAnsi="Arial" w:cs="Arial"/>
          <w:szCs w:val="24"/>
        </w:rPr>
        <w:tab/>
      </w:r>
      <w:bookmarkStart w:id="0" w:name="_Hlk68439199"/>
      <w:bookmarkStart w:id="1" w:name="_Hlk70187874"/>
      <w:r w:rsidRPr="004D574D">
        <w:rPr>
          <w:rFonts w:ascii="Arial" w:hAnsi="Arial" w:cs="Arial"/>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w:t>
      </w:r>
      <w:bookmarkEnd w:id="0"/>
      <w:r w:rsidRPr="004D574D">
        <w:rPr>
          <w:rFonts w:ascii="Arial" w:hAnsi="Arial" w:cs="Arial"/>
          <w:szCs w:val="24"/>
        </w:rPr>
        <w:t>  This form can be accessed electronically, which further reduces any burden to small businesses</w:t>
      </w:r>
      <w:r w:rsidR="00AF2B60">
        <w:rPr>
          <w:rFonts w:ascii="Arial" w:hAnsi="Arial" w:cs="Arial"/>
          <w:szCs w:val="24"/>
        </w:rPr>
        <w:t xml:space="preserve"> or other small entities</w:t>
      </w:r>
      <w:r w:rsidRPr="004D574D">
        <w:rPr>
          <w:rFonts w:ascii="Arial" w:hAnsi="Arial" w:cs="Arial"/>
          <w:szCs w:val="24"/>
        </w:rPr>
        <w:t>.</w:t>
      </w:r>
    </w:p>
    <w:bookmarkEnd w:id="1"/>
    <w:p w:rsidR="009E3D48" w:rsidRPr="004D574D" w:rsidP="009E3D48" w14:paraId="4874FAAF" w14:textId="77777777">
      <w:pPr>
        <w:tabs>
          <w:tab w:val="left" w:pos="540"/>
        </w:tabs>
        <w:ind w:left="540" w:hanging="540"/>
        <w:rPr>
          <w:rFonts w:ascii="Arial" w:hAnsi="Arial" w:cs="Arial"/>
          <w:szCs w:val="24"/>
        </w:rPr>
      </w:pPr>
    </w:p>
    <w:p w:rsidR="009E3D48" w:rsidRPr="004D574D" w:rsidP="009E3D48" w14:paraId="4AC1E62A"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CONSEQUENCES OF LESS FREQUENT COLLECTION ON FEDERAL PROGRAMS OR POLICY ACTIVITIES </w:t>
      </w:r>
    </w:p>
    <w:p w:rsidR="009E3D48" w:rsidRPr="004D574D" w:rsidP="009E3D48" w14:paraId="0BA7A3E4" w14:textId="77777777">
      <w:pPr>
        <w:tabs>
          <w:tab w:val="left" w:pos="540"/>
        </w:tabs>
        <w:ind w:left="540" w:hanging="540"/>
        <w:rPr>
          <w:rFonts w:ascii="Arial" w:hAnsi="Arial" w:cs="Arial"/>
          <w:szCs w:val="24"/>
        </w:rPr>
      </w:pPr>
    </w:p>
    <w:p w:rsidR="00A24315" w:rsidRPr="004D574D" w:rsidP="009E3D48" w14:paraId="39471202" w14:textId="142607F2">
      <w:pPr>
        <w:tabs>
          <w:tab w:val="left" w:pos="540"/>
        </w:tabs>
        <w:ind w:left="540" w:hanging="540"/>
        <w:rPr>
          <w:rFonts w:ascii="Arial" w:hAnsi="Arial" w:cs="Arial"/>
          <w:szCs w:val="24"/>
        </w:rPr>
      </w:pPr>
      <w:r w:rsidRPr="004D574D">
        <w:rPr>
          <w:rFonts w:ascii="Arial" w:hAnsi="Arial" w:cs="Arial"/>
          <w:szCs w:val="24"/>
        </w:rPr>
        <w:tab/>
        <w:t xml:space="preserve">The information required is needed to verify compliance with Section </w:t>
      </w:r>
      <w:r w:rsidR="00AF2B60">
        <w:rPr>
          <w:rFonts w:ascii="Arial" w:hAnsi="Arial" w:cs="Arial"/>
          <w:szCs w:val="24"/>
        </w:rPr>
        <w:t>2642(a)(3)</w:t>
      </w:r>
      <w:r w:rsidRPr="004D574D">
        <w:rPr>
          <w:rFonts w:ascii="Arial" w:hAnsi="Arial" w:cs="Arial"/>
          <w:szCs w:val="24"/>
        </w:rPr>
        <w:t xml:space="preserve"> of the Internal Revenue Code</w:t>
      </w:r>
      <w:r w:rsidR="00AF2B60">
        <w:rPr>
          <w:rFonts w:ascii="Arial" w:hAnsi="Arial" w:cs="Arial"/>
          <w:szCs w:val="24"/>
        </w:rPr>
        <w:t xml:space="preserve"> relating to qualified severance of trusts.</w:t>
      </w:r>
      <w:r w:rsidRPr="004D574D">
        <w:rPr>
          <w:rFonts w:ascii="Arial" w:hAnsi="Arial" w:cs="Arial"/>
          <w:szCs w:val="24"/>
        </w:rPr>
        <w:t xml:space="preserve"> A less frequent collection of taxes and tax information could adversely affect the government’s effectiveness and would reduce the oversight of the public in ensuring compliance with Internal Revenue Code and hinder the IRS from meeting its mission.</w:t>
      </w:r>
    </w:p>
    <w:p w:rsidR="00B24600" w:rsidRPr="004D574D" w:rsidP="009E3D48" w14:paraId="11D4787C" w14:textId="77777777">
      <w:pPr>
        <w:tabs>
          <w:tab w:val="left" w:pos="540"/>
        </w:tabs>
        <w:ind w:left="540" w:hanging="540"/>
        <w:rPr>
          <w:rFonts w:ascii="Arial" w:hAnsi="Arial" w:cs="Arial"/>
          <w:szCs w:val="24"/>
        </w:rPr>
      </w:pPr>
    </w:p>
    <w:p w:rsidR="009E3D48" w:rsidRPr="004D574D" w:rsidP="00CB358B" w14:paraId="5D86E039"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SPECIAL CIRCUMSTANCES REQUIRING DATA COLLECTION TO BE INCONSISTENT WITH GUIDELINES IN 5 CFR 1320.5(d)(2) </w:t>
      </w:r>
    </w:p>
    <w:p w:rsidR="009E3D48" w:rsidRPr="004D574D" w:rsidP="009E3D48" w14:paraId="1A54C659" w14:textId="77777777">
      <w:pPr>
        <w:tabs>
          <w:tab w:val="left" w:pos="540"/>
        </w:tabs>
        <w:ind w:left="540" w:hanging="540"/>
        <w:rPr>
          <w:rFonts w:ascii="Arial" w:hAnsi="Arial" w:cs="Arial"/>
          <w:szCs w:val="24"/>
        </w:rPr>
      </w:pPr>
    </w:p>
    <w:p w:rsidR="009E3D48" w:rsidRPr="004D574D" w:rsidP="009E3D48" w14:paraId="4149FD6D" w14:textId="77777777">
      <w:pPr>
        <w:tabs>
          <w:tab w:val="left" w:pos="540"/>
        </w:tabs>
        <w:ind w:left="540" w:hanging="540"/>
        <w:rPr>
          <w:rFonts w:ascii="Arial" w:hAnsi="Arial" w:cs="Arial"/>
          <w:szCs w:val="24"/>
        </w:rPr>
      </w:pPr>
      <w:r w:rsidRPr="004D574D">
        <w:rPr>
          <w:rFonts w:ascii="Arial" w:hAnsi="Arial" w:cs="Arial"/>
          <w:szCs w:val="24"/>
        </w:rPr>
        <w:tab/>
      </w:r>
      <w:r w:rsidRPr="004D574D" w:rsidR="00A24315">
        <w:rPr>
          <w:rFonts w:ascii="Arial" w:hAnsi="Arial" w:cs="Arial"/>
          <w:szCs w:val="24"/>
        </w:rPr>
        <w:t>There are no special circumstances requiring data collection to be inconsistent with Guidelines in 5 CFR 1320.5(d)(2).</w:t>
      </w:r>
    </w:p>
    <w:p w:rsidR="009E3D48" w:rsidRPr="004D574D" w:rsidP="009E3D48" w14:paraId="4E8C282C" w14:textId="77777777">
      <w:pPr>
        <w:tabs>
          <w:tab w:val="left" w:pos="540"/>
        </w:tabs>
        <w:ind w:left="540" w:hanging="540"/>
        <w:rPr>
          <w:rFonts w:ascii="Arial" w:hAnsi="Arial" w:cs="Arial"/>
          <w:szCs w:val="24"/>
        </w:rPr>
      </w:pPr>
    </w:p>
    <w:p w:rsidR="009E3D48" w:rsidRPr="004D574D" w:rsidP="009E3D48" w14:paraId="71EDF733"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CONSULTATION WITH INDIVIDUALS OUTSIDE OF THE AGENCY ON AVAILABILITY OF DATA, FREQUENCY OF COLLECTION, CLARITY OF INSTRUCTIONS AND FORMS, AND DATA ELEMENTS </w:t>
      </w:r>
    </w:p>
    <w:p w:rsidR="009E3D48" w:rsidRPr="004D574D" w:rsidP="009E3D48" w14:paraId="513149DA" w14:textId="77777777">
      <w:pPr>
        <w:tabs>
          <w:tab w:val="left" w:pos="540"/>
        </w:tabs>
        <w:ind w:left="540" w:hanging="540"/>
        <w:rPr>
          <w:rFonts w:ascii="Arial" w:hAnsi="Arial" w:cs="Arial"/>
          <w:szCs w:val="24"/>
        </w:rPr>
      </w:pPr>
    </w:p>
    <w:p w:rsidR="00183523" w:rsidRPr="004D574D" w:rsidP="004606C9" w14:paraId="6AEB0071" w14:textId="399B21D5">
      <w:pPr>
        <w:tabs>
          <w:tab w:val="left" w:pos="540"/>
        </w:tabs>
        <w:ind w:left="540" w:hanging="540"/>
        <w:rPr>
          <w:rFonts w:ascii="Arial" w:hAnsi="Arial" w:cs="Arial"/>
          <w:szCs w:val="24"/>
        </w:rPr>
      </w:pPr>
      <w:r w:rsidRPr="004D574D">
        <w:rPr>
          <w:rFonts w:ascii="Arial" w:hAnsi="Arial" w:cs="Arial"/>
          <w:szCs w:val="24"/>
        </w:rPr>
        <w:tab/>
      </w:r>
      <w:r w:rsidRPr="004D574D" w:rsidR="004606C9">
        <w:rPr>
          <w:rFonts w:ascii="Arial" w:hAnsi="Arial" w:cs="Arial"/>
          <w:szCs w:val="24"/>
        </w:rPr>
        <w:t>In response to the Federal Register notice dated</w:t>
      </w:r>
      <w:r w:rsidRPr="004D574D" w:rsidR="00682458">
        <w:rPr>
          <w:rFonts w:ascii="Arial" w:hAnsi="Arial" w:cs="Arial"/>
          <w:szCs w:val="24"/>
        </w:rPr>
        <w:t xml:space="preserve"> </w:t>
      </w:r>
      <w:r w:rsidR="00AF2B60">
        <w:rPr>
          <w:rFonts w:ascii="Arial" w:hAnsi="Arial" w:cs="Arial"/>
          <w:szCs w:val="24"/>
        </w:rPr>
        <w:t xml:space="preserve">September </w:t>
      </w:r>
      <w:r w:rsidR="00272559">
        <w:rPr>
          <w:rFonts w:ascii="Arial" w:hAnsi="Arial" w:cs="Arial"/>
          <w:szCs w:val="24"/>
        </w:rPr>
        <w:t>30</w:t>
      </w:r>
      <w:r w:rsidRPr="004D574D" w:rsidR="00682458">
        <w:rPr>
          <w:rFonts w:ascii="Arial" w:hAnsi="Arial" w:cs="Arial"/>
          <w:szCs w:val="24"/>
        </w:rPr>
        <w:t>, 202</w:t>
      </w:r>
      <w:r w:rsidRPr="004D574D" w:rsidR="0070341E">
        <w:rPr>
          <w:rFonts w:ascii="Arial" w:hAnsi="Arial" w:cs="Arial"/>
          <w:szCs w:val="24"/>
        </w:rPr>
        <w:t>4</w:t>
      </w:r>
      <w:r w:rsidRPr="004D574D" w:rsidR="00277A26">
        <w:rPr>
          <w:rFonts w:ascii="Arial" w:hAnsi="Arial" w:cs="Arial"/>
          <w:szCs w:val="24"/>
        </w:rPr>
        <w:t xml:space="preserve"> </w:t>
      </w:r>
      <w:r w:rsidRPr="004D574D" w:rsidR="004606C9">
        <w:rPr>
          <w:rFonts w:ascii="Arial" w:hAnsi="Arial" w:cs="Arial"/>
          <w:szCs w:val="24"/>
        </w:rPr>
        <w:t>(8</w:t>
      </w:r>
      <w:r w:rsidRPr="004D574D" w:rsidR="0070341E">
        <w:rPr>
          <w:rFonts w:ascii="Arial" w:hAnsi="Arial" w:cs="Arial"/>
          <w:szCs w:val="24"/>
        </w:rPr>
        <w:t>9</w:t>
      </w:r>
      <w:r w:rsidRPr="004D574D" w:rsidR="004606C9">
        <w:rPr>
          <w:rFonts w:ascii="Arial" w:hAnsi="Arial" w:cs="Arial"/>
          <w:szCs w:val="24"/>
        </w:rPr>
        <w:t xml:space="preserve"> FR </w:t>
      </w:r>
      <w:r w:rsidR="00272559">
        <w:rPr>
          <w:rFonts w:ascii="Arial" w:hAnsi="Arial" w:cs="Arial"/>
          <w:szCs w:val="24"/>
        </w:rPr>
        <w:t>79692</w:t>
      </w:r>
      <w:r w:rsidRPr="004D574D" w:rsidR="004606C9">
        <w:rPr>
          <w:rFonts w:ascii="Arial" w:hAnsi="Arial" w:cs="Arial"/>
          <w:szCs w:val="24"/>
        </w:rPr>
        <w:t xml:space="preserve">), </w:t>
      </w:r>
      <w:r w:rsidRPr="004D574D" w:rsidR="005A3AD1">
        <w:rPr>
          <w:rFonts w:ascii="Arial" w:hAnsi="Arial" w:cs="Arial"/>
          <w:szCs w:val="24"/>
        </w:rPr>
        <w:t>IR</w:t>
      </w:r>
      <w:r w:rsidRPr="004D574D" w:rsidR="00682458">
        <w:rPr>
          <w:rFonts w:ascii="Arial" w:hAnsi="Arial" w:cs="Arial"/>
          <w:szCs w:val="24"/>
        </w:rPr>
        <w:t>S</w:t>
      </w:r>
      <w:r w:rsidRPr="004D574D" w:rsidR="004606C9">
        <w:rPr>
          <w:rFonts w:ascii="Arial" w:hAnsi="Arial" w:cs="Arial"/>
          <w:szCs w:val="24"/>
        </w:rPr>
        <w:t xml:space="preserve"> received no comments during the comment period regarding </w:t>
      </w:r>
      <w:r w:rsidR="00AF2B60">
        <w:rPr>
          <w:rFonts w:ascii="Arial" w:hAnsi="Arial" w:cs="Arial"/>
          <w:szCs w:val="24"/>
        </w:rPr>
        <w:t>this collection of information</w:t>
      </w:r>
      <w:r w:rsidR="00272559">
        <w:rPr>
          <w:rFonts w:ascii="Arial" w:hAnsi="Arial" w:cs="Arial"/>
          <w:szCs w:val="24"/>
        </w:rPr>
        <w:t>.</w:t>
      </w:r>
    </w:p>
    <w:p w:rsidR="009E3D48" w:rsidRPr="004D574D" w:rsidP="009E3D48" w14:paraId="547CDD7F" w14:textId="77777777">
      <w:pPr>
        <w:tabs>
          <w:tab w:val="left" w:pos="540"/>
        </w:tabs>
        <w:ind w:left="540" w:hanging="540"/>
        <w:rPr>
          <w:rFonts w:ascii="Arial" w:hAnsi="Arial" w:cs="Arial"/>
          <w:szCs w:val="24"/>
        </w:rPr>
      </w:pPr>
    </w:p>
    <w:p w:rsidR="009E3D48" w:rsidRPr="004D574D" w:rsidP="009E3D48" w14:paraId="554A2116"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EXPLANATION OF DECISION TO PROVIDE ANY PAYMENT OR GIFT TO RESPONDENTS </w:t>
      </w:r>
    </w:p>
    <w:p w:rsidR="009E3D48" w:rsidRPr="004D574D" w:rsidP="009E3D48" w14:paraId="17E41B91" w14:textId="77777777">
      <w:pPr>
        <w:tabs>
          <w:tab w:val="left" w:pos="540"/>
        </w:tabs>
        <w:ind w:left="540" w:hanging="540"/>
        <w:rPr>
          <w:rFonts w:ascii="Arial" w:hAnsi="Arial" w:cs="Arial"/>
          <w:szCs w:val="24"/>
        </w:rPr>
      </w:pPr>
    </w:p>
    <w:p w:rsidR="00A24315" w:rsidRPr="004D574D" w:rsidP="009E3D48" w14:paraId="25024399" w14:textId="77777777">
      <w:pPr>
        <w:tabs>
          <w:tab w:val="left" w:pos="540"/>
        </w:tabs>
        <w:ind w:left="540" w:hanging="540"/>
        <w:rPr>
          <w:rFonts w:ascii="Arial" w:hAnsi="Arial" w:cs="Arial"/>
          <w:szCs w:val="24"/>
        </w:rPr>
      </w:pPr>
      <w:r w:rsidRPr="004D574D">
        <w:rPr>
          <w:rFonts w:ascii="Arial" w:hAnsi="Arial" w:cs="Arial"/>
          <w:szCs w:val="24"/>
        </w:rPr>
        <w:tab/>
        <w:t>No payment or gift has been provided to any respondents.</w:t>
      </w:r>
    </w:p>
    <w:p w:rsidR="009E3D48" w:rsidRPr="004D574D" w:rsidP="009E3D48" w14:paraId="62E807B7" w14:textId="77777777">
      <w:pPr>
        <w:tabs>
          <w:tab w:val="left" w:pos="540"/>
        </w:tabs>
        <w:ind w:left="540" w:hanging="540"/>
        <w:rPr>
          <w:rFonts w:ascii="Arial" w:hAnsi="Arial" w:cs="Arial"/>
          <w:szCs w:val="24"/>
        </w:rPr>
      </w:pPr>
    </w:p>
    <w:p w:rsidR="009E3D48" w:rsidRPr="004D574D" w:rsidP="009E3D48" w14:paraId="7A7CEE17"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ASSURANCE OF CONFIDENTIALITY OF RESPONSES </w:t>
      </w:r>
    </w:p>
    <w:p w:rsidR="009E3D48" w:rsidRPr="004D574D" w:rsidP="009E3D48" w14:paraId="25C6D6CD" w14:textId="77777777">
      <w:pPr>
        <w:tabs>
          <w:tab w:val="left" w:pos="540"/>
        </w:tabs>
        <w:ind w:left="540" w:hanging="540"/>
        <w:rPr>
          <w:rFonts w:ascii="Arial" w:hAnsi="Arial" w:cs="Arial"/>
          <w:szCs w:val="24"/>
        </w:rPr>
      </w:pPr>
    </w:p>
    <w:p w:rsidR="009E3D48" w:rsidRPr="004D574D" w:rsidP="009E3D48" w14:paraId="582B466C" w14:textId="77777777">
      <w:pPr>
        <w:tabs>
          <w:tab w:val="left" w:pos="540"/>
        </w:tabs>
        <w:ind w:left="540" w:hanging="540"/>
        <w:rPr>
          <w:rFonts w:ascii="Arial" w:hAnsi="Arial" w:cs="Arial"/>
          <w:szCs w:val="24"/>
        </w:rPr>
      </w:pPr>
      <w:r w:rsidRPr="004D574D">
        <w:rPr>
          <w:rFonts w:ascii="Arial" w:hAnsi="Arial" w:cs="Arial"/>
          <w:szCs w:val="24"/>
        </w:rPr>
        <w:tab/>
        <w:t>Generally, tax returns and tax return information are confidential as required by 26 U.S.C. 6103.</w:t>
      </w:r>
    </w:p>
    <w:p w:rsidR="00183523" w:rsidRPr="004D574D" w:rsidP="009E3D48" w14:paraId="0F396FCF" w14:textId="77777777">
      <w:pPr>
        <w:tabs>
          <w:tab w:val="left" w:pos="540"/>
        </w:tabs>
        <w:ind w:left="540" w:hanging="540"/>
        <w:rPr>
          <w:rFonts w:ascii="Arial" w:hAnsi="Arial" w:cs="Arial"/>
          <w:szCs w:val="24"/>
          <w:u w:val="single"/>
        </w:rPr>
      </w:pPr>
    </w:p>
    <w:p w:rsidR="009E3D48" w:rsidRPr="004D574D" w:rsidP="009E3D48" w14:paraId="2983121F"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JUSTIFICATION OF SENSITIVE QUESTIONS </w:t>
      </w:r>
    </w:p>
    <w:p w:rsidR="009E3D48" w:rsidRPr="004D574D" w:rsidP="009E3D48" w14:paraId="245AF266" w14:textId="77777777">
      <w:pPr>
        <w:tabs>
          <w:tab w:val="left" w:pos="540"/>
        </w:tabs>
        <w:ind w:left="540" w:hanging="540"/>
        <w:rPr>
          <w:rFonts w:ascii="Arial" w:hAnsi="Arial" w:cs="Arial"/>
          <w:b/>
          <w:szCs w:val="24"/>
        </w:rPr>
      </w:pPr>
    </w:p>
    <w:p w:rsidR="00223940" w:rsidP="00637C90" w14:paraId="3A3AC589" w14:textId="52D724FC">
      <w:pPr>
        <w:ind w:left="540"/>
        <w:rPr>
          <w:rFonts w:ascii="Arial" w:hAnsi="Arial" w:cs="Arial"/>
          <w:szCs w:val="24"/>
        </w:rPr>
      </w:pPr>
      <w:r>
        <w:rPr>
          <w:rFonts w:ascii="Arial" w:hAnsi="Arial" w:cs="Arial"/>
          <w:szCs w:val="24"/>
        </w:rPr>
        <w:t xml:space="preserve">The requirements outlined in this collection are listed under </w:t>
      </w:r>
      <w:r w:rsidR="00EB3557">
        <w:rPr>
          <w:rFonts w:ascii="Arial" w:hAnsi="Arial" w:cs="Arial"/>
          <w:szCs w:val="24"/>
        </w:rPr>
        <w:t xml:space="preserve">26 CFR 26.2654-1(b)(2) and </w:t>
      </w:r>
      <w:r>
        <w:rPr>
          <w:rFonts w:ascii="Arial" w:hAnsi="Arial" w:cs="Arial"/>
          <w:szCs w:val="24"/>
        </w:rPr>
        <w:t xml:space="preserve">26 CFR 26.2642-6(e).  This information is to be included as an attachment to Form 706-GS(T) [1545-1145].  Only information needed to verify proper severance is being requested relating to the original and new trust(s).  </w:t>
      </w:r>
    </w:p>
    <w:p w:rsidR="00223940" w:rsidRPr="004D574D" w:rsidP="00637C90" w14:paraId="002F08A2" w14:textId="77777777">
      <w:pPr>
        <w:ind w:left="540"/>
        <w:rPr>
          <w:rFonts w:ascii="Arial" w:hAnsi="Arial" w:cs="Arial"/>
          <w:szCs w:val="24"/>
        </w:rPr>
      </w:pPr>
    </w:p>
    <w:p w:rsidR="009E3D48" w:rsidRPr="004D574D" w:rsidP="009E3D48" w14:paraId="7C2BCBAB" w14:textId="31A51BFF">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BURDEN OF INFORMATION COLLECTION </w:t>
      </w:r>
    </w:p>
    <w:p w:rsidR="00FE3D87" w:rsidRPr="004D574D" w:rsidP="00FE3D87" w14:paraId="262FD19E" w14:textId="138954EC">
      <w:pPr>
        <w:pStyle w:val="ListParagraph"/>
        <w:tabs>
          <w:tab w:val="left" w:pos="540"/>
        </w:tabs>
        <w:ind w:left="540"/>
        <w:rPr>
          <w:rFonts w:ascii="Arial" w:hAnsi="Arial" w:cs="Arial"/>
          <w:b/>
          <w:szCs w:val="24"/>
          <w:u w:val="single"/>
        </w:rPr>
      </w:pPr>
    </w:p>
    <w:p w:rsidR="00B24600" w:rsidP="00FE3D87" w14:paraId="28DFF5A9" w14:textId="5046BD8E">
      <w:pPr>
        <w:pStyle w:val="ListParagraph"/>
        <w:tabs>
          <w:tab w:val="left" w:pos="540"/>
        </w:tabs>
        <w:ind w:left="540"/>
        <w:rPr>
          <w:rFonts w:ascii="Arial" w:hAnsi="Arial" w:cs="Arial"/>
          <w:bCs/>
          <w:szCs w:val="24"/>
        </w:rPr>
      </w:pPr>
      <w:r w:rsidRPr="00B24600">
        <w:rPr>
          <w:rFonts w:ascii="Arial" w:hAnsi="Arial" w:cs="Arial"/>
          <w:bCs/>
          <w:szCs w:val="24"/>
        </w:rPr>
        <w:t xml:space="preserve">The </w:t>
      </w:r>
      <w:r>
        <w:rPr>
          <w:rFonts w:ascii="Arial" w:hAnsi="Arial" w:cs="Arial"/>
          <w:bCs/>
          <w:szCs w:val="24"/>
        </w:rPr>
        <w:t xml:space="preserve">burden associated with the </w:t>
      </w:r>
      <w:r w:rsidRPr="00B24600">
        <w:rPr>
          <w:rFonts w:ascii="Arial" w:hAnsi="Arial" w:cs="Arial"/>
          <w:bCs/>
          <w:szCs w:val="24"/>
        </w:rPr>
        <w:t>collections of information</w:t>
      </w:r>
      <w:r>
        <w:rPr>
          <w:rFonts w:ascii="Arial" w:hAnsi="Arial" w:cs="Arial"/>
          <w:bCs/>
          <w:szCs w:val="24"/>
        </w:rPr>
        <w:t xml:space="preserve"> outlined in regulations </w:t>
      </w:r>
      <w:r w:rsidRPr="00B24600">
        <w:rPr>
          <w:rFonts w:ascii="Arial" w:hAnsi="Arial" w:cs="Arial"/>
          <w:bCs/>
          <w:szCs w:val="24"/>
        </w:rPr>
        <w:t xml:space="preserve">section 26.2642–6(e) and </w:t>
      </w:r>
      <w:r>
        <w:rPr>
          <w:rFonts w:ascii="Arial" w:hAnsi="Arial" w:cs="Arial"/>
          <w:bCs/>
          <w:szCs w:val="24"/>
        </w:rPr>
        <w:t xml:space="preserve">section </w:t>
      </w:r>
      <w:r w:rsidRPr="00B24600">
        <w:rPr>
          <w:rFonts w:ascii="Arial" w:hAnsi="Arial" w:cs="Arial"/>
          <w:bCs/>
          <w:szCs w:val="24"/>
        </w:rPr>
        <w:t>26.2654-1(b)(2)</w:t>
      </w:r>
      <w:r>
        <w:rPr>
          <w:rFonts w:ascii="Arial" w:hAnsi="Arial" w:cs="Arial"/>
          <w:bCs/>
          <w:szCs w:val="24"/>
        </w:rPr>
        <w:t xml:space="preserve"> consist of notating on and attaching a separate document to Form 706-GS(T). </w:t>
      </w:r>
      <w:r w:rsidRPr="00B24600">
        <w:rPr>
          <w:rFonts w:ascii="Arial" w:hAnsi="Arial" w:cs="Arial"/>
          <w:bCs/>
          <w:szCs w:val="24"/>
        </w:rPr>
        <w:t xml:space="preserve"> </w:t>
      </w:r>
    </w:p>
    <w:p w:rsidR="00B24600" w:rsidP="00FE3D87" w14:paraId="587AFD98" w14:textId="77777777">
      <w:pPr>
        <w:pStyle w:val="ListParagraph"/>
        <w:tabs>
          <w:tab w:val="left" w:pos="540"/>
        </w:tabs>
        <w:ind w:left="540"/>
        <w:rPr>
          <w:rFonts w:ascii="Arial" w:hAnsi="Arial" w:cs="Arial"/>
          <w:bCs/>
          <w:szCs w:val="24"/>
        </w:rPr>
      </w:pPr>
    </w:p>
    <w:p w:rsidR="00277A26" w:rsidRPr="004D574D" w:rsidP="005C01C7" w14:paraId="37314A1F" w14:textId="5D839B89">
      <w:pPr>
        <w:pStyle w:val="ListParagraph"/>
        <w:tabs>
          <w:tab w:val="left" w:pos="540"/>
        </w:tabs>
        <w:ind w:left="540"/>
        <w:rPr>
          <w:rFonts w:ascii="Arial" w:hAnsi="Arial" w:cs="Arial"/>
          <w:szCs w:val="24"/>
        </w:rPr>
      </w:pPr>
      <w:r w:rsidRPr="004D574D">
        <w:rPr>
          <w:rFonts w:ascii="Arial" w:hAnsi="Arial" w:cs="Arial"/>
          <w:bCs/>
          <w:szCs w:val="24"/>
        </w:rPr>
        <w:t>The estimated burden:</w:t>
      </w:r>
      <w:r w:rsidRPr="004D574D" w:rsidR="002A463C">
        <w:rPr>
          <w:rFonts w:ascii="Arial" w:hAnsi="Arial" w:cs="Arial"/>
          <w:szCs w:val="24"/>
        </w:rPr>
        <w:t xml:space="preserve"> </w:t>
      </w:r>
    </w:p>
    <w:tbl>
      <w:tblPr>
        <w:tblW w:w="9748" w:type="dxa"/>
        <w:tblInd w:w="530" w:type="dxa"/>
        <w:tblLayout w:type="fixed"/>
        <w:tblLook w:val="04A0"/>
      </w:tblPr>
      <w:tblGrid>
        <w:gridCol w:w="1198"/>
        <w:gridCol w:w="2672"/>
        <w:gridCol w:w="1378"/>
        <w:gridCol w:w="1170"/>
        <w:gridCol w:w="1080"/>
        <w:gridCol w:w="990"/>
        <w:gridCol w:w="1260"/>
      </w:tblGrid>
      <w:tr w14:paraId="1E38E0E1" w14:textId="77777777" w:rsidTr="00807230">
        <w:tblPrEx>
          <w:tblW w:w="9748" w:type="dxa"/>
          <w:tblInd w:w="530" w:type="dxa"/>
          <w:tblLayout w:type="fixed"/>
          <w:tblLook w:val="04A0"/>
        </w:tblPrEx>
        <w:trPr>
          <w:trHeight w:val="67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A648C2" w:rsidRPr="00057869" w14:paraId="78F5496C" w14:textId="6A6F7F49">
            <w:pPr>
              <w:keepNext/>
              <w:keepLines/>
              <w:widowControl w:val="0"/>
              <w:autoSpaceDN w:val="0"/>
              <w:jc w:val="center"/>
              <w:rPr>
                <w:rFonts w:ascii="Arial" w:hAnsi="Arial" w:cs="Arial"/>
                <w:b/>
                <w:bCs/>
                <w:color w:val="000000"/>
                <w:sz w:val="16"/>
                <w:szCs w:val="16"/>
              </w:rPr>
            </w:pPr>
            <w:r>
              <w:rPr>
                <w:rFonts w:ascii="Arial" w:hAnsi="Arial" w:cs="Arial"/>
                <w:b/>
                <w:bCs/>
                <w:color w:val="000000"/>
                <w:sz w:val="16"/>
                <w:szCs w:val="16"/>
              </w:rPr>
              <w:t>Authority</w:t>
            </w:r>
          </w:p>
        </w:tc>
        <w:tc>
          <w:tcPr>
            <w:tcW w:w="2672" w:type="dxa"/>
            <w:tcBorders>
              <w:top w:val="single" w:sz="8" w:space="0" w:color="auto"/>
              <w:left w:val="nil"/>
              <w:bottom w:val="single" w:sz="8" w:space="0" w:color="auto"/>
              <w:right w:val="single" w:sz="8" w:space="0" w:color="auto"/>
            </w:tcBorders>
            <w:noWrap/>
            <w:vAlign w:val="center"/>
            <w:hideMark/>
          </w:tcPr>
          <w:p w:rsidR="00A648C2" w:rsidRPr="00057869" w14:paraId="750E9CFB"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Description</w:t>
            </w:r>
          </w:p>
        </w:tc>
        <w:tc>
          <w:tcPr>
            <w:tcW w:w="1378" w:type="dxa"/>
            <w:tcBorders>
              <w:top w:val="single" w:sz="8" w:space="0" w:color="auto"/>
              <w:left w:val="nil"/>
              <w:bottom w:val="single" w:sz="8" w:space="0" w:color="auto"/>
              <w:right w:val="single" w:sz="8" w:space="0" w:color="auto"/>
            </w:tcBorders>
            <w:vAlign w:val="center"/>
            <w:hideMark/>
          </w:tcPr>
          <w:p w:rsidR="00A648C2" w:rsidRPr="00057869" w14:paraId="4CA946FD" w14:textId="2A7774E1">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Number of Respondents</w:t>
            </w:r>
          </w:p>
        </w:tc>
        <w:tc>
          <w:tcPr>
            <w:tcW w:w="1170" w:type="dxa"/>
            <w:tcBorders>
              <w:top w:val="single" w:sz="8" w:space="0" w:color="auto"/>
              <w:left w:val="nil"/>
              <w:bottom w:val="single" w:sz="8" w:space="0" w:color="auto"/>
              <w:right w:val="single" w:sz="8" w:space="0" w:color="auto"/>
            </w:tcBorders>
            <w:vAlign w:val="center"/>
            <w:hideMark/>
          </w:tcPr>
          <w:p w:rsidR="00A648C2" w:rsidRPr="00057869" w14:paraId="151530DA" w14:textId="4B1F45B2">
            <w:pPr>
              <w:keepNext/>
              <w:keepLines/>
              <w:jc w:val="center"/>
              <w:rPr>
                <w:rFonts w:ascii="Arial" w:hAnsi="Arial" w:cs="Arial"/>
                <w:b/>
                <w:bCs/>
                <w:color w:val="000000"/>
                <w:sz w:val="16"/>
                <w:szCs w:val="16"/>
              </w:rPr>
            </w:pPr>
            <w:r w:rsidRPr="00057869">
              <w:rPr>
                <w:rFonts w:ascii="Arial" w:hAnsi="Arial" w:cs="Arial"/>
                <w:b/>
                <w:bCs/>
                <w:color w:val="000000"/>
                <w:sz w:val="16"/>
                <w:szCs w:val="16"/>
              </w:rPr>
              <w:t>Number of Responses Per Respondent</w:t>
            </w:r>
          </w:p>
          <w:p w:rsidR="00A648C2" w:rsidRPr="00057869" w14:paraId="68FFE5F9" w14:textId="127D3F6F">
            <w:pPr>
              <w:keepNext/>
              <w:keepLines/>
              <w:widowControl w:val="0"/>
              <w:autoSpaceDN w:val="0"/>
              <w:jc w:val="center"/>
              <w:rPr>
                <w:rFonts w:ascii="Arial" w:hAnsi="Arial" w:cs="Arial"/>
                <w:b/>
                <w:bCs/>
                <w:color w:val="000000"/>
                <w:sz w:val="16"/>
                <w:szCs w:val="16"/>
              </w:rPr>
            </w:pPr>
          </w:p>
        </w:tc>
        <w:tc>
          <w:tcPr>
            <w:tcW w:w="1080" w:type="dxa"/>
            <w:tcBorders>
              <w:top w:val="single" w:sz="8" w:space="0" w:color="auto"/>
              <w:left w:val="nil"/>
              <w:bottom w:val="single" w:sz="8" w:space="0" w:color="auto"/>
              <w:right w:val="single" w:sz="8" w:space="0" w:color="auto"/>
            </w:tcBorders>
            <w:vAlign w:val="center"/>
            <w:hideMark/>
          </w:tcPr>
          <w:p w:rsidR="00A648C2" w:rsidRPr="00057869" w14:paraId="3C2665F0"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Pr="00057869" w14:paraId="282171EB"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Pr="00057869" w14:paraId="261C1406" w14:textId="77777777">
            <w:pPr>
              <w:keepNext/>
              <w:keepLines/>
              <w:widowControl w:val="0"/>
              <w:autoSpaceDN w:val="0"/>
              <w:jc w:val="center"/>
              <w:rPr>
                <w:rFonts w:ascii="Arial" w:hAnsi="Arial" w:cs="Arial"/>
                <w:b/>
                <w:bCs/>
                <w:color w:val="000000"/>
                <w:sz w:val="16"/>
                <w:szCs w:val="16"/>
              </w:rPr>
            </w:pPr>
            <w:r w:rsidRPr="00057869">
              <w:rPr>
                <w:rFonts w:ascii="Arial" w:hAnsi="Arial" w:cs="Arial"/>
                <w:b/>
                <w:bCs/>
                <w:color w:val="000000"/>
                <w:sz w:val="16"/>
                <w:szCs w:val="16"/>
              </w:rPr>
              <w:t>Total Burden</w:t>
            </w:r>
          </w:p>
        </w:tc>
      </w:tr>
      <w:tr w14:paraId="72E356E3" w14:textId="77777777" w:rsidTr="00807230">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B24600" w14:paraId="0C854870" w14:textId="77777777">
            <w:pPr>
              <w:keepNext/>
              <w:keepLines/>
              <w:widowControl w:val="0"/>
              <w:autoSpaceDN w:val="0"/>
              <w:jc w:val="center"/>
              <w:rPr>
                <w:rFonts w:ascii="Arial" w:hAnsi="Arial" w:cs="Arial"/>
                <w:color w:val="000000"/>
                <w:sz w:val="18"/>
                <w:szCs w:val="18"/>
              </w:rPr>
            </w:pPr>
            <w:r>
              <w:rPr>
                <w:rFonts w:ascii="Arial" w:hAnsi="Arial" w:cs="Arial"/>
                <w:color w:val="000000"/>
                <w:sz w:val="18"/>
                <w:szCs w:val="18"/>
              </w:rPr>
              <w:t xml:space="preserve">CFR </w:t>
            </w:r>
          </w:p>
          <w:p w:rsidR="00A648C2" w:rsidRPr="00057869" w14:paraId="0717E225" w14:textId="572A4AD2">
            <w:pPr>
              <w:keepNext/>
              <w:keepLines/>
              <w:widowControl w:val="0"/>
              <w:autoSpaceDN w:val="0"/>
              <w:jc w:val="center"/>
              <w:rPr>
                <w:rFonts w:ascii="Arial" w:hAnsi="Arial" w:cs="Arial"/>
                <w:color w:val="000000"/>
                <w:sz w:val="18"/>
                <w:szCs w:val="18"/>
              </w:rPr>
            </w:pPr>
            <w:r>
              <w:rPr>
                <w:rFonts w:ascii="Arial" w:hAnsi="Arial" w:cs="Arial"/>
                <w:color w:val="000000"/>
                <w:sz w:val="18"/>
                <w:szCs w:val="18"/>
              </w:rPr>
              <w:t>26.2642-6(e)</w:t>
            </w:r>
          </w:p>
        </w:tc>
        <w:tc>
          <w:tcPr>
            <w:tcW w:w="2672" w:type="dxa"/>
            <w:tcBorders>
              <w:top w:val="single" w:sz="8" w:space="0" w:color="auto"/>
              <w:left w:val="single" w:sz="8" w:space="0" w:color="auto"/>
              <w:bottom w:val="single" w:sz="8" w:space="0" w:color="auto"/>
              <w:right w:val="single" w:sz="8" w:space="0" w:color="auto"/>
            </w:tcBorders>
            <w:vAlign w:val="center"/>
            <w:hideMark/>
          </w:tcPr>
          <w:p w:rsidR="00A648C2" w:rsidRPr="00057869" w:rsidP="00B24600" w14:paraId="79BE4899" w14:textId="5636D48A">
            <w:pPr>
              <w:keepNext/>
              <w:keepLines/>
              <w:widowControl w:val="0"/>
              <w:autoSpaceDN w:val="0"/>
              <w:jc w:val="center"/>
              <w:rPr>
                <w:rFonts w:ascii="Arial" w:hAnsi="Arial" w:cs="Arial"/>
                <w:color w:val="000000"/>
                <w:sz w:val="18"/>
                <w:szCs w:val="18"/>
              </w:rPr>
            </w:pPr>
            <w:r w:rsidRPr="00B24600">
              <w:rPr>
                <w:rFonts w:ascii="Arial" w:hAnsi="Arial" w:cs="Arial"/>
                <w:color w:val="000000"/>
                <w:sz w:val="18"/>
                <w:szCs w:val="18"/>
              </w:rPr>
              <w:t>Notice and attachment to Form 706-GS(T)</w:t>
            </w:r>
          </w:p>
        </w:tc>
        <w:tc>
          <w:tcPr>
            <w:tcW w:w="1378" w:type="dxa"/>
            <w:tcBorders>
              <w:top w:val="single" w:sz="8" w:space="0" w:color="auto"/>
              <w:left w:val="nil"/>
              <w:bottom w:val="single" w:sz="8" w:space="0" w:color="auto"/>
              <w:right w:val="single" w:sz="8" w:space="0" w:color="auto"/>
            </w:tcBorders>
            <w:noWrap/>
            <w:vAlign w:val="center"/>
            <w:hideMark/>
          </w:tcPr>
          <w:p w:rsidR="00A648C2" w:rsidRPr="00057869" w14:paraId="13F409B9" w14:textId="6D1A39D2">
            <w:pPr>
              <w:keepNext/>
              <w:keepLines/>
              <w:widowControl w:val="0"/>
              <w:autoSpaceDN w:val="0"/>
              <w:jc w:val="center"/>
              <w:rPr>
                <w:rFonts w:ascii="Arial" w:hAnsi="Arial" w:cs="Arial"/>
                <w:color w:val="000000"/>
                <w:sz w:val="18"/>
                <w:szCs w:val="18"/>
              </w:rPr>
            </w:pPr>
            <w:r>
              <w:rPr>
                <w:rFonts w:ascii="Arial" w:hAnsi="Arial" w:cs="Arial"/>
                <w:color w:val="000000"/>
                <w:sz w:val="18"/>
                <w:szCs w:val="18"/>
              </w:rPr>
              <w:t>650</w:t>
            </w:r>
          </w:p>
        </w:tc>
        <w:tc>
          <w:tcPr>
            <w:tcW w:w="1170" w:type="dxa"/>
            <w:tcBorders>
              <w:top w:val="single" w:sz="8" w:space="0" w:color="auto"/>
              <w:left w:val="nil"/>
              <w:bottom w:val="single" w:sz="8" w:space="0" w:color="auto"/>
              <w:right w:val="single" w:sz="8" w:space="0" w:color="auto"/>
            </w:tcBorders>
            <w:noWrap/>
            <w:vAlign w:val="center"/>
          </w:tcPr>
          <w:p w:rsidR="00A648C2" w:rsidRPr="00057869" w14:paraId="1425C6AA" w14:textId="77777777">
            <w:pPr>
              <w:keepNext/>
              <w:keepLines/>
              <w:widowControl w:val="0"/>
              <w:autoSpaceDN w:val="0"/>
              <w:jc w:val="center"/>
              <w:rPr>
                <w:rFonts w:ascii="Arial" w:hAnsi="Arial" w:cs="Arial"/>
                <w:color w:val="000000"/>
                <w:sz w:val="18"/>
                <w:szCs w:val="18"/>
              </w:rPr>
            </w:pPr>
            <w:r w:rsidRPr="00057869">
              <w:rPr>
                <w:rFonts w:ascii="Arial" w:hAnsi="Arial" w:cs="Arial"/>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hideMark/>
          </w:tcPr>
          <w:p w:rsidR="00A648C2" w:rsidRPr="00057869" w14:paraId="0843340A" w14:textId="0C565A22">
            <w:pPr>
              <w:keepNext/>
              <w:keepLines/>
              <w:widowControl w:val="0"/>
              <w:autoSpaceDN w:val="0"/>
              <w:jc w:val="center"/>
              <w:rPr>
                <w:rFonts w:ascii="Arial" w:hAnsi="Arial" w:cs="Arial"/>
                <w:color w:val="000000"/>
                <w:sz w:val="18"/>
                <w:szCs w:val="18"/>
              </w:rPr>
            </w:pPr>
            <w:r>
              <w:rPr>
                <w:rFonts w:ascii="Arial" w:hAnsi="Arial" w:cs="Arial"/>
                <w:color w:val="000000"/>
                <w:sz w:val="18"/>
                <w:szCs w:val="18"/>
              </w:rPr>
              <w:t>650</w:t>
            </w:r>
          </w:p>
        </w:tc>
        <w:tc>
          <w:tcPr>
            <w:tcW w:w="990" w:type="dxa"/>
            <w:tcBorders>
              <w:top w:val="single" w:sz="8" w:space="0" w:color="auto"/>
              <w:left w:val="nil"/>
              <w:bottom w:val="single" w:sz="8" w:space="0" w:color="auto"/>
              <w:right w:val="single" w:sz="8" w:space="0" w:color="auto"/>
            </w:tcBorders>
            <w:noWrap/>
            <w:vAlign w:val="center"/>
            <w:hideMark/>
          </w:tcPr>
          <w:p w:rsidR="00A648C2" w:rsidRPr="00057869" w:rsidP="00F87A66" w14:paraId="153013AA" w14:textId="15A8C3B1">
            <w:pPr>
              <w:keepNext/>
              <w:keepLines/>
              <w:widowControl w:val="0"/>
              <w:autoSpaceDN w:val="0"/>
              <w:jc w:val="center"/>
              <w:rPr>
                <w:rFonts w:ascii="Arial" w:hAnsi="Arial" w:cs="Arial"/>
                <w:color w:val="000000"/>
                <w:sz w:val="18"/>
                <w:szCs w:val="18"/>
              </w:rPr>
            </w:pPr>
            <w:r>
              <w:rPr>
                <w:rFonts w:ascii="Arial" w:hAnsi="Arial" w:cs="Arial"/>
                <w:color w:val="000000"/>
                <w:sz w:val="18"/>
                <w:szCs w:val="18"/>
              </w:rPr>
              <w:t>2.13</w:t>
            </w:r>
          </w:p>
        </w:tc>
        <w:tc>
          <w:tcPr>
            <w:tcW w:w="1260" w:type="dxa"/>
            <w:tcBorders>
              <w:top w:val="single" w:sz="8" w:space="0" w:color="auto"/>
              <w:left w:val="nil"/>
              <w:bottom w:val="single" w:sz="8" w:space="0" w:color="auto"/>
              <w:right w:val="single" w:sz="8" w:space="0" w:color="auto"/>
            </w:tcBorders>
            <w:noWrap/>
            <w:vAlign w:val="center"/>
            <w:hideMark/>
          </w:tcPr>
          <w:p w:rsidR="00A648C2" w:rsidRPr="00057869" w:rsidP="00F87A66" w14:paraId="706F24CA" w14:textId="1F840EAB">
            <w:pPr>
              <w:keepNext/>
              <w:keepLines/>
              <w:widowControl w:val="0"/>
              <w:autoSpaceDN w:val="0"/>
              <w:jc w:val="center"/>
              <w:rPr>
                <w:rFonts w:ascii="Arial" w:hAnsi="Arial" w:cs="Arial"/>
                <w:color w:val="000000"/>
                <w:sz w:val="18"/>
                <w:szCs w:val="18"/>
              </w:rPr>
            </w:pPr>
            <w:r>
              <w:rPr>
                <w:rFonts w:ascii="Arial" w:hAnsi="Arial" w:cs="Arial"/>
                <w:color w:val="000000"/>
                <w:sz w:val="18"/>
                <w:szCs w:val="18"/>
              </w:rPr>
              <w:t>1352</w:t>
            </w:r>
          </w:p>
        </w:tc>
      </w:tr>
      <w:tr w14:paraId="4FACF6D5" w14:textId="77777777" w:rsidTr="00807230">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B24600" w:rsidP="00B24600" w14:paraId="112F678C" w14:textId="77777777">
            <w:pPr>
              <w:keepNext/>
              <w:keepLines/>
              <w:widowControl w:val="0"/>
              <w:autoSpaceDN w:val="0"/>
              <w:jc w:val="center"/>
              <w:rPr>
                <w:rFonts w:ascii="Arial" w:hAnsi="Arial" w:cs="Arial"/>
                <w:color w:val="000000"/>
                <w:sz w:val="18"/>
                <w:szCs w:val="18"/>
              </w:rPr>
            </w:pPr>
            <w:r>
              <w:rPr>
                <w:rFonts w:ascii="Arial" w:hAnsi="Arial" w:cs="Arial"/>
                <w:color w:val="000000"/>
                <w:sz w:val="18"/>
                <w:szCs w:val="18"/>
              </w:rPr>
              <w:t xml:space="preserve">CFR </w:t>
            </w:r>
          </w:p>
          <w:p w:rsidR="00B24600" w:rsidP="00B24600" w14:paraId="03468E04" w14:textId="60A76736">
            <w:pPr>
              <w:keepNext/>
              <w:keepLines/>
              <w:widowControl w:val="0"/>
              <w:autoSpaceDN w:val="0"/>
              <w:jc w:val="center"/>
              <w:rPr>
                <w:rFonts w:ascii="Arial" w:hAnsi="Arial" w:cs="Arial"/>
                <w:color w:val="000000"/>
                <w:sz w:val="18"/>
                <w:szCs w:val="18"/>
              </w:rPr>
            </w:pPr>
            <w:r w:rsidRPr="00B24600">
              <w:rPr>
                <w:rFonts w:ascii="Arial" w:hAnsi="Arial" w:cs="Arial"/>
                <w:color w:val="000000"/>
                <w:sz w:val="18"/>
                <w:szCs w:val="18"/>
              </w:rPr>
              <w:t>26.2654-1(b)(2)</w:t>
            </w:r>
          </w:p>
        </w:tc>
        <w:tc>
          <w:tcPr>
            <w:tcW w:w="2672" w:type="dxa"/>
            <w:tcBorders>
              <w:top w:val="single" w:sz="8" w:space="0" w:color="auto"/>
              <w:left w:val="single" w:sz="8" w:space="0" w:color="auto"/>
              <w:bottom w:val="single" w:sz="8" w:space="0" w:color="auto"/>
              <w:right w:val="single" w:sz="8" w:space="0" w:color="auto"/>
            </w:tcBorders>
            <w:vAlign w:val="center"/>
          </w:tcPr>
          <w:p w:rsidR="00B24600" w:rsidRPr="00B24600" w:rsidP="00B24600" w14:paraId="44C2DF68" w14:textId="659112A9">
            <w:pPr>
              <w:keepNext/>
              <w:keepLines/>
              <w:widowControl w:val="0"/>
              <w:autoSpaceDN w:val="0"/>
              <w:jc w:val="center"/>
              <w:rPr>
                <w:rFonts w:ascii="Arial" w:hAnsi="Arial" w:cs="Arial"/>
                <w:color w:val="000000"/>
                <w:sz w:val="18"/>
                <w:szCs w:val="18"/>
              </w:rPr>
            </w:pPr>
            <w:r w:rsidRPr="00B24600">
              <w:rPr>
                <w:rFonts w:ascii="Arial" w:hAnsi="Arial" w:cs="Arial"/>
                <w:color w:val="000000"/>
                <w:sz w:val="18"/>
                <w:szCs w:val="18"/>
              </w:rPr>
              <w:t>Notice and attachment to Form 706-GS(T)</w:t>
            </w:r>
          </w:p>
        </w:tc>
        <w:tc>
          <w:tcPr>
            <w:tcW w:w="1378" w:type="dxa"/>
            <w:tcBorders>
              <w:top w:val="single" w:sz="8" w:space="0" w:color="auto"/>
              <w:left w:val="nil"/>
              <w:bottom w:val="single" w:sz="8" w:space="0" w:color="auto"/>
              <w:right w:val="single" w:sz="8" w:space="0" w:color="auto"/>
            </w:tcBorders>
            <w:noWrap/>
            <w:vAlign w:val="center"/>
          </w:tcPr>
          <w:p w:rsidR="00B24600" w:rsidP="00B24600" w14:paraId="03017C38" w14:textId="371353FA">
            <w:pPr>
              <w:keepNext/>
              <w:keepLines/>
              <w:widowControl w:val="0"/>
              <w:autoSpaceDN w:val="0"/>
              <w:jc w:val="center"/>
              <w:rPr>
                <w:rFonts w:ascii="Arial" w:hAnsi="Arial" w:cs="Arial"/>
                <w:color w:val="000000"/>
                <w:sz w:val="18"/>
                <w:szCs w:val="18"/>
              </w:rPr>
            </w:pPr>
            <w:r>
              <w:rPr>
                <w:rFonts w:ascii="Arial" w:hAnsi="Arial" w:cs="Arial"/>
                <w:color w:val="000000"/>
                <w:sz w:val="18"/>
                <w:szCs w:val="18"/>
              </w:rPr>
              <w:t>50</w:t>
            </w:r>
          </w:p>
        </w:tc>
        <w:tc>
          <w:tcPr>
            <w:tcW w:w="1170" w:type="dxa"/>
            <w:tcBorders>
              <w:top w:val="single" w:sz="8" w:space="0" w:color="auto"/>
              <w:left w:val="nil"/>
              <w:bottom w:val="single" w:sz="8" w:space="0" w:color="auto"/>
              <w:right w:val="single" w:sz="8" w:space="0" w:color="auto"/>
            </w:tcBorders>
            <w:noWrap/>
            <w:vAlign w:val="center"/>
          </w:tcPr>
          <w:p w:rsidR="00B24600" w:rsidRPr="00057869" w:rsidP="00B24600" w14:paraId="6B0715E1" w14:textId="7B895E7B">
            <w:pPr>
              <w:keepNext/>
              <w:keepLines/>
              <w:widowControl w:val="0"/>
              <w:autoSpaceDN w:val="0"/>
              <w:jc w:val="center"/>
              <w:rPr>
                <w:rFonts w:ascii="Arial" w:hAnsi="Arial" w:cs="Arial"/>
                <w:color w:val="000000"/>
                <w:sz w:val="18"/>
                <w:szCs w:val="18"/>
              </w:rPr>
            </w:pPr>
            <w:r>
              <w:rPr>
                <w:rFonts w:ascii="Arial" w:hAnsi="Arial" w:cs="Arial"/>
                <w:color w:val="000000"/>
                <w:sz w:val="18"/>
                <w:szCs w:val="18"/>
              </w:rPr>
              <w:t>1</w:t>
            </w:r>
          </w:p>
        </w:tc>
        <w:tc>
          <w:tcPr>
            <w:tcW w:w="1080" w:type="dxa"/>
            <w:tcBorders>
              <w:top w:val="single" w:sz="8" w:space="0" w:color="auto"/>
              <w:left w:val="nil"/>
              <w:bottom w:val="single" w:sz="8" w:space="0" w:color="auto"/>
              <w:right w:val="single" w:sz="8" w:space="0" w:color="auto"/>
            </w:tcBorders>
            <w:noWrap/>
            <w:vAlign w:val="center"/>
          </w:tcPr>
          <w:p w:rsidR="00B24600" w:rsidP="00B24600" w14:paraId="09DF5906" w14:textId="29C74A74">
            <w:pPr>
              <w:keepNext/>
              <w:keepLines/>
              <w:widowControl w:val="0"/>
              <w:autoSpaceDN w:val="0"/>
              <w:jc w:val="center"/>
              <w:rPr>
                <w:rFonts w:ascii="Arial" w:hAnsi="Arial" w:cs="Arial"/>
                <w:color w:val="000000"/>
                <w:sz w:val="18"/>
                <w:szCs w:val="18"/>
              </w:rPr>
            </w:pPr>
            <w:r>
              <w:rPr>
                <w:rFonts w:ascii="Arial" w:hAnsi="Arial" w:cs="Arial"/>
                <w:color w:val="000000"/>
                <w:sz w:val="18"/>
                <w:szCs w:val="18"/>
              </w:rPr>
              <w:t>50</w:t>
            </w:r>
          </w:p>
        </w:tc>
        <w:tc>
          <w:tcPr>
            <w:tcW w:w="990" w:type="dxa"/>
            <w:tcBorders>
              <w:top w:val="single" w:sz="8" w:space="0" w:color="auto"/>
              <w:left w:val="nil"/>
              <w:bottom w:val="single" w:sz="8" w:space="0" w:color="auto"/>
              <w:right w:val="single" w:sz="8" w:space="0" w:color="auto"/>
            </w:tcBorders>
            <w:noWrap/>
            <w:vAlign w:val="center"/>
          </w:tcPr>
          <w:p w:rsidR="00B24600" w:rsidP="00B24600" w14:paraId="5866DE2C" w14:textId="5D801583">
            <w:pPr>
              <w:keepNext/>
              <w:keepLines/>
              <w:widowControl w:val="0"/>
              <w:autoSpaceDN w:val="0"/>
              <w:jc w:val="center"/>
              <w:rPr>
                <w:rFonts w:ascii="Arial" w:hAnsi="Arial" w:cs="Arial"/>
                <w:color w:val="000000"/>
                <w:sz w:val="18"/>
                <w:szCs w:val="18"/>
              </w:rPr>
            </w:pPr>
            <w:r>
              <w:rPr>
                <w:rFonts w:ascii="Arial" w:hAnsi="Arial" w:cs="Arial"/>
                <w:color w:val="000000"/>
                <w:sz w:val="18"/>
                <w:szCs w:val="18"/>
              </w:rPr>
              <w:t>1</w:t>
            </w:r>
          </w:p>
        </w:tc>
        <w:tc>
          <w:tcPr>
            <w:tcW w:w="1260" w:type="dxa"/>
            <w:tcBorders>
              <w:top w:val="single" w:sz="8" w:space="0" w:color="auto"/>
              <w:left w:val="nil"/>
              <w:bottom w:val="single" w:sz="8" w:space="0" w:color="auto"/>
              <w:right w:val="single" w:sz="8" w:space="0" w:color="auto"/>
            </w:tcBorders>
            <w:noWrap/>
            <w:vAlign w:val="center"/>
          </w:tcPr>
          <w:p w:rsidR="00B24600" w:rsidP="00B24600" w14:paraId="7D661127" w14:textId="6DBEA84D">
            <w:pPr>
              <w:keepNext/>
              <w:keepLines/>
              <w:widowControl w:val="0"/>
              <w:autoSpaceDN w:val="0"/>
              <w:jc w:val="center"/>
              <w:rPr>
                <w:rFonts w:ascii="Arial" w:hAnsi="Arial" w:cs="Arial"/>
                <w:color w:val="000000"/>
                <w:sz w:val="18"/>
                <w:szCs w:val="18"/>
              </w:rPr>
            </w:pPr>
            <w:r>
              <w:rPr>
                <w:rFonts w:ascii="Arial" w:hAnsi="Arial" w:cs="Arial"/>
                <w:color w:val="000000"/>
                <w:sz w:val="18"/>
                <w:szCs w:val="18"/>
              </w:rPr>
              <w:t>50</w:t>
            </w:r>
          </w:p>
        </w:tc>
      </w:tr>
      <w:tr w14:paraId="434F9512" w14:textId="77777777" w:rsidTr="00807230">
        <w:tblPrEx>
          <w:tblW w:w="9748" w:type="dxa"/>
          <w:tblInd w:w="530" w:type="dxa"/>
          <w:tblLayout w:type="fixed"/>
          <w:tblLook w:val="04A0"/>
        </w:tblPrEx>
        <w:trPr>
          <w:trHeight w:val="345"/>
        </w:trPr>
        <w:tc>
          <w:tcPr>
            <w:tcW w:w="1198" w:type="dxa"/>
            <w:tcBorders>
              <w:top w:val="single" w:sz="8" w:space="0" w:color="auto"/>
              <w:left w:val="single" w:sz="8" w:space="0" w:color="auto"/>
              <w:bottom w:val="single" w:sz="8" w:space="0" w:color="000000"/>
              <w:right w:val="single" w:sz="8" w:space="0" w:color="auto"/>
            </w:tcBorders>
            <w:noWrap/>
            <w:vAlign w:val="center"/>
          </w:tcPr>
          <w:p w:rsidR="005C01C7" w:rsidRPr="005C01C7" w:rsidP="00B24600" w14:paraId="3725312F" w14:textId="66DDF6D2">
            <w:pPr>
              <w:keepNext/>
              <w:keepLines/>
              <w:widowControl w:val="0"/>
              <w:autoSpaceDN w:val="0"/>
              <w:jc w:val="center"/>
              <w:rPr>
                <w:rFonts w:ascii="Arial" w:hAnsi="Arial" w:cs="Arial"/>
                <w:b/>
                <w:bCs/>
                <w:color w:val="000000"/>
                <w:sz w:val="18"/>
                <w:szCs w:val="18"/>
              </w:rPr>
            </w:pPr>
            <w:r w:rsidRPr="005C01C7">
              <w:rPr>
                <w:rFonts w:ascii="Arial" w:hAnsi="Arial" w:cs="Arial"/>
                <w:b/>
                <w:bCs/>
                <w:color w:val="000000"/>
                <w:sz w:val="18"/>
                <w:szCs w:val="18"/>
              </w:rPr>
              <w:t>TOTAL</w:t>
            </w:r>
          </w:p>
        </w:tc>
        <w:tc>
          <w:tcPr>
            <w:tcW w:w="2672" w:type="dxa"/>
            <w:tcBorders>
              <w:top w:val="single" w:sz="8" w:space="0" w:color="auto"/>
              <w:left w:val="single" w:sz="8" w:space="0" w:color="auto"/>
              <w:bottom w:val="single" w:sz="8" w:space="0" w:color="000000"/>
              <w:right w:val="single" w:sz="8" w:space="0" w:color="auto"/>
            </w:tcBorders>
            <w:vAlign w:val="center"/>
          </w:tcPr>
          <w:p w:rsidR="005C01C7" w:rsidRPr="005C01C7" w:rsidP="00B24600" w14:paraId="28DCB835" w14:textId="77777777">
            <w:pPr>
              <w:keepNext/>
              <w:keepLines/>
              <w:widowControl w:val="0"/>
              <w:autoSpaceDN w:val="0"/>
              <w:jc w:val="center"/>
              <w:rPr>
                <w:rFonts w:ascii="Arial" w:hAnsi="Arial" w:cs="Arial"/>
                <w:b/>
                <w:bCs/>
                <w:color w:val="000000"/>
                <w:sz w:val="18"/>
                <w:szCs w:val="18"/>
              </w:rPr>
            </w:pPr>
          </w:p>
        </w:tc>
        <w:tc>
          <w:tcPr>
            <w:tcW w:w="1378" w:type="dxa"/>
            <w:tcBorders>
              <w:top w:val="single" w:sz="8" w:space="0" w:color="auto"/>
              <w:left w:val="nil"/>
              <w:bottom w:val="single" w:sz="8" w:space="0" w:color="auto"/>
              <w:right w:val="single" w:sz="8" w:space="0" w:color="auto"/>
            </w:tcBorders>
            <w:noWrap/>
            <w:vAlign w:val="center"/>
          </w:tcPr>
          <w:p w:rsidR="005C01C7" w:rsidRPr="005C01C7" w:rsidP="00B24600" w14:paraId="3693A4D1" w14:textId="686A6270">
            <w:pPr>
              <w:keepNext/>
              <w:keepLines/>
              <w:widowControl w:val="0"/>
              <w:autoSpaceDN w:val="0"/>
              <w:jc w:val="center"/>
              <w:rPr>
                <w:rFonts w:ascii="Arial" w:hAnsi="Arial" w:cs="Arial"/>
                <w:b/>
                <w:bCs/>
                <w:color w:val="000000"/>
                <w:sz w:val="18"/>
                <w:szCs w:val="18"/>
              </w:rPr>
            </w:pPr>
            <w:r w:rsidRPr="005C01C7">
              <w:rPr>
                <w:rFonts w:ascii="Arial" w:hAnsi="Arial" w:cs="Arial"/>
                <w:b/>
                <w:bCs/>
                <w:color w:val="000000"/>
                <w:sz w:val="18"/>
                <w:szCs w:val="18"/>
              </w:rPr>
              <w:t>700</w:t>
            </w:r>
          </w:p>
        </w:tc>
        <w:tc>
          <w:tcPr>
            <w:tcW w:w="1170" w:type="dxa"/>
            <w:tcBorders>
              <w:top w:val="single" w:sz="8" w:space="0" w:color="auto"/>
              <w:left w:val="nil"/>
              <w:bottom w:val="single" w:sz="8" w:space="0" w:color="auto"/>
              <w:right w:val="single" w:sz="8" w:space="0" w:color="auto"/>
            </w:tcBorders>
            <w:noWrap/>
            <w:vAlign w:val="center"/>
          </w:tcPr>
          <w:p w:rsidR="005C01C7" w:rsidRPr="005C01C7" w:rsidP="00B24600" w14:paraId="5926BE6A" w14:textId="77777777">
            <w:pPr>
              <w:keepNext/>
              <w:keepLines/>
              <w:widowControl w:val="0"/>
              <w:autoSpaceDN w:val="0"/>
              <w:jc w:val="center"/>
              <w:rPr>
                <w:rFonts w:ascii="Arial" w:hAnsi="Arial" w:cs="Arial"/>
                <w:b/>
                <w:bCs/>
                <w:color w:val="000000"/>
                <w:sz w:val="18"/>
                <w:szCs w:val="18"/>
              </w:rPr>
            </w:pPr>
          </w:p>
        </w:tc>
        <w:tc>
          <w:tcPr>
            <w:tcW w:w="1080" w:type="dxa"/>
            <w:tcBorders>
              <w:top w:val="single" w:sz="8" w:space="0" w:color="auto"/>
              <w:left w:val="nil"/>
              <w:bottom w:val="single" w:sz="8" w:space="0" w:color="auto"/>
              <w:right w:val="single" w:sz="8" w:space="0" w:color="auto"/>
            </w:tcBorders>
            <w:noWrap/>
            <w:vAlign w:val="center"/>
          </w:tcPr>
          <w:p w:rsidR="005C01C7" w:rsidRPr="005C01C7" w:rsidP="00B24600" w14:paraId="3E63D634" w14:textId="3D31B0FE">
            <w:pPr>
              <w:keepNext/>
              <w:keepLines/>
              <w:widowControl w:val="0"/>
              <w:autoSpaceDN w:val="0"/>
              <w:jc w:val="center"/>
              <w:rPr>
                <w:rFonts w:ascii="Arial" w:hAnsi="Arial" w:cs="Arial"/>
                <w:b/>
                <w:bCs/>
                <w:color w:val="000000"/>
                <w:sz w:val="18"/>
                <w:szCs w:val="18"/>
              </w:rPr>
            </w:pPr>
            <w:r w:rsidRPr="005C01C7">
              <w:rPr>
                <w:rFonts w:ascii="Arial" w:hAnsi="Arial" w:cs="Arial"/>
                <w:b/>
                <w:bCs/>
                <w:color w:val="000000"/>
                <w:sz w:val="18"/>
                <w:szCs w:val="18"/>
              </w:rPr>
              <w:t>700</w:t>
            </w:r>
          </w:p>
        </w:tc>
        <w:tc>
          <w:tcPr>
            <w:tcW w:w="990" w:type="dxa"/>
            <w:tcBorders>
              <w:top w:val="single" w:sz="8" w:space="0" w:color="auto"/>
              <w:left w:val="nil"/>
              <w:bottom w:val="single" w:sz="8" w:space="0" w:color="auto"/>
              <w:right w:val="single" w:sz="8" w:space="0" w:color="auto"/>
            </w:tcBorders>
            <w:noWrap/>
            <w:vAlign w:val="center"/>
          </w:tcPr>
          <w:p w:rsidR="005C01C7" w:rsidRPr="005C01C7" w:rsidP="00B24600" w14:paraId="171D5FBC" w14:textId="77777777">
            <w:pPr>
              <w:keepNext/>
              <w:keepLines/>
              <w:widowControl w:val="0"/>
              <w:autoSpaceDN w:val="0"/>
              <w:jc w:val="center"/>
              <w:rPr>
                <w:rFonts w:ascii="Arial" w:hAnsi="Arial" w:cs="Arial"/>
                <w:b/>
                <w:bCs/>
                <w:color w:val="000000"/>
                <w:sz w:val="18"/>
                <w:szCs w:val="18"/>
              </w:rPr>
            </w:pPr>
          </w:p>
        </w:tc>
        <w:tc>
          <w:tcPr>
            <w:tcW w:w="1260" w:type="dxa"/>
            <w:tcBorders>
              <w:top w:val="single" w:sz="8" w:space="0" w:color="auto"/>
              <w:left w:val="nil"/>
              <w:bottom w:val="single" w:sz="8" w:space="0" w:color="auto"/>
              <w:right w:val="single" w:sz="8" w:space="0" w:color="auto"/>
            </w:tcBorders>
            <w:noWrap/>
            <w:vAlign w:val="center"/>
          </w:tcPr>
          <w:p w:rsidR="005C01C7" w:rsidRPr="005C01C7" w:rsidP="00B24600" w14:paraId="5CEE76C7" w14:textId="6C2D0F22">
            <w:pPr>
              <w:keepNext/>
              <w:keepLines/>
              <w:widowControl w:val="0"/>
              <w:autoSpaceDN w:val="0"/>
              <w:jc w:val="center"/>
              <w:rPr>
                <w:rFonts w:ascii="Arial" w:hAnsi="Arial" w:cs="Arial"/>
                <w:b/>
                <w:bCs/>
                <w:color w:val="000000"/>
                <w:sz w:val="18"/>
                <w:szCs w:val="18"/>
              </w:rPr>
            </w:pPr>
            <w:r w:rsidRPr="005C01C7">
              <w:rPr>
                <w:rFonts w:ascii="Arial" w:hAnsi="Arial" w:cs="Arial"/>
                <w:b/>
                <w:bCs/>
                <w:color w:val="000000"/>
                <w:sz w:val="18"/>
                <w:szCs w:val="18"/>
              </w:rPr>
              <w:t>1402</w:t>
            </w:r>
          </w:p>
        </w:tc>
      </w:tr>
    </w:tbl>
    <w:p w:rsidR="00B24600" w:rsidP="00F87A66" w14:paraId="183B5BF5" w14:textId="77777777">
      <w:pPr>
        <w:autoSpaceDE w:val="0"/>
        <w:autoSpaceDN w:val="0"/>
        <w:adjustRightInd w:val="0"/>
        <w:ind w:left="540"/>
        <w:rPr>
          <w:rFonts w:ascii="Arial" w:hAnsi="Arial" w:cs="Arial"/>
          <w:szCs w:val="24"/>
        </w:rPr>
      </w:pPr>
      <w:r w:rsidRPr="004D574D">
        <w:rPr>
          <w:rFonts w:ascii="Arial" w:hAnsi="Arial" w:cs="Arial"/>
          <w:szCs w:val="24"/>
        </w:rPr>
        <w:tab/>
      </w:r>
      <w:r w:rsidRPr="004D574D">
        <w:rPr>
          <w:rFonts w:ascii="Arial" w:hAnsi="Arial" w:cs="Arial"/>
          <w:szCs w:val="24"/>
        </w:rPr>
        <w:tab/>
      </w:r>
    </w:p>
    <w:p w:rsidR="009E3D48" w:rsidRPr="004D574D" w:rsidP="00F87A66" w14:paraId="168925E6" w14:textId="3843920F">
      <w:pPr>
        <w:autoSpaceDE w:val="0"/>
        <w:autoSpaceDN w:val="0"/>
        <w:adjustRightInd w:val="0"/>
        <w:ind w:left="540"/>
        <w:rPr>
          <w:rFonts w:ascii="Arial" w:hAnsi="Arial" w:cs="Arial"/>
          <w:szCs w:val="24"/>
        </w:rPr>
      </w:pPr>
      <w:r w:rsidRPr="004D574D">
        <w:rPr>
          <w:rFonts w:ascii="Arial" w:hAnsi="Arial" w:cs="Arial"/>
          <w:szCs w:val="24"/>
        </w:rPr>
        <w:tab/>
      </w:r>
    </w:p>
    <w:p w:rsidR="009E3D48" w:rsidRPr="004D574D" w:rsidP="009E3D48" w14:paraId="267F9D88"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TOTAL ANNUAL COST BURDEN TO RESPONDENTS </w:t>
      </w:r>
    </w:p>
    <w:p w:rsidR="00AC6B7D" w:rsidP="00AC6B7D" w14:paraId="582869B7" w14:textId="43645774">
      <w:pPr>
        <w:autoSpaceDE w:val="0"/>
        <w:autoSpaceDN w:val="0"/>
        <w:adjustRightInd w:val="0"/>
        <w:rPr>
          <w:rFonts w:ascii="Calibri-Light" w:hAnsi="Calibri-Light" w:cs="Calibri-Light"/>
          <w:sz w:val="23"/>
          <w:szCs w:val="23"/>
        </w:rPr>
      </w:pPr>
    </w:p>
    <w:p w:rsidR="00AC6B7D" w:rsidRPr="00AC6B7D" w:rsidP="00AC6B7D" w14:paraId="0270DDB9" w14:textId="77777777">
      <w:pPr>
        <w:autoSpaceDE w:val="0"/>
        <w:autoSpaceDN w:val="0"/>
        <w:adjustRightInd w:val="0"/>
        <w:ind w:left="540"/>
        <w:rPr>
          <w:rFonts w:ascii="Arial" w:hAnsi="Arial" w:cs="Arial"/>
          <w:szCs w:val="24"/>
        </w:rPr>
      </w:pPr>
      <w:r w:rsidRPr="00AC6B7D">
        <w:rPr>
          <w:rFonts w:ascii="Arial" w:hAnsi="Arial" w:cs="Arial"/>
          <w:szCs w:val="24"/>
        </w:rPr>
        <w:t>This information collection will be included in the consolidated OMB submission for</w:t>
      </w:r>
    </w:p>
    <w:p w:rsidR="009E3D48" w:rsidRPr="004D574D" w:rsidP="00AC6B7D" w14:paraId="75B03CF7" w14:textId="1D035B58">
      <w:pPr>
        <w:autoSpaceDE w:val="0"/>
        <w:autoSpaceDN w:val="0"/>
        <w:adjustRightInd w:val="0"/>
        <w:ind w:left="540"/>
        <w:rPr>
          <w:rFonts w:ascii="Arial" w:hAnsi="Arial" w:cs="Arial"/>
          <w:szCs w:val="24"/>
        </w:rPr>
      </w:pPr>
      <w:r>
        <w:rPr>
          <w:rFonts w:ascii="Arial" w:hAnsi="Arial" w:cs="Arial"/>
          <w:szCs w:val="24"/>
        </w:rPr>
        <w:t>t</w:t>
      </w:r>
      <w:r w:rsidR="00CA7335">
        <w:rPr>
          <w:rFonts w:ascii="Arial" w:hAnsi="Arial" w:cs="Arial"/>
          <w:szCs w:val="24"/>
        </w:rPr>
        <w:t>ransfer tax</w:t>
      </w:r>
      <w:r>
        <w:rPr>
          <w:rFonts w:ascii="Arial" w:hAnsi="Arial" w:cs="Arial"/>
          <w:szCs w:val="24"/>
        </w:rPr>
        <w:t xml:space="preserve"> returns</w:t>
      </w:r>
      <w:r w:rsidR="00CA7335">
        <w:rPr>
          <w:rFonts w:ascii="Arial" w:hAnsi="Arial" w:cs="Arial"/>
          <w:szCs w:val="24"/>
        </w:rPr>
        <w:t xml:space="preserve"> </w:t>
      </w:r>
      <w:r w:rsidRPr="00AC6B7D" w:rsidR="00AC6B7D">
        <w:rPr>
          <w:rFonts w:ascii="Arial" w:hAnsi="Arial" w:cs="Arial"/>
          <w:szCs w:val="24"/>
        </w:rPr>
        <w:t>currently being developed. IRS is working on the methodology for</w:t>
      </w:r>
      <w:r w:rsidR="00AC6B7D">
        <w:rPr>
          <w:rFonts w:ascii="Arial" w:hAnsi="Arial" w:cs="Arial"/>
          <w:szCs w:val="24"/>
        </w:rPr>
        <w:t xml:space="preserve"> </w:t>
      </w:r>
      <w:r w:rsidRPr="00AC6B7D" w:rsidR="00AC6B7D">
        <w:rPr>
          <w:rFonts w:ascii="Arial" w:hAnsi="Arial" w:cs="Arial"/>
          <w:szCs w:val="24"/>
        </w:rPr>
        <w:t>evaluating information return burden and cost; and will update the cost and burden</w:t>
      </w:r>
      <w:r w:rsidR="00AC6B7D">
        <w:rPr>
          <w:rFonts w:ascii="Arial" w:hAnsi="Arial" w:cs="Arial"/>
          <w:szCs w:val="24"/>
        </w:rPr>
        <w:t xml:space="preserve"> </w:t>
      </w:r>
      <w:r w:rsidRPr="00AC6B7D" w:rsidR="00AC6B7D">
        <w:rPr>
          <w:rFonts w:ascii="Arial" w:hAnsi="Arial" w:cs="Arial"/>
          <w:szCs w:val="24"/>
        </w:rPr>
        <w:t>estimates as part of the consolidation.</w:t>
      </w:r>
    </w:p>
    <w:p w:rsidR="009E3D48" w:rsidRPr="004D574D" w:rsidP="009E3D48" w14:paraId="051FCBD1" w14:textId="77777777">
      <w:pPr>
        <w:tabs>
          <w:tab w:val="left" w:pos="540"/>
        </w:tabs>
        <w:ind w:left="540" w:hanging="540"/>
        <w:rPr>
          <w:rFonts w:ascii="Arial" w:hAnsi="Arial" w:cs="Arial"/>
          <w:b/>
          <w:szCs w:val="24"/>
          <w:u w:val="single"/>
        </w:rPr>
      </w:pPr>
    </w:p>
    <w:p w:rsidR="009E3D48" w:rsidRPr="004D574D" w:rsidP="009E3D48" w14:paraId="2FDABC9C"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ESTIMATED ANNUALIZED COST TO THE FEDERAL GOVERNMENT </w:t>
      </w:r>
    </w:p>
    <w:p w:rsidR="009E3D48" w:rsidRPr="004D574D" w:rsidP="009E3D48" w14:paraId="75828289" w14:textId="77777777">
      <w:pPr>
        <w:tabs>
          <w:tab w:val="left" w:pos="540"/>
        </w:tabs>
        <w:ind w:left="540" w:hanging="540"/>
        <w:rPr>
          <w:rFonts w:ascii="Arial" w:hAnsi="Arial" w:cs="Arial"/>
          <w:szCs w:val="24"/>
        </w:rPr>
      </w:pPr>
    </w:p>
    <w:p w:rsidR="00D463E0" w:rsidRPr="004D574D" w:rsidP="009E3D48" w14:paraId="2AD6C81E" w14:textId="18891BBE">
      <w:pPr>
        <w:tabs>
          <w:tab w:val="left" w:pos="540"/>
        </w:tabs>
        <w:ind w:left="540" w:hanging="540"/>
        <w:rPr>
          <w:rFonts w:ascii="Arial" w:hAnsi="Arial" w:cs="Arial"/>
          <w:szCs w:val="24"/>
        </w:rPr>
      </w:pPr>
      <w:r w:rsidRPr="004D574D">
        <w:rPr>
          <w:rFonts w:ascii="Arial" w:hAnsi="Arial" w:cs="Arial"/>
          <w:szCs w:val="24"/>
        </w:rPr>
        <w:tab/>
      </w:r>
      <w:r w:rsidRPr="0097349B" w:rsidR="0097349B">
        <w:rPr>
          <w:rFonts w:ascii="Arial" w:hAnsi="Arial" w:cs="Arial"/>
          <w:szCs w:val="24"/>
        </w:rPr>
        <w:t>There is no annualized cost to the federal government as the reporting requirements are narrative statements that taxpayers attached to their returns. Therefore, there is no printing, copying, or distribution costs incurred by the IRS. The government costs do not include any activities such as taxpayer assistance and enforcement</w:t>
      </w:r>
      <w:r w:rsidRPr="004D574D" w:rsidR="00A648C2">
        <w:rPr>
          <w:rFonts w:ascii="Arial" w:hAnsi="Arial" w:cs="Arial"/>
          <w:szCs w:val="24"/>
        </w:rPr>
        <w:t>.</w:t>
      </w:r>
    </w:p>
    <w:p w:rsidR="00D463E0" w:rsidRPr="004D574D" w:rsidP="009E3D48" w14:paraId="0CC7F49A" w14:textId="77777777">
      <w:pPr>
        <w:tabs>
          <w:tab w:val="left" w:pos="540"/>
        </w:tabs>
        <w:ind w:left="540" w:hanging="540"/>
        <w:rPr>
          <w:rFonts w:ascii="Arial" w:hAnsi="Arial" w:cs="Arial"/>
          <w:b/>
          <w:szCs w:val="24"/>
        </w:rPr>
      </w:pPr>
    </w:p>
    <w:p w:rsidR="00DB3926" w:rsidRPr="004D574D" w:rsidP="009E3D48" w14:paraId="6DFF7948"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REASONS FOR CHANGE IN BURDEN </w:t>
      </w:r>
    </w:p>
    <w:p w:rsidR="00DB3926" w:rsidRPr="004D574D" w:rsidP="00DB3926" w14:paraId="7CDCA7FA" w14:textId="77777777">
      <w:pPr>
        <w:pStyle w:val="ListParagraph"/>
        <w:tabs>
          <w:tab w:val="left" w:pos="540"/>
        </w:tabs>
        <w:ind w:left="540"/>
        <w:rPr>
          <w:rFonts w:ascii="Arial" w:hAnsi="Arial" w:cs="Arial"/>
          <w:b/>
          <w:szCs w:val="24"/>
        </w:rPr>
      </w:pPr>
    </w:p>
    <w:p w:rsidR="007B6659" w:rsidP="004D574D" w14:paraId="0F5626F6" w14:textId="77777777">
      <w:pPr>
        <w:tabs>
          <w:tab w:val="left" w:pos="4176"/>
          <w:tab w:val="left" w:pos="5040"/>
        </w:tabs>
        <w:ind w:left="540"/>
        <w:rPr>
          <w:rFonts w:ascii="Arial" w:hAnsi="Arial" w:cs="Arial"/>
          <w:bCs/>
          <w:szCs w:val="24"/>
        </w:rPr>
      </w:pPr>
      <w:r w:rsidRPr="004D574D">
        <w:rPr>
          <w:rFonts w:ascii="Arial" w:hAnsi="Arial" w:cs="Arial"/>
          <w:szCs w:val="24"/>
        </w:rPr>
        <w:t xml:space="preserve">There is no change in the </w:t>
      </w:r>
      <w:r>
        <w:rPr>
          <w:rFonts w:ascii="Arial" w:hAnsi="Arial" w:cs="Arial"/>
          <w:szCs w:val="24"/>
        </w:rPr>
        <w:t xml:space="preserve">collections of information </w:t>
      </w:r>
      <w:r w:rsidRPr="004D574D">
        <w:rPr>
          <w:rFonts w:ascii="Arial" w:hAnsi="Arial" w:cs="Arial"/>
          <w:szCs w:val="24"/>
        </w:rPr>
        <w:t xml:space="preserve">previously approved by OMB. </w:t>
      </w:r>
      <w:r>
        <w:rPr>
          <w:rFonts w:ascii="Arial" w:hAnsi="Arial" w:cs="Arial"/>
          <w:szCs w:val="24"/>
        </w:rPr>
        <w:t xml:space="preserve">However, updates to properly account for both burdens addressed in TD 9348 and TD 9421 will result in an estimated burden increase of 50 hours.  </w:t>
      </w:r>
      <w:r w:rsidRPr="004D574D" w:rsidR="00436108">
        <w:rPr>
          <w:rFonts w:ascii="Arial" w:hAnsi="Arial" w:cs="Arial"/>
          <w:bCs/>
          <w:szCs w:val="24"/>
        </w:rPr>
        <w:t>IRS is making this</w:t>
      </w:r>
      <w:r w:rsidR="004D574D">
        <w:rPr>
          <w:rFonts w:ascii="Arial" w:hAnsi="Arial" w:cs="Arial"/>
          <w:bCs/>
          <w:szCs w:val="24"/>
        </w:rPr>
        <w:t xml:space="preserve"> </w:t>
      </w:r>
      <w:r w:rsidRPr="004D574D" w:rsidR="00436108">
        <w:rPr>
          <w:rFonts w:ascii="Arial" w:hAnsi="Arial" w:cs="Arial"/>
          <w:bCs/>
          <w:szCs w:val="24"/>
        </w:rPr>
        <w:t xml:space="preserve">submission to </w:t>
      </w:r>
      <w:r>
        <w:rPr>
          <w:rFonts w:ascii="Arial" w:hAnsi="Arial" w:cs="Arial"/>
          <w:bCs/>
          <w:szCs w:val="24"/>
        </w:rPr>
        <w:t xml:space="preserve">update and </w:t>
      </w:r>
      <w:r w:rsidRPr="004D574D" w:rsidR="00436108">
        <w:rPr>
          <w:rFonts w:ascii="Arial" w:hAnsi="Arial" w:cs="Arial"/>
          <w:bCs/>
          <w:szCs w:val="24"/>
        </w:rPr>
        <w:t xml:space="preserve">renew the OMB approval.     </w:t>
      </w:r>
    </w:p>
    <w:p w:rsidR="007B6659" w:rsidP="007B6659" w14:paraId="1730C681" w14:textId="77777777">
      <w:pPr>
        <w:rPr>
          <w:vanish/>
        </w:rPr>
      </w:pPr>
    </w:p>
    <w:tbl>
      <w:tblPr>
        <w:tblDescription w:val="table that charts list of burden"/>
        <w:tblW w:w="4723" w:type="pct"/>
        <w:tblInd w:w="53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1385"/>
        <w:gridCol w:w="1143"/>
        <w:gridCol w:w="1146"/>
        <w:gridCol w:w="1146"/>
        <w:gridCol w:w="1718"/>
        <w:gridCol w:w="1146"/>
        <w:gridCol w:w="1142"/>
      </w:tblGrid>
      <w:tr w14:paraId="268F2916" w14:textId="77777777" w:rsidTr="00286CC4">
        <w:tblPrEx>
          <w:tblW w:w="4723" w:type="pct"/>
          <w:tblInd w:w="532"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375"/>
        </w:trPr>
        <w:tc>
          <w:tcPr>
            <w:tcW w:w="78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453BF2E4"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 </w:t>
            </w:r>
          </w:p>
        </w:tc>
        <w:tc>
          <w:tcPr>
            <w:tcW w:w="64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27E1FF3A" w14:textId="45E57CF4">
            <w:pPr>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64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24092B37"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New Statute</w:t>
            </w:r>
          </w:p>
        </w:tc>
        <w:tc>
          <w:tcPr>
            <w:tcW w:w="64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0ECB99FA"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Agency Discretion</w:t>
            </w:r>
          </w:p>
        </w:tc>
        <w:tc>
          <w:tcPr>
            <w:tcW w:w="973"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33DEB9C1"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Change Due to Adjustment in Agency Estimate</w:t>
            </w:r>
          </w:p>
        </w:tc>
        <w:tc>
          <w:tcPr>
            <w:tcW w:w="64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0288E1DB"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Change Due to Potential Violation of the PRA</w:t>
            </w:r>
          </w:p>
        </w:tc>
        <w:tc>
          <w:tcPr>
            <w:tcW w:w="64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7B6659" w14:paraId="584D3FA3" w14:textId="77777777">
            <w:pPr>
              <w:spacing w:line="195" w:lineRule="atLeast"/>
              <w:jc w:val="center"/>
              <w:rPr>
                <w:rFonts w:ascii="Arial" w:hAnsi="Arial" w:cs="Arial"/>
                <w:b/>
                <w:bCs/>
                <w:color w:val="FFFFFF"/>
                <w:sz w:val="17"/>
                <w:szCs w:val="17"/>
              </w:rPr>
            </w:pPr>
            <w:r>
              <w:rPr>
                <w:rFonts w:ascii="Arial" w:hAnsi="Arial" w:cs="Arial"/>
                <w:b/>
                <w:bCs/>
                <w:color w:val="FFFFFF"/>
                <w:sz w:val="17"/>
                <w:szCs w:val="17"/>
              </w:rPr>
              <w:t>Previously Approved</w:t>
            </w:r>
          </w:p>
        </w:tc>
      </w:tr>
      <w:tr w14:paraId="1182BB41" w14:textId="77777777" w:rsidTr="00286CC4">
        <w:tblPrEx>
          <w:tblW w:w="4723" w:type="pct"/>
          <w:tblInd w:w="532" w:type="dxa"/>
          <w:shd w:val="clear" w:color="auto" w:fill="FFFFFF"/>
          <w:tblCellMar>
            <w:left w:w="0" w:type="dxa"/>
            <w:right w:w="0" w:type="dxa"/>
          </w:tblCellMar>
          <w:tblLook w:val="04A0"/>
        </w:tblPrEx>
        <w:trPr>
          <w:trHeight w:val="375"/>
        </w:trPr>
        <w:tc>
          <w:tcPr>
            <w:tcW w:w="78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D27E571" w14:textId="77777777">
            <w:pPr>
              <w:spacing w:line="225" w:lineRule="atLeast"/>
              <w:rPr>
                <w:rFonts w:ascii="Arial" w:hAnsi="Arial" w:cs="Arial"/>
                <w:color w:val="56606F"/>
                <w:sz w:val="17"/>
                <w:szCs w:val="17"/>
              </w:rPr>
            </w:pPr>
            <w:r>
              <w:rPr>
                <w:rFonts w:ascii="Arial" w:hAnsi="Arial" w:cs="Arial"/>
                <w:color w:val="56606F"/>
                <w:sz w:val="17"/>
                <w:szCs w:val="17"/>
              </w:rPr>
              <w:t>Annual Number of Responses for this IC</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E99FF95" w14:textId="6BAC825D">
            <w:pPr>
              <w:spacing w:line="225" w:lineRule="atLeast"/>
              <w:rPr>
                <w:rFonts w:ascii="Arial" w:hAnsi="Arial" w:cs="Arial"/>
                <w:color w:val="56606F"/>
                <w:sz w:val="17"/>
                <w:szCs w:val="17"/>
              </w:rPr>
            </w:pPr>
            <w:r>
              <w:rPr>
                <w:rFonts w:ascii="Arial" w:hAnsi="Arial" w:cs="Arial"/>
                <w:color w:val="56606F"/>
                <w:sz w:val="17"/>
                <w:szCs w:val="17"/>
              </w:rPr>
              <w:t>700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4EEE7AC"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6C3A8494"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97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1BFD0C77" w14:textId="36ED1F9D">
            <w:pPr>
              <w:spacing w:line="225" w:lineRule="atLeast"/>
              <w:rPr>
                <w:rFonts w:ascii="Arial" w:hAnsi="Arial" w:cs="Arial"/>
                <w:color w:val="56606F"/>
                <w:sz w:val="17"/>
                <w:szCs w:val="17"/>
              </w:rPr>
            </w:pPr>
            <w:r>
              <w:rPr>
                <w:rFonts w:ascii="Arial" w:hAnsi="Arial" w:cs="Arial"/>
                <w:color w:val="56606F"/>
                <w:sz w:val="17"/>
                <w:szCs w:val="17"/>
              </w:rPr>
              <w:t>50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5D3FDE2"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40BF99F9" w14:textId="77777777">
            <w:pPr>
              <w:spacing w:line="225" w:lineRule="atLeast"/>
              <w:rPr>
                <w:rFonts w:ascii="Arial" w:hAnsi="Arial" w:cs="Arial"/>
                <w:color w:val="56606F"/>
                <w:sz w:val="17"/>
                <w:szCs w:val="17"/>
              </w:rPr>
            </w:pPr>
            <w:r>
              <w:rPr>
                <w:rFonts w:ascii="Arial" w:hAnsi="Arial" w:cs="Arial"/>
                <w:color w:val="56606F"/>
                <w:sz w:val="17"/>
                <w:szCs w:val="17"/>
              </w:rPr>
              <w:t>650</w:t>
            </w:r>
          </w:p>
        </w:tc>
      </w:tr>
      <w:tr w14:paraId="5480BA23" w14:textId="77777777" w:rsidTr="00286CC4">
        <w:tblPrEx>
          <w:tblW w:w="4723" w:type="pct"/>
          <w:tblInd w:w="532" w:type="dxa"/>
          <w:shd w:val="clear" w:color="auto" w:fill="FFFFFF"/>
          <w:tblCellMar>
            <w:left w:w="0" w:type="dxa"/>
            <w:right w:w="0" w:type="dxa"/>
          </w:tblCellMar>
          <w:tblLook w:val="04A0"/>
        </w:tblPrEx>
        <w:trPr>
          <w:trHeight w:val="375"/>
        </w:trPr>
        <w:tc>
          <w:tcPr>
            <w:tcW w:w="78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F565F43" w14:textId="77777777">
            <w:pPr>
              <w:spacing w:line="225" w:lineRule="atLeast"/>
              <w:rPr>
                <w:rFonts w:ascii="Arial" w:hAnsi="Arial" w:cs="Arial"/>
                <w:color w:val="56606F"/>
                <w:sz w:val="17"/>
                <w:szCs w:val="17"/>
              </w:rPr>
            </w:pPr>
            <w:r>
              <w:rPr>
                <w:rFonts w:ascii="Arial" w:hAnsi="Arial" w:cs="Arial"/>
                <w:color w:val="56606F"/>
                <w:sz w:val="17"/>
                <w:szCs w:val="17"/>
              </w:rPr>
              <w:t>Annual IC Time Burden (Hours)</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0F918574" w14:textId="682A6F5E">
            <w:pPr>
              <w:spacing w:line="225" w:lineRule="atLeast"/>
              <w:rPr>
                <w:rFonts w:ascii="Arial" w:hAnsi="Arial" w:cs="Arial"/>
                <w:color w:val="56606F"/>
                <w:sz w:val="17"/>
                <w:szCs w:val="17"/>
              </w:rPr>
            </w:pPr>
            <w:r>
              <w:rPr>
                <w:rFonts w:ascii="Arial" w:hAnsi="Arial" w:cs="Arial"/>
                <w:color w:val="56606F"/>
                <w:sz w:val="17"/>
                <w:szCs w:val="17"/>
              </w:rPr>
              <w:t>1,</w:t>
            </w:r>
            <w:r w:rsidR="005C01C7">
              <w:rPr>
                <w:rFonts w:ascii="Arial" w:hAnsi="Arial" w:cs="Arial"/>
                <w:color w:val="56606F"/>
                <w:sz w:val="17"/>
                <w:szCs w:val="17"/>
              </w:rPr>
              <w:t>402</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CB96D22"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509CA1D1"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973"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23F8C16B" w14:textId="3EFF477C">
            <w:pPr>
              <w:spacing w:line="225" w:lineRule="atLeast"/>
              <w:rPr>
                <w:rFonts w:ascii="Arial" w:hAnsi="Arial" w:cs="Arial"/>
                <w:color w:val="56606F"/>
                <w:sz w:val="17"/>
                <w:szCs w:val="17"/>
              </w:rPr>
            </w:pPr>
            <w:r>
              <w:rPr>
                <w:rFonts w:ascii="Arial" w:hAnsi="Arial" w:cs="Arial"/>
                <w:color w:val="56606F"/>
                <w:sz w:val="17"/>
                <w:szCs w:val="17"/>
              </w:rPr>
              <w:t>50</w:t>
            </w:r>
          </w:p>
        </w:tc>
        <w:tc>
          <w:tcPr>
            <w:tcW w:w="649"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1920EE54" w14:textId="77777777">
            <w:pPr>
              <w:spacing w:line="225" w:lineRule="atLeast"/>
              <w:rPr>
                <w:rFonts w:ascii="Arial" w:hAnsi="Arial" w:cs="Arial"/>
                <w:color w:val="56606F"/>
                <w:sz w:val="17"/>
                <w:szCs w:val="17"/>
              </w:rPr>
            </w:pPr>
            <w:r>
              <w:rPr>
                <w:rFonts w:ascii="Arial" w:hAnsi="Arial" w:cs="Arial"/>
                <w:color w:val="56606F"/>
                <w:sz w:val="17"/>
                <w:szCs w:val="17"/>
              </w:rPr>
              <w:t>0</w:t>
            </w:r>
          </w:p>
        </w:tc>
        <w:tc>
          <w:tcPr>
            <w:tcW w:w="648"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7B6659" w14:paraId="1F63D8CC" w14:textId="77777777">
            <w:pPr>
              <w:spacing w:line="225" w:lineRule="atLeast"/>
              <w:rPr>
                <w:rFonts w:ascii="Arial" w:hAnsi="Arial" w:cs="Arial"/>
                <w:color w:val="56606F"/>
                <w:sz w:val="17"/>
                <w:szCs w:val="17"/>
              </w:rPr>
            </w:pPr>
            <w:r>
              <w:rPr>
                <w:rFonts w:ascii="Arial" w:hAnsi="Arial" w:cs="Arial"/>
                <w:color w:val="56606F"/>
                <w:sz w:val="17"/>
                <w:szCs w:val="17"/>
              </w:rPr>
              <w:t>1,352</w:t>
            </w:r>
          </w:p>
        </w:tc>
      </w:tr>
    </w:tbl>
    <w:p w:rsidR="00DB3926" w:rsidP="005C01C7" w14:paraId="04438A2C" w14:textId="62662DD2">
      <w:pPr>
        <w:ind w:left="540"/>
        <w:rPr>
          <w:rFonts w:ascii="Arial" w:hAnsi="Arial" w:cs="Arial"/>
          <w:szCs w:val="24"/>
        </w:rPr>
      </w:pPr>
      <w:r w:rsidRPr="004D574D">
        <w:rPr>
          <w:rFonts w:ascii="Arial" w:hAnsi="Arial" w:cs="Arial"/>
          <w:bCs/>
          <w:szCs w:val="24"/>
        </w:rPr>
        <w:t xml:space="preserve">          </w:t>
      </w:r>
      <w:r w:rsidRPr="004D574D" w:rsidR="00277A26">
        <w:rPr>
          <w:rFonts w:ascii="Arial" w:hAnsi="Arial" w:cs="Arial"/>
          <w:szCs w:val="24"/>
        </w:rPr>
        <w:t xml:space="preserve"> </w:t>
      </w:r>
    </w:p>
    <w:p w:rsidR="004C6477" w:rsidP="005C01C7" w14:paraId="2658F48E" w14:textId="77777777">
      <w:pPr>
        <w:ind w:left="540"/>
        <w:rPr>
          <w:rFonts w:ascii="Arial" w:hAnsi="Arial" w:cs="Arial"/>
          <w:szCs w:val="24"/>
        </w:rPr>
      </w:pPr>
    </w:p>
    <w:p w:rsidR="0058023B" w:rsidP="005C01C7" w14:paraId="79C4692B" w14:textId="77777777">
      <w:pPr>
        <w:ind w:left="540"/>
        <w:rPr>
          <w:rFonts w:ascii="Arial" w:hAnsi="Arial" w:cs="Arial"/>
          <w:szCs w:val="24"/>
        </w:rPr>
      </w:pPr>
    </w:p>
    <w:p w:rsidR="0058023B" w:rsidP="005C01C7" w14:paraId="4861C6F4" w14:textId="77777777">
      <w:pPr>
        <w:ind w:left="540"/>
        <w:rPr>
          <w:rFonts w:ascii="Arial" w:hAnsi="Arial" w:cs="Arial"/>
          <w:szCs w:val="24"/>
        </w:rPr>
      </w:pPr>
    </w:p>
    <w:p w:rsidR="004C6477" w:rsidRPr="004D574D" w:rsidP="005C01C7" w14:paraId="4E7A7013" w14:textId="77777777">
      <w:pPr>
        <w:ind w:left="540"/>
        <w:rPr>
          <w:rFonts w:ascii="Arial" w:hAnsi="Arial" w:cs="Arial"/>
          <w:b/>
          <w:szCs w:val="24"/>
        </w:rPr>
      </w:pPr>
    </w:p>
    <w:p w:rsidR="009E3D48" w:rsidRPr="004D574D" w:rsidP="009E3D48" w14:paraId="2E1862E6"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PLANS FOR TABULATION, STATISTICAL ANALYSIS AND PUBLICATION </w:t>
      </w:r>
    </w:p>
    <w:p w:rsidR="009E3D48" w:rsidRPr="004D574D" w:rsidP="009E3D48" w14:paraId="7896CBC5" w14:textId="77777777">
      <w:pPr>
        <w:tabs>
          <w:tab w:val="left" w:pos="540"/>
        </w:tabs>
        <w:ind w:left="540" w:hanging="540"/>
        <w:rPr>
          <w:rFonts w:ascii="Arial" w:hAnsi="Arial" w:cs="Arial"/>
          <w:szCs w:val="24"/>
        </w:rPr>
      </w:pPr>
    </w:p>
    <w:p w:rsidR="0004104E" w:rsidRPr="004D574D" w:rsidP="0004104E" w14:paraId="4C1449F0" w14:textId="77777777">
      <w:pPr>
        <w:tabs>
          <w:tab w:val="left" w:pos="540"/>
        </w:tabs>
        <w:ind w:left="540" w:hanging="540"/>
        <w:rPr>
          <w:rFonts w:ascii="Arial" w:hAnsi="Arial" w:cs="Arial"/>
          <w:szCs w:val="24"/>
        </w:rPr>
      </w:pPr>
      <w:r w:rsidRPr="004D574D">
        <w:rPr>
          <w:rFonts w:ascii="Arial" w:hAnsi="Arial" w:cs="Arial"/>
          <w:szCs w:val="24"/>
        </w:rPr>
        <w:tab/>
      </w:r>
      <w:r w:rsidRPr="004D574D" w:rsidR="00A648C2">
        <w:rPr>
          <w:rFonts w:ascii="Arial" w:hAnsi="Arial" w:cs="Arial"/>
          <w:szCs w:val="24"/>
        </w:rPr>
        <w:t>There are no plans for tabulation, statistical analysis, and publication.</w:t>
      </w:r>
    </w:p>
    <w:p w:rsidR="00122B31" w:rsidP="009E3D48" w14:paraId="626CD3DA" w14:textId="77777777">
      <w:pPr>
        <w:tabs>
          <w:tab w:val="left" w:pos="540"/>
        </w:tabs>
        <w:ind w:left="540" w:hanging="540"/>
        <w:rPr>
          <w:rFonts w:ascii="Arial" w:hAnsi="Arial" w:cs="Arial"/>
          <w:szCs w:val="24"/>
          <w:u w:val="single"/>
        </w:rPr>
      </w:pPr>
    </w:p>
    <w:p w:rsidR="004C6477" w:rsidRPr="004D574D" w:rsidP="009E3D48" w14:paraId="571804D3" w14:textId="77777777">
      <w:pPr>
        <w:tabs>
          <w:tab w:val="left" w:pos="540"/>
        </w:tabs>
        <w:ind w:left="540" w:hanging="540"/>
        <w:rPr>
          <w:rFonts w:ascii="Arial" w:hAnsi="Arial" w:cs="Arial"/>
          <w:szCs w:val="24"/>
          <w:u w:val="single"/>
        </w:rPr>
      </w:pPr>
    </w:p>
    <w:p w:rsidR="009E3D48" w:rsidRPr="004D574D" w:rsidP="009E3D48" w14:paraId="69798701"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 xml:space="preserve">REASONS WHY DISPLAYING THE OMB EXPIRATION DATE IS INAPPROPRIATE </w:t>
      </w:r>
    </w:p>
    <w:p w:rsidR="009E3D48" w:rsidRPr="004D574D" w:rsidP="009E3D48" w14:paraId="763D1970" w14:textId="77777777">
      <w:pPr>
        <w:tabs>
          <w:tab w:val="left" w:pos="540"/>
        </w:tabs>
        <w:ind w:left="540" w:hanging="540"/>
        <w:rPr>
          <w:rFonts w:ascii="Arial" w:hAnsi="Arial" w:cs="Arial"/>
          <w:b/>
          <w:szCs w:val="24"/>
        </w:rPr>
      </w:pPr>
    </w:p>
    <w:p w:rsidR="0004104E" w:rsidP="004606C9" w14:paraId="2105C2FE" w14:textId="75EE4435">
      <w:pPr>
        <w:tabs>
          <w:tab w:val="left" w:pos="540"/>
        </w:tabs>
        <w:ind w:left="540"/>
        <w:rPr>
          <w:rFonts w:ascii="Arial" w:hAnsi="Arial" w:cs="Arial"/>
          <w:szCs w:val="24"/>
        </w:rPr>
      </w:pPr>
      <w:r w:rsidRPr="004D574D">
        <w:rPr>
          <w:rFonts w:ascii="Arial" w:hAnsi="Arial" w:cs="Arial"/>
          <w:szCs w:val="24"/>
        </w:rPr>
        <w:t xml:space="preserve">IRS believes that displaying the OMB expiration date is inappropriate because it could cause confusion by leading taxpayers to believe that the </w:t>
      </w:r>
      <w:r w:rsidR="00C342F0">
        <w:rPr>
          <w:rFonts w:ascii="Arial" w:hAnsi="Arial" w:cs="Arial"/>
          <w:szCs w:val="24"/>
        </w:rPr>
        <w:t>collection</w:t>
      </w:r>
      <w:r w:rsidRPr="004D574D" w:rsidR="00C342F0">
        <w:rPr>
          <w:rFonts w:ascii="Arial" w:hAnsi="Arial" w:cs="Arial"/>
          <w:szCs w:val="24"/>
        </w:rPr>
        <w:t xml:space="preserve"> </w:t>
      </w:r>
      <w:r w:rsidRPr="004D574D">
        <w:rPr>
          <w:rFonts w:ascii="Arial" w:hAnsi="Arial" w:cs="Arial"/>
          <w:szCs w:val="24"/>
        </w:rPr>
        <w:t xml:space="preserve">sunsets as of the expiration date.  Taxpayers are not likely to be aware that the </w:t>
      </w:r>
      <w:r w:rsidR="00286CC4">
        <w:rPr>
          <w:rFonts w:ascii="Arial" w:hAnsi="Arial" w:cs="Arial"/>
          <w:szCs w:val="24"/>
        </w:rPr>
        <w:t>IRS</w:t>
      </w:r>
      <w:r w:rsidRPr="004D574D" w:rsidR="00286CC4">
        <w:rPr>
          <w:rFonts w:ascii="Arial" w:hAnsi="Arial" w:cs="Arial"/>
          <w:szCs w:val="24"/>
        </w:rPr>
        <w:t xml:space="preserve"> </w:t>
      </w:r>
      <w:r w:rsidRPr="004D574D">
        <w:rPr>
          <w:rFonts w:ascii="Arial" w:hAnsi="Arial" w:cs="Arial"/>
          <w:szCs w:val="24"/>
        </w:rPr>
        <w:t>intends to request renewal of the OMB approval and obtain a new expiration date before the old one expires.</w:t>
      </w:r>
    </w:p>
    <w:p w:rsidR="005916A4" w:rsidRPr="004D574D" w:rsidP="004606C9" w14:paraId="668EC801" w14:textId="77777777">
      <w:pPr>
        <w:tabs>
          <w:tab w:val="left" w:pos="540"/>
        </w:tabs>
        <w:ind w:left="540"/>
        <w:rPr>
          <w:rFonts w:ascii="Arial" w:hAnsi="Arial" w:cs="Arial"/>
          <w:szCs w:val="24"/>
        </w:rPr>
      </w:pPr>
    </w:p>
    <w:p w:rsidR="00D463E0" w:rsidRPr="004D574D" w:rsidP="004D574D" w14:paraId="751653ED" w14:textId="77777777">
      <w:pPr>
        <w:ind w:left="540" w:hanging="540"/>
        <w:rPr>
          <w:rFonts w:ascii="Arial" w:hAnsi="Arial" w:cs="Arial"/>
          <w:b/>
          <w:szCs w:val="24"/>
          <w:u w:val="single"/>
        </w:rPr>
      </w:pPr>
    </w:p>
    <w:p w:rsidR="009E3D48" w:rsidRPr="004D574D" w:rsidP="009E3D48" w14:paraId="749E9A23" w14:textId="77777777">
      <w:pPr>
        <w:pStyle w:val="ListParagraph"/>
        <w:numPr>
          <w:ilvl w:val="0"/>
          <w:numId w:val="1"/>
        </w:numPr>
        <w:tabs>
          <w:tab w:val="left" w:pos="540"/>
        </w:tabs>
        <w:ind w:left="540" w:hanging="540"/>
        <w:rPr>
          <w:rFonts w:ascii="Arial" w:hAnsi="Arial" w:cs="Arial"/>
          <w:b/>
          <w:szCs w:val="24"/>
          <w:u w:val="single"/>
        </w:rPr>
      </w:pPr>
      <w:r w:rsidRPr="004D574D">
        <w:rPr>
          <w:rFonts w:ascii="Arial" w:hAnsi="Arial" w:cs="Arial"/>
          <w:b/>
          <w:szCs w:val="24"/>
          <w:u w:val="single"/>
        </w:rPr>
        <w:t>EXCEPTIONS TO THE CERTIFICATION STATEMENT</w:t>
      </w:r>
    </w:p>
    <w:p w:rsidR="009E3D48" w:rsidRPr="004D574D" w:rsidP="009E3D48" w14:paraId="038C386A" w14:textId="77777777">
      <w:pPr>
        <w:tabs>
          <w:tab w:val="left" w:pos="540"/>
        </w:tabs>
        <w:ind w:left="540" w:hanging="540"/>
        <w:rPr>
          <w:rFonts w:ascii="Arial" w:hAnsi="Arial" w:cs="Arial"/>
          <w:szCs w:val="24"/>
        </w:rPr>
      </w:pPr>
    </w:p>
    <w:p w:rsidR="00A648C2" w:rsidRPr="004D574D" w:rsidP="004D574D" w14:paraId="355CEC30" w14:textId="74CDD67D">
      <w:pPr>
        <w:ind w:left="540"/>
        <w:rPr>
          <w:rFonts w:ascii="Arial" w:hAnsi="Arial" w:cs="Arial"/>
          <w:szCs w:val="24"/>
        </w:rPr>
      </w:pPr>
      <w:r w:rsidRPr="004D574D">
        <w:rPr>
          <w:rFonts w:ascii="Arial" w:hAnsi="Arial" w:cs="Arial"/>
          <w:szCs w:val="24"/>
        </w:rPr>
        <w:t>There are no exceptions to the certification statement</w:t>
      </w:r>
      <w:r w:rsidRPr="004D574D" w:rsidR="00682458">
        <w:rPr>
          <w:rFonts w:ascii="Arial" w:hAnsi="Arial" w:cs="Arial"/>
          <w:szCs w:val="24"/>
        </w:rPr>
        <w:t xml:space="preserve"> for this collection</w:t>
      </w:r>
      <w:r w:rsidRPr="004D574D">
        <w:rPr>
          <w:rFonts w:ascii="Arial" w:hAnsi="Arial" w:cs="Arial"/>
          <w:szCs w:val="24"/>
        </w:rPr>
        <w:t>.</w:t>
      </w:r>
    </w:p>
    <w:p w:rsidR="0004104E" w:rsidRPr="004D574D" w:rsidP="004D574D" w14:paraId="48DDB153" w14:textId="77777777">
      <w:pPr>
        <w:tabs>
          <w:tab w:val="left" w:pos="540"/>
        </w:tabs>
        <w:ind w:left="540"/>
        <w:rPr>
          <w:rFonts w:ascii="Arial" w:hAnsi="Arial" w:cs="Arial"/>
          <w:szCs w:val="24"/>
        </w:rPr>
      </w:pPr>
    </w:p>
    <w:p w:rsidR="00D463E0" w:rsidRPr="004D574D" w:rsidP="004D574D" w14:paraId="535ECC93" w14:textId="35944A1D">
      <w:pPr>
        <w:ind w:left="540"/>
        <w:rPr>
          <w:rFonts w:ascii="Arial" w:hAnsi="Arial" w:cs="Arial"/>
          <w:szCs w:val="24"/>
        </w:rPr>
      </w:pPr>
    </w:p>
    <w:sectPr w:rsidSect="00B24600">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A648C2" w14:paraId="456A5BC8" w14:textId="77777777">
        <w:pPr>
          <w:pStyle w:val="Footer"/>
          <w:jc w:val="right"/>
        </w:pPr>
        <w:r>
          <w:fldChar w:fldCharType="begin"/>
        </w:r>
        <w:r>
          <w:instrText xml:space="preserve"> PAGE   \* MERGEFORMAT </w:instrText>
        </w:r>
        <w:r>
          <w:fldChar w:fldCharType="separate"/>
        </w:r>
        <w:r w:rsidR="0007317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102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4104E"/>
    <w:rsid w:val="00057869"/>
    <w:rsid w:val="00070105"/>
    <w:rsid w:val="000720DB"/>
    <w:rsid w:val="0007317C"/>
    <w:rsid w:val="00077E44"/>
    <w:rsid w:val="00083220"/>
    <w:rsid w:val="00115335"/>
    <w:rsid w:val="00120C80"/>
    <w:rsid w:val="00122B31"/>
    <w:rsid w:val="0012304F"/>
    <w:rsid w:val="001616BC"/>
    <w:rsid w:val="00183523"/>
    <w:rsid w:val="00197CEF"/>
    <w:rsid w:val="00206F84"/>
    <w:rsid w:val="00223940"/>
    <w:rsid w:val="00235AD5"/>
    <w:rsid w:val="00241EE0"/>
    <w:rsid w:val="002456AB"/>
    <w:rsid w:val="00272033"/>
    <w:rsid w:val="00272559"/>
    <w:rsid w:val="0027266E"/>
    <w:rsid w:val="00277A26"/>
    <w:rsid w:val="00286CC4"/>
    <w:rsid w:val="002911BE"/>
    <w:rsid w:val="002A45C9"/>
    <w:rsid w:val="002A463C"/>
    <w:rsid w:val="002C7C4B"/>
    <w:rsid w:val="0031346F"/>
    <w:rsid w:val="0034424D"/>
    <w:rsid w:val="00377A8D"/>
    <w:rsid w:val="003B57A1"/>
    <w:rsid w:val="00436108"/>
    <w:rsid w:val="004606C9"/>
    <w:rsid w:val="0047046A"/>
    <w:rsid w:val="004C6477"/>
    <w:rsid w:val="004D574D"/>
    <w:rsid w:val="004F6E26"/>
    <w:rsid w:val="005737AF"/>
    <w:rsid w:val="0058023B"/>
    <w:rsid w:val="005916A4"/>
    <w:rsid w:val="005A3AD1"/>
    <w:rsid w:val="005C01C7"/>
    <w:rsid w:val="005E6135"/>
    <w:rsid w:val="006031DF"/>
    <w:rsid w:val="00622784"/>
    <w:rsid w:val="00637C90"/>
    <w:rsid w:val="006546DD"/>
    <w:rsid w:val="00682458"/>
    <w:rsid w:val="006B08BA"/>
    <w:rsid w:val="006D236E"/>
    <w:rsid w:val="0070341E"/>
    <w:rsid w:val="007241DE"/>
    <w:rsid w:val="00770EAA"/>
    <w:rsid w:val="0077138D"/>
    <w:rsid w:val="007B6659"/>
    <w:rsid w:val="00801000"/>
    <w:rsid w:val="00807230"/>
    <w:rsid w:val="008131AD"/>
    <w:rsid w:val="00825872"/>
    <w:rsid w:val="009012EE"/>
    <w:rsid w:val="009302A1"/>
    <w:rsid w:val="00946CFC"/>
    <w:rsid w:val="00964FD7"/>
    <w:rsid w:val="0097349B"/>
    <w:rsid w:val="00996DDD"/>
    <w:rsid w:val="009E3D48"/>
    <w:rsid w:val="009F0679"/>
    <w:rsid w:val="009F368D"/>
    <w:rsid w:val="00A12C6D"/>
    <w:rsid w:val="00A24315"/>
    <w:rsid w:val="00A648C2"/>
    <w:rsid w:val="00A713DF"/>
    <w:rsid w:val="00A806D2"/>
    <w:rsid w:val="00AA034F"/>
    <w:rsid w:val="00AB4DE7"/>
    <w:rsid w:val="00AC6B7D"/>
    <w:rsid w:val="00AF2B60"/>
    <w:rsid w:val="00B24600"/>
    <w:rsid w:val="00B248B3"/>
    <w:rsid w:val="00B54644"/>
    <w:rsid w:val="00BA45DF"/>
    <w:rsid w:val="00BD1F42"/>
    <w:rsid w:val="00BD5103"/>
    <w:rsid w:val="00C342F0"/>
    <w:rsid w:val="00C44ECD"/>
    <w:rsid w:val="00C45F7C"/>
    <w:rsid w:val="00CA7335"/>
    <w:rsid w:val="00CB358B"/>
    <w:rsid w:val="00CF3F4A"/>
    <w:rsid w:val="00D01E6A"/>
    <w:rsid w:val="00D24B07"/>
    <w:rsid w:val="00D3549B"/>
    <w:rsid w:val="00D463E0"/>
    <w:rsid w:val="00D47DDC"/>
    <w:rsid w:val="00D91961"/>
    <w:rsid w:val="00DB3926"/>
    <w:rsid w:val="00DC1585"/>
    <w:rsid w:val="00DF6A65"/>
    <w:rsid w:val="00E00D8A"/>
    <w:rsid w:val="00E20185"/>
    <w:rsid w:val="00E378C3"/>
    <w:rsid w:val="00E545D7"/>
    <w:rsid w:val="00E729D0"/>
    <w:rsid w:val="00EB0140"/>
    <w:rsid w:val="00EB1C81"/>
    <w:rsid w:val="00EB3557"/>
    <w:rsid w:val="00EB5D43"/>
    <w:rsid w:val="00EB6683"/>
    <w:rsid w:val="00EC41D4"/>
    <w:rsid w:val="00ED3A16"/>
    <w:rsid w:val="00ED58B6"/>
    <w:rsid w:val="00F011BC"/>
    <w:rsid w:val="00F02F40"/>
    <w:rsid w:val="00F82330"/>
    <w:rsid w:val="00F87A66"/>
    <w:rsid w:val="00F972DB"/>
    <w:rsid w:val="00FB7B94"/>
    <w:rsid w:val="00FC50B3"/>
    <w:rsid w:val="00FE3D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83C56"/>
  <w15:docId w15:val="{8B085DD1-F67E-45A1-95AB-CCBBC4D9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paragraph" w:styleId="Revision">
    <w:name w:val="Revision"/>
    <w:hidden/>
    <w:uiPriority w:val="99"/>
    <w:semiHidden/>
    <w:rsid w:val="00807230"/>
  </w:style>
  <w:style w:type="character" w:styleId="CommentReference">
    <w:name w:val="annotation reference"/>
    <w:basedOn w:val="DefaultParagraphFont"/>
    <w:uiPriority w:val="99"/>
    <w:semiHidden/>
    <w:unhideWhenUsed/>
    <w:rsid w:val="00083220"/>
    <w:rPr>
      <w:sz w:val="16"/>
      <w:szCs w:val="16"/>
    </w:rPr>
  </w:style>
  <w:style w:type="paragraph" w:styleId="CommentText">
    <w:name w:val="annotation text"/>
    <w:basedOn w:val="Normal"/>
    <w:link w:val="CommentTextChar"/>
    <w:uiPriority w:val="99"/>
    <w:unhideWhenUsed/>
    <w:rsid w:val="00083220"/>
    <w:rPr>
      <w:sz w:val="20"/>
      <w:szCs w:val="20"/>
    </w:rPr>
  </w:style>
  <w:style w:type="character" w:customStyle="1" w:styleId="CommentTextChar">
    <w:name w:val="Comment Text Char"/>
    <w:basedOn w:val="DefaultParagraphFont"/>
    <w:link w:val="CommentText"/>
    <w:uiPriority w:val="99"/>
    <w:rsid w:val="00083220"/>
    <w:rPr>
      <w:sz w:val="20"/>
      <w:szCs w:val="20"/>
    </w:rPr>
  </w:style>
  <w:style w:type="paragraph" w:styleId="CommentSubject">
    <w:name w:val="annotation subject"/>
    <w:basedOn w:val="CommentText"/>
    <w:next w:val="CommentText"/>
    <w:link w:val="CommentSubjectChar"/>
    <w:uiPriority w:val="99"/>
    <w:semiHidden/>
    <w:unhideWhenUsed/>
    <w:rsid w:val="00083220"/>
    <w:rPr>
      <w:b/>
      <w:bCs/>
    </w:rPr>
  </w:style>
  <w:style w:type="character" w:customStyle="1" w:styleId="CommentSubjectChar">
    <w:name w:val="Comment Subject Char"/>
    <w:basedOn w:val="CommentTextChar"/>
    <w:link w:val="CommentSubject"/>
    <w:uiPriority w:val="99"/>
    <w:semiHidden/>
    <w:rsid w:val="00083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96B32F-FFEF-4833-9561-76B5FDB3E31B}">
  <ds:schemaRefs>
    <ds:schemaRef ds:uri="http://schemas.openxmlformats.org/officeDocument/2006/bibliography"/>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Stasko Molly J</cp:lastModifiedBy>
  <cp:revision>4</cp:revision>
  <dcterms:created xsi:type="dcterms:W3CDTF">2025-03-25T20:46:00Z</dcterms:created>
  <dcterms:modified xsi:type="dcterms:W3CDTF">2025-03-25T20:47:00Z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