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FF0DFC" w:rsidP="00695940" w14:paraId="694692A4" w14:textId="77777777">
      <w:pPr>
        <w:ind w:left="-90"/>
        <w:jc w:val="center"/>
        <w:rPr>
          <w:b/>
          <w:bCs/>
          <w:color w:val="000000"/>
        </w:rPr>
      </w:pPr>
      <w:r w:rsidRPr="00FF0DFC">
        <w:rPr>
          <w:b/>
          <w:bCs/>
          <w:color w:val="000000"/>
        </w:rPr>
        <w:t>SUPPORTING STATEMENT</w:t>
      </w:r>
    </w:p>
    <w:p w:rsidR="00BE5210" w:rsidRPr="00FF0DFC" w:rsidP="00695940" w14:paraId="53749B02" w14:textId="77777777">
      <w:pPr>
        <w:ind w:left="-90"/>
        <w:jc w:val="center"/>
        <w:rPr>
          <w:bCs/>
          <w:color w:val="000000"/>
        </w:rPr>
      </w:pPr>
      <w:r w:rsidRPr="00FF0DFC">
        <w:rPr>
          <w:bCs/>
          <w:color w:val="000000"/>
        </w:rPr>
        <w:t>Internal Revenue Service</w:t>
      </w:r>
    </w:p>
    <w:p w:rsidR="002E5626" w:rsidP="00695940" w14:paraId="24EBC8F4" w14:textId="638F6AE9">
      <w:pPr>
        <w:ind w:left="-90"/>
        <w:jc w:val="center"/>
        <w:rPr>
          <w:color w:val="000000"/>
        </w:rPr>
      </w:pPr>
      <w:r w:rsidRPr="00E2296D">
        <w:rPr>
          <w:color w:val="000000"/>
        </w:rPr>
        <w:t xml:space="preserve">Application for Exemption from Social Security and Medicare Taxes and Waiver of Benefits </w:t>
      </w:r>
      <w:r>
        <w:rPr>
          <w:color w:val="000000"/>
        </w:rPr>
        <w:t xml:space="preserve">(Form </w:t>
      </w:r>
      <w:r>
        <w:rPr>
          <w:color w:val="000000"/>
        </w:rPr>
        <w:t>4029</w:t>
      </w:r>
      <w:r>
        <w:rPr>
          <w:color w:val="000000"/>
        </w:rPr>
        <w:t>)</w:t>
      </w:r>
    </w:p>
    <w:p w:rsidR="00636B94" w:rsidRPr="00FF0DFC" w:rsidP="00695940" w14:paraId="0488F902" w14:textId="08D48A2A">
      <w:pPr>
        <w:ind w:left="-90"/>
        <w:jc w:val="center"/>
        <w:rPr>
          <w:color w:val="000000"/>
        </w:rPr>
      </w:pPr>
      <w:r w:rsidRPr="00FF0DFC">
        <w:rPr>
          <w:bCs/>
          <w:color w:val="000000"/>
        </w:rPr>
        <w:t xml:space="preserve">OMB </w:t>
      </w:r>
      <w:r w:rsidRPr="00FF0DFC" w:rsidR="00BE5210">
        <w:rPr>
          <w:bCs/>
          <w:color w:val="000000"/>
        </w:rPr>
        <w:t>#</w:t>
      </w:r>
      <w:r w:rsidRPr="00FF0DFC">
        <w:rPr>
          <w:bCs/>
          <w:color w:val="000000"/>
        </w:rPr>
        <w:t xml:space="preserve"> </w:t>
      </w:r>
      <w:r w:rsidRPr="00FF0DFC">
        <w:rPr>
          <w:b/>
          <w:bCs/>
          <w:color w:val="000000"/>
        </w:rPr>
        <w:t>1545-</w:t>
      </w:r>
      <w:r w:rsidR="00E2296D">
        <w:rPr>
          <w:b/>
          <w:bCs/>
          <w:color w:val="000000"/>
        </w:rPr>
        <w:t>0064</w:t>
      </w:r>
    </w:p>
    <w:p w:rsidR="00C573C8" w:rsidRPr="00FF0DFC" w:rsidP="00BE5210" w14:paraId="15C57654" w14:textId="77777777">
      <w:pPr>
        <w:ind w:left="-90"/>
        <w:rPr>
          <w:color w:val="000000"/>
        </w:rPr>
      </w:pPr>
      <w:r w:rsidRPr="00FF0DFC">
        <w:rPr>
          <w:color w:val="000000"/>
        </w:rPr>
        <w:t xml:space="preserve">                           </w:t>
      </w:r>
    </w:p>
    <w:p w:rsidR="00C573C8" w:rsidRPr="00FF0DFC" w:rsidP="00AA539A" w14:paraId="53593B9F" w14:textId="77777777">
      <w:pPr>
        <w:ind w:right="-72"/>
        <w:rPr>
          <w:bCs/>
          <w:color w:val="000000"/>
        </w:rPr>
      </w:pPr>
      <w:r w:rsidRPr="00FF0DFC">
        <w:rPr>
          <w:bCs/>
          <w:color w:val="000000"/>
        </w:rPr>
        <w:t xml:space="preserve">1.   </w:t>
      </w:r>
      <w:r w:rsidRPr="00FF0DFC">
        <w:rPr>
          <w:bCs/>
          <w:color w:val="000000"/>
          <w:u w:val="single"/>
        </w:rPr>
        <w:t>CIRCUMSTANCES NECESSITATING COLLECTION OF INFORMATION</w:t>
      </w:r>
    </w:p>
    <w:p w:rsidR="00C573C8" w:rsidRPr="00FF0DFC" w14:paraId="21512B10" w14:textId="77777777">
      <w:pPr>
        <w:ind w:left="-72" w:right="-72"/>
        <w:rPr>
          <w:color w:val="000000"/>
        </w:rPr>
      </w:pPr>
    </w:p>
    <w:p w:rsidR="00DE6B07" w:rsidRPr="00FF0DFC" w:rsidP="00AE4DB0" w14:paraId="41EDD8A8" w14:textId="2045459A">
      <w:pPr>
        <w:widowControl/>
        <w:autoSpaceDE/>
        <w:autoSpaceDN/>
        <w:adjustRightInd/>
        <w:spacing w:after="150"/>
        <w:ind w:left="360"/>
        <w:rPr>
          <w:color w:val="000000"/>
          <w:lang w:val="en"/>
        </w:rPr>
      </w:pPr>
      <w:r w:rsidRPr="00FF0DFC">
        <w:rPr>
          <w:color w:val="000000"/>
          <w:lang w:val="en"/>
        </w:rPr>
        <w:t xml:space="preserve">The collection covers the information reporting requirements for certain </w:t>
      </w:r>
      <w:r w:rsidR="00723BC9">
        <w:rPr>
          <w:color w:val="000000"/>
          <w:lang w:val="en"/>
        </w:rPr>
        <w:t>m</w:t>
      </w:r>
      <w:r w:rsidRPr="00723BC9" w:rsidR="00723BC9">
        <w:rPr>
          <w:color w:val="000000"/>
          <w:lang w:val="en"/>
        </w:rPr>
        <w:t>embers of recognized religious groups to apply for exemption from social security and Medicare taxes</w:t>
      </w:r>
      <w:r w:rsidRPr="00FF0DFC">
        <w:rPr>
          <w:color w:val="000000"/>
          <w:lang w:val="en"/>
        </w:rPr>
        <w:t>.</w:t>
      </w:r>
    </w:p>
    <w:p w:rsidR="00D2146C" w:rsidP="00D2146C" w14:paraId="4590FCA4" w14:textId="5FE92349">
      <w:pPr>
        <w:ind w:left="360" w:right="-72"/>
        <w:rPr>
          <w:color w:val="000000"/>
          <w:lang w:val="en"/>
        </w:rPr>
      </w:pPr>
      <w:r w:rsidRPr="00723BC9">
        <w:rPr>
          <w:color w:val="000000"/>
          <w:lang w:val="en"/>
        </w:rPr>
        <w:t>Sections 1402(g) and 3127 of the Internal Revenue Code and section 1.1402(h) of the Income Tax Regulations allow members of recognized religious groups to be exempt from payment of social security and Medicare taxes.</w:t>
      </w:r>
    </w:p>
    <w:p w:rsidR="000E636A" w:rsidP="00723BC9" w14:paraId="32A2D119" w14:textId="77777777">
      <w:pPr>
        <w:ind w:right="-72"/>
        <w:rPr>
          <w:color w:val="000000"/>
          <w:lang w:val="en"/>
        </w:rPr>
      </w:pPr>
    </w:p>
    <w:p w:rsidR="000E636A" w:rsidP="00922C36" w14:paraId="2B3C6A33" w14:textId="054BD2D0">
      <w:pPr>
        <w:ind w:left="360" w:right="-72"/>
        <w:rPr>
          <w:color w:val="000000"/>
          <w:lang w:val="en"/>
        </w:rPr>
      </w:pPr>
      <w:r w:rsidRPr="00922C36">
        <w:rPr>
          <w:color w:val="000000"/>
          <w:lang w:val="en"/>
        </w:rPr>
        <w:t>Form 4029 is used by members of recognized religious</w:t>
      </w:r>
      <w:r>
        <w:rPr>
          <w:color w:val="000000"/>
          <w:lang w:val="en"/>
        </w:rPr>
        <w:t xml:space="preserve"> </w:t>
      </w:r>
      <w:r w:rsidRPr="00922C36">
        <w:rPr>
          <w:color w:val="000000"/>
          <w:lang w:val="en"/>
        </w:rPr>
        <w:t>groups to apply for exemption from social security and Medicare taxes. The exemption is for individuals and partnerships (when all the partners have approved certification)</w:t>
      </w:r>
      <w:r w:rsidR="00CB74B1">
        <w:rPr>
          <w:color w:val="000000"/>
          <w:lang w:val="en"/>
        </w:rPr>
        <w:t xml:space="preserve">.  </w:t>
      </w:r>
    </w:p>
    <w:p w:rsidR="005029EF" w:rsidP="005029EF" w14:paraId="46C03D79" w14:textId="77777777">
      <w:pPr>
        <w:ind w:right="-72"/>
        <w:rPr>
          <w:color w:val="000000"/>
          <w:lang w:val="en"/>
        </w:rPr>
      </w:pPr>
    </w:p>
    <w:p w:rsidR="00C573C8" w:rsidRPr="00FF0DFC" w:rsidP="005029EF" w14:paraId="1C87E3A1" w14:textId="24FE3191">
      <w:pPr>
        <w:ind w:right="-72"/>
        <w:rPr>
          <w:color w:val="000000"/>
        </w:rPr>
      </w:pPr>
      <w:r w:rsidRPr="00FF0DFC">
        <w:rPr>
          <w:bCs/>
          <w:color w:val="000000"/>
        </w:rPr>
        <w:t xml:space="preserve">2.   </w:t>
      </w:r>
      <w:r w:rsidRPr="00FF0DFC">
        <w:rPr>
          <w:bCs/>
          <w:color w:val="000000"/>
          <w:u w:val="single"/>
        </w:rPr>
        <w:t>USE OF DATA</w:t>
      </w:r>
      <w:r w:rsidRPr="00FF0DFC">
        <w:rPr>
          <w:bCs/>
          <w:color w:val="000000"/>
        </w:rPr>
        <w:t xml:space="preserve">              </w:t>
      </w:r>
    </w:p>
    <w:p w:rsidR="00C573C8" w:rsidRPr="00FF0DFC" w:rsidP="00702B07" w14:paraId="24344E30" w14:textId="77777777">
      <w:pPr>
        <w:rPr>
          <w:color w:val="000000"/>
        </w:rPr>
      </w:pPr>
    </w:p>
    <w:p w:rsidR="00E86291" w:rsidP="005376AF" w14:paraId="25588D1C" w14:textId="6D8BEE28">
      <w:pPr>
        <w:ind w:left="360" w:right="-72"/>
        <w:rPr>
          <w:color w:val="000000"/>
        </w:rPr>
      </w:pPr>
      <w:r>
        <w:rPr>
          <w:color w:val="000000"/>
          <w:lang w:val="en"/>
        </w:rPr>
        <w:t>R</w:t>
      </w:r>
      <w:r w:rsidRPr="005376AF" w:rsidR="00412749">
        <w:rPr>
          <w:color w:val="000000"/>
          <w:lang w:val="en"/>
        </w:rPr>
        <w:t>egulation</w:t>
      </w:r>
      <w:r>
        <w:rPr>
          <w:color w:val="000000"/>
          <w:lang w:val="en"/>
        </w:rPr>
        <w:t xml:space="preserve"> </w:t>
      </w:r>
      <w:r w:rsidRPr="005376AF" w:rsidR="00412749">
        <w:rPr>
          <w:color w:val="000000"/>
          <w:lang w:val="en"/>
        </w:rPr>
        <w:t>s</w:t>
      </w:r>
      <w:r>
        <w:rPr>
          <w:color w:val="000000"/>
          <w:lang w:val="en"/>
        </w:rPr>
        <w:t>ection 1.1402(h)</w:t>
      </w:r>
      <w:r w:rsidRPr="005376AF" w:rsidR="00412749">
        <w:rPr>
          <w:color w:val="000000"/>
          <w:lang w:val="en"/>
        </w:rPr>
        <w:t xml:space="preserve"> provide guidance on </w:t>
      </w:r>
      <w:r>
        <w:rPr>
          <w:color w:val="000000"/>
          <w:lang w:val="en"/>
        </w:rPr>
        <w:t xml:space="preserve">how to </w:t>
      </w:r>
      <w:r w:rsidRPr="005376AF">
        <w:rPr>
          <w:color w:val="000000"/>
          <w:lang w:val="en"/>
        </w:rPr>
        <w:t>apply for exemption from social security and Medicare taxes</w:t>
      </w:r>
      <w:r>
        <w:rPr>
          <w:color w:val="000000"/>
          <w:lang w:val="en"/>
        </w:rPr>
        <w:t xml:space="preserve"> </w:t>
      </w:r>
      <w:r w:rsidRPr="005376AF">
        <w:rPr>
          <w:color w:val="000000"/>
          <w:lang w:val="en"/>
        </w:rPr>
        <w:t>if you are a member of, and follow the teachings of, a recognized religious group</w:t>
      </w:r>
      <w:r>
        <w:rPr>
          <w:color w:val="000000"/>
          <w:lang w:val="en"/>
        </w:rPr>
        <w:t xml:space="preserve">.  </w:t>
      </w:r>
      <w:r w:rsidRPr="00D93EEF" w:rsidR="00D93EEF">
        <w:rPr>
          <w:color w:val="000000"/>
        </w:rPr>
        <w:t>The information is used by the Internal Revenue Service (IRS)</w:t>
      </w:r>
      <w:r w:rsidR="00D93EEF">
        <w:rPr>
          <w:color w:val="000000"/>
        </w:rPr>
        <w:t xml:space="preserve"> a</w:t>
      </w:r>
      <w:r w:rsidRPr="00D93EEF" w:rsidR="00D93EEF">
        <w:rPr>
          <w:color w:val="000000"/>
        </w:rPr>
        <w:t>nd the Social Security Administration (SSA) to verify that the applicant is eligible for the exemption</w:t>
      </w:r>
      <w:r w:rsidRPr="00FF0DFC" w:rsidR="0037627E">
        <w:rPr>
          <w:color w:val="000000"/>
        </w:rPr>
        <w:t xml:space="preserve">.  </w:t>
      </w:r>
    </w:p>
    <w:p w:rsidR="005029EF" w:rsidRPr="00FF0DFC" w:rsidP="005376AF" w14:paraId="2C3C6BBE" w14:textId="77777777">
      <w:pPr>
        <w:ind w:left="360" w:right="-72"/>
        <w:rPr>
          <w:color w:val="000000"/>
        </w:rPr>
      </w:pPr>
    </w:p>
    <w:p w:rsidR="00C573C8" w:rsidRPr="00FF0DFC" w:rsidP="00AA539A" w14:paraId="512A2325" w14:textId="77777777">
      <w:pPr>
        <w:ind w:right="-72"/>
        <w:rPr>
          <w:color w:val="000000"/>
        </w:rPr>
      </w:pPr>
      <w:r w:rsidRPr="00FF0DFC">
        <w:rPr>
          <w:bCs/>
          <w:color w:val="000000"/>
        </w:rPr>
        <w:t xml:space="preserve">3.   </w:t>
      </w:r>
      <w:r w:rsidRPr="00FF0DFC">
        <w:rPr>
          <w:bCs/>
          <w:color w:val="000000"/>
          <w:u w:val="single"/>
        </w:rPr>
        <w:t>USE OF IMPROVED INFORMATION TECHNOLOGY TO REDUCE BURDEN</w:t>
      </w:r>
    </w:p>
    <w:p w:rsidR="00C573C8" w:rsidRPr="00FF0DFC" w14:paraId="58931037" w14:textId="77777777">
      <w:pPr>
        <w:ind w:left="-72" w:right="-72"/>
        <w:rPr>
          <w:color w:val="000000"/>
        </w:rPr>
      </w:pPr>
    </w:p>
    <w:p w:rsidR="00C573C8" w:rsidP="001F59F9" w14:paraId="24A65103" w14:textId="033C3A4F">
      <w:pPr>
        <w:ind w:left="360" w:right="-72"/>
        <w:rPr>
          <w:color w:val="000000"/>
        </w:rPr>
      </w:pPr>
      <w:r w:rsidRPr="00FF0DFC">
        <w:rPr>
          <w:color w:val="000000"/>
        </w:rPr>
        <w:t xml:space="preserve">The Internal Revenue Service (IRS) </w:t>
      </w:r>
      <w:r w:rsidRPr="001F59F9" w:rsidR="001F59F9">
        <w:rPr>
          <w:color w:val="000000"/>
        </w:rPr>
        <w:t>ha</w:t>
      </w:r>
      <w:r w:rsidR="001F59F9">
        <w:rPr>
          <w:color w:val="000000"/>
        </w:rPr>
        <w:t>s</w:t>
      </w:r>
      <w:r w:rsidRPr="001F59F9" w:rsidR="001F59F9">
        <w:rPr>
          <w:color w:val="000000"/>
        </w:rPr>
        <w:t xml:space="preserve"> no plans to offer electronic filing because </w:t>
      </w:r>
      <w:r w:rsidR="005566C8">
        <w:rPr>
          <w:color w:val="000000"/>
        </w:rPr>
        <w:t xml:space="preserve">the initial filing of the form is sent to the Social Security Administration (SSA).  SSA then forwards the reviewed documents to IRS for updating of taxpayer tax records.  The IRS is then responsible for notifying the recipient via direct taxpayer notice.   </w:t>
      </w:r>
    </w:p>
    <w:p w:rsidR="00412749" w:rsidRPr="00FF0DFC" w14:paraId="1B7E985D" w14:textId="77777777">
      <w:pPr>
        <w:ind w:left="-72" w:right="-72"/>
        <w:rPr>
          <w:color w:val="000000"/>
        </w:rPr>
      </w:pPr>
    </w:p>
    <w:p w:rsidR="00C573C8" w:rsidRPr="00FF0DFC" w:rsidP="00AA539A" w14:paraId="62A7EB12" w14:textId="77777777">
      <w:pPr>
        <w:ind w:right="-72"/>
        <w:rPr>
          <w:bCs/>
          <w:color w:val="000000"/>
        </w:rPr>
      </w:pPr>
      <w:r w:rsidRPr="00FF0DFC">
        <w:rPr>
          <w:bCs/>
          <w:color w:val="000000"/>
        </w:rPr>
        <w:t xml:space="preserve">4.   </w:t>
      </w:r>
      <w:r w:rsidRPr="00FF0DFC">
        <w:rPr>
          <w:bCs/>
          <w:color w:val="000000"/>
          <w:u w:val="single"/>
        </w:rPr>
        <w:t>EFFORTS TO IDENTIFY DUPLICATION</w:t>
      </w:r>
    </w:p>
    <w:p w:rsidR="00C573C8" w:rsidRPr="00FF0DFC" w14:paraId="5EF1EFB9" w14:textId="77777777">
      <w:pPr>
        <w:ind w:left="-72" w:right="-72"/>
        <w:rPr>
          <w:color w:val="000000"/>
        </w:rPr>
      </w:pPr>
    </w:p>
    <w:p w:rsidR="00C573C8" w:rsidRPr="00FF0DFC" w:rsidP="0033329E" w14:paraId="0286726A" w14:textId="38959548">
      <w:pPr>
        <w:ind w:left="360" w:right="-72"/>
        <w:rPr>
          <w:color w:val="000000"/>
        </w:rPr>
      </w:pPr>
      <w:r w:rsidRPr="00FF0DFC">
        <w:rPr>
          <w:color w:val="000000"/>
        </w:rPr>
        <w:t>The information obtained through this collection is unique and is not already available for use or adaptation from another source</w:t>
      </w:r>
      <w:r w:rsidRPr="00FF0DFC">
        <w:rPr>
          <w:color w:val="000000"/>
        </w:rPr>
        <w:t xml:space="preserve">.  </w:t>
      </w:r>
    </w:p>
    <w:p w:rsidR="00C573C8" w:rsidRPr="00FF0DFC" w14:paraId="7ADFF6B0" w14:textId="77777777">
      <w:pPr>
        <w:ind w:left="-72" w:right="-72"/>
        <w:rPr>
          <w:color w:val="000000"/>
        </w:rPr>
      </w:pPr>
    </w:p>
    <w:p w:rsidR="00C573C8" w:rsidRPr="00FF0DFC" w:rsidP="00AA539A" w14:paraId="7D07C841" w14:textId="77777777">
      <w:pPr>
        <w:ind w:left="360" w:right="-72" w:hanging="360"/>
        <w:rPr>
          <w:color w:val="000000"/>
        </w:rPr>
      </w:pPr>
      <w:r w:rsidRPr="00FF0DFC">
        <w:rPr>
          <w:bCs/>
          <w:color w:val="000000"/>
        </w:rPr>
        <w:t xml:space="preserve">5.   </w:t>
      </w:r>
      <w:r w:rsidRPr="00FF0DFC">
        <w:rPr>
          <w:bCs/>
          <w:color w:val="000000"/>
          <w:u w:val="single"/>
        </w:rPr>
        <w:t>METHODS TO MINIMIZE BURDEN ON SMALL BUSINESSES OR OTHER</w:t>
      </w:r>
      <w:r w:rsidRPr="00FF0DFC" w:rsidR="00CC6C32">
        <w:rPr>
          <w:bCs/>
          <w:color w:val="000000"/>
          <w:u w:val="single"/>
        </w:rPr>
        <w:t xml:space="preserve"> </w:t>
      </w:r>
      <w:r w:rsidRPr="00FF0DFC">
        <w:rPr>
          <w:bCs/>
          <w:color w:val="000000"/>
          <w:u w:val="single"/>
        </w:rPr>
        <w:t>SMALL</w:t>
      </w:r>
      <w:r w:rsidRPr="00FF0DFC" w:rsidR="00AA539A">
        <w:rPr>
          <w:bCs/>
          <w:color w:val="000000"/>
          <w:u w:val="single"/>
        </w:rPr>
        <w:t xml:space="preserve"> </w:t>
      </w:r>
      <w:r w:rsidRPr="00FF0DFC">
        <w:rPr>
          <w:bCs/>
          <w:color w:val="000000"/>
          <w:u w:val="single"/>
        </w:rPr>
        <w:t>ENTITIES</w:t>
      </w:r>
    </w:p>
    <w:p w:rsidR="00C573C8" w:rsidRPr="00FF0DFC" w14:paraId="2E9A625F" w14:textId="77777777">
      <w:pPr>
        <w:ind w:left="-72" w:right="-72"/>
        <w:rPr>
          <w:color w:val="000000"/>
        </w:rPr>
      </w:pPr>
    </w:p>
    <w:p w:rsidR="005566C8" w:rsidP="0033329E" w14:paraId="351280FF" w14:textId="1FE58C55">
      <w:pPr>
        <w:ind w:left="360" w:right="-72"/>
        <w:rPr>
          <w:color w:val="000000"/>
        </w:rPr>
      </w:pPr>
      <w:r w:rsidRPr="00FF0DFC">
        <w:rPr>
          <w:color w:val="000000"/>
        </w:rPr>
        <w:t>There are no small entities affected by this collection.</w:t>
      </w:r>
    </w:p>
    <w:p w:rsidR="005566C8" w:rsidRPr="00FF0DFC" w:rsidP="0033329E" w14:paraId="666B5A79" w14:textId="77777777">
      <w:pPr>
        <w:ind w:left="360" w:right="-72"/>
        <w:rPr>
          <w:color w:val="000000"/>
        </w:rPr>
      </w:pPr>
    </w:p>
    <w:p w:rsidR="00C573C8" w:rsidRPr="00FF0DFC" w:rsidP="00AA539A" w14:paraId="6C8F813E" w14:textId="77777777">
      <w:pPr>
        <w:ind w:left="360" w:right="-72" w:hanging="360"/>
        <w:rPr>
          <w:color w:val="000000"/>
        </w:rPr>
      </w:pPr>
      <w:r w:rsidRPr="00FF0DFC">
        <w:rPr>
          <w:bCs/>
          <w:color w:val="000000"/>
        </w:rPr>
        <w:t xml:space="preserve">6.   </w:t>
      </w:r>
      <w:r w:rsidRPr="00FF0DFC">
        <w:rPr>
          <w:bCs/>
          <w:color w:val="000000"/>
          <w:u w:val="single"/>
        </w:rPr>
        <w:t>CONSEQUENCES OF LESS FREQUENT COLLECTION ON FEDERAL</w:t>
      </w:r>
      <w:r w:rsidRPr="00FF0DFC" w:rsidR="000A2988">
        <w:rPr>
          <w:bCs/>
          <w:color w:val="000000"/>
          <w:u w:val="single"/>
        </w:rPr>
        <w:t xml:space="preserve"> </w:t>
      </w:r>
      <w:r w:rsidRPr="00FF0DFC">
        <w:rPr>
          <w:bCs/>
          <w:color w:val="000000"/>
          <w:u w:val="single"/>
        </w:rPr>
        <w:t>PROGRAMS</w:t>
      </w:r>
      <w:r w:rsidRPr="00FF0DFC" w:rsidR="000A2988">
        <w:rPr>
          <w:bCs/>
          <w:color w:val="000000"/>
          <w:u w:val="single"/>
        </w:rPr>
        <w:t xml:space="preserve"> </w:t>
      </w:r>
      <w:r w:rsidRPr="00FF0DFC">
        <w:rPr>
          <w:bCs/>
          <w:color w:val="000000"/>
          <w:u w:val="single"/>
        </w:rPr>
        <w:t>OR POLICY ACTIVITIES</w:t>
      </w:r>
    </w:p>
    <w:p w:rsidR="00C573C8" w:rsidRPr="00FF0DFC" w14:paraId="585E228E" w14:textId="77777777">
      <w:pPr>
        <w:ind w:left="-72" w:right="-72"/>
        <w:rPr>
          <w:color w:val="000000"/>
        </w:rPr>
      </w:pPr>
    </w:p>
    <w:p w:rsidR="001F59F9" w:rsidP="001A5F9F" w14:paraId="4408711A" w14:textId="77777777">
      <w:pPr>
        <w:ind w:left="360" w:right="-72"/>
        <w:rPr>
          <w:color w:val="000000"/>
        </w:rPr>
      </w:pPr>
      <w:r w:rsidRPr="001F59F9">
        <w:rPr>
          <w:color w:val="000000"/>
        </w:rPr>
        <w:t xml:space="preserve">Applying for an exemption from social security and Medicare taxes is voluntary. Providing the requested information, however, is mandatory if </w:t>
      </w:r>
      <w:r>
        <w:rPr>
          <w:color w:val="000000"/>
        </w:rPr>
        <w:t xml:space="preserve">one requests </w:t>
      </w:r>
      <w:r w:rsidRPr="001F59F9">
        <w:rPr>
          <w:color w:val="000000"/>
        </w:rPr>
        <w:t xml:space="preserve">the exemption. </w:t>
      </w:r>
      <w:r>
        <w:rPr>
          <w:color w:val="000000"/>
        </w:rPr>
        <w:t xml:space="preserve">Failure </w:t>
      </w:r>
      <w:r w:rsidRPr="001F59F9">
        <w:rPr>
          <w:color w:val="000000"/>
        </w:rPr>
        <w:t xml:space="preserve">to </w:t>
      </w:r>
      <w:r w:rsidRPr="001F59F9">
        <w:rPr>
          <w:color w:val="000000"/>
        </w:rPr>
        <w:t xml:space="preserve">provide all or part of the information requested on Form 4029, may </w:t>
      </w:r>
      <w:r>
        <w:rPr>
          <w:color w:val="000000"/>
        </w:rPr>
        <w:t xml:space="preserve">get the application </w:t>
      </w:r>
      <w:r w:rsidRPr="001F59F9">
        <w:rPr>
          <w:color w:val="000000"/>
        </w:rPr>
        <w:t xml:space="preserve">denied. </w:t>
      </w:r>
      <w:r>
        <w:rPr>
          <w:color w:val="000000"/>
        </w:rPr>
        <w:t>P</w:t>
      </w:r>
      <w:r w:rsidRPr="001F59F9">
        <w:rPr>
          <w:color w:val="000000"/>
        </w:rPr>
        <w:t>rovid</w:t>
      </w:r>
      <w:r>
        <w:rPr>
          <w:color w:val="000000"/>
        </w:rPr>
        <w:t xml:space="preserve">ing </w:t>
      </w:r>
      <w:r w:rsidRPr="001F59F9">
        <w:rPr>
          <w:color w:val="000000"/>
        </w:rPr>
        <w:t xml:space="preserve">false or fraudulent information, may be subject to penalties. </w:t>
      </w:r>
    </w:p>
    <w:p w:rsidR="001F59F9" w:rsidP="001A5F9F" w14:paraId="631BCC9A" w14:textId="77777777">
      <w:pPr>
        <w:ind w:left="360" w:right="-72"/>
        <w:rPr>
          <w:color w:val="000000"/>
        </w:rPr>
      </w:pPr>
    </w:p>
    <w:p w:rsidR="006C11B8" w:rsidRPr="00FF0DFC" w:rsidP="001A5F9F" w14:paraId="2E608551" w14:textId="12E7D67A">
      <w:pPr>
        <w:ind w:left="360" w:right="-72"/>
        <w:rPr>
          <w:color w:val="000000"/>
        </w:rPr>
      </w:pPr>
      <w:r w:rsidRPr="00FF0DFC">
        <w:rPr>
          <w:color w:val="000000"/>
        </w:rPr>
        <w:t>If the Internal Revenue Service (IRS) did not collect this information, the IRS will not be able to verify compliance with the reporting rules and to verify that the recipient has included the proper amount of taxable income on his or her income tax return.</w:t>
      </w:r>
    </w:p>
    <w:p w:rsidR="00C21314" w:rsidRPr="00FF0DFC" w:rsidP="001A5F9F" w14:paraId="47E74533" w14:textId="77777777">
      <w:pPr>
        <w:ind w:left="360" w:right="-72"/>
        <w:rPr>
          <w:strike/>
          <w:color w:val="000000"/>
        </w:rPr>
      </w:pPr>
    </w:p>
    <w:p w:rsidR="003F2C5D" w:rsidRPr="00FF0DFC" w:rsidP="00950798" w14:paraId="0E568807" w14:textId="77777777">
      <w:pPr>
        <w:ind w:left="360" w:right="-72"/>
        <w:rPr>
          <w:color w:val="000000"/>
        </w:rPr>
      </w:pPr>
      <w:r w:rsidRPr="00FF0DFC">
        <w:rPr>
          <w:color w:val="000000"/>
        </w:rPr>
        <w:t>F</w:t>
      </w:r>
      <w:r w:rsidRPr="00FF0DFC" w:rsidR="00895AED">
        <w:rPr>
          <w:color w:val="000000"/>
        </w:rPr>
        <w:t xml:space="preserve">ailure to </w:t>
      </w:r>
      <w:r w:rsidRPr="00FF0DFC">
        <w:rPr>
          <w:color w:val="000000"/>
        </w:rPr>
        <w:t xml:space="preserve">collect and retain the information outlined in the regulations will complicate the taxpayer’s ability to receive the proper tax credit and the IRS’s ability to verify its’ accuracy.  </w:t>
      </w:r>
    </w:p>
    <w:p w:rsidR="006C11B8" w:rsidRPr="00FF0DFC" w:rsidP="00D85B57" w14:paraId="28AD277F" w14:textId="77777777">
      <w:pPr>
        <w:ind w:left="720" w:right="-72"/>
        <w:rPr>
          <w:color w:val="000000"/>
        </w:rPr>
      </w:pPr>
    </w:p>
    <w:p w:rsidR="00C573C8" w:rsidRPr="00FF0DFC" w:rsidP="00AA539A" w14:paraId="15D0FA65" w14:textId="77777777">
      <w:pPr>
        <w:ind w:left="360" w:right="-72" w:hanging="360"/>
        <w:rPr>
          <w:bCs/>
          <w:color w:val="000000"/>
        </w:rPr>
      </w:pPr>
      <w:r w:rsidRPr="00FF0DFC">
        <w:rPr>
          <w:bCs/>
          <w:color w:val="000000"/>
        </w:rPr>
        <w:t xml:space="preserve">7.   </w:t>
      </w:r>
      <w:r w:rsidRPr="00FF0DFC">
        <w:rPr>
          <w:bCs/>
          <w:color w:val="000000"/>
          <w:u w:val="single"/>
        </w:rPr>
        <w:t>SPECIAL CIRCUMSTANCES REQUIRING DATA COLLECTION TO BE</w:t>
      </w:r>
      <w:r w:rsidRPr="00FF0DFC">
        <w:rPr>
          <w:bCs/>
          <w:color w:val="000000"/>
          <w:u w:val="single"/>
        </w:rPr>
        <w:t xml:space="preserve"> </w:t>
      </w:r>
      <w:r w:rsidRPr="00FF0DFC">
        <w:rPr>
          <w:bCs/>
          <w:color w:val="000000"/>
          <w:u w:val="single"/>
        </w:rPr>
        <w:t>INCONSISTENT WITH GUIDELINES IN 5 CFR 1320.5(d)(2)</w:t>
      </w:r>
    </w:p>
    <w:p w:rsidR="00C573C8" w:rsidRPr="00FF0DFC" w14:paraId="0D22C492" w14:textId="77777777">
      <w:pPr>
        <w:ind w:left="-72" w:right="-72" w:firstLine="7920"/>
        <w:rPr>
          <w:color w:val="000000"/>
        </w:rPr>
      </w:pPr>
    </w:p>
    <w:p w:rsidR="00C573C8" w:rsidRPr="00FF0DFC" w:rsidP="00E47B4F" w14:paraId="09DBBA48" w14:textId="77777777">
      <w:pPr>
        <w:ind w:left="360" w:right="-72" w:hanging="18"/>
        <w:rPr>
          <w:color w:val="000000"/>
        </w:rPr>
      </w:pPr>
      <w:r w:rsidRPr="00FF0DFC">
        <w:rPr>
          <w:color w:val="000000"/>
        </w:rPr>
        <w:t>There are no special circumstances requiring data collection to be inconsistent with Guidelines in 5 CFR 1320.5(d)(2).</w:t>
      </w:r>
    </w:p>
    <w:p w:rsidR="00E47B4F" w:rsidRPr="00FF0DFC" w:rsidP="00E47B4F" w14:paraId="4D861A32" w14:textId="77777777">
      <w:pPr>
        <w:ind w:left="360" w:right="-72" w:hanging="18"/>
        <w:rPr>
          <w:color w:val="000000"/>
        </w:rPr>
      </w:pPr>
    </w:p>
    <w:p w:rsidR="00C573C8" w:rsidRPr="00FF0DFC" w:rsidP="00AA539A" w14:paraId="2CA7D94A" w14:textId="77777777">
      <w:pPr>
        <w:ind w:left="360" w:right="-72" w:hanging="360"/>
        <w:rPr>
          <w:bCs/>
          <w:color w:val="000000"/>
        </w:rPr>
      </w:pPr>
      <w:r w:rsidRPr="00FF0DFC">
        <w:rPr>
          <w:bCs/>
          <w:color w:val="000000"/>
        </w:rPr>
        <w:t xml:space="preserve">8.   </w:t>
      </w:r>
      <w:r w:rsidRPr="00FF0DFC">
        <w:rPr>
          <w:bCs/>
          <w:color w:val="000000"/>
          <w:u w:val="single"/>
        </w:rPr>
        <w:t>CONSULTATION WITH INDIVIDUALS OUTSIDE OF THE AGENCY ON</w:t>
      </w:r>
      <w:r w:rsidRPr="00FF0DFC">
        <w:rPr>
          <w:bCs/>
          <w:color w:val="000000"/>
        </w:rPr>
        <w:t xml:space="preserve">    </w:t>
      </w:r>
      <w:r w:rsidRPr="00FF0DFC">
        <w:rPr>
          <w:bCs/>
          <w:color w:val="000000"/>
          <w:u w:val="single"/>
        </w:rPr>
        <w:t>AVAILABILITY OF DATA, FREQUENCY OF COLLECTION, CLARITY</w:t>
      </w:r>
      <w:r w:rsidRPr="00FF0DFC" w:rsidR="00AA539A">
        <w:rPr>
          <w:bCs/>
          <w:color w:val="000000"/>
          <w:u w:val="single"/>
        </w:rPr>
        <w:t xml:space="preserve"> </w:t>
      </w:r>
      <w:r w:rsidRPr="00FF0DFC">
        <w:rPr>
          <w:bCs/>
          <w:color w:val="000000"/>
          <w:u w:val="single"/>
        </w:rPr>
        <w:t>OF INSTRUCTIONS AND FORMS, AND DATA ELEMENTS</w:t>
      </w:r>
    </w:p>
    <w:p w:rsidR="00C573C8" w:rsidRPr="00FF0DFC" w14:paraId="3E47BFA7" w14:textId="77777777">
      <w:pPr>
        <w:ind w:left="-72" w:right="-72"/>
        <w:rPr>
          <w:color w:val="000000"/>
        </w:rPr>
      </w:pPr>
    </w:p>
    <w:p w:rsidR="00C573C8" w:rsidRPr="00FF0DFC" w14:paraId="6190465A" w14:textId="77777777">
      <w:pPr>
        <w:ind w:left="-72" w:right="-72"/>
        <w:rPr>
          <w:color w:val="000000"/>
        </w:rPr>
        <w:sectPr w:rsidSect="005566C8">
          <w:pgSz w:w="12240" w:h="15840"/>
          <w:pgMar w:top="1368" w:right="1440" w:bottom="1260" w:left="1440" w:header="1368" w:footer="1368" w:gutter="0"/>
          <w:cols w:space="720"/>
          <w:noEndnote/>
        </w:sectPr>
      </w:pPr>
    </w:p>
    <w:p w:rsidR="00C573C8" w:rsidRPr="00FF0DFC" w:rsidP="00D33035" w14:paraId="416F955F" w14:textId="1652A10B">
      <w:pPr>
        <w:ind w:left="450"/>
        <w:rPr>
          <w:color w:val="000000"/>
        </w:rPr>
      </w:pPr>
      <w:r w:rsidRPr="00FF0DFC">
        <w:rPr>
          <w:color w:val="000000"/>
        </w:rPr>
        <w:t>Periodic meetings are held between IRS personnel and representatives of the American</w:t>
      </w:r>
      <w:r w:rsidRPr="00FF0DFC" w:rsidR="00CC6C32">
        <w:rPr>
          <w:color w:val="000000"/>
        </w:rPr>
        <w:t xml:space="preserve"> </w:t>
      </w:r>
      <w:r w:rsidRPr="00FF0DFC">
        <w:rPr>
          <w:color w:val="000000"/>
        </w:rPr>
        <w:t>Bar Association, the National Society of Public Accountants, the American Institute of Certified Public Accountants, and other professional groups to discuss tax law and tax forms.  During these meetings, there is an opportunity for those attending to make comments regarding Form</w:t>
      </w:r>
      <w:r w:rsidR="001F59F9">
        <w:rPr>
          <w:color w:val="000000"/>
        </w:rPr>
        <w:t xml:space="preserve"> 4029</w:t>
      </w:r>
      <w:r w:rsidRPr="00FF0DFC">
        <w:rPr>
          <w:color w:val="000000"/>
        </w:rPr>
        <w:t xml:space="preserve">.   </w:t>
      </w:r>
    </w:p>
    <w:p w:rsidR="00C573C8" w:rsidRPr="00FF0DFC" w:rsidP="00D33035" w14:paraId="70C24450" w14:textId="77777777">
      <w:pPr>
        <w:ind w:left="450"/>
        <w:rPr>
          <w:color w:val="000000"/>
        </w:rPr>
      </w:pPr>
    </w:p>
    <w:p w:rsidR="00C573C8" w:rsidRPr="00FF0DFC" w:rsidP="00D33035" w14:paraId="67C392FE" w14:textId="3A8E7F36">
      <w:pPr>
        <w:ind w:left="450"/>
        <w:rPr>
          <w:color w:val="000000"/>
        </w:rPr>
      </w:pPr>
      <w:r w:rsidRPr="00FF0DFC">
        <w:rPr>
          <w:color w:val="000000"/>
        </w:rPr>
        <w:t xml:space="preserve">In response to the </w:t>
      </w:r>
      <w:r w:rsidRPr="00FF0DFC">
        <w:rPr>
          <w:bCs/>
          <w:i/>
          <w:color w:val="000000"/>
        </w:rPr>
        <w:t>Federal Register</w:t>
      </w:r>
      <w:r w:rsidRPr="00FF0DFC">
        <w:rPr>
          <w:bCs/>
          <w:color w:val="000000"/>
        </w:rPr>
        <w:t xml:space="preserve"> </w:t>
      </w:r>
      <w:r w:rsidRPr="00FF0DFC" w:rsidR="00427EF7">
        <w:rPr>
          <w:bCs/>
          <w:color w:val="000000"/>
        </w:rPr>
        <w:t>n</w:t>
      </w:r>
      <w:r w:rsidRPr="00FF0DFC">
        <w:rPr>
          <w:bCs/>
          <w:color w:val="000000"/>
        </w:rPr>
        <w:t>otice</w:t>
      </w:r>
      <w:r w:rsidRPr="00FF0DFC">
        <w:rPr>
          <w:color w:val="000000"/>
        </w:rPr>
        <w:t xml:space="preserve"> dated </w:t>
      </w:r>
      <w:r w:rsidR="005566C8">
        <w:rPr>
          <w:color w:val="000000"/>
        </w:rPr>
        <w:t xml:space="preserve">October </w:t>
      </w:r>
      <w:r w:rsidR="00B86C14">
        <w:rPr>
          <w:color w:val="000000"/>
        </w:rPr>
        <w:t>3</w:t>
      </w:r>
      <w:r w:rsidR="005566C8">
        <w:rPr>
          <w:color w:val="000000"/>
        </w:rPr>
        <w:t>, 2024</w:t>
      </w:r>
      <w:r w:rsidRPr="00FF0DFC" w:rsidR="006C11B8">
        <w:rPr>
          <w:color w:val="000000"/>
        </w:rPr>
        <w:t>,</w:t>
      </w:r>
      <w:r w:rsidRPr="00FF0DFC" w:rsidR="00A84CA1">
        <w:rPr>
          <w:color w:val="000000"/>
        </w:rPr>
        <w:t xml:space="preserve"> (</w:t>
      </w:r>
      <w:r w:rsidR="005566C8">
        <w:rPr>
          <w:color w:val="000000"/>
        </w:rPr>
        <w:t>89</w:t>
      </w:r>
      <w:r w:rsidRPr="00FF0DFC" w:rsidR="00A84CA1">
        <w:rPr>
          <w:color w:val="000000"/>
        </w:rPr>
        <w:t xml:space="preserve"> FR </w:t>
      </w:r>
      <w:r w:rsidR="00B86C14">
        <w:rPr>
          <w:color w:val="000000"/>
        </w:rPr>
        <w:t>80630</w:t>
      </w:r>
      <w:r w:rsidRPr="00FF0DFC" w:rsidR="00A84CA1">
        <w:rPr>
          <w:color w:val="000000"/>
        </w:rPr>
        <w:t>)</w:t>
      </w:r>
      <w:r w:rsidRPr="00FF0DFC">
        <w:rPr>
          <w:bCs/>
          <w:color w:val="000000"/>
        </w:rPr>
        <w:t>,</w:t>
      </w:r>
      <w:r w:rsidRPr="00FF0DFC">
        <w:rPr>
          <w:color w:val="000000"/>
        </w:rPr>
        <w:t xml:space="preserve"> we received </w:t>
      </w:r>
      <w:r w:rsidR="001F59F9">
        <w:rPr>
          <w:color w:val="000000"/>
        </w:rPr>
        <w:t>no comments</w:t>
      </w:r>
      <w:r w:rsidR="002E5626">
        <w:rPr>
          <w:color w:val="000000"/>
        </w:rPr>
        <w:t xml:space="preserve"> </w:t>
      </w:r>
      <w:r w:rsidRPr="00FF0DFC">
        <w:rPr>
          <w:color w:val="000000"/>
        </w:rPr>
        <w:t>during the comment period regarding Form</w:t>
      </w:r>
      <w:r w:rsidR="001F59F9">
        <w:rPr>
          <w:color w:val="000000"/>
        </w:rPr>
        <w:t xml:space="preserve"> 4029</w:t>
      </w:r>
      <w:r w:rsidRPr="00FF0DFC" w:rsidR="004005AB">
        <w:rPr>
          <w:color w:val="000000"/>
        </w:rPr>
        <w:t>.</w:t>
      </w:r>
      <w:r w:rsidR="0081372E">
        <w:rPr>
          <w:color w:val="000000"/>
        </w:rPr>
        <w:t xml:space="preserve">  </w:t>
      </w:r>
    </w:p>
    <w:p w:rsidR="00C573C8" w:rsidRPr="00FF0DFC" w:rsidP="00D33035" w14:paraId="54EB03B2" w14:textId="77777777">
      <w:pPr>
        <w:ind w:left="450"/>
        <w:rPr>
          <w:color w:val="000000"/>
        </w:rPr>
      </w:pPr>
    </w:p>
    <w:p w:rsidR="00C573C8" w:rsidRPr="00FF0DFC" w:rsidP="00AA539A" w14:paraId="56F9B34E" w14:textId="77777777">
      <w:pPr>
        <w:ind w:left="360" w:hanging="360"/>
        <w:rPr>
          <w:color w:val="000000"/>
        </w:rPr>
      </w:pPr>
      <w:r w:rsidRPr="00FF0DFC">
        <w:rPr>
          <w:bCs/>
          <w:color w:val="000000"/>
        </w:rPr>
        <w:t xml:space="preserve">9.   </w:t>
      </w:r>
      <w:r w:rsidRPr="00FF0DFC">
        <w:rPr>
          <w:bCs/>
          <w:color w:val="000000"/>
          <w:u w:val="single"/>
        </w:rPr>
        <w:t>EXPLANATION OF DECISION TO PROVIDE ANY PAYMENT OR GIFT TO</w:t>
      </w:r>
      <w:r w:rsidRPr="00FF0DFC">
        <w:rPr>
          <w:color w:val="000000"/>
        </w:rPr>
        <w:t xml:space="preserve">   </w:t>
      </w:r>
      <w:r w:rsidRPr="00FF0DFC">
        <w:rPr>
          <w:bCs/>
          <w:color w:val="000000"/>
          <w:u w:val="single"/>
        </w:rPr>
        <w:t>RESPONDENTS</w:t>
      </w:r>
    </w:p>
    <w:p w:rsidR="00C573C8" w:rsidRPr="00FF0DFC" w14:paraId="4460A9E7" w14:textId="77777777">
      <w:pPr>
        <w:rPr>
          <w:color w:val="000000"/>
        </w:rPr>
      </w:pPr>
    </w:p>
    <w:p w:rsidR="00C573C8" w:rsidRPr="00FF0DFC" w:rsidP="00E1792C" w14:paraId="4B62D257" w14:textId="77777777">
      <w:pPr>
        <w:ind w:firstLine="360"/>
        <w:rPr>
          <w:color w:val="000000"/>
        </w:rPr>
      </w:pPr>
      <w:r w:rsidRPr="00FF0DFC">
        <w:rPr>
          <w:color w:val="000000"/>
        </w:rPr>
        <w:t>No payment or gift has been provided to any respondents.</w:t>
      </w:r>
    </w:p>
    <w:p w:rsidR="00E1792C" w:rsidRPr="00FF0DFC" w14:paraId="292C4220" w14:textId="77777777">
      <w:pPr>
        <w:rPr>
          <w:color w:val="000000"/>
        </w:rPr>
      </w:pPr>
    </w:p>
    <w:p w:rsidR="00C573C8" w:rsidRPr="00FF0DFC" w14:paraId="21F19C65" w14:textId="77777777">
      <w:pPr>
        <w:rPr>
          <w:bCs/>
          <w:color w:val="000000"/>
        </w:rPr>
      </w:pPr>
      <w:r w:rsidRPr="00FF0DFC">
        <w:rPr>
          <w:bCs/>
          <w:color w:val="000000"/>
        </w:rPr>
        <w:t xml:space="preserve">10.  </w:t>
      </w:r>
      <w:r w:rsidRPr="00FF0DFC">
        <w:rPr>
          <w:bCs/>
          <w:color w:val="000000"/>
          <w:u w:val="single"/>
        </w:rPr>
        <w:t>ASSURANCE OF CONFIDENTIALITY OF RESPONSES</w:t>
      </w:r>
    </w:p>
    <w:p w:rsidR="00C573C8" w:rsidRPr="00FF0DFC" w14:paraId="4D098F34" w14:textId="77777777">
      <w:pPr>
        <w:rPr>
          <w:color w:val="000000"/>
        </w:rPr>
      </w:pPr>
    </w:p>
    <w:p w:rsidR="00C573C8" w:rsidRPr="00FF0DFC" w:rsidP="00D33035" w14:paraId="02C7A6CB" w14:textId="77777777">
      <w:pPr>
        <w:ind w:left="450"/>
        <w:rPr>
          <w:color w:val="000000"/>
        </w:rPr>
      </w:pPr>
      <w:r w:rsidRPr="00FF0DFC">
        <w:rPr>
          <w:color w:val="000000"/>
        </w:rPr>
        <w:t>Generally, tax returns and tax return information are confidential as required by 26 USC 6103.</w:t>
      </w:r>
    </w:p>
    <w:p w:rsidR="005566C8" w:rsidRPr="00FF0DFC" w14:paraId="5D16A6E3" w14:textId="33411D34">
      <w:pPr>
        <w:rPr>
          <w:color w:val="000000"/>
        </w:rPr>
      </w:pPr>
      <w:r w:rsidRPr="00FF0DFC">
        <w:rPr>
          <w:color w:val="000000"/>
        </w:rPr>
        <w:t xml:space="preserve">     </w:t>
      </w:r>
    </w:p>
    <w:p w:rsidR="00C573C8" w:rsidRPr="00FF0DFC" w14:paraId="505DE1B9" w14:textId="77777777">
      <w:pPr>
        <w:rPr>
          <w:bCs/>
          <w:color w:val="000000"/>
          <w:u w:val="single"/>
        </w:rPr>
      </w:pPr>
      <w:r w:rsidRPr="00FF0DFC">
        <w:rPr>
          <w:bCs/>
          <w:color w:val="000000"/>
        </w:rPr>
        <w:t xml:space="preserve">11.  </w:t>
      </w:r>
      <w:r w:rsidRPr="00FF0DFC">
        <w:rPr>
          <w:bCs/>
          <w:color w:val="000000"/>
          <w:u w:val="single"/>
        </w:rPr>
        <w:t>JUSTIFICATION OF SENSITIVE QUESTIONS</w:t>
      </w:r>
    </w:p>
    <w:p w:rsidR="00C573C8" w:rsidRPr="00FF0DFC" w14:paraId="3CA95A03" w14:textId="77777777">
      <w:pPr>
        <w:rPr>
          <w:color w:val="000000"/>
          <w:u w:val="single"/>
        </w:rPr>
      </w:pPr>
    </w:p>
    <w:p w:rsidR="00C85FC1" w:rsidP="00C85FC1" w14:paraId="366645C1" w14:textId="21C2F224">
      <w:pPr>
        <w:ind w:left="450"/>
        <w:rPr>
          <w:color w:val="000000"/>
        </w:rPr>
      </w:pPr>
      <w:r w:rsidRPr="009305F7">
        <w:rPr>
          <w:color w:val="000000"/>
        </w:rPr>
        <w:t xml:space="preserve">A privacy impact assessment (PIA) has been conducted for information collected under this request as part of the “Business Master File (BMF)” system and “Individual Master File” (IMF) system. Privacy Act System of Records notice (SORN) have been issued for these systems under IRS 24.046-Customer Account Data Engine Business Master File, 24.030 CADE Individual Master File, and 34.037 IRS Audit Trail and Security Records System. The Internal Revenue Service PIA’s can be found at </w:t>
      </w:r>
      <w:hyperlink r:id="rId4" w:history="1">
        <w:r w:rsidRPr="00FF3264">
          <w:rPr>
            <w:rStyle w:val="Hyperlink"/>
          </w:rPr>
          <w:t>www.irs.gov/uac/Privacy-Impact-</w:t>
        </w:r>
        <w:r w:rsidRPr="00FF3264">
          <w:rPr>
            <w:rStyle w:val="Hyperlink"/>
          </w:rPr>
          <w:t>Assessments-PIA</w:t>
        </w:r>
      </w:hyperlink>
      <w:r>
        <w:rPr>
          <w:color w:val="000000"/>
        </w:rPr>
        <w:t xml:space="preserve">. </w:t>
      </w:r>
      <w:r w:rsidRPr="009305F7">
        <w:rPr>
          <w:color w:val="000000"/>
        </w:rPr>
        <w:t xml:space="preserve">  </w:t>
      </w:r>
    </w:p>
    <w:p w:rsidR="005566C8" w:rsidRPr="00FF0DFC" w:rsidP="00C85FC1" w14:paraId="74331FFE" w14:textId="77777777">
      <w:pPr>
        <w:ind w:left="450"/>
        <w:rPr>
          <w:color w:val="000000"/>
        </w:rPr>
      </w:pPr>
    </w:p>
    <w:p w:rsidR="006C11B8" w:rsidRPr="00FF0DFC" w:rsidP="009A35C8" w14:paraId="0C8ED6CE" w14:textId="77777777">
      <w:pPr>
        <w:ind w:left="450"/>
        <w:rPr>
          <w:color w:val="000000"/>
        </w:rPr>
      </w:pPr>
      <w:r w:rsidRPr="00FF0DFC">
        <w:rPr>
          <w:color w:val="000000"/>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80023" w:rsidRPr="00FF0DFC" w14:paraId="5ED36092" w14:textId="77777777">
      <w:pPr>
        <w:rPr>
          <w:color w:val="000000"/>
        </w:rPr>
      </w:pPr>
    </w:p>
    <w:p w:rsidR="00C573C8" w:rsidRPr="00FF0DFC" w14:paraId="6E2CA2AB" w14:textId="77777777">
      <w:pPr>
        <w:rPr>
          <w:bCs/>
          <w:color w:val="000000"/>
          <w:u w:val="single"/>
        </w:rPr>
      </w:pPr>
      <w:r w:rsidRPr="00FF0DFC">
        <w:rPr>
          <w:bCs/>
          <w:color w:val="000000"/>
        </w:rPr>
        <w:t xml:space="preserve">12.  </w:t>
      </w:r>
      <w:r w:rsidRPr="00FF0DFC">
        <w:rPr>
          <w:bCs/>
          <w:color w:val="000000"/>
          <w:u w:val="single"/>
        </w:rPr>
        <w:t>ESTIMATED BURDEN OF INFORMATION COLLECTION</w:t>
      </w:r>
    </w:p>
    <w:p w:rsidR="00C3238C" w14:paraId="41696DF6" w14:textId="77777777">
      <w:pPr>
        <w:rPr>
          <w:color w:val="000000"/>
          <w:u w:val="single"/>
        </w:rPr>
      </w:pPr>
    </w:p>
    <w:p w:rsidR="009305F7" w:rsidP="00C3238C" w14:paraId="3051D4A2" w14:textId="4B9C5CE3">
      <w:pPr>
        <w:ind w:left="360" w:right="-72"/>
        <w:rPr>
          <w:color w:val="000000"/>
          <w:lang w:val="en"/>
        </w:rPr>
      </w:pPr>
      <w:r w:rsidRPr="009305F7">
        <w:rPr>
          <w:color w:val="000000"/>
          <w:lang w:val="en"/>
        </w:rPr>
        <w:t>Form 4029 is used by members of recognized religious groups to apply for exemption from social security and Medicare taxes. The exemption is for individuals and partnerships (when all the partners have approved certification)</w:t>
      </w:r>
      <w:r w:rsidR="00C3238C">
        <w:rPr>
          <w:color w:val="000000"/>
          <w:lang w:val="en"/>
        </w:rPr>
        <w:t xml:space="preserve">. </w:t>
      </w:r>
    </w:p>
    <w:p w:rsidR="00C3238C" w:rsidP="00C3238C" w14:paraId="04AC4951" w14:textId="078FBCFC">
      <w:pPr>
        <w:ind w:left="360" w:right="-72"/>
        <w:rPr>
          <w:color w:val="000000"/>
          <w:lang w:val="en"/>
        </w:rPr>
      </w:pPr>
      <w:r>
        <w:rPr>
          <w:color w:val="000000"/>
          <w:lang w:val="en"/>
        </w:rPr>
        <w:t xml:space="preserve"> </w:t>
      </w: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0"/>
        <w:gridCol w:w="1498"/>
        <w:gridCol w:w="1205"/>
        <w:gridCol w:w="1467"/>
        <w:gridCol w:w="1255"/>
        <w:gridCol w:w="1415"/>
      </w:tblGrid>
      <w:tr w14:paraId="74FA4196" w14:textId="77777777" w:rsidTr="007338E5">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0"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60855ED2" w14:textId="77777777">
            <w:pPr>
              <w:keepNext/>
              <w:keepLines/>
              <w:numPr>
                <w:ilvl w:val="12"/>
                <w:numId w:val="0"/>
              </w:numPr>
              <w:jc w:val="center"/>
              <w:rPr>
                <w:b/>
                <w:color w:val="000000"/>
              </w:rPr>
            </w:pPr>
            <w:r w:rsidRPr="00FF0DFC">
              <w:rPr>
                <w:b/>
                <w:color w:val="000000"/>
              </w:rPr>
              <w:t>OMB Collection</w:t>
            </w:r>
          </w:p>
        </w:tc>
        <w:tc>
          <w:tcPr>
            <w:tcW w:w="1498"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7793998B" w14:textId="77777777">
            <w:pPr>
              <w:keepNext/>
              <w:keepLines/>
              <w:numPr>
                <w:ilvl w:val="12"/>
                <w:numId w:val="0"/>
              </w:numPr>
              <w:jc w:val="center"/>
              <w:rPr>
                <w:b/>
                <w:color w:val="000000"/>
              </w:rPr>
            </w:pPr>
            <w:r w:rsidRPr="00FF0DFC">
              <w:rPr>
                <w:b/>
                <w:color w:val="000000"/>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747661FA" w14:textId="77777777">
            <w:pPr>
              <w:keepNext/>
              <w:keepLines/>
              <w:numPr>
                <w:ilvl w:val="12"/>
                <w:numId w:val="0"/>
              </w:numPr>
              <w:jc w:val="center"/>
              <w:rPr>
                <w:b/>
                <w:color w:val="000000"/>
              </w:rPr>
            </w:pPr>
            <w:r w:rsidRPr="00FF0DFC">
              <w:rPr>
                <w:b/>
                <w:color w:val="000000"/>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7C99B704" w14:textId="77777777">
            <w:pPr>
              <w:keepNext/>
              <w:keepLines/>
              <w:numPr>
                <w:ilvl w:val="12"/>
                <w:numId w:val="0"/>
              </w:numPr>
              <w:jc w:val="center"/>
              <w:rPr>
                <w:b/>
                <w:color w:val="000000"/>
              </w:rPr>
            </w:pPr>
            <w:r w:rsidRPr="00FF0DFC">
              <w:rPr>
                <w:b/>
                <w:color w:val="000000"/>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300F16C1" w14:textId="77777777">
            <w:pPr>
              <w:keepNext/>
              <w:keepLines/>
              <w:numPr>
                <w:ilvl w:val="12"/>
                <w:numId w:val="0"/>
              </w:numPr>
              <w:jc w:val="center"/>
              <w:rPr>
                <w:b/>
                <w:color w:val="000000"/>
              </w:rPr>
            </w:pPr>
            <w:r w:rsidRPr="00FF0DFC">
              <w:rPr>
                <w:b/>
                <w:color w:val="000000"/>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4DE8BF28" w14:textId="77777777">
            <w:pPr>
              <w:keepNext/>
              <w:keepLines/>
              <w:numPr>
                <w:ilvl w:val="12"/>
                <w:numId w:val="0"/>
              </w:numPr>
              <w:jc w:val="center"/>
              <w:rPr>
                <w:b/>
                <w:color w:val="000000"/>
              </w:rPr>
            </w:pPr>
            <w:r w:rsidRPr="00FF0DFC">
              <w:rPr>
                <w:b/>
                <w:color w:val="000000"/>
              </w:rPr>
              <w:t>Total Burden</w:t>
            </w:r>
          </w:p>
        </w:tc>
      </w:tr>
      <w:tr w14:paraId="0635B273" w14:textId="77777777" w:rsidTr="007338E5">
        <w:tblPrEx>
          <w:tblW w:w="8220" w:type="dxa"/>
          <w:tblInd w:w="888" w:type="dxa"/>
          <w:tblLook w:val="04A0"/>
        </w:tblPrEx>
        <w:tc>
          <w:tcPr>
            <w:tcW w:w="1380" w:type="dxa"/>
            <w:tcBorders>
              <w:top w:val="single" w:sz="4" w:space="0" w:color="auto"/>
              <w:left w:val="single" w:sz="4" w:space="0" w:color="auto"/>
              <w:bottom w:val="single" w:sz="4" w:space="0" w:color="auto"/>
              <w:right w:val="single" w:sz="4" w:space="0" w:color="auto"/>
            </w:tcBorders>
            <w:hideMark/>
          </w:tcPr>
          <w:p w:rsidR="00D85B57" w:rsidRPr="00FF0DFC" w:rsidP="003B7275" w14:paraId="3FB31273" w14:textId="77777777">
            <w:pPr>
              <w:keepNext/>
              <w:keepLines/>
              <w:numPr>
                <w:ilvl w:val="12"/>
                <w:numId w:val="0"/>
              </w:numPr>
              <w:jc w:val="center"/>
              <w:rPr>
                <w:color w:val="000000"/>
              </w:rPr>
            </w:pPr>
            <w:r w:rsidRPr="00FF0DFC">
              <w:rPr>
                <w:color w:val="000000"/>
              </w:rPr>
              <w:t>IRS</w:t>
            </w:r>
          </w:p>
          <w:p w:rsidR="00D85B57" w:rsidRPr="00FF0DFC" w:rsidP="00D85B57" w14:paraId="53D7A276" w14:textId="3E436639">
            <w:pPr>
              <w:keepNext/>
              <w:keepLines/>
              <w:numPr>
                <w:ilvl w:val="12"/>
                <w:numId w:val="0"/>
              </w:numPr>
              <w:jc w:val="center"/>
              <w:rPr>
                <w:color w:val="000000"/>
              </w:rPr>
            </w:pPr>
            <w:r w:rsidRPr="00FF0DFC">
              <w:rPr>
                <w:color w:val="000000"/>
              </w:rPr>
              <w:t>1545-</w:t>
            </w:r>
            <w:r w:rsidR="009305F7">
              <w:rPr>
                <w:color w:val="000000"/>
              </w:rPr>
              <w:t>0064</w:t>
            </w:r>
          </w:p>
        </w:tc>
        <w:tc>
          <w:tcPr>
            <w:tcW w:w="1498" w:type="dxa"/>
            <w:tcBorders>
              <w:top w:val="single" w:sz="4" w:space="0" w:color="auto"/>
              <w:left w:val="single" w:sz="4" w:space="0" w:color="auto"/>
              <w:bottom w:val="single" w:sz="4" w:space="0" w:color="auto"/>
              <w:right w:val="single" w:sz="4" w:space="0" w:color="auto"/>
            </w:tcBorders>
            <w:vAlign w:val="bottom"/>
            <w:hideMark/>
          </w:tcPr>
          <w:p w:rsidR="007453AC" w:rsidRPr="00FF0DFC" w:rsidP="00D85B57" w14:paraId="12807D29" w14:textId="77777777">
            <w:pPr>
              <w:keepNext/>
              <w:keepLines/>
              <w:numPr>
                <w:ilvl w:val="12"/>
                <w:numId w:val="0"/>
              </w:numPr>
              <w:jc w:val="center"/>
              <w:rPr>
                <w:color w:val="000000"/>
              </w:rPr>
            </w:pPr>
            <w:r w:rsidRPr="00FF0DFC">
              <w:rPr>
                <w:color w:val="000000"/>
              </w:rPr>
              <w:t>IRC</w:t>
            </w:r>
          </w:p>
          <w:p w:rsidR="00D85B57" w:rsidRPr="00FF0DFC" w:rsidP="00B03E6E" w14:paraId="664E3DC6" w14:textId="7AC17FBD">
            <w:pPr>
              <w:keepNext/>
              <w:keepLines/>
              <w:numPr>
                <w:ilvl w:val="12"/>
                <w:numId w:val="0"/>
              </w:numPr>
              <w:jc w:val="center"/>
              <w:rPr>
                <w:color w:val="000000"/>
              </w:rPr>
            </w:pPr>
            <w:r>
              <w:rPr>
                <w:color w:val="000000"/>
                <w:lang w:val="en"/>
              </w:rPr>
              <w:t>1402</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62A4B164" w14:textId="437E3602">
            <w:pPr>
              <w:keepNext/>
              <w:keepLines/>
              <w:numPr>
                <w:ilvl w:val="12"/>
                <w:numId w:val="0"/>
              </w:numPr>
              <w:jc w:val="center"/>
              <w:rPr>
                <w:color w:val="000000"/>
              </w:rPr>
            </w:pPr>
            <w:r>
              <w:rPr>
                <w:color w:val="000000"/>
              </w:rPr>
              <w:t>4029</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633628B6" w14:textId="092053EC">
            <w:pPr>
              <w:keepNext/>
              <w:keepLines/>
              <w:numPr>
                <w:ilvl w:val="12"/>
                <w:numId w:val="0"/>
              </w:numPr>
              <w:jc w:val="center"/>
              <w:rPr>
                <w:color w:val="000000"/>
              </w:rPr>
            </w:pPr>
            <w:r>
              <w:rPr>
                <w:color w:val="000000"/>
              </w:rPr>
              <w:t>3,</w:t>
            </w:r>
            <w:r w:rsidR="00FE29FD">
              <w:rPr>
                <w:color w:val="000000"/>
              </w:rPr>
              <w:t>414</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2FC4B0B9" w14:textId="20CCAF3A">
            <w:pPr>
              <w:keepNext/>
              <w:keepLines/>
              <w:numPr>
                <w:ilvl w:val="12"/>
                <w:numId w:val="0"/>
              </w:numPr>
              <w:jc w:val="center"/>
              <w:rPr>
                <w:color w:val="000000"/>
              </w:rPr>
            </w:pPr>
            <w:r>
              <w:rPr>
                <w:color w:val="000000"/>
              </w:rPr>
              <w:t>1.01</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27BC848C" w14:textId="477708C4">
            <w:pPr>
              <w:keepNext/>
              <w:keepLines/>
              <w:numPr>
                <w:ilvl w:val="12"/>
                <w:numId w:val="0"/>
              </w:numPr>
              <w:jc w:val="center"/>
              <w:rPr>
                <w:color w:val="000000"/>
              </w:rPr>
            </w:pPr>
            <w:r>
              <w:rPr>
                <w:color w:val="000000"/>
              </w:rPr>
              <w:t>3,</w:t>
            </w:r>
            <w:r w:rsidR="00FE29FD">
              <w:rPr>
                <w:color w:val="000000"/>
              </w:rPr>
              <w:t>449</w:t>
            </w:r>
          </w:p>
        </w:tc>
      </w:tr>
      <w:tr w14:paraId="412616DC" w14:textId="77777777" w:rsidTr="007338E5">
        <w:tblPrEx>
          <w:tblW w:w="8220" w:type="dxa"/>
          <w:tblInd w:w="888" w:type="dxa"/>
          <w:tblLook w:val="04A0"/>
        </w:tblPrEx>
        <w:tc>
          <w:tcPr>
            <w:tcW w:w="1380" w:type="dxa"/>
            <w:tcBorders>
              <w:top w:val="single" w:sz="4" w:space="0" w:color="auto"/>
              <w:left w:val="single" w:sz="4" w:space="0" w:color="auto"/>
              <w:bottom w:val="single" w:sz="4" w:space="0" w:color="auto"/>
              <w:right w:val="single" w:sz="4" w:space="0" w:color="auto"/>
            </w:tcBorders>
          </w:tcPr>
          <w:p w:rsidR="007338E5" w:rsidRPr="00FF0DFC" w:rsidP="003B7275" w14:paraId="550B931C" w14:textId="77777777">
            <w:pPr>
              <w:keepNext/>
              <w:keepLines/>
              <w:numPr>
                <w:ilvl w:val="12"/>
                <w:numId w:val="0"/>
              </w:numPr>
              <w:jc w:val="center"/>
              <w:rPr>
                <w:color w:val="000000"/>
              </w:rPr>
            </w:pPr>
          </w:p>
        </w:tc>
        <w:tc>
          <w:tcPr>
            <w:tcW w:w="1498" w:type="dxa"/>
            <w:tcBorders>
              <w:top w:val="single" w:sz="4" w:space="0" w:color="auto"/>
              <w:left w:val="single" w:sz="4" w:space="0" w:color="auto"/>
              <w:bottom w:val="single" w:sz="4" w:space="0" w:color="auto"/>
              <w:right w:val="single" w:sz="4" w:space="0" w:color="auto"/>
            </w:tcBorders>
            <w:vAlign w:val="bottom"/>
          </w:tcPr>
          <w:p w:rsidR="007338E5" w:rsidRPr="00FF0DFC" w:rsidP="00D85B57" w14:paraId="38176EE4" w14:textId="77777777">
            <w:pPr>
              <w:keepNext/>
              <w:keepLines/>
              <w:numPr>
                <w:ilvl w:val="12"/>
                <w:numId w:val="0"/>
              </w:numPr>
              <w:jc w:val="center"/>
              <w:rPr>
                <w:color w:val="000000"/>
              </w:rPr>
            </w:pPr>
          </w:p>
        </w:tc>
        <w:tc>
          <w:tcPr>
            <w:tcW w:w="1205" w:type="dxa"/>
            <w:tcBorders>
              <w:top w:val="single" w:sz="4" w:space="0" w:color="auto"/>
              <w:left w:val="single" w:sz="4" w:space="0" w:color="auto"/>
              <w:bottom w:val="single" w:sz="4" w:space="0" w:color="auto"/>
              <w:right w:val="single" w:sz="4" w:space="0" w:color="auto"/>
            </w:tcBorders>
            <w:vAlign w:val="bottom"/>
          </w:tcPr>
          <w:p w:rsidR="007338E5" w:rsidRPr="00FF0DFC" w:rsidP="003B7275" w14:paraId="7605F2DF" w14:textId="27929866">
            <w:pPr>
              <w:keepNext/>
              <w:keepLines/>
              <w:numPr>
                <w:ilvl w:val="12"/>
                <w:numId w:val="0"/>
              </w:numPr>
              <w:jc w:val="center"/>
              <w:rPr>
                <w:color w:val="000000"/>
              </w:rPr>
            </w:pPr>
          </w:p>
        </w:tc>
        <w:tc>
          <w:tcPr>
            <w:tcW w:w="1467" w:type="dxa"/>
            <w:tcBorders>
              <w:top w:val="single" w:sz="4" w:space="0" w:color="auto"/>
              <w:left w:val="single" w:sz="4" w:space="0" w:color="auto"/>
              <w:bottom w:val="single" w:sz="4" w:space="0" w:color="auto"/>
              <w:right w:val="single" w:sz="4" w:space="0" w:color="auto"/>
            </w:tcBorders>
            <w:vAlign w:val="bottom"/>
          </w:tcPr>
          <w:p w:rsidR="007338E5" w:rsidRPr="00FF0DFC" w:rsidP="003B7275" w14:paraId="5D43513E" w14:textId="0536EF9A">
            <w:pPr>
              <w:keepNext/>
              <w:keepLines/>
              <w:numPr>
                <w:ilvl w:val="12"/>
                <w:numId w:val="0"/>
              </w:numPr>
              <w:jc w:val="center"/>
              <w:rPr>
                <w:color w:val="000000"/>
              </w:rPr>
            </w:pPr>
          </w:p>
        </w:tc>
        <w:tc>
          <w:tcPr>
            <w:tcW w:w="1255" w:type="dxa"/>
            <w:tcBorders>
              <w:top w:val="single" w:sz="4" w:space="0" w:color="auto"/>
              <w:left w:val="single" w:sz="4" w:space="0" w:color="auto"/>
              <w:bottom w:val="single" w:sz="4" w:space="0" w:color="auto"/>
              <w:right w:val="single" w:sz="4" w:space="0" w:color="auto"/>
            </w:tcBorders>
            <w:vAlign w:val="bottom"/>
          </w:tcPr>
          <w:p w:rsidR="007338E5" w:rsidRPr="00FF0DFC" w:rsidP="003B7275" w14:paraId="7A9097A7" w14:textId="38007936">
            <w:pPr>
              <w:keepNext/>
              <w:keepLines/>
              <w:numPr>
                <w:ilvl w:val="12"/>
                <w:numId w:val="0"/>
              </w:numPr>
              <w:jc w:val="center"/>
              <w:rPr>
                <w:color w:val="000000"/>
              </w:rPr>
            </w:pPr>
          </w:p>
        </w:tc>
        <w:tc>
          <w:tcPr>
            <w:tcW w:w="1415" w:type="dxa"/>
            <w:tcBorders>
              <w:top w:val="single" w:sz="4" w:space="0" w:color="auto"/>
              <w:left w:val="single" w:sz="4" w:space="0" w:color="auto"/>
              <w:bottom w:val="single" w:sz="4" w:space="0" w:color="auto"/>
              <w:right w:val="single" w:sz="4" w:space="0" w:color="auto"/>
            </w:tcBorders>
            <w:vAlign w:val="bottom"/>
          </w:tcPr>
          <w:p w:rsidR="007338E5" w:rsidRPr="00FF0DFC" w:rsidP="003B7275" w14:paraId="1816E399" w14:textId="7CE9FF9F">
            <w:pPr>
              <w:keepNext/>
              <w:keepLines/>
              <w:numPr>
                <w:ilvl w:val="12"/>
                <w:numId w:val="0"/>
              </w:numPr>
              <w:jc w:val="center"/>
              <w:rPr>
                <w:color w:val="000000"/>
              </w:rPr>
            </w:pPr>
          </w:p>
        </w:tc>
      </w:tr>
      <w:tr w14:paraId="3AEF2070" w14:textId="77777777" w:rsidTr="007338E5">
        <w:tblPrEx>
          <w:tblW w:w="8220" w:type="dxa"/>
          <w:tblInd w:w="888" w:type="dxa"/>
          <w:tblLook w:val="04A0"/>
        </w:tblPrEx>
        <w:tc>
          <w:tcPr>
            <w:tcW w:w="1380" w:type="dxa"/>
            <w:tcBorders>
              <w:top w:val="single" w:sz="4" w:space="0" w:color="auto"/>
              <w:left w:val="single" w:sz="4" w:space="0" w:color="auto"/>
              <w:bottom w:val="single" w:sz="4" w:space="0" w:color="auto"/>
              <w:right w:val="single" w:sz="4" w:space="0" w:color="auto"/>
            </w:tcBorders>
          </w:tcPr>
          <w:p w:rsidR="00D85B57" w:rsidRPr="00FF0DFC" w:rsidP="003B7275" w14:paraId="6D47CB30" w14:textId="77777777">
            <w:pPr>
              <w:keepNext/>
              <w:keepLines/>
              <w:numPr>
                <w:ilvl w:val="12"/>
                <w:numId w:val="0"/>
              </w:numPr>
              <w:jc w:val="center"/>
              <w:rPr>
                <w:b/>
                <w:color w:val="000000"/>
              </w:rPr>
            </w:pPr>
          </w:p>
        </w:tc>
        <w:tc>
          <w:tcPr>
            <w:tcW w:w="1498"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764AE566" w14:textId="77777777">
            <w:pPr>
              <w:keepNext/>
              <w:keepLines/>
              <w:numPr>
                <w:ilvl w:val="12"/>
                <w:numId w:val="0"/>
              </w:numPr>
              <w:jc w:val="center"/>
              <w:rPr>
                <w:b/>
                <w:color w:val="000000"/>
              </w:rPr>
            </w:pPr>
            <w:r w:rsidRPr="00FF0DFC">
              <w:rPr>
                <w:b/>
                <w:color w:val="000000"/>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D85B57" w:rsidRPr="00FF0DFC" w:rsidP="003B7275" w14:paraId="324F68BA" w14:textId="77777777">
            <w:pPr>
              <w:keepNext/>
              <w:keepLines/>
              <w:numPr>
                <w:ilvl w:val="12"/>
                <w:numId w:val="0"/>
              </w:numPr>
              <w:jc w:val="center"/>
              <w:rPr>
                <w:b/>
                <w:color w:val="000000"/>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2B7165FD" w14:textId="644A0D12">
            <w:pPr>
              <w:keepNext/>
              <w:keepLines/>
              <w:numPr>
                <w:ilvl w:val="12"/>
                <w:numId w:val="0"/>
              </w:numPr>
              <w:jc w:val="center"/>
              <w:rPr>
                <w:b/>
                <w:color w:val="000000"/>
              </w:rPr>
            </w:pPr>
            <w:r>
              <w:rPr>
                <w:b/>
                <w:color w:val="000000"/>
              </w:rPr>
              <w:t>3,</w:t>
            </w:r>
            <w:r w:rsidR="00FE29FD">
              <w:rPr>
                <w:b/>
                <w:color w:val="000000"/>
              </w:rPr>
              <w:t>414</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38625A27" w14:textId="77777777">
            <w:pPr>
              <w:keepNext/>
              <w:keepLines/>
              <w:numPr>
                <w:ilvl w:val="12"/>
                <w:numId w:val="0"/>
              </w:numPr>
              <w:jc w:val="center"/>
              <w:rPr>
                <w:b/>
                <w:color w:val="000000"/>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FF0DFC" w:rsidP="003B7275" w14:paraId="30294955" w14:textId="356677B2">
            <w:pPr>
              <w:keepNext/>
              <w:keepLines/>
              <w:numPr>
                <w:ilvl w:val="12"/>
                <w:numId w:val="0"/>
              </w:numPr>
              <w:jc w:val="center"/>
              <w:rPr>
                <w:b/>
                <w:color w:val="000000"/>
              </w:rPr>
            </w:pPr>
            <w:r>
              <w:rPr>
                <w:b/>
                <w:color w:val="000000"/>
              </w:rPr>
              <w:t>3,</w:t>
            </w:r>
            <w:r w:rsidR="00FE29FD">
              <w:rPr>
                <w:b/>
                <w:color w:val="000000"/>
              </w:rPr>
              <w:t>449</w:t>
            </w:r>
          </w:p>
        </w:tc>
      </w:tr>
    </w:tbl>
    <w:p w:rsidR="00C573C8" w:rsidRPr="00FF0DFC" w14:paraId="02BC4B5F" w14:textId="77777777">
      <w:pPr>
        <w:rPr>
          <w:color w:val="000000"/>
        </w:rPr>
      </w:pPr>
      <w:r w:rsidRPr="00FF0DFC">
        <w:rPr>
          <w:color w:val="000000"/>
        </w:rPr>
        <w:t xml:space="preserve">  </w:t>
      </w:r>
    </w:p>
    <w:p w:rsidR="00DD4327" w:rsidRPr="00FF0DFC" w:rsidP="009305F7" w14:paraId="0CA43775" w14:textId="32E7F4A0">
      <w:pPr>
        <w:pStyle w:val="SupportingStatementSTANDARD"/>
        <w:tabs>
          <w:tab w:val="clear" w:pos="720"/>
        </w:tabs>
        <w:ind w:left="360" w:firstLine="0"/>
        <w:rPr>
          <w:color w:val="000000"/>
        </w:rPr>
      </w:pPr>
      <w:r w:rsidRPr="00FF0DFC">
        <w:rPr>
          <w:color w:val="000000"/>
        </w:rPr>
        <w:t>Please continue to assign OMB number 1545-</w:t>
      </w:r>
      <w:r w:rsidR="009305F7">
        <w:rPr>
          <w:color w:val="000000"/>
        </w:rPr>
        <w:t>0064</w:t>
      </w:r>
      <w:r w:rsidRPr="00FF0DFC">
        <w:rPr>
          <w:color w:val="000000"/>
        </w:rPr>
        <w:t xml:space="preserve"> to these regulations.</w:t>
      </w:r>
    </w:p>
    <w:p w:rsidR="00DD4327" w:rsidRPr="00FF0DFC" w:rsidP="00DD4327" w14:paraId="12F042F9" w14:textId="77777777">
      <w:pPr>
        <w:pStyle w:val="SupportingStatementSTANDARD"/>
        <w:ind w:firstLine="0"/>
        <w:rPr>
          <w:color w:val="000000"/>
        </w:rPr>
      </w:pPr>
    </w:p>
    <w:p w:rsidR="00DD4327" w:rsidRPr="00FF0DFC" w:rsidP="00007D7B" w14:paraId="26460F29" w14:textId="0D3A1FA4">
      <w:pPr>
        <w:ind w:left="720"/>
        <w:rPr>
          <w:color w:val="000000"/>
        </w:rPr>
      </w:pPr>
      <w:r w:rsidRPr="00FF0DFC">
        <w:rPr>
          <w:color w:val="000000"/>
        </w:rPr>
        <w:t>1.</w:t>
      </w:r>
      <w:r w:rsidR="009305F7">
        <w:rPr>
          <w:color w:val="000000"/>
        </w:rPr>
        <w:t>1402(h)-1</w:t>
      </w:r>
      <w:r w:rsidR="009305F7">
        <w:rPr>
          <w:color w:val="000000"/>
        </w:rPr>
        <w:tab/>
      </w:r>
      <w:r w:rsidR="009305F7">
        <w:rPr>
          <w:color w:val="000000"/>
        </w:rPr>
        <w:tab/>
        <w:t>31.6053-1</w:t>
      </w:r>
    </w:p>
    <w:p w:rsidR="00007D7B" w:rsidRPr="00FF0DFC" w14:paraId="68C051C6" w14:textId="77777777">
      <w:pPr>
        <w:rPr>
          <w:color w:val="000000"/>
        </w:rPr>
      </w:pPr>
    </w:p>
    <w:p w:rsidR="00C573C8" w:rsidRPr="00FF0DFC" w14:paraId="350E1221" w14:textId="77777777">
      <w:pPr>
        <w:rPr>
          <w:bCs/>
          <w:color w:val="000000"/>
        </w:rPr>
      </w:pPr>
      <w:r w:rsidRPr="00FF0DFC">
        <w:rPr>
          <w:bCs/>
          <w:color w:val="000000"/>
        </w:rPr>
        <w:t xml:space="preserve">13.  </w:t>
      </w:r>
      <w:r w:rsidRPr="00FF0DFC">
        <w:rPr>
          <w:bCs/>
          <w:color w:val="000000"/>
          <w:u w:val="single"/>
        </w:rPr>
        <w:t>ESTIMATED TOTAL ANNUAL COST BURDEN TO RESPONDENTS</w:t>
      </w:r>
    </w:p>
    <w:p w:rsidR="00C573C8" w:rsidRPr="00FF0DFC" w14:paraId="77DA3B13" w14:textId="77777777">
      <w:pPr>
        <w:rPr>
          <w:color w:val="000000"/>
        </w:rPr>
      </w:pPr>
    </w:p>
    <w:p w:rsidR="00D33035" w:rsidP="00D57011" w14:paraId="0699C970" w14:textId="7B6126F7">
      <w:pPr>
        <w:ind w:left="450"/>
        <w:rPr>
          <w:color w:val="000000"/>
        </w:rPr>
      </w:pPr>
      <w:r w:rsidRPr="00D57011">
        <w:rPr>
          <w:color w:val="000000"/>
        </w:rPr>
        <w:t xml:space="preserve">From our Federal Register notice dated </w:t>
      </w:r>
      <w:r>
        <w:rPr>
          <w:color w:val="000000"/>
        </w:rPr>
        <w:t>October</w:t>
      </w:r>
      <w:r w:rsidRPr="00D57011">
        <w:rPr>
          <w:color w:val="000000"/>
        </w:rPr>
        <w:t xml:space="preserve"> </w:t>
      </w:r>
      <w:r w:rsidR="00B86C14">
        <w:rPr>
          <w:color w:val="000000"/>
        </w:rPr>
        <w:t>3</w:t>
      </w:r>
      <w:r w:rsidRPr="00D57011">
        <w:rPr>
          <w:color w:val="000000"/>
        </w:rPr>
        <w:t xml:space="preserve">, 2024,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   </w:t>
      </w:r>
    </w:p>
    <w:p w:rsidR="00D57011" w:rsidRPr="00FF0DFC" w14:paraId="1CCA60E7" w14:textId="77777777">
      <w:pPr>
        <w:rPr>
          <w:color w:val="000000"/>
        </w:rPr>
      </w:pPr>
    </w:p>
    <w:p w:rsidR="00C573C8" w:rsidRPr="00FF0DFC" w14:paraId="54D19039" w14:textId="77777777">
      <w:pPr>
        <w:rPr>
          <w:bCs/>
          <w:color w:val="000000"/>
        </w:rPr>
      </w:pPr>
      <w:r w:rsidRPr="00FF0DFC">
        <w:rPr>
          <w:bCs/>
          <w:color w:val="000000"/>
        </w:rPr>
        <w:t xml:space="preserve">14.  </w:t>
      </w:r>
      <w:r w:rsidRPr="00FF0DFC">
        <w:rPr>
          <w:bCs/>
          <w:color w:val="000000"/>
          <w:u w:val="single"/>
        </w:rPr>
        <w:t>ESTIMATED ANNUALIZED COST TO THE FEDERAL GOVERNMENT</w:t>
      </w:r>
    </w:p>
    <w:p w:rsidR="00C573C8" w:rsidRPr="00FF0DFC" w14:paraId="0696BFF0" w14:textId="77777777">
      <w:pPr>
        <w:rPr>
          <w:color w:val="000000"/>
        </w:rPr>
      </w:pPr>
    </w:p>
    <w:p w:rsidR="002E5626" w:rsidRPr="002E5626" w:rsidP="002E5626" w14:paraId="604E1CDF" w14:textId="77777777">
      <w:pPr>
        <w:ind w:left="450"/>
        <w:rPr>
          <w:color w:val="000000"/>
        </w:rPr>
      </w:pPr>
      <w:r w:rsidRPr="002E5626">
        <w:rPr>
          <w:color w:val="000000"/>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2E5626" w:rsidRPr="002E5626" w:rsidP="002E5626" w14:paraId="2FB68A2E" w14:textId="77777777">
      <w:pPr>
        <w:ind w:left="450"/>
        <w:rPr>
          <w:color w:val="000000"/>
        </w:rPr>
      </w:pPr>
    </w:p>
    <w:p w:rsidR="003A6E3A" w:rsidP="002E5626" w14:paraId="026D054D" w14:textId="788B3B6B">
      <w:pPr>
        <w:ind w:left="450"/>
        <w:rPr>
          <w:color w:val="000000"/>
        </w:rPr>
      </w:pPr>
      <w:r w:rsidRPr="002E5626">
        <w:rPr>
          <w:color w:val="000000"/>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w:t>
      </w:r>
      <w:r w:rsidRPr="002E5626">
        <w:rPr>
          <w:color w:val="000000"/>
        </w:rPr>
        <w:t xml:space="preserve">are multiplied together to obtain the aggregated cost per product.  Lastly, the aggregated cost per product is added to the cost of shipping and printing each product to IRS offices, National Distribution Center, </w:t>
      </w:r>
      <w:r w:rsidRPr="002E5626">
        <w:rPr>
          <w:color w:val="000000"/>
        </w:rPr>
        <w:t>libraries,</w:t>
      </w:r>
      <w:r w:rsidRPr="002E5626">
        <w:rPr>
          <w:color w:val="000000"/>
        </w:rPr>
        <w:t xml:space="preserve"> and other outlets. The result is the Government cost estimate per product.</w:t>
      </w:r>
    </w:p>
    <w:p w:rsidR="003A6E3A" w:rsidRPr="002E5626" w:rsidP="002E5626" w14:paraId="2B711558" w14:textId="77777777">
      <w:pPr>
        <w:ind w:left="450"/>
        <w:rPr>
          <w:color w:val="000000"/>
        </w:rPr>
      </w:pPr>
    </w:p>
    <w:p w:rsidR="002E5626" w:rsidRPr="002E5626" w:rsidP="002E5626" w14:paraId="2C4C978E" w14:textId="77777777">
      <w:pPr>
        <w:ind w:left="450"/>
        <w:rPr>
          <w:color w:val="000000"/>
        </w:rPr>
      </w:pPr>
      <w:r w:rsidRPr="002E5626">
        <w:rPr>
          <w:color w:val="000000"/>
        </w:rPr>
        <w:t>The government cost estimate for this collection is summarized in the table below.</w:t>
      </w:r>
    </w:p>
    <w:p w:rsidR="002E5626" w:rsidRPr="002E5626" w:rsidP="002E5626" w14:paraId="115EF11D" w14:textId="77777777">
      <w:pPr>
        <w:ind w:left="450"/>
        <w:rPr>
          <w:color w:val="000000"/>
        </w:rPr>
      </w:pPr>
    </w:p>
    <w:tbl>
      <w:tblPr>
        <w:tblW w:w="9003" w:type="dxa"/>
        <w:tblInd w:w="720" w:type="dxa"/>
        <w:tblCellMar>
          <w:left w:w="0" w:type="dxa"/>
          <w:right w:w="0" w:type="dxa"/>
        </w:tblCellMar>
        <w:tblLook w:val="04A0"/>
      </w:tblPr>
      <w:tblGrid>
        <w:gridCol w:w="1800"/>
        <w:gridCol w:w="1719"/>
        <w:gridCol w:w="802"/>
        <w:gridCol w:w="1920"/>
        <w:gridCol w:w="802"/>
        <w:gridCol w:w="1960"/>
      </w:tblGrid>
      <w:tr w14:paraId="2DC4F762" w14:textId="77777777" w:rsidTr="00052EE6">
        <w:tblPrEx>
          <w:tblW w:w="9003" w:type="dxa"/>
          <w:tblInd w:w="720" w:type="dxa"/>
          <w:tblCellMar>
            <w:left w:w="0" w:type="dxa"/>
            <w:right w:w="0" w:type="dxa"/>
          </w:tblCellMar>
          <w:tblLook w:val="04A0"/>
        </w:tblPrEx>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5626" w:rsidRPr="002E5626" w:rsidP="002E5626" w14:paraId="0254A6CD" w14:textId="77777777">
            <w:pPr>
              <w:ind w:left="450"/>
              <w:rPr>
                <w:b/>
                <w:bCs/>
                <w:color w:val="000000"/>
                <w:u w:val="single"/>
              </w:rPr>
            </w:pPr>
            <w:r w:rsidRPr="002E5626">
              <w:rPr>
                <w:b/>
                <w:bCs/>
                <w:color w:val="000000"/>
                <w:u w:val="single"/>
              </w:rPr>
              <w:t>Product</w:t>
            </w:r>
          </w:p>
        </w:tc>
        <w:tc>
          <w:tcPr>
            <w:tcW w:w="1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5626" w:rsidRPr="002E5626" w:rsidP="002E5626" w14:paraId="048FC1F8" w14:textId="77777777">
            <w:pPr>
              <w:ind w:left="450"/>
              <w:rPr>
                <w:b/>
                <w:bCs/>
                <w:color w:val="000000"/>
                <w:u w:val="single"/>
              </w:rPr>
            </w:pPr>
            <w:r w:rsidRPr="002E5626">
              <w:rPr>
                <w:b/>
                <w:bCs/>
                <w:color w:val="000000"/>
                <w:u w:val="single"/>
              </w:rPr>
              <w:t>Aggregate Cost per Product (factor applied)</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626" w:rsidRPr="002E5626" w:rsidP="002E5626" w14:paraId="1A11031E" w14:textId="77777777">
            <w:pPr>
              <w:ind w:left="450"/>
              <w:rPr>
                <w:b/>
                <w:bCs/>
                <w:color w:val="000000"/>
                <w:u w:val="single"/>
              </w:rPr>
            </w:pPr>
          </w:p>
        </w:tc>
        <w:tc>
          <w:tcPr>
            <w:tcW w:w="1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5626" w:rsidRPr="002E5626" w:rsidP="002E5626" w14:paraId="19B14CF7" w14:textId="77777777">
            <w:pPr>
              <w:ind w:left="450"/>
              <w:rPr>
                <w:b/>
                <w:bCs/>
                <w:color w:val="000000"/>
                <w:u w:val="single"/>
              </w:rPr>
            </w:pPr>
            <w:r w:rsidRPr="002E5626">
              <w:rPr>
                <w:b/>
                <w:bCs/>
                <w:color w:val="000000"/>
                <w:u w:val="single"/>
              </w:rPr>
              <w:t>Printing and Distribution</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5626" w:rsidRPr="002E5626" w:rsidP="002E5626" w14:paraId="41E2575D" w14:textId="77777777">
            <w:pPr>
              <w:ind w:left="450"/>
              <w:rPr>
                <w:b/>
                <w:bCs/>
                <w:color w:val="000000"/>
                <w:u w:val="single"/>
              </w:rPr>
            </w:pP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E5626" w:rsidRPr="002E5626" w:rsidP="002E5626" w14:paraId="233E72C0" w14:textId="77777777">
            <w:pPr>
              <w:ind w:left="450"/>
              <w:rPr>
                <w:b/>
                <w:bCs/>
                <w:color w:val="000000"/>
                <w:u w:val="single"/>
              </w:rPr>
            </w:pPr>
            <w:r w:rsidRPr="002E5626">
              <w:rPr>
                <w:b/>
                <w:bCs/>
                <w:color w:val="000000"/>
                <w:u w:val="single"/>
              </w:rPr>
              <w:t>Government Cost Estimate per Product</w:t>
            </w:r>
          </w:p>
        </w:tc>
      </w:tr>
      <w:tr w14:paraId="75D07686" w14:textId="77777777" w:rsidTr="00052EE6">
        <w:tblPrEx>
          <w:tblW w:w="9003" w:type="dxa"/>
          <w:tblInd w:w="7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5626" w:rsidRPr="002E5626" w:rsidP="002E5626" w14:paraId="785336F3" w14:textId="29BDCD0A">
            <w:pPr>
              <w:ind w:left="450"/>
              <w:rPr>
                <w:color w:val="000000"/>
              </w:rPr>
            </w:pPr>
            <w:r w:rsidRPr="002E5626">
              <w:rPr>
                <w:color w:val="000000"/>
              </w:rPr>
              <w:t xml:space="preserve">Form </w:t>
            </w:r>
            <w:r w:rsidR="009305F7">
              <w:rPr>
                <w:color w:val="000000"/>
              </w:rPr>
              <w:t>4029</w:t>
            </w:r>
          </w:p>
        </w:tc>
        <w:tc>
          <w:tcPr>
            <w:tcW w:w="1719"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2B700C01" w14:textId="77777777">
            <w:pPr>
              <w:ind w:left="450"/>
              <w:rPr>
                <w:color w:val="000000"/>
              </w:rPr>
            </w:pPr>
          </w:p>
          <w:p w:rsidR="002E5626" w:rsidRPr="002E5626" w:rsidP="002E5626" w14:paraId="0489426E" w14:textId="236CE559">
            <w:pPr>
              <w:ind w:left="450"/>
              <w:rPr>
                <w:color w:val="000000"/>
              </w:rPr>
            </w:pPr>
            <w:r>
              <w:rPr>
                <w:color w:val="000000"/>
              </w:rPr>
              <w:t>$19,285</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20C6350E" w14:textId="77777777">
            <w:pPr>
              <w:ind w:left="450"/>
              <w:rPr>
                <w:color w:val="000000"/>
              </w:rPr>
            </w:pPr>
          </w:p>
          <w:p w:rsidR="002E5626" w:rsidRPr="002E5626" w:rsidP="002E5626" w14:paraId="6EEE0B50" w14:textId="77777777">
            <w:pPr>
              <w:ind w:left="450"/>
              <w:rPr>
                <w:color w:val="000000"/>
              </w:rPr>
            </w:pPr>
            <w:r w:rsidRPr="002E5626">
              <w:rPr>
                <w:color w:val="000000"/>
              </w:rPr>
              <w:t>+</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3D34E2DD" w14:textId="77777777">
            <w:pPr>
              <w:ind w:left="450"/>
              <w:rPr>
                <w:color w:val="000000"/>
              </w:rPr>
            </w:pPr>
          </w:p>
          <w:p w:rsidR="002E5626" w:rsidRPr="002E5626" w:rsidP="002E5626" w14:paraId="30F01A38" w14:textId="77777777">
            <w:pPr>
              <w:ind w:left="450"/>
              <w:rPr>
                <w:color w:val="000000"/>
              </w:rPr>
            </w:pPr>
            <w:r w:rsidRPr="002E5626">
              <w:rPr>
                <w:color w:val="00000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062A9955" w14:textId="77777777">
            <w:pPr>
              <w:ind w:left="450"/>
              <w:rPr>
                <w:color w:val="000000"/>
              </w:rPr>
            </w:pPr>
          </w:p>
          <w:p w:rsidR="002E5626" w:rsidRPr="002E5626" w:rsidP="002E5626" w14:paraId="2B491431" w14:textId="77777777">
            <w:pPr>
              <w:ind w:left="450"/>
              <w:rPr>
                <w:color w:val="000000"/>
              </w:rPr>
            </w:pPr>
            <w:r w:rsidRPr="002E5626">
              <w:rPr>
                <w:color w:val="000000"/>
              </w:rPr>
              <w:t>=</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2D986C20" w14:textId="77777777">
            <w:pPr>
              <w:ind w:left="450"/>
              <w:rPr>
                <w:color w:val="000000"/>
              </w:rPr>
            </w:pPr>
          </w:p>
          <w:p w:rsidR="002E5626" w:rsidRPr="002E5626" w:rsidP="002E5626" w14:paraId="4B78D6AD" w14:textId="3DE5025A">
            <w:pPr>
              <w:ind w:left="450"/>
              <w:rPr>
                <w:color w:val="000000"/>
              </w:rPr>
            </w:pPr>
            <w:r>
              <w:rPr>
                <w:color w:val="000000"/>
              </w:rPr>
              <w:t>$</w:t>
            </w:r>
            <w:r w:rsidR="00AC24EC">
              <w:rPr>
                <w:color w:val="000000"/>
              </w:rPr>
              <w:t>1</w:t>
            </w:r>
            <w:r>
              <w:rPr>
                <w:color w:val="000000"/>
              </w:rPr>
              <w:t>9,285</w:t>
            </w:r>
          </w:p>
        </w:tc>
      </w:tr>
      <w:tr w14:paraId="35BA0487" w14:textId="77777777" w:rsidTr="00052EE6">
        <w:tblPrEx>
          <w:tblW w:w="9003" w:type="dxa"/>
          <w:tblInd w:w="7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5626" w:rsidRPr="002E5626" w:rsidP="002E5626" w14:paraId="793FBDD8" w14:textId="77777777">
            <w:pPr>
              <w:ind w:left="450"/>
              <w:rPr>
                <w:b/>
                <w:bCs/>
                <w:color w:val="000000"/>
              </w:rPr>
            </w:pPr>
            <w:r w:rsidRPr="002E5626">
              <w:rPr>
                <w:b/>
                <w:bCs/>
                <w:color w:val="000000"/>
              </w:rPr>
              <w:t>Grand Total</w:t>
            </w:r>
          </w:p>
        </w:tc>
        <w:tc>
          <w:tcPr>
            <w:tcW w:w="1719"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1D62F877" w14:textId="77777777">
            <w:pPr>
              <w:ind w:left="450"/>
              <w:rPr>
                <w:b/>
                <w:bCs/>
                <w:color w:val="000000"/>
              </w:rPr>
            </w:pPr>
          </w:p>
          <w:p w:rsidR="002E5626" w:rsidRPr="002E5626" w:rsidP="002E5626" w14:paraId="78E29D68" w14:textId="2EEAD481">
            <w:pPr>
              <w:ind w:left="450"/>
              <w:rPr>
                <w:b/>
                <w:bCs/>
                <w:color w:val="000000"/>
              </w:rPr>
            </w:pPr>
            <w:r>
              <w:rPr>
                <w:b/>
                <w:bCs/>
                <w:color w:val="000000"/>
              </w:rPr>
              <w:t>$</w:t>
            </w:r>
            <w:r w:rsidR="00AC24EC">
              <w:rPr>
                <w:b/>
                <w:bCs/>
                <w:color w:val="000000"/>
              </w:rPr>
              <w:t>1</w:t>
            </w:r>
            <w:r w:rsidR="00D57011">
              <w:rPr>
                <w:b/>
                <w:bCs/>
                <w:color w:val="000000"/>
              </w:rPr>
              <w:t>9,285</w:t>
            </w:r>
          </w:p>
        </w:tc>
        <w:tc>
          <w:tcPr>
            <w:tcW w:w="802" w:type="dxa"/>
            <w:tcBorders>
              <w:top w:val="nil"/>
              <w:left w:val="nil"/>
              <w:bottom w:val="single" w:sz="8" w:space="0" w:color="auto"/>
              <w:right w:val="single" w:sz="8" w:space="0" w:color="auto"/>
            </w:tcBorders>
            <w:tcMar>
              <w:top w:w="0" w:type="dxa"/>
              <w:left w:w="108" w:type="dxa"/>
              <w:bottom w:w="0" w:type="dxa"/>
              <w:right w:w="108" w:type="dxa"/>
            </w:tcMar>
          </w:tcPr>
          <w:p w:rsidR="002E5626" w:rsidRPr="002E5626" w:rsidP="002E5626" w14:paraId="28BD971E" w14:textId="77777777">
            <w:pPr>
              <w:ind w:left="450"/>
              <w:rPr>
                <w:b/>
                <w:bCs/>
                <w:color w:val="000000"/>
              </w:rPr>
            </w:pP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0C5B28F4" w14:textId="77777777">
            <w:pPr>
              <w:ind w:left="450"/>
              <w:rPr>
                <w:b/>
                <w:bCs/>
                <w:color w:val="000000"/>
              </w:rPr>
            </w:pPr>
          </w:p>
          <w:p w:rsidR="002E5626" w:rsidRPr="002E5626" w:rsidP="002E5626" w14:paraId="203EBDF5" w14:textId="77777777">
            <w:pPr>
              <w:ind w:left="450"/>
              <w:rPr>
                <w:b/>
                <w:bCs/>
                <w:color w:val="000000"/>
              </w:rPr>
            </w:pPr>
            <w:r w:rsidRPr="002E5626">
              <w:rPr>
                <w:b/>
                <w:bCs/>
                <w:color w:val="000000"/>
              </w:rPr>
              <w:t>0</w:t>
            </w:r>
          </w:p>
        </w:tc>
        <w:tc>
          <w:tcPr>
            <w:tcW w:w="802" w:type="dxa"/>
            <w:tcBorders>
              <w:top w:val="nil"/>
              <w:left w:val="nil"/>
              <w:bottom w:val="single" w:sz="8" w:space="0" w:color="auto"/>
              <w:right w:val="single" w:sz="8" w:space="0" w:color="auto"/>
            </w:tcBorders>
            <w:tcMar>
              <w:top w:w="0" w:type="dxa"/>
              <w:left w:w="108" w:type="dxa"/>
              <w:bottom w:w="0" w:type="dxa"/>
              <w:right w:w="108" w:type="dxa"/>
            </w:tcMar>
          </w:tcPr>
          <w:p w:rsidR="002E5626" w:rsidRPr="002E5626" w:rsidP="002E5626" w14:paraId="220A2504" w14:textId="77777777">
            <w:pPr>
              <w:ind w:left="450"/>
              <w:rPr>
                <w:b/>
                <w:bCs/>
                <w:color w:val="000000"/>
              </w:rPr>
            </w:pP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rsidR="00052EE6" w:rsidP="002E5626" w14:paraId="7A3AC917" w14:textId="77777777">
            <w:pPr>
              <w:ind w:left="450"/>
              <w:rPr>
                <w:b/>
                <w:bCs/>
                <w:color w:val="000000"/>
              </w:rPr>
            </w:pPr>
          </w:p>
          <w:p w:rsidR="002E5626" w:rsidRPr="002E5626" w:rsidP="002E5626" w14:paraId="3C4171DD" w14:textId="5582A59A">
            <w:pPr>
              <w:ind w:left="450"/>
              <w:rPr>
                <w:b/>
                <w:bCs/>
                <w:color w:val="000000"/>
              </w:rPr>
            </w:pPr>
            <w:r>
              <w:rPr>
                <w:b/>
                <w:bCs/>
                <w:color w:val="000000"/>
              </w:rPr>
              <w:t>$</w:t>
            </w:r>
            <w:r w:rsidR="00392DBB">
              <w:rPr>
                <w:b/>
                <w:bCs/>
                <w:color w:val="000000"/>
              </w:rPr>
              <w:t>1</w:t>
            </w:r>
            <w:r w:rsidR="00D57011">
              <w:rPr>
                <w:b/>
                <w:bCs/>
                <w:color w:val="000000"/>
              </w:rPr>
              <w:t>9,285</w:t>
            </w:r>
          </w:p>
        </w:tc>
      </w:tr>
    </w:tbl>
    <w:p w:rsidR="00950798" w:rsidRPr="00FF0DFC" w14:paraId="3C4C6F55" w14:textId="77777777">
      <w:pPr>
        <w:rPr>
          <w:color w:val="000000"/>
        </w:rPr>
      </w:pPr>
    </w:p>
    <w:p w:rsidR="00C573C8" w:rsidRPr="00FF0DFC" w14:paraId="5B57E3DF" w14:textId="77777777">
      <w:pPr>
        <w:rPr>
          <w:color w:val="000000"/>
        </w:rPr>
      </w:pPr>
      <w:r w:rsidRPr="00FF0DFC">
        <w:rPr>
          <w:bCs/>
          <w:color w:val="000000"/>
        </w:rPr>
        <w:t xml:space="preserve">15.  </w:t>
      </w:r>
      <w:r w:rsidRPr="00FF0DFC">
        <w:rPr>
          <w:bCs/>
          <w:color w:val="000000"/>
          <w:u w:val="single"/>
        </w:rPr>
        <w:t>REASONS FOR CHANGE IN BURDEN</w:t>
      </w:r>
    </w:p>
    <w:p w:rsidR="00C573C8" w:rsidRPr="00FF0DFC" w14:paraId="55CDD39A" w14:textId="77777777">
      <w:pPr>
        <w:ind w:left="720" w:hanging="720"/>
        <w:rPr>
          <w:bCs/>
          <w:color w:val="000000"/>
        </w:rPr>
      </w:pPr>
      <w:r w:rsidRPr="00FF0DFC">
        <w:rPr>
          <w:color w:val="000000"/>
        </w:rPr>
        <w:t xml:space="preserve">    </w:t>
      </w:r>
    </w:p>
    <w:p w:rsidR="002E5626" w:rsidRPr="002E5626" w:rsidP="002E5626" w14:paraId="543BA2DF" w14:textId="08FD15E7">
      <w:pPr>
        <w:rPr>
          <w:color w:val="000000"/>
        </w:rPr>
      </w:pPr>
      <w:r w:rsidRPr="00FE29FD">
        <w:rPr>
          <w:color w:val="000000"/>
        </w:rPr>
        <w:t xml:space="preserve">There are no changes to the form.  However, updates in the estimated number of annual responses will decrease the burden previously approved by 343 hours.  </w:t>
      </w:r>
      <w:r w:rsidRPr="002E5626">
        <w:rPr>
          <w:color w:val="000000"/>
        </w:rPr>
        <w:t xml:space="preserve">We are making this submission to renew the OMB approval.  </w:t>
      </w:r>
    </w:p>
    <w:p w:rsidR="002E5626" w:rsidRPr="002E5626" w:rsidP="002E5626" w14:paraId="0EE41C62" w14:textId="77777777">
      <w:pPr>
        <w:rPr>
          <w:color w:val="000000"/>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519"/>
        <w:gridCol w:w="1329"/>
        <w:gridCol w:w="1328"/>
        <w:gridCol w:w="1328"/>
        <w:gridCol w:w="1328"/>
        <w:gridCol w:w="1328"/>
        <w:gridCol w:w="1328"/>
      </w:tblGrid>
      <w:tr w14:paraId="21063229" w14:textId="77777777" w:rsidTr="000B334F">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0" w:type="pct"/>
            <w:tcBorders>
              <w:top w:val="outset" w:sz="6" w:space="0" w:color="auto"/>
              <w:left w:val="outset" w:sz="6" w:space="0" w:color="auto"/>
              <w:bottom w:val="outset" w:sz="6" w:space="0" w:color="auto"/>
              <w:right w:val="outset" w:sz="6" w:space="0" w:color="auto"/>
            </w:tcBorders>
            <w:vAlign w:val="center"/>
            <w:hideMark/>
          </w:tcPr>
          <w:p w:rsidR="002E5626" w:rsidRPr="002E5626" w:rsidP="002E5626" w14:paraId="60218722" w14:textId="77777777">
            <w:pPr>
              <w:rPr>
                <w:b/>
                <w:bCs/>
                <w:color w:val="000000"/>
              </w:rPr>
            </w:pPr>
            <w:r w:rsidRPr="002E5626">
              <w:rPr>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E5626" w:rsidRPr="002E5626" w:rsidP="002E5626" w14:paraId="014A11A6" w14:textId="77777777">
            <w:pPr>
              <w:rPr>
                <w:b/>
                <w:bCs/>
                <w:color w:val="000000"/>
              </w:rPr>
            </w:pPr>
            <w:r w:rsidRPr="002E5626">
              <w:rPr>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2E5626" w:rsidRPr="002E5626" w:rsidP="002E5626" w14:paraId="1193CF2B" w14:textId="77777777">
            <w:pPr>
              <w:rPr>
                <w:b/>
                <w:bCs/>
                <w:color w:val="000000"/>
              </w:rPr>
            </w:pPr>
            <w:r w:rsidRPr="002E5626">
              <w:rPr>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5626" w:rsidRPr="002E5626" w:rsidP="002E5626" w14:paraId="6E7F717F" w14:textId="77777777">
            <w:pPr>
              <w:rPr>
                <w:b/>
                <w:bCs/>
                <w:color w:val="000000"/>
              </w:rPr>
            </w:pPr>
            <w:r w:rsidRPr="002E5626">
              <w:rPr>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2E5626" w:rsidRPr="002E5626" w:rsidP="002E5626" w14:paraId="2A32086A" w14:textId="77777777">
            <w:pPr>
              <w:rPr>
                <w:b/>
                <w:bCs/>
                <w:color w:val="000000"/>
              </w:rPr>
            </w:pPr>
            <w:r w:rsidRPr="002E5626">
              <w:rPr>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5626" w:rsidRPr="002E5626" w:rsidP="002E5626" w14:paraId="5C79A2B2" w14:textId="77777777">
            <w:pPr>
              <w:rPr>
                <w:b/>
                <w:bCs/>
                <w:color w:val="000000"/>
              </w:rPr>
            </w:pPr>
            <w:r w:rsidRPr="002E5626">
              <w:rPr>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2E5626" w:rsidRPr="002E5626" w:rsidP="002E5626" w14:paraId="41637ED9" w14:textId="77777777">
            <w:pPr>
              <w:rPr>
                <w:b/>
                <w:bCs/>
                <w:color w:val="000000"/>
              </w:rPr>
            </w:pPr>
            <w:r w:rsidRPr="002E5626">
              <w:rPr>
                <w:b/>
                <w:bCs/>
                <w:color w:val="000000"/>
              </w:rPr>
              <w:t>Previously Approved</w:t>
            </w:r>
          </w:p>
        </w:tc>
      </w:tr>
      <w:tr w14:paraId="16F96814" w14:textId="77777777" w:rsidTr="000B334F">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05BF14E2" w14:textId="77777777">
            <w:pPr>
              <w:rPr>
                <w:color w:val="000000"/>
              </w:rPr>
            </w:pPr>
            <w:r w:rsidRPr="002E5626">
              <w:rPr>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0E90C83E" w14:textId="03ADA69B">
            <w:pPr>
              <w:rPr>
                <w:color w:val="000000"/>
              </w:rPr>
            </w:pPr>
            <w:r w:rsidRPr="002E5626">
              <w:rPr>
                <w:color w:val="000000"/>
              </w:rPr>
              <w:t> </w:t>
            </w:r>
            <w:r w:rsidR="002E7D06">
              <w:rPr>
                <w:color w:val="000000"/>
              </w:rPr>
              <w:t>3,</w:t>
            </w:r>
            <w:r w:rsidR="00FE29FD">
              <w:rPr>
                <w:color w:val="000000"/>
              </w:rPr>
              <w:t>414</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635EB775" w14:textId="77777777">
            <w:pPr>
              <w:rPr>
                <w:color w:val="000000"/>
              </w:rPr>
            </w:pPr>
            <w:r w:rsidRPr="002E5626">
              <w:rPr>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43B0E18A" w14:textId="77777777">
            <w:pPr>
              <w:rPr>
                <w:color w:val="000000"/>
              </w:rPr>
            </w:pPr>
            <w:r w:rsidRPr="002E5626">
              <w:rPr>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73C94365" w14:textId="3E579195">
            <w:pPr>
              <w:rPr>
                <w:color w:val="000000"/>
              </w:rPr>
            </w:pPr>
            <w:r w:rsidRPr="002E5626">
              <w:rPr>
                <w:color w:val="000000"/>
              </w:rPr>
              <w:t xml:space="preserve">  </w:t>
            </w:r>
            <w:r w:rsidR="00FE29FD">
              <w:rPr>
                <w:color w:val="000000"/>
              </w:rPr>
              <w:t>-340</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0B2B78D9" w14:textId="77777777">
            <w:pPr>
              <w:rPr>
                <w:color w:val="000000"/>
              </w:rPr>
            </w:pPr>
            <w:r w:rsidRPr="002E5626">
              <w:rPr>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1DC7D9C0" w14:textId="4DEED9F7">
            <w:pPr>
              <w:rPr>
                <w:color w:val="000000"/>
              </w:rPr>
            </w:pPr>
            <w:r w:rsidRPr="002E5626">
              <w:rPr>
                <w:color w:val="000000"/>
              </w:rPr>
              <w:t> </w:t>
            </w:r>
            <w:r w:rsidR="002E7D06">
              <w:rPr>
                <w:color w:val="000000"/>
              </w:rPr>
              <w:t>3,754</w:t>
            </w:r>
          </w:p>
        </w:tc>
      </w:tr>
      <w:tr w14:paraId="474486DB" w14:textId="77777777" w:rsidTr="000B334F">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791A8C1F" w14:textId="3BBBF876">
            <w:pPr>
              <w:rPr>
                <w:color w:val="000000"/>
              </w:rPr>
            </w:pPr>
            <w:r w:rsidRPr="002E5626">
              <w:rPr>
                <w:color w:val="000000"/>
              </w:rPr>
              <w:t>Annual Time Burden (</w:t>
            </w:r>
            <w:r w:rsidRPr="002E5626" w:rsidR="00FE29FD">
              <w:rPr>
                <w:color w:val="000000"/>
              </w:rPr>
              <w:t>Hr.</w:t>
            </w:r>
            <w:r w:rsidRPr="002E5626">
              <w:rPr>
                <w:color w:val="000000"/>
              </w:rPr>
              <w:t>)</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0A7E7EB2" w14:textId="282CE8E8">
            <w:pPr>
              <w:rPr>
                <w:color w:val="000000"/>
              </w:rPr>
            </w:pPr>
            <w:r w:rsidRPr="002E5626">
              <w:rPr>
                <w:color w:val="000000"/>
              </w:rPr>
              <w:t> </w:t>
            </w:r>
            <w:r w:rsidR="002E7D06">
              <w:rPr>
                <w:color w:val="000000"/>
              </w:rPr>
              <w:t>3,</w:t>
            </w:r>
            <w:r w:rsidR="00FE29FD">
              <w:rPr>
                <w:color w:val="000000"/>
              </w:rPr>
              <w:t>449</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31CF28D7" w14:textId="77777777">
            <w:pPr>
              <w:rPr>
                <w:color w:val="000000"/>
              </w:rPr>
            </w:pPr>
            <w:r w:rsidRPr="002E5626">
              <w:rPr>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735E8017" w14:textId="77777777">
            <w:pPr>
              <w:rPr>
                <w:color w:val="000000"/>
              </w:rPr>
            </w:pPr>
            <w:r w:rsidRPr="002E5626">
              <w:rPr>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0B64F735" w14:textId="18C41E40">
            <w:pPr>
              <w:rPr>
                <w:color w:val="000000"/>
              </w:rPr>
            </w:pPr>
            <w:r w:rsidRPr="002E5626">
              <w:rPr>
                <w:color w:val="000000"/>
              </w:rPr>
              <w:t xml:space="preserve">  </w:t>
            </w:r>
            <w:r w:rsidR="00FE29FD">
              <w:rPr>
                <w:color w:val="000000"/>
              </w:rPr>
              <w:t>-343</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3B6C61AE" w14:textId="77777777">
            <w:pPr>
              <w:rPr>
                <w:color w:val="000000"/>
              </w:rPr>
            </w:pPr>
            <w:r w:rsidRPr="002E5626">
              <w:rPr>
                <w:color w:val="000000"/>
              </w:rPr>
              <w:t>  0</w:t>
            </w:r>
          </w:p>
        </w:tc>
        <w:tc>
          <w:tcPr>
            <w:tcW w:w="0" w:type="auto"/>
            <w:tcBorders>
              <w:top w:val="outset" w:sz="6" w:space="0" w:color="auto"/>
              <w:left w:val="outset" w:sz="6" w:space="0" w:color="auto"/>
              <w:bottom w:val="outset" w:sz="6" w:space="0" w:color="auto"/>
              <w:right w:val="outset" w:sz="6" w:space="0" w:color="auto"/>
            </w:tcBorders>
            <w:hideMark/>
          </w:tcPr>
          <w:p w:rsidR="002E5626" w:rsidRPr="002E5626" w:rsidP="002E5626" w14:paraId="47EC173E" w14:textId="27EC0AD9">
            <w:pPr>
              <w:rPr>
                <w:color w:val="000000"/>
              </w:rPr>
            </w:pPr>
            <w:r>
              <w:rPr>
                <w:color w:val="000000"/>
              </w:rPr>
              <w:t xml:space="preserve"> 3,792</w:t>
            </w:r>
          </w:p>
        </w:tc>
      </w:tr>
    </w:tbl>
    <w:p w:rsidR="00C573C8" w:rsidRPr="00FF0DFC" w14:paraId="2AF65787" w14:textId="77777777">
      <w:pPr>
        <w:rPr>
          <w:bCs/>
          <w:color w:val="000000"/>
        </w:rPr>
      </w:pPr>
    </w:p>
    <w:p w:rsidR="00C573C8" w:rsidRPr="00FF0DFC" w14:paraId="478892F6" w14:textId="77777777">
      <w:pPr>
        <w:rPr>
          <w:color w:val="000000"/>
        </w:rPr>
      </w:pPr>
      <w:r w:rsidRPr="00FF0DFC">
        <w:rPr>
          <w:bCs/>
          <w:color w:val="000000"/>
        </w:rPr>
        <w:t xml:space="preserve">16.  </w:t>
      </w:r>
      <w:r w:rsidRPr="00FF0DFC">
        <w:rPr>
          <w:bCs/>
          <w:color w:val="000000"/>
          <w:u w:val="single"/>
        </w:rPr>
        <w:t>PLANS FOR TABULATION, STATISTICAL ANALYSIS AND PUBLICATION</w:t>
      </w:r>
    </w:p>
    <w:p w:rsidR="00C573C8" w:rsidRPr="00FF0DFC" w14:paraId="5D7AB4B1" w14:textId="77777777">
      <w:pPr>
        <w:rPr>
          <w:color w:val="000000"/>
        </w:rPr>
      </w:pPr>
    </w:p>
    <w:p w:rsidR="00C573C8" w:rsidRPr="00FF0DFC" w:rsidP="00952502" w14:paraId="4772D586" w14:textId="64AC8092">
      <w:pPr>
        <w:ind w:left="450"/>
        <w:rPr>
          <w:bCs/>
          <w:color w:val="000000"/>
        </w:rPr>
      </w:pPr>
      <w:r w:rsidRPr="00FF0DFC">
        <w:rPr>
          <w:color w:val="000000"/>
        </w:rPr>
        <w:t xml:space="preserve">There are no plans for tabulation, statistical </w:t>
      </w:r>
      <w:r w:rsidRPr="00FF0DFC" w:rsidR="002E7D06">
        <w:rPr>
          <w:color w:val="000000"/>
        </w:rPr>
        <w:t>analysis,</w:t>
      </w:r>
      <w:r w:rsidRPr="00FF0DFC">
        <w:rPr>
          <w:color w:val="000000"/>
        </w:rPr>
        <w:t xml:space="preserve"> and publication</w:t>
      </w:r>
      <w:r w:rsidRPr="00FF0DFC">
        <w:rPr>
          <w:color w:val="000000"/>
        </w:rPr>
        <w:t>.</w:t>
      </w:r>
    </w:p>
    <w:p w:rsidR="001560A0" w:rsidRPr="00FF0DFC" w14:paraId="1B764CC0" w14:textId="77777777">
      <w:pPr>
        <w:rPr>
          <w:bCs/>
          <w:color w:val="000000"/>
        </w:rPr>
      </w:pPr>
    </w:p>
    <w:p w:rsidR="00C573C8" w:rsidRPr="00FF0DFC" w:rsidP="00AA539A" w14:paraId="246B17C6" w14:textId="77777777">
      <w:pPr>
        <w:ind w:left="450" w:hanging="450"/>
        <w:rPr>
          <w:bCs/>
          <w:color w:val="000000"/>
        </w:rPr>
      </w:pPr>
      <w:r w:rsidRPr="00FF0DFC">
        <w:rPr>
          <w:bCs/>
          <w:color w:val="000000"/>
        </w:rPr>
        <w:t xml:space="preserve">17.  </w:t>
      </w:r>
      <w:r w:rsidRPr="00FF0DFC">
        <w:rPr>
          <w:bCs/>
          <w:color w:val="000000"/>
          <w:u w:val="single"/>
        </w:rPr>
        <w:t>REASONS WHY DISPLAYING THE OMB EXPIRATION DATE IS</w:t>
      </w:r>
      <w:r w:rsidRPr="00FF0DFC" w:rsidR="00AA539A">
        <w:rPr>
          <w:bCs/>
          <w:color w:val="000000"/>
          <w:u w:val="single"/>
        </w:rPr>
        <w:t xml:space="preserve"> </w:t>
      </w:r>
      <w:r w:rsidRPr="00FF0DFC">
        <w:rPr>
          <w:bCs/>
          <w:color w:val="000000"/>
          <w:u w:val="single"/>
        </w:rPr>
        <w:t>INAPPROPRIATE</w:t>
      </w:r>
    </w:p>
    <w:p w:rsidR="00D33035" w:rsidRPr="00FF0DFC" w:rsidP="00D33035" w14:paraId="3B7BDF58" w14:textId="77777777">
      <w:pPr>
        <w:rPr>
          <w:color w:val="000000"/>
        </w:rPr>
      </w:pPr>
    </w:p>
    <w:p w:rsidR="00952502" w:rsidRPr="00FF0DFC" w:rsidP="00C82CD8" w14:paraId="1A3419B3" w14:textId="48CD3CAD">
      <w:pPr>
        <w:ind w:left="450"/>
        <w:rPr>
          <w:bCs/>
          <w:color w:val="000000"/>
        </w:rPr>
      </w:pPr>
      <w:r w:rsidRPr="00FF0DFC">
        <w:rPr>
          <w:color w:val="000000"/>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952502" w14:paraId="5BCA9CA0" w14:textId="77777777">
      <w:pPr>
        <w:rPr>
          <w:bCs/>
          <w:color w:val="000000"/>
        </w:rPr>
      </w:pPr>
    </w:p>
    <w:p w:rsidR="00D57011" w14:paraId="01263B89" w14:textId="77777777">
      <w:pPr>
        <w:rPr>
          <w:bCs/>
          <w:color w:val="000000"/>
        </w:rPr>
      </w:pPr>
    </w:p>
    <w:p w:rsidR="00AC53DE" w:rsidRPr="00FF0DFC" w14:paraId="06E79399" w14:textId="77777777">
      <w:pPr>
        <w:rPr>
          <w:bCs/>
          <w:color w:val="000000"/>
        </w:rPr>
      </w:pPr>
    </w:p>
    <w:p w:rsidR="00C573C8" w:rsidRPr="00FF0DFC" w14:paraId="7D161684" w14:textId="77777777">
      <w:pPr>
        <w:rPr>
          <w:bCs/>
          <w:color w:val="000000"/>
          <w:u w:val="single"/>
        </w:rPr>
      </w:pPr>
      <w:r w:rsidRPr="00FF0DFC">
        <w:rPr>
          <w:bCs/>
          <w:color w:val="000000"/>
        </w:rPr>
        <w:t xml:space="preserve">18.  </w:t>
      </w:r>
      <w:r w:rsidRPr="00FF0DFC">
        <w:rPr>
          <w:bCs/>
          <w:color w:val="000000"/>
          <w:u w:val="single"/>
        </w:rPr>
        <w:t xml:space="preserve">EXCEPTIONS TO THE CERTIFICATION STATEMENT </w:t>
      </w:r>
    </w:p>
    <w:p w:rsidR="00AA539A" w:rsidRPr="00FF0DFC" w14:paraId="536AC029" w14:textId="77777777">
      <w:pPr>
        <w:rPr>
          <w:color w:val="000000"/>
        </w:rPr>
      </w:pPr>
    </w:p>
    <w:p w:rsidR="00C573C8" w:rsidRPr="00FF0DFC" w:rsidP="006642C2" w14:paraId="415AC8A0" w14:textId="77777777">
      <w:pPr>
        <w:ind w:left="360"/>
        <w:rPr>
          <w:color w:val="000000"/>
        </w:rPr>
      </w:pPr>
      <w:r w:rsidRPr="00FF0DFC">
        <w:rPr>
          <w:color w:val="000000"/>
        </w:rPr>
        <w:t xml:space="preserve"> </w:t>
      </w:r>
      <w:r w:rsidRPr="00FF0DFC" w:rsidR="003F2C5D">
        <w:rPr>
          <w:color w:val="000000"/>
        </w:rPr>
        <w:t>There are no exceptions to the certification statement</w:t>
      </w:r>
      <w:r w:rsidRPr="00FF0DFC">
        <w:rPr>
          <w:color w:val="000000"/>
        </w:rPr>
        <w:t xml:space="preserve">. </w:t>
      </w:r>
    </w:p>
    <w:p w:rsidR="00C573C8" w:rsidRPr="00FF0DFC" w14:paraId="52CF72E6" w14:textId="77777777">
      <w:pPr>
        <w:rPr>
          <w:color w:val="000000"/>
        </w:rPr>
      </w:pPr>
    </w:p>
    <w:p w:rsidR="00B03E6E" w:rsidRPr="00FF0DFC" w14:paraId="36F318B4" w14:textId="77777777">
      <w:pPr>
        <w:ind w:firstLine="720"/>
        <w:rPr>
          <w:color w:val="000000"/>
        </w:rPr>
      </w:pPr>
    </w:p>
    <w:p w:rsidR="00576081" w:rsidRPr="00FF0DFC" w14:paraId="27077CFF" w14:textId="77777777">
      <w:pPr>
        <w:ind w:firstLine="720"/>
        <w:rPr>
          <w:color w:val="000000"/>
        </w:rPr>
      </w:pPr>
    </w:p>
    <w:p w:rsidR="00CE5344" w:rsidRPr="00FF0DFC" w14:paraId="655300AD" w14:textId="77777777">
      <w:pPr>
        <w:ind w:firstLine="720"/>
        <w:rPr>
          <w:color w:val="000000"/>
        </w:rPr>
      </w:pPr>
    </w:p>
    <w:p w:rsidR="00576081" w:rsidRPr="00FF0DFC" w14:paraId="3C4DD5F9" w14:textId="77777777">
      <w:pPr>
        <w:ind w:firstLine="720"/>
        <w:rPr>
          <w:color w:val="000000"/>
        </w:rPr>
      </w:pPr>
    </w:p>
    <w:p w:rsidR="00C85FC1" w:rsidRPr="00FF0DFC" w14:paraId="1116853B" w14:textId="77777777">
      <w:pPr>
        <w:ind w:firstLine="720"/>
        <w:rPr>
          <w:color w:val="000000"/>
        </w:rPr>
      </w:pPr>
    </w:p>
    <w:p w:rsidR="00576081" w:rsidRPr="00FF0DFC" w14:paraId="2801DEC2" w14:textId="77777777">
      <w:pPr>
        <w:ind w:firstLine="720"/>
        <w:rPr>
          <w:color w:val="000000"/>
        </w:rPr>
      </w:pP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F777D"/>
    <w:multiLevelType w:val="multilevel"/>
    <w:tmpl w:val="744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132923">
    <w:abstractNumId w:val="3"/>
  </w:num>
  <w:num w:numId="2" w16cid:durableId="211843953">
    <w:abstractNumId w:val="1"/>
  </w:num>
  <w:num w:numId="3" w16cid:durableId="82075964">
    <w:abstractNumId w:val="2"/>
  </w:num>
  <w:num w:numId="4" w16cid:durableId="8168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0682"/>
    <w:rsid w:val="00052EE6"/>
    <w:rsid w:val="0009423B"/>
    <w:rsid w:val="000A1B91"/>
    <w:rsid w:val="000A2988"/>
    <w:rsid w:val="000B334F"/>
    <w:rsid w:val="000E636A"/>
    <w:rsid w:val="0012326F"/>
    <w:rsid w:val="00145362"/>
    <w:rsid w:val="001560A0"/>
    <w:rsid w:val="001A5F9F"/>
    <w:rsid w:val="001E673E"/>
    <w:rsid w:val="001F0B31"/>
    <w:rsid w:val="001F59F9"/>
    <w:rsid w:val="00204931"/>
    <w:rsid w:val="0028041B"/>
    <w:rsid w:val="002E5626"/>
    <w:rsid w:val="002E7D06"/>
    <w:rsid w:val="002F69D6"/>
    <w:rsid w:val="0033329E"/>
    <w:rsid w:val="0037627E"/>
    <w:rsid w:val="00392DBB"/>
    <w:rsid w:val="003A6E3A"/>
    <w:rsid w:val="003B5334"/>
    <w:rsid w:val="003B5891"/>
    <w:rsid w:val="003B7275"/>
    <w:rsid w:val="003F2C5D"/>
    <w:rsid w:val="004005AB"/>
    <w:rsid w:val="00412749"/>
    <w:rsid w:val="00427EF7"/>
    <w:rsid w:val="0044436C"/>
    <w:rsid w:val="0044561C"/>
    <w:rsid w:val="0046437D"/>
    <w:rsid w:val="00480023"/>
    <w:rsid w:val="004E06B1"/>
    <w:rsid w:val="004E4007"/>
    <w:rsid w:val="004F53E1"/>
    <w:rsid w:val="005029EF"/>
    <w:rsid w:val="005238E8"/>
    <w:rsid w:val="005376AF"/>
    <w:rsid w:val="005566C8"/>
    <w:rsid w:val="00576081"/>
    <w:rsid w:val="005853BC"/>
    <w:rsid w:val="00591B4A"/>
    <w:rsid w:val="00636B94"/>
    <w:rsid w:val="006642C2"/>
    <w:rsid w:val="00695940"/>
    <w:rsid w:val="006959A0"/>
    <w:rsid w:val="00695D49"/>
    <w:rsid w:val="006C11B8"/>
    <w:rsid w:val="00702B07"/>
    <w:rsid w:val="00723BC9"/>
    <w:rsid w:val="007338E5"/>
    <w:rsid w:val="007453AC"/>
    <w:rsid w:val="007A1D67"/>
    <w:rsid w:val="007C3E0A"/>
    <w:rsid w:val="007F6A54"/>
    <w:rsid w:val="00801CF6"/>
    <w:rsid w:val="0081372E"/>
    <w:rsid w:val="00847AA9"/>
    <w:rsid w:val="008708F6"/>
    <w:rsid w:val="008906AE"/>
    <w:rsid w:val="00895AED"/>
    <w:rsid w:val="008C0A30"/>
    <w:rsid w:val="008F4D52"/>
    <w:rsid w:val="008F4DC1"/>
    <w:rsid w:val="008F6324"/>
    <w:rsid w:val="00910116"/>
    <w:rsid w:val="00922C36"/>
    <w:rsid w:val="00923919"/>
    <w:rsid w:val="009305F7"/>
    <w:rsid w:val="00950798"/>
    <w:rsid w:val="00952502"/>
    <w:rsid w:val="0096082C"/>
    <w:rsid w:val="00991B2F"/>
    <w:rsid w:val="009A35C8"/>
    <w:rsid w:val="00A009E0"/>
    <w:rsid w:val="00A34C7C"/>
    <w:rsid w:val="00A82749"/>
    <w:rsid w:val="00A84CA1"/>
    <w:rsid w:val="00A863E3"/>
    <w:rsid w:val="00A91E00"/>
    <w:rsid w:val="00AA1D7A"/>
    <w:rsid w:val="00AA539A"/>
    <w:rsid w:val="00AC24EC"/>
    <w:rsid w:val="00AC53DE"/>
    <w:rsid w:val="00AC5E20"/>
    <w:rsid w:val="00AE4DB0"/>
    <w:rsid w:val="00AE578F"/>
    <w:rsid w:val="00B03E6E"/>
    <w:rsid w:val="00B664FA"/>
    <w:rsid w:val="00B77265"/>
    <w:rsid w:val="00B81690"/>
    <w:rsid w:val="00B86C14"/>
    <w:rsid w:val="00BC2563"/>
    <w:rsid w:val="00BE2174"/>
    <w:rsid w:val="00BE5210"/>
    <w:rsid w:val="00BF3A51"/>
    <w:rsid w:val="00C035BD"/>
    <w:rsid w:val="00C21314"/>
    <w:rsid w:val="00C3238C"/>
    <w:rsid w:val="00C358CE"/>
    <w:rsid w:val="00C41EAD"/>
    <w:rsid w:val="00C573C8"/>
    <w:rsid w:val="00C82CD8"/>
    <w:rsid w:val="00C8357C"/>
    <w:rsid w:val="00C85FC1"/>
    <w:rsid w:val="00C96C2D"/>
    <w:rsid w:val="00CB74B1"/>
    <w:rsid w:val="00CC6C32"/>
    <w:rsid w:val="00CE5344"/>
    <w:rsid w:val="00D05E8B"/>
    <w:rsid w:val="00D1770E"/>
    <w:rsid w:val="00D2146C"/>
    <w:rsid w:val="00D33035"/>
    <w:rsid w:val="00D57011"/>
    <w:rsid w:val="00D84A35"/>
    <w:rsid w:val="00D85B57"/>
    <w:rsid w:val="00D93EEF"/>
    <w:rsid w:val="00DD4327"/>
    <w:rsid w:val="00DE6B07"/>
    <w:rsid w:val="00E00E3C"/>
    <w:rsid w:val="00E1792C"/>
    <w:rsid w:val="00E2296D"/>
    <w:rsid w:val="00E3396B"/>
    <w:rsid w:val="00E47B4F"/>
    <w:rsid w:val="00E60B00"/>
    <w:rsid w:val="00E8076B"/>
    <w:rsid w:val="00E86291"/>
    <w:rsid w:val="00E86D28"/>
    <w:rsid w:val="00EA028C"/>
    <w:rsid w:val="00F2351F"/>
    <w:rsid w:val="00F66C68"/>
    <w:rsid w:val="00FE29FD"/>
    <w:rsid w:val="00FF0DFC"/>
    <w:rsid w:val="00FF3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CEFF3AA"/>
  <w15:chartTrackingRefBased/>
  <w15:docId w15:val="{DDEF3CEE-F546-4AB6-9BA2-06288F8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E6B0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customStyle="1" w:styleId="Heading2Char">
    <w:name w:val="Heading 2 Char"/>
    <w:link w:val="Heading2"/>
    <w:semiHidden/>
    <w:rsid w:val="00DE6B07"/>
    <w:rPr>
      <w:rFonts w:ascii="Calibri Light" w:eastAsia="Times New Roman" w:hAnsi="Calibri Light" w:cs="Times New Roman"/>
      <w:b/>
      <w:bCs/>
      <w:i/>
      <w:iCs/>
      <w:sz w:val="28"/>
      <w:szCs w:val="28"/>
    </w:rPr>
  </w:style>
  <w:style w:type="character" w:styleId="UnresolvedMention">
    <w:name w:val="Unresolved Mention"/>
    <w:basedOn w:val="DefaultParagraphFont"/>
    <w:uiPriority w:val="99"/>
    <w:semiHidden/>
    <w:unhideWhenUsed/>
    <w:rsid w:val="00930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1282</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Durbala R Joseph</cp:lastModifiedBy>
  <cp:revision>7</cp:revision>
  <cp:lastPrinted>2005-05-18T14:13:00Z</cp:lastPrinted>
  <dcterms:created xsi:type="dcterms:W3CDTF">2022-02-16T00:11:00Z</dcterms:created>
  <dcterms:modified xsi:type="dcterms:W3CDTF">2025-03-31T12:04:00Z</dcterms:modified>
</cp:coreProperties>
</file>