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F57FC0" w:rsidP="00113287" w14:paraId="70DDA82A" w14:textId="69AAE5BC">
      <w:pPr>
        <w:ind w:left="-90"/>
        <w:jc w:val="center"/>
        <w:rPr>
          <w:rFonts w:asciiTheme="minorHAnsi" w:hAnsiTheme="minorHAnsi" w:cstheme="minorHAnsi"/>
          <w:bCs/>
          <w:color w:val="000000"/>
          <w:sz w:val="22"/>
          <w:szCs w:val="22"/>
        </w:rPr>
      </w:pPr>
      <w:r w:rsidRPr="00F57FC0">
        <w:rPr>
          <w:rFonts w:asciiTheme="minorHAnsi" w:hAnsiTheme="minorHAnsi" w:cstheme="minorHAnsi"/>
          <w:bCs/>
          <w:color w:val="000000"/>
          <w:sz w:val="22"/>
          <w:szCs w:val="22"/>
        </w:rPr>
        <w:t>Clean Electricity Low-Income Communities Bonus Credit Amount Program</w:t>
      </w:r>
    </w:p>
    <w:p w:rsidR="00113287" w:rsidRPr="00010316" w:rsidP="00113287" w14:paraId="2E33F5F6" w14:textId="6D6D9DE3">
      <w:pPr>
        <w:ind w:left="-90"/>
        <w:jc w:val="center"/>
        <w:rPr>
          <w:rFonts w:asciiTheme="minorHAnsi" w:hAnsiTheme="minorHAnsi" w:cstheme="minorHAnsi"/>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w:t>
      </w:r>
      <w:r w:rsidR="00F43B80">
        <w:rPr>
          <w:rFonts w:asciiTheme="minorHAnsi" w:hAnsiTheme="minorHAnsi" w:cstheme="minorHAnsi"/>
          <w:bCs/>
          <w:sz w:val="22"/>
          <w:szCs w:val="22"/>
        </w:rPr>
        <w:t>2327</w:t>
      </w:r>
    </w:p>
    <w:p w:rsidR="00A04943" w:rsidRPr="00010316" w14:paraId="542866C4" w14:textId="6F3B963F">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0B570A" w:rsidP="00F622C5" w14:paraId="24F9B846" w14:textId="77777777">
      <w:pPr>
        <w:ind w:left="720" w:right="-72"/>
        <w:rPr>
          <w:rFonts w:asciiTheme="minorHAnsi" w:hAnsiTheme="minorHAnsi" w:cstheme="minorHAnsi"/>
          <w:sz w:val="22"/>
          <w:szCs w:val="22"/>
        </w:rPr>
      </w:pPr>
    </w:p>
    <w:p w:rsidR="009000DB" w:rsidP="00F622C5" w14:paraId="0C7BABBD" w14:textId="4AA616F2">
      <w:pPr>
        <w:ind w:left="720" w:right="-72"/>
        <w:rPr>
          <w:rFonts w:asciiTheme="minorHAnsi" w:hAnsiTheme="minorHAnsi" w:cstheme="minorHAnsi"/>
          <w:sz w:val="22"/>
          <w:szCs w:val="22"/>
        </w:rPr>
      </w:pPr>
      <w:r w:rsidRPr="000B570A">
        <w:rPr>
          <w:rFonts w:asciiTheme="minorHAnsi" w:hAnsiTheme="minorHAnsi" w:cstheme="minorHAnsi"/>
          <w:sz w:val="22"/>
          <w:szCs w:val="22"/>
        </w:rPr>
        <w:t xml:space="preserve">Section 13702 of Public Law 117-169, 136 </w:t>
      </w:r>
      <w:r w:rsidRPr="000B570A">
        <w:rPr>
          <w:rFonts w:asciiTheme="minorHAnsi" w:hAnsiTheme="minorHAnsi" w:cstheme="minorHAnsi"/>
          <w:sz w:val="22"/>
          <w:szCs w:val="22"/>
        </w:rPr>
        <w:t>Stat. 1818, 1921 (August 16, 2022), commonly known as the Inflation Reduction Act of 2022 (IRA), added new section 48E(h) to the Internal Revenue Code (</w:t>
      </w:r>
      <w:r w:rsidR="008D20F9">
        <w:rPr>
          <w:rFonts w:asciiTheme="minorHAnsi" w:hAnsiTheme="minorHAnsi" w:cstheme="minorHAnsi"/>
          <w:sz w:val="22"/>
          <w:szCs w:val="22"/>
        </w:rPr>
        <w:t>IRC</w:t>
      </w:r>
      <w:r w:rsidRPr="000B570A">
        <w:rPr>
          <w:rFonts w:asciiTheme="minorHAnsi" w:hAnsiTheme="minorHAnsi" w:cstheme="minorHAnsi"/>
          <w:sz w:val="22"/>
          <w:szCs w:val="22"/>
        </w:rPr>
        <w:t xml:space="preserve">) to authorize the Secretary of the Treasury or her delegate (Secretary) to establish a program for calendar years 2025 and succeeding years to award allocations of environmental justice capacity limitation (Capacity Limitation) that increase the amount of the new clean electricity investment credit determined under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section 48E(a) (section 48E credit)</w:t>
      </w:r>
      <w:r w:rsidRPr="000B570A">
        <w:rPr>
          <w:rFonts w:asciiTheme="minorHAnsi" w:hAnsiTheme="minorHAnsi" w:cstheme="minorHAnsi"/>
          <w:sz w:val="22"/>
          <w:szCs w:val="22"/>
        </w:rPr>
        <w:t xml:space="preserve"> with respect to eligible property that is part of an applicable facility.</w:t>
      </w:r>
    </w:p>
    <w:p w:rsidR="000B570A" w:rsidP="00F622C5" w14:paraId="450C8D75" w14:textId="77777777">
      <w:pPr>
        <w:ind w:left="720" w:right="-72"/>
        <w:rPr>
          <w:rFonts w:asciiTheme="minorHAnsi" w:hAnsiTheme="minorHAnsi" w:cstheme="minorHAnsi"/>
          <w:sz w:val="22"/>
          <w:szCs w:val="22"/>
        </w:rPr>
      </w:pPr>
    </w:p>
    <w:p w:rsidR="009000DB" w:rsidP="00F622C5" w14:paraId="55D8AD49" w14:textId="3AFF3BA3">
      <w:pPr>
        <w:ind w:left="720" w:right="-72"/>
        <w:rPr>
          <w:rFonts w:asciiTheme="minorHAnsi" w:hAnsiTheme="minorHAnsi" w:cstheme="minorHAnsi"/>
          <w:sz w:val="22"/>
          <w:szCs w:val="22"/>
        </w:rPr>
      </w:pPr>
      <w:r w:rsidRPr="000B570A">
        <w:rPr>
          <w:rFonts w:asciiTheme="minorHAnsi" w:hAnsiTheme="minorHAnsi" w:cstheme="minorHAnsi"/>
          <w:sz w:val="22"/>
          <w:szCs w:val="22"/>
        </w:rPr>
        <w:t xml:space="preserve">The amount of section 48E credit for a taxable year generally is calculated by multiplying the qualified investment for such taxable year with respect to any qualified facility placed in service during that taxable year by the applicable percentage (as defined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48E(a)(2)). If an applicable facility is awarded an allocation of Capacity Limitation,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48E(h) increases the amount of the section 48E credit with respect to the applicable facility by increasing the applicable percentage used to calculate the amount of the section 48E credit (section 48E(h) Increase). The term “applicable facility” is defined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48E(h)(2) to mean any qualified facility that (i) is not described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section 45Y(b)(2)(B) (relating to combustion and gasif</w:t>
      </w:r>
      <w:r w:rsidRPr="000B570A">
        <w:rPr>
          <w:rFonts w:asciiTheme="minorHAnsi" w:hAnsiTheme="minorHAnsi" w:cstheme="minorHAnsi"/>
          <w:sz w:val="22"/>
          <w:szCs w:val="22"/>
        </w:rPr>
        <w:t xml:space="preserve">ication facilities); (ii) has a maximum net output of less than 5 megawatts (MW) (as measured in alternating current (AC)); and (iii) is described in at least one of four categories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section 48E(h)(2)(A)(iii)</w:t>
      </w:r>
      <w:r>
        <w:rPr>
          <w:rFonts w:asciiTheme="minorHAnsi" w:hAnsiTheme="minorHAnsi" w:cstheme="minorHAnsi"/>
          <w:sz w:val="22"/>
          <w:szCs w:val="22"/>
        </w:rPr>
        <w:t xml:space="preserve">. </w:t>
      </w:r>
    </w:p>
    <w:p w:rsidR="000B570A" w:rsidP="00F622C5" w14:paraId="16E850E8" w14:textId="77777777">
      <w:pPr>
        <w:ind w:left="720" w:right="-72"/>
        <w:rPr>
          <w:rFonts w:asciiTheme="minorHAnsi" w:hAnsiTheme="minorHAnsi" w:cstheme="minorHAnsi"/>
          <w:sz w:val="22"/>
          <w:szCs w:val="22"/>
        </w:rPr>
      </w:pPr>
    </w:p>
    <w:p w:rsidR="000B570A" w:rsidP="00F622C5" w14:paraId="3A714225" w14:textId="67310463">
      <w:pPr>
        <w:ind w:left="720" w:right="-72"/>
        <w:rPr>
          <w:rFonts w:asciiTheme="minorHAnsi" w:hAnsiTheme="minorHAnsi" w:cstheme="minorHAnsi"/>
          <w:sz w:val="22"/>
          <w:szCs w:val="22"/>
        </w:rPr>
      </w:pPr>
      <w:r>
        <w:rPr>
          <w:rFonts w:asciiTheme="minorHAnsi" w:hAnsiTheme="minorHAnsi" w:cstheme="minorHAnsi"/>
          <w:sz w:val="22"/>
          <w:szCs w:val="22"/>
        </w:rPr>
        <w:t>IRC s</w:t>
      </w:r>
      <w:r w:rsidRPr="000B570A">
        <w:rPr>
          <w:rFonts w:asciiTheme="minorHAnsi" w:hAnsiTheme="minorHAnsi" w:cstheme="minorHAnsi"/>
          <w:sz w:val="22"/>
          <w:szCs w:val="22"/>
        </w:rPr>
        <w:t xml:space="preserve">ection 48E(h)(4)(A) directs the Secretary, not later than January 1, 2025, to establish a program to allocate amounts of Capacity Limitation to applicable facilities and to “provide procedures to allow for an efficient allocation” of Capacity Limitation to applicable facilities.  Accordingly, the Treasury Department and the IRS are </w:t>
      </w:r>
      <w:r>
        <w:rPr>
          <w:rFonts w:asciiTheme="minorHAnsi" w:hAnsiTheme="minorHAnsi" w:cstheme="minorHAnsi"/>
          <w:sz w:val="22"/>
          <w:szCs w:val="22"/>
        </w:rPr>
        <w:t xml:space="preserve">issuing Treasury </w:t>
      </w:r>
      <w:r w:rsidRPr="009F6FD9">
        <w:rPr>
          <w:rFonts w:asciiTheme="minorHAnsi" w:hAnsiTheme="minorHAnsi" w:cstheme="minorHAnsi"/>
          <w:sz w:val="22"/>
          <w:szCs w:val="22"/>
        </w:rPr>
        <w:t xml:space="preserve">Decision (TD) </w:t>
      </w:r>
      <w:r w:rsidRPr="009F6FD9" w:rsidR="00123846">
        <w:rPr>
          <w:rFonts w:asciiTheme="minorHAnsi" w:hAnsiTheme="minorHAnsi" w:cstheme="minorHAnsi"/>
          <w:sz w:val="22"/>
          <w:szCs w:val="22"/>
        </w:rPr>
        <w:t>10025</w:t>
      </w:r>
      <w:r w:rsidRPr="009F6FD9" w:rsidR="00123846">
        <w:rPr>
          <w:rFonts w:asciiTheme="minorHAnsi" w:hAnsiTheme="minorHAnsi" w:cstheme="minorHAnsi"/>
          <w:sz w:val="22"/>
          <w:szCs w:val="22"/>
        </w:rPr>
        <w:t xml:space="preserve"> </w:t>
      </w:r>
      <w:r w:rsidRPr="009F6FD9">
        <w:rPr>
          <w:rFonts w:asciiTheme="minorHAnsi" w:hAnsiTheme="minorHAnsi" w:cstheme="minorHAnsi"/>
          <w:sz w:val="22"/>
          <w:szCs w:val="22"/>
        </w:rPr>
        <w:t xml:space="preserve">to establish </w:t>
      </w:r>
      <w:r w:rsidRPr="009F6FD9">
        <w:rPr>
          <w:rFonts w:asciiTheme="minorHAnsi" w:hAnsiTheme="minorHAnsi" w:cstheme="minorHAnsi"/>
          <w:sz w:val="22"/>
          <w:szCs w:val="22"/>
        </w:rPr>
        <w:t>the Clean Electricity Low-Income Communities Bonus Credit Amount Program</w:t>
      </w:r>
      <w:r w:rsidRPr="000B570A">
        <w:rPr>
          <w:rFonts w:asciiTheme="minorHAnsi" w:hAnsiTheme="minorHAnsi" w:cstheme="minorHAnsi"/>
          <w:sz w:val="22"/>
          <w:szCs w:val="22"/>
        </w:rPr>
        <w:t xml:space="preserve"> (Program).</w:t>
      </w:r>
    </w:p>
    <w:p w:rsidR="00EB6B42" w:rsidP="00F622C5" w14:paraId="029F06E9" w14:textId="77777777">
      <w:pPr>
        <w:ind w:left="720" w:right="-72"/>
        <w:rPr>
          <w:rFonts w:asciiTheme="minorHAnsi" w:hAnsiTheme="minorHAnsi" w:cstheme="minorHAnsi"/>
          <w:sz w:val="22"/>
          <w:szCs w:val="22"/>
        </w:rPr>
      </w:pPr>
    </w:p>
    <w:p w:rsidR="00EB6B42" w:rsidP="00F622C5" w14:paraId="7E9421FE" w14:textId="006CBBBC">
      <w:pPr>
        <w:ind w:left="720" w:right="-72"/>
        <w:rPr>
          <w:rFonts w:asciiTheme="minorHAnsi" w:hAnsiTheme="minorHAnsi" w:cstheme="minorHAnsi"/>
          <w:sz w:val="22"/>
          <w:szCs w:val="22"/>
        </w:rPr>
      </w:pPr>
      <w:r w:rsidRPr="00EB6B42">
        <w:rPr>
          <w:rFonts w:asciiTheme="minorHAnsi" w:hAnsiTheme="minorHAnsi" w:cstheme="minorHAnsi"/>
          <w:sz w:val="22"/>
          <w:szCs w:val="22"/>
        </w:rPr>
        <w:t xml:space="preserve">This is a Program under section 48E(h), which is similar to the low-income </w:t>
      </w:r>
      <w:r w:rsidRPr="00EB6B42">
        <w:rPr>
          <w:rFonts w:asciiTheme="minorHAnsi" w:hAnsiTheme="minorHAnsi" w:cstheme="minorHAnsi"/>
          <w:sz w:val="22"/>
          <w:szCs w:val="22"/>
        </w:rPr>
        <w:t>communities</w:t>
      </w:r>
      <w:r w:rsidRPr="00EB6B42">
        <w:rPr>
          <w:rFonts w:asciiTheme="minorHAnsi" w:hAnsiTheme="minorHAnsi" w:cstheme="minorHAnsi"/>
          <w:sz w:val="22"/>
          <w:szCs w:val="22"/>
        </w:rPr>
        <w:t xml:space="preserve"> bonus credit program established under </w:t>
      </w:r>
      <w:r w:rsidR="008D20F9">
        <w:rPr>
          <w:rFonts w:asciiTheme="minorHAnsi" w:hAnsiTheme="minorHAnsi" w:cstheme="minorHAnsi"/>
          <w:sz w:val="22"/>
          <w:szCs w:val="22"/>
        </w:rPr>
        <w:t xml:space="preserve">IRC </w:t>
      </w:r>
      <w:r w:rsidRPr="00EB6B42">
        <w:rPr>
          <w:rFonts w:asciiTheme="minorHAnsi" w:hAnsiTheme="minorHAnsi" w:cstheme="minorHAnsi"/>
          <w:sz w:val="22"/>
          <w:szCs w:val="22"/>
        </w:rPr>
        <w:t>section 48(e)</w:t>
      </w:r>
      <w:r w:rsidR="00B92190">
        <w:rPr>
          <w:rFonts w:asciiTheme="minorHAnsi" w:hAnsiTheme="minorHAnsi" w:cstheme="minorHAnsi"/>
          <w:sz w:val="22"/>
          <w:szCs w:val="22"/>
        </w:rPr>
        <w:t xml:space="preserve">. On August 15, 2023, final regulations for </w:t>
      </w:r>
      <w:r w:rsidRPr="00EB6B42" w:rsidR="00B92190">
        <w:rPr>
          <w:rFonts w:asciiTheme="minorHAnsi" w:hAnsiTheme="minorHAnsi" w:cstheme="minorHAnsi"/>
          <w:sz w:val="22"/>
          <w:szCs w:val="22"/>
        </w:rPr>
        <w:t xml:space="preserve">the low-income </w:t>
      </w:r>
      <w:r w:rsidRPr="00EB6B42" w:rsidR="00B92190">
        <w:rPr>
          <w:rFonts w:asciiTheme="minorHAnsi" w:hAnsiTheme="minorHAnsi" w:cstheme="minorHAnsi"/>
          <w:sz w:val="22"/>
          <w:szCs w:val="22"/>
        </w:rPr>
        <w:t>communities</w:t>
      </w:r>
      <w:r w:rsidRPr="00EB6B42" w:rsidR="00B92190">
        <w:rPr>
          <w:rFonts w:asciiTheme="minorHAnsi" w:hAnsiTheme="minorHAnsi" w:cstheme="minorHAnsi"/>
          <w:sz w:val="22"/>
          <w:szCs w:val="22"/>
        </w:rPr>
        <w:t xml:space="preserve"> bonus credit program</w:t>
      </w:r>
      <w:r w:rsidR="00CD1142">
        <w:rPr>
          <w:rFonts w:asciiTheme="minorHAnsi" w:hAnsiTheme="minorHAnsi" w:cstheme="minorHAnsi"/>
          <w:sz w:val="22"/>
          <w:szCs w:val="22"/>
        </w:rPr>
        <w:t xml:space="preserve"> </w:t>
      </w:r>
      <w:r w:rsidRPr="00EB6B42" w:rsidR="00CD1142">
        <w:rPr>
          <w:rFonts w:asciiTheme="minorHAnsi" w:hAnsiTheme="minorHAnsi" w:cstheme="minorHAnsi"/>
          <w:sz w:val="22"/>
          <w:szCs w:val="22"/>
        </w:rPr>
        <w:t xml:space="preserve">under </w:t>
      </w:r>
      <w:r w:rsidR="008D20F9">
        <w:rPr>
          <w:rFonts w:asciiTheme="minorHAnsi" w:hAnsiTheme="minorHAnsi" w:cstheme="minorHAnsi"/>
          <w:sz w:val="22"/>
          <w:szCs w:val="22"/>
        </w:rPr>
        <w:t xml:space="preserve">IRC </w:t>
      </w:r>
      <w:r w:rsidRPr="00EB6B42" w:rsidR="00CD1142">
        <w:rPr>
          <w:rFonts w:asciiTheme="minorHAnsi" w:hAnsiTheme="minorHAnsi" w:cstheme="minorHAnsi"/>
          <w:sz w:val="22"/>
          <w:szCs w:val="22"/>
        </w:rPr>
        <w:t>section 48(e)</w:t>
      </w:r>
      <w:r w:rsidRPr="00EB6B42" w:rsidR="00B92190">
        <w:rPr>
          <w:rFonts w:asciiTheme="minorHAnsi" w:hAnsiTheme="minorHAnsi" w:cstheme="minorHAnsi"/>
          <w:sz w:val="22"/>
          <w:szCs w:val="22"/>
        </w:rPr>
        <w:t xml:space="preserve"> </w:t>
      </w:r>
      <w:r w:rsidR="00B92190">
        <w:rPr>
          <w:rFonts w:asciiTheme="minorHAnsi" w:hAnsiTheme="minorHAnsi" w:cstheme="minorHAnsi"/>
          <w:sz w:val="22"/>
          <w:szCs w:val="22"/>
        </w:rPr>
        <w:t xml:space="preserve">were published in the Federal Register, </w:t>
      </w:r>
      <w:r w:rsidRPr="00B92190" w:rsidR="00B92190">
        <w:rPr>
          <w:rFonts w:asciiTheme="minorHAnsi" w:hAnsiTheme="minorHAnsi" w:cstheme="minorHAnsi"/>
          <w:sz w:val="22"/>
          <w:szCs w:val="22"/>
        </w:rPr>
        <w:t xml:space="preserve">88 </w:t>
      </w:r>
      <w:r w:rsidR="008D20F9">
        <w:rPr>
          <w:rFonts w:asciiTheme="minorHAnsi" w:hAnsiTheme="minorHAnsi" w:cstheme="minorHAnsi"/>
          <w:sz w:val="22"/>
          <w:szCs w:val="22"/>
        </w:rPr>
        <w:t>FR</w:t>
      </w:r>
      <w:r w:rsidRPr="00B92190" w:rsidR="00B92190">
        <w:rPr>
          <w:rFonts w:asciiTheme="minorHAnsi" w:hAnsiTheme="minorHAnsi" w:cstheme="minorHAnsi"/>
          <w:sz w:val="22"/>
          <w:szCs w:val="22"/>
        </w:rPr>
        <w:t xml:space="preserve"> 55506</w:t>
      </w:r>
      <w:r w:rsidR="00B92190">
        <w:rPr>
          <w:rFonts w:asciiTheme="minorHAnsi" w:hAnsiTheme="minorHAnsi" w:cstheme="minorHAnsi"/>
          <w:sz w:val="22"/>
          <w:szCs w:val="22"/>
        </w:rPr>
        <w:t xml:space="preserve">. </w:t>
      </w:r>
    </w:p>
    <w:p w:rsidR="000B570A" w:rsidP="00F622C5" w14:paraId="5FB853DE" w14:textId="77777777">
      <w:pPr>
        <w:ind w:left="720" w:right="-72"/>
        <w:rPr>
          <w:rFonts w:asciiTheme="minorHAnsi" w:hAnsiTheme="minorHAnsi" w:cstheme="minorHAnsi"/>
          <w:sz w:val="22"/>
          <w:szCs w:val="22"/>
        </w:rPr>
      </w:pPr>
    </w:p>
    <w:p w:rsidR="003E55D5" w:rsidP="0042764E" w14:paraId="3408B0B0" w14:textId="24418502">
      <w:pPr>
        <w:ind w:left="720" w:right="-72"/>
        <w:rPr>
          <w:rFonts w:asciiTheme="minorHAnsi" w:hAnsiTheme="minorHAnsi" w:cstheme="minorHAnsi"/>
          <w:sz w:val="22"/>
          <w:szCs w:val="22"/>
        </w:rPr>
      </w:pPr>
      <w:r w:rsidRPr="00C55486">
        <w:rPr>
          <w:rFonts w:asciiTheme="minorHAnsi" w:hAnsiTheme="minorHAnsi" w:cstheme="minorHAnsi"/>
          <w:sz w:val="22"/>
          <w:szCs w:val="22"/>
        </w:rPr>
        <w:t xml:space="preserve">The Department of Energy (DOE) will provide </w:t>
      </w:r>
      <w:r w:rsidR="00C4655A">
        <w:rPr>
          <w:rFonts w:asciiTheme="minorHAnsi" w:hAnsiTheme="minorHAnsi" w:cstheme="minorHAnsi"/>
          <w:sz w:val="22"/>
          <w:szCs w:val="22"/>
        </w:rPr>
        <w:t xml:space="preserve">certain </w:t>
      </w:r>
      <w:r w:rsidRPr="00C55486">
        <w:rPr>
          <w:rFonts w:asciiTheme="minorHAnsi" w:hAnsiTheme="minorHAnsi" w:cstheme="minorHAnsi"/>
          <w:sz w:val="22"/>
          <w:szCs w:val="22"/>
        </w:rPr>
        <w:t xml:space="preserve">administration services for the </w:t>
      </w:r>
      <w:r w:rsidR="00345D9E">
        <w:rPr>
          <w:rFonts w:asciiTheme="minorHAnsi" w:hAnsiTheme="minorHAnsi" w:cstheme="minorHAnsi"/>
          <w:sz w:val="22"/>
          <w:szCs w:val="22"/>
        </w:rPr>
        <w:t>Program</w:t>
      </w:r>
      <w:r w:rsidRPr="00C55486">
        <w:rPr>
          <w:rFonts w:asciiTheme="minorHAnsi" w:hAnsiTheme="minorHAnsi" w:cstheme="minorHAnsi"/>
          <w:sz w:val="22"/>
          <w:szCs w:val="22"/>
        </w:rPr>
        <w:t xml:space="preserve">. </w:t>
      </w:r>
      <w:r>
        <w:rPr>
          <w:rFonts w:asciiTheme="minorHAnsi" w:hAnsiTheme="minorHAnsi" w:cstheme="minorHAnsi"/>
          <w:sz w:val="22"/>
          <w:szCs w:val="22"/>
        </w:rPr>
        <w:t xml:space="preserve">Among other things, </w:t>
      </w:r>
      <w:r w:rsidRPr="00C55486">
        <w:rPr>
          <w:rFonts w:asciiTheme="minorHAnsi" w:hAnsiTheme="minorHAnsi" w:cstheme="minorHAnsi"/>
          <w:sz w:val="22"/>
          <w:szCs w:val="22"/>
        </w:rPr>
        <w:t xml:space="preserve">DOE </w:t>
      </w:r>
      <w:r>
        <w:rPr>
          <w:rFonts w:asciiTheme="minorHAnsi" w:hAnsiTheme="minorHAnsi" w:cstheme="minorHAnsi"/>
          <w:sz w:val="22"/>
          <w:szCs w:val="22"/>
        </w:rPr>
        <w:t>established a website po</w:t>
      </w:r>
      <w:r w:rsidRPr="00C55486">
        <w:rPr>
          <w:rFonts w:asciiTheme="minorHAnsi" w:hAnsiTheme="minorHAnsi" w:cstheme="minorHAnsi"/>
          <w:sz w:val="22"/>
          <w:szCs w:val="22"/>
        </w:rPr>
        <w:t>r</w:t>
      </w:r>
      <w:r>
        <w:rPr>
          <w:rFonts w:asciiTheme="minorHAnsi" w:hAnsiTheme="minorHAnsi" w:cstheme="minorHAnsi"/>
          <w:sz w:val="22"/>
          <w:szCs w:val="22"/>
        </w:rPr>
        <w:t>tal to re</w:t>
      </w:r>
      <w:r w:rsidRPr="00C55486">
        <w:rPr>
          <w:rFonts w:asciiTheme="minorHAnsi" w:hAnsiTheme="minorHAnsi" w:cstheme="minorHAnsi"/>
          <w:sz w:val="22"/>
          <w:szCs w:val="22"/>
        </w:rPr>
        <w:t>view the applications for eligibility criteria and will provide recommendations to the IRS regarding the selection of applications for an allocation of Capacity Limitation.</w:t>
      </w:r>
      <w:r w:rsidR="00BC5693">
        <w:rPr>
          <w:rFonts w:asciiTheme="minorHAnsi" w:hAnsiTheme="minorHAnsi" w:cstheme="minorHAnsi"/>
          <w:sz w:val="22"/>
          <w:szCs w:val="22"/>
        </w:rPr>
        <w:t xml:space="preserve"> </w:t>
      </w:r>
      <w:r w:rsidR="00F33F29">
        <w:rPr>
          <w:rFonts w:asciiTheme="minorHAnsi" w:hAnsiTheme="minorHAnsi" w:cstheme="minorHAnsi"/>
          <w:sz w:val="22"/>
          <w:szCs w:val="22"/>
        </w:rPr>
        <w:t xml:space="preserve">The application will include attestations and supporting documentation that allow IRS and DOE to verify a project is eligible for the credit enhancements under </w:t>
      </w:r>
      <w:r w:rsidR="00345D9E">
        <w:rPr>
          <w:rFonts w:asciiTheme="minorHAnsi" w:hAnsiTheme="minorHAnsi" w:cstheme="minorHAnsi"/>
          <w:sz w:val="22"/>
          <w:szCs w:val="22"/>
        </w:rPr>
        <w:t>the Program</w:t>
      </w:r>
      <w:r w:rsidR="00F33F29">
        <w:rPr>
          <w:rFonts w:asciiTheme="minorHAnsi" w:hAnsiTheme="minorHAnsi" w:cstheme="minorHAnsi"/>
          <w:sz w:val="22"/>
          <w:szCs w:val="22"/>
        </w:rPr>
        <w:t xml:space="preserve"> and to certify that a project is placed into service.</w:t>
      </w:r>
    </w:p>
    <w:p w:rsidR="0042764E" w:rsidRPr="00010316" w:rsidP="0042764E" w14:paraId="612193E4" w14:textId="77777777">
      <w:pPr>
        <w:ind w:left="720"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973C7D" w:rsidP="00756A5F" w14:paraId="5764C314" w14:textId="5ABE4FF5">
      <w:pPr>
        <w:ind w:left="720"/>
        <w:rPr>
          <w:rFonts w:asciiTheme="minorHAnsi" w:hAnsiTheme="minorHAnsi"/>
          <w:sz w:val="22"/>
          <w:szCs w:val="22"/>
        </w:rPr>
      </w:pPr>
      <w:r>
        <w:rPr>
          <w:rFonts w:asciiTheme="minorHAnsi" w:hAnsiTheme="minorHAnsi"/>
          <w:sz w:val="22"/>
          <w:szCs w:val="22"/>
        </w:rPr>
        <w:t xml:space="preserve">The website portal is used by taxpayers to apply for an allocation of Capacity Limitation under </w:t>
      </w:r>
      <w:r w:rsidR="008D20F9">
        <w:rPr>
          <w:rFonts w:asciiTheme="minorHAnsi" w:hAnsiTheme="minorHAnsi"/>
          <w:sz w:val="22"/>
          <w:szCs w:val="22"/>
        </w:rPr>
        <w:t xml:space="preserve">IRC </w:t>
      </w:r>
      <w:r>
        <w:rPr>
          <w:rFonts w:asciiTheme="minorHAnsi" w:hAnsiTheme="minorHAnsi"/>
          <w:sz w:val="22"/>
          <w:szCs w:val="22"/>
        </w:rPr>
        <w:t>section 48</w:t>
      </w:r>
      <w:r w:rsidR="00EB6B42">
        <w:rPr>
          <w:rFonts w:asciiTheme="minorHAnsi" w:hAnsiTheme="minorHAnsi"/>
          <w:sz w:val="22"/>
          <w:szCs w:val="22"/>
        </w:rPr>
        <w:t>E(h</w:t>
      </w:r>
      <w:r>
        <w:rPr>
          <w:rFonts w:asciiTheme="minorHAnsi" w:hAnsiTheme="minorHAnsi"/>
          <w:sz w:val="22"/>
          <w:szCs w:val="22"/>
        </w:rPr>
        <w:t>)</w:t>
      </w:r>
      <w:r w:rsidR="00F33F29">
        <w:rPr>
          <w:rFonts w:asciiTheme="minorHAnsi" w:hAnsiTheme="minorHAnsi"/>
          <w:sz w:val="22"/>
          <w:szCs w:val="22"/>
        </w:rPr>
        <w:t xml:space="preserve"> and to confirm that an eligible project has been placed in service</w:t>
      </w:r>
      <w:r w:rsidR="008D20F9">
        <w:rPr>
          <w:rFonts w:asciiTheme="minorHAnsi" w:hAnsiTheme="minorHAnsi"/>
          <w:sz w:val="22"/>
          <w:szCs w:val="22"/>
        </w:rPr>
        <w:t>.</w:t>
      </w:r>
    </w:p>
    <w:p w:rsidR="0042764E" w:rsidRPr="00756A5F" w:rsidP="00756A5F" w14:paraId="3142FEF2" w14:textId="77777777">
      <w:pPr>
        <w:ind w:left="720"/>
        <w:rPr>
          <w:rFonts w:asciiTheme="minorHAnsi" w:hAnsiTheme="minorHAnsi"/>
          <w:sz w:val="22"/>
          <w:szCs w:val="22"/>
        </w:rPr>
      </w:pP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42764E" w:rsidRPr="005D38C5" w:rsidP="005D38C5" w14:paraId="274EA203" w14:textId="0CCEA975">
      <w:pPr>
        <w:ind w:left="720"/>
        <w:rPr>
          <w:rFonts w:asciiTheme="minorHAnsi" w:hAnsiTheme="minorHAnsi"/>
          <w:sz w:val="22"/>
          <w:szCs w:val="22"/>
        </w:rPr>
      </w:pPr>
      <w:r>
        <w:rPr>
          <w:rFonts w:asciiTheme="minorHAnsi" w:hAnsiTheme="minorHAnsi"/>
          <w:sz w:val="22"/>
          <w:szCs w:val="22"/>
        </w:rPr>
        <w:t xml:space="preserve">The </w:t>
      </w:r>
      <w:r w:rsidRPr="0042764E">
        <w:rPr>
          <w:rFonts w:asciiTheme="minorHAnsi" w:hAnsiTheme="minorHAnsi"/>
          <w:sz w:val="22"/>
          <w:szCs w:val="22"/>
        </w:rPr>
        <w:t xml:space="preserve">IRS </w:t>
      </w:r>
      <w:r>
        <w:rPr>
          <w:rFonts w:asciiTheme="minorHAnsi" w:hAnsiTheme="minorHAnsi"/>
          <w:sz w:val="22"/>
          <w:szCs w:val="22"/>
        </w:rPr>
        <w:t xml:space="preserve">and </w:t>
      </w:r>
      <w:r>
        <w:rPr>
          <w:rFonts w:asciiTheme="minorHAnsi" w:hAnsiTheme="minorHAnsi"/>
          <w:sz w:val="22"/>
          <w:szCs w:val="22"/>
        </w:rPr>
        <w:t>DOE established a website portal</w:t>
      </w:r>
      <w:r w:rsidR="00BC5693">
        <w:rPr>
          <w:rFonts w:asciiTheme="minorHAnsi" w:hAnsiTheme="minorHAnsi"/>
          <w:sz w:val="22"/>
          <w:szCs w:val="22"/>
        </w:rPr>
        <w:t xml:space="preserve"> to collect the attestations and application documents</w:t>
      </w:r>
      <w:r>
        <w:rPr>
          <w:rFonts w:asciiTheme="minorHAnsi" w:hAnsiTheme="minorHAnsi"/>
          <w:sz w:val="22"/>
          <w:szCs w:val="22"/>
        </w:rPr>
        <w:t xml:space="preserve">. </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D1A184C">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D92F5B" w:rsidP="00F27A1C" w14:paraId="32790A9D" w14:textId="77777777">
      <w:pPr>
        <w:ind w:left="720"/>
        <w:rPr>
          <w:rFonts w:asciiTheme="minorHAnsi" w:hAnsiTheme="minorHAnsi"/>
          <w:sz w:val="22"/>
          <w:szCs w:val="22"/>
        </w:rPr>
      </w:pPr>
      <w:r w:rsidRPr="001D23C7">
        <w:rPr>
          <w:rFonts w:asciiTheme="minorHAnsi" w:hAnsiTheme="minorHAnsi"/>
          <w:sz w:val="22"/>
          <w:szCs w:val="22"/>
        </w:rPr>
        <w:t xml:space="preserve">The IRS proactively works with both internal and external stakeholders to minimize the burden on small businesses, while maintaining tax compliance. The </w:t>
      </w:r>
      <w:r>
        <w:rPr>
          <w:rFonts w:asciiTheme="minorHAnsi" w:hAnsiTheme="minorHAnsi"/>
          <w:sz w:val="22"/>
          <w:szCs w:val="22"/>
        </w:rPr>
        <w:t>IRS</w:t>
      </w:r>
      <w:r w:rsidRPr="001D23C7">
        <w:rPr>
          <w:rFonts w:asciiTheme="minorHAnsi" w:hAnsiTheme="minorHAnsi"/>
          <w:sz w:val="22"/>
          <w:szCs w:val="22"/>
        </w:rPr>
        <w:t xml:space="preserve"> also seeks input regarding the burden estimates from the public via notices and tax product instructions. The</w:t>
      </w:r>
      <w:r>
        <w:rPr>
          <w:rFonts w:asciiTheme="minorHAnsi" w:hAnsiTheme="minorHAnsi"/>
          <w:sz w:val="22"/>
          <w:szCs w:val="22"/>
        </w:rPr>
        <w:t xml:space="preserve"> IRS</w:t>
      </w:r>
      <w:r w:rsidRPr="001D23C7">
        <w:rPr>
          <w:rFonts w:asciiTheme="minorHAnsi" w:hAnsiTheme="minorHAnsi"/>
          <w:sz w:val="22"/>
          <w:szCs w:val="22"/>
        </w:rPr>
        <w:t xml:space="preserve"> will continue to as applicable find ways to reduce the burden on small businesses or other small entities.</w:t>
      </w:r>
      <w:r w:rsidRPr="00F27A1C" w:rsidR="00955BFA">
        <w:rPr>
          <w:rFonts w:asciiTheme="minorHAnsi" w:hAnsiTheme="minorHAnsi"/>
          <w:sz w:val="22"/>
          <w:szCs w:val="22"/>
        </w:rPr>
        <w:t xml:space="preserve">     </w:t>
      </w:r>
    </w:p>
    <w:p w:rsidR="00D92F5B" w:rsidRPr="00D92F5B" w:rsidP="00D92F5B" w14:paraId="467251AF" w14:textId="04D0E8E0">
      <w:pPr>
        <w:ind w:left="720"/>
        <w:rPr>
          <w:rFonts w:asciiTheme="minorHAnsi" w:hAnsiTheme="minorHAnsi"/>
          <w:sz w:val="22"/>
          <w:szCs w:val="22"/>
        </w:rPr>
      </w:pPr>
      <w:r w:rsidRPr="00D92F5B">
        <w:rPr>
          <w:rFonts w:asciiTheme="minorHAnsi" w:hAnsiTheme="minorHAnsi"/>
          <w:sz w:val="22"/>
          <w:szCs w:val="22"/>
        </w:rPr>
        <w:t xml:space="preserve">The applicability of the final regulations does not depend on the size of the </w:t>
      </w:r>
      <w:r w:rsidRPr="00D92F5B">
        <w:rPr>
          <w:rFonts w:asciiTheme="minorHAnsi" w:hAnsiTheme="minorHAnsi"/>
          <w:sz w:val="22"/>
          <w:szCs w:val="22"/>
        </w:rPr>
        <w:t>business, as defined by the Small Business Administration.  As described more fully in the preamble to the final regulations and in the final regulatory flexibility analysis (FRFA), these rules may affect a variety of different businesses across several different industries.</w:t>
      </w:r>
    </w:p>
    <w:p w:rsidR="00D92F5B" w:rsidRPr="00D92F5B" w:rsidP="00D92F5B" w14:paraId="2AB4886F" w14:textId="77777777">
      <w:pPr>
        <w:ind w:left="720"/>
        <w:rPr>
          <w:rFonts w:asciiTheme="minorHAnsi" w:hAnsiTheme="minorHAnsi"/>
          <w:sz w:val="22"/>
          <w:szCs w:val="22"/>
        </w:rPr>
      </w:pPr>
    </w:p>
    <w:p w:rsidR="001D23C7" w:rsidP="00D92F5B" w14:paraId="3F08FFC7" w14:textId="6AE2C657">
      <w:pPr>
        <w:ind w:left="720"/>
        <w:rPr>
          <w:rFonts w:asciiTheme="minorHAnsi" w:hAnsiTheme="minorHAnsi"/>
          <w:sz w:val="22"/>
          <w:szCs w:val="22"/>
        </w:rPr>
      </w:pPr>
      <w:r w:rsidRPr="00D92F5B">
        <w:rPr>
          <w:rFonts w:asciiTheme="minorHAnsi" w:hAnsiTheme="minorHAnsi"/>
          <w:sz w:val="22"/>
          <w:szCs w:val="22"/>
        </w:rPr>
        <w:t>The Treasury Department and the IRS considered alternatives to the final regulations to minimize the collection of information impact on small entities.  For example, the Treasury Department and the IRS considered requests from stakeholders that potential applicants be able to place a facility in service before applying for or receiving an allocation of Capacity Limitation.  The Treasury Department and the IRS determined it would not be possible to accommodate this request in the final regulations because t</w:t>
      </w:r>
      <w:r w:rsidRPr="00D92F5B">
        <w:rPr>
          <w:rFonts w:asciiTheme="minorHAnsi" w:hAnsiTheme="minorHAnsi"/>
          <w:sz w:val="22"/>
          <w:szCs w:val="22"/>
        </w:rPr>
        <w:t>he statutory language under section 48E(h)(4)(E)(i) requires that the facility be placed in service by a date that is 4 years after the date of the allocation.  Moreover, facilities that were placed in service prior to the allocation process do not increase adoption of and access to renewable energy facilities, as compared to the absence of the Program, and so do not further Program goals.  The preamble to the final regulations, including the FRFA, describe other steps the Treasury Department and the IRS co</w:t>
      </w:r>
      <w:r w:rsidRPr="00D92F5B">
        <w:rPr>
          <w:rFonts w:asciiTheme="minorHAnsi" w:hAnsiTheme="minorHAnsi"/>
          <w:sz w:val="22"/>
          <w:szCs w:val="22"/>
        </w:rPr>
        <w:t>nsidered to minimize the impact on small entities.</w:t>
      </w:r>
    </w:p>
    <w:p w:rsidR="00776C8A" w:rsidRPr="00F27A1C" w:rsidP="00F27A1C" w14:paraId="73ACA3AF" w14:textId="01629C0B">
      <w:pPr>
        <w:ind w:left="720"/>
        <w:rPr>
          <w:rFonts w:asciiTheme="minorHAnsi" w:hAnsiTheme="minorHAnsi"/>
          <w:sz w:val="22"/>
          <w:szCs w:val="22"/>
        </w:rPr>
      </w:pP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42764E" w:rsidP="00F27A1C" w14:paraId="19739D58" w14:textId="410D6648">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Pr="0042764E">
        <w:rPr>
          <w:rFonts w:asciiTheme="minorHAnsi" w:hAnsiTheme="minorHAnsi"/>
          <w:sz w:val="22"/>
          <w:szCs w:val="22"/>
        </w:rPr>
        <w:t xml:space="preserve">could consist of taxpayers unable to claim </w:t>
      </w:r>
      <w:r w:rsidR="001D23C7">
        <w:rPr>
          <w:rFonts w:asciiTheme="minorHAnsi" w:hAnsiTheme="minorHAnsi"/>
          <w:sz w:val="22"/>
          <w:szCs w:val="22"/>
        </w:rPr>
        <w:t xml:space="preserve">the allocation under </w:t>
      </w:r>
      <w:r w:rsidR="000940A2">
        <w:rPr>
          <w:rFonts w:asciiTheme="minorHAnsi" w:hAnsiTheme="minorHAnsi"/>
          <w:sz w:val="22"/>
          <w:szCs w:val="22"/>
        </w:rPr>
        <w:t xml:space="preserve">IRC </w:t>
      </w:r>
      <w:r w:rsidR="001D23C7">
        <w:rPr>
          <w:rFonts w:asciiTheme="minorHAnsi" w:hAnsiTheme="minorHAnsi"/>
          <w:sz w:val="22"/>
          <w:szCs w:val="22"/>
        </w:rPr>
        <w:t>section 48</w:t>
      </w:r>
      <w:r w:rsidR="000940A2">
        <w:rPr>
          <w:rFonts w:asciiTheme="minorHAnsi" w:hAnsiTheme="minorHAnsi"/>
          <w:sz w:val="22"/>
          <w:szCs w:val="22"/>
        </w:rPr>
        <w:t>E(h)</w:t>
      </w:r>
      <w:r w:rsidR="001D23C7">
        <w:rPr>
          <w:rFonts w:asciiTheme="minorHAnsi" w:hAnsiTheme="minorHAnsi"/>
          <w:sz w:val="22"/>
          <w:szCs w:val="22"/>
        </w:rPr>
        <w:t>.</w:t>
      </w:r>
    </w:p>
    <w:p w:rsidR="0042764E" w:rsidP="00F27A1C" w14:paraId="48DA7590"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 xml:space="preserve">There are no special circumstances requiring data collection to be inconsistent with guidelines in 5 </w:t>
      </w:r>
      <w:r w:rsidRPr="00867DF9">
        <w:rPr>
          <w:rFonts w:asciiTheme="minorHAnsi" w:hAnsiTheme="minorHAnsi"/>
          <w:sz w:val="22"/>
          <w:szCs w:val="22"/>
        </w:rPr>
        <w:t>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 xml:space="preserve">AVAILABILITY OF DATA, </w:t>
      </w:r>
      <w:r w:rsidRPr="00764596">
        <w:rPr>
          <w:rFonts w:asciiTheme="minorHAnsi" w:hAnsiTheme="minorHAnsi"/>
          <w:sz w:val="22"/>
          <w:szCs w:val="22"/>
          <w:u w:val="single"/>
        </w:rPr>
        <w:t>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F43B80" w:rsidRPr="00F43B80" w:rsidP="00F43B80" w14:paraId="091C8981" w14:textId="78E1986D">
      <w:pPr>
        <w:ind w:left="720"/>
        <w:rPr>
          <w:rFonts w:asciiTheme="minorHAnsi" w:hAnsiTheme="minorHAnsi"/>
          <w:sz w:val="22"/>
          <w:szCs w:val="22"/>
        </w:rPr>
      </w:pPr>
      <w:r>
        <w:rPr>
          <w:rFonts w:asciiTheme="minorHAnsi" w:hAnsiTheme="minorHAnsi"/>
          <w:sz w:val="22"/>
          <w:szCs w:val="22"/>
        </w:rPr>
        <w:t>I</w:t>
      </w:r>
      <w:r w:rsidRPr="00F43B80">
        <w:rPr>
          <w:rFonts w:asciiTheme="minorHAnsi" w:hAnsiTheme="minorHAnsi"/>
          <w:sz w:val="22"/>
          <w:szCs w:val="22"/>
        </w:rPr>
        <w:t>n response to the proposed regulations published</w:t>
      </w:r>
      <w:r>
        <w:rPr>
          <w:rFonts w:asciiTheme="minorHAnsi" w:hAnsiTheme="minorHAnsi"/>
          <w:sz w:val="22"/>
          <w:szCs w:val="22"/>
        </w:rPr>
        <w:t xml:space="preserve"> September 3</w:t>
      </w:r>
      <w:r w:rsidRPr="008D20F9">
        <w:rPr>
          <w:rFonts w:asciiTheme="minorHAnsi" w:hAnsiTheme="minorHAnsi"/>
          <w:sz w:val="22"/>
          <w:szCs w:val="22"/>
        </w:rPr>
        <w:t xml:space="preserve">, </w:t>
      </w:r>
      <w:r w:rsidRPr="008D20F9" w:rsidR="00472C75">
        <w:rPr>
          <w:rFonts w:asciiTheme="minorHAnsi" w:hAnsiTheme="minorHAnsi"/>
          <w:sz w:val="22"/>
          <w:szCs w:val="22"/>
        </w:rPr>
        <w:t>202</w:t>
      </w:r>
      <w:r w:rsidR="00472C75">
        <w:rPr>
          <w:rFonts w:asciiTheme="minorHAnsi" w:hAnsiTheme="minorHAnsi"/>
          <w:sz w:val="22"/>
          <w:szCs w:val="22"/>
        </w:rPr>
        <w:t>4,</w:t>
      </w:r>
      <w:r>
        <w:rPr>
          <w:rFonts w:asciiTheme="minorHAnsi" w:hAnsiTheme="minorHAnsi"/>
          <w:sz w:val="22"/>
          <w:szCs w:val="22"/>
        </w:rPr>
        <w:t xml:space="preserve"> at </w:t>
      </w:r>
      <w:r w:rsidRPr="007746C0">
        <w:rPr>
          <w:rFonts w:asciiTheme="minorHAnsi" w:hAnsiTheme="minorHAnsi"/>
          <w:sz w:val="22"/>
          <w:szCs w:val="22"/>
        </w:rPr>
        <w:t>89 FR 71193</w:t>
      </w:r>
      <w:r>
        <w:rPr>
          <w:rFonts w:asciiTheme="minorHAnsi" w:hAnsiTheme="minorHAnsi"/>
          <w:sz w:val="22"/>
          <w:szCs w:val="22"/>
        </w:rPr>
        <w:t>,</w:t>
      </w:r>
      <w:r w:rsidRPr="00F43B80">
        <w:rPr>
          <w:rFonts w:asciiTheme="minorHAnsi" w:hAnsiTheme="minorHAnsi"/>
          <w:sz w:val="22"/>
          <w:szCs w:val="22"/>
        </w:rPr>
        <w:t xml:space="preserve"> we received </w:t>
      </w:r>
      <w:r>
        <w:rPr>
          <w:rFonts w:asciiTheme="minorHAnsi" w:hAnsiTheme="minorHAnsi"/>
          <w:sz w:val="22"/>
          <w:szCs w:val="22"/>
        </w:rPr>
        <w:t xml:space="preserve">no </w:t>
      </w:r>
      <w:r w:rsidRPr="00F43B80">
        <w:rPr>
          <w:rFonts w:asciiTheme="minorHAnsi" w:hAnsiTheme="minorHAnsi"/>
          <w:sz w:val="22"/>
          <w:szCs w:val="22"/>
        </w:rPr>
        <w:t xml:space="preserve">comments on the collection requirements regarding </w:t>
      </w:r>
      <w:r w:rsidRPr="00F57FC0">
        <w:rPr>
          <w:rFonts w:asciiTheme="minorHAnsi" w:hAnsiTheme="minorHAnsi" w:cstheme="minorHAnsi"/>
          <w:bCs/>
          <w:color w:val="000000"/>
          <w:sz w:val="22"/>
          <w:szCs w:val="22"/>
        </w:rPr>
        <w:t>Clean Electricity Low-Income Communities Bonus Credit Amount Program</w:t>
      </w:r>
      <w:r w:rsidRPr="00F43B80">
        <w:rPr>
          <w:rFonts w:asciiTheme="minorHAnsi" w:hAnsiTheme="minorHAnsi"/>
          <w:sz w:val="22"/>
          <w:szCs w:val="22"/>
        </w:rPr>
        <w:t xml:space="preserve">. </w:t>
      </w:r>
    </w:p>
    <w:p w:rsidR="00F43B80" w:rsidRPr="00867DF9" w:rsidP="00867DF9" w14:paraId="09F14CD0" w14:textId="77777777">
      <w:pPr>
        <w:ind w:left="720"/>
        <w:rPr>
          <w:rFonts w:asciiTheme="minorHAnsi" w:hAnsiTheme="minorHAnsi"/>
          <w:sz w:val="22"/>
          <w:szCs w:val="22"/>
        </w:rPr>
      </w:pP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been </w:t>
      </w:r>
      <w:r w:rsidRPr="001F7C7C">
        <w:rPr>
          <w:rFonts w:asciiTheme="minorHAnsi" w:hAnsiTheme="minorHAnsi"/>
          <w:sz w:val="22"/>
          <w:szCs w:val="22"/>
        </w:rPr>
        <w:t>provided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37AE581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w:t>
      </w:r>
    </w:p>
    <w:p w:rsidR="0081477E" w:rsidRPr="001F7C7C" w:rsidP="001F7C7C" w14:paraId="15A6AE6F" w14:textId="77777777">
      <w:pPr>
        <w:ind w:left="720"/>
        <w:rPr>
          <w:rFonts w:asciiTheme="minorHAnsi" w:hAnsiTheme="minorHAnsi"/>
          <w:sz w:val="22"/>
          <w:szCs w:val="22"/>
        </w:rPr>
      </w:pPr>
    </w:p>
    <w:p w:rsidR="0042764E" w:rsidRPr="0042764E" w:rsidP="0042764E" w14:paraId="2E913D06" w14:textId="7C145FE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JUSTIFICATION OF SENSITIVE QUESTIONS</w:t>
      </w:r>
    </w:p>
    <w:p w:rsidR="0042764E" w:rsidP="0042764E" w14:paraId="68E284D7" w14:textId="77777777">
      <w:pPr>
        <w:ind w:left="720"/>
        <w:rPr>
          <w:rFonts w:asciiTheme="minorHAnsi" w:hAnsiTheme="minorHAnsi"/>
          <w:sz w:val="22"/>
          <w:szCs w:val="22"/>
        </w:rPr>
      </w:pPr>
    </w:p>
    <w:p w:rsidR="0042764E" w:rsidRPr="0042764E" w:rsidP="0042764E" w14:paraId="2D78B163" w14:textId="2156A03D">
      <w:pPr>
        <w:ind w:left="720"/>
        <w:rPr>
          <w:rFonts w:asciiTheme="minorHAnsi" w:hAnsiTheme="minorHAnsi"/>
          <w:sz w:val="22"/>
          <w:szCs w:val="22"/>
        </w:rPr>
      </w:pPr>
      <w:r w:rsidRPr="0042764E">
        <w:rPr>
          <w:rFonts w:asciiTheme="minorHAnsi" w:hAnsiTheme="minorHAnsi"/>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4" w:history="1">
        <w:r w:rsidRPr="00DF7790">
          <w:rPr>
            <w:rStyle w:val="Hyperlink"/>
            <w:rFonts w:asciiTheme="minorHAnsi" w:hAnsiTheme="minorHAnsi"/>
            <w:sz w:val="22"/>
            <w:szCs w:val="22"/>
          </w:rPr>
          <w:t>https://www.irs.gov/uac/Privacy-Impact-Assessments-PIA</w:t>
        </w:r>
      </w:hyperlink>
      <w:r w:rsidRPr="0042764E">
        <w:rPr>
          <w:rFonts w:asciiTheme="minorHAnsi" w:hAnsiTheme="minorHAnsi"/>
          <w:sz w:val="22"/>
          <w:szCs w:val="22"/>
        </w:rPr>
        <w:t>.</w:t>
      </w:r>
    </w:p>
    <w:p w:rsidR="0042764E" w:rsidRPr="0042764E" w:rsidP="0042764E" w14:paraId="0A39EF8C" w14:textId="77777777">
      <w:pPr>
        <w:ind w:left="720"/>
        <w:rPr>
          <w:rFonts w:asciiTheme="minorHAnsi" w:hAnsiTheme="minorHAnsi"/>
          <w:sz w:val="22"/>
          <w:szCs w:val="22"/>
        </w:rPr>
      </w:pPr>
    </w:p>
    <w:p w:rsidR="00955BFA" w:rsidP="0042764E" w14:paraId="284F1E9D" w14:textId="21B18957">
      <w:pPr>
        <w:ind w:left="720"/>
        <w:rPr>
          <w:rFonts w:asciiTheme="minorHAnsi" w:hAnsiTheme="minorHAnsi"/>
          <w:sz w:val="22"/>
          <w:szCs w:val="22"/>
        </w:rPr>
      </w:pPr>
      <w:r w:rsidRPr="0042764E">
        <w:rPr>
          <w:rFonts w:asciiTheme="minorHAnsi" w:hAnsiTheme="minorHAnsi"/>
          <w:sz w:val="22"/>
          <w:szCs w:val="22"/>
        </w:rPr>
        <w:t xml:space="preserve">Title 26 USC 6109 requires inclusion of identifying numbers in returns, statements, or other </w:t>
      </w:r>
      <w:r w:rsidRPr="0042764E">
        <w:rPr>
          <w:rFonts w:asciiTheme="minorHAnsi" w:hAnsiTheme="minorHAnsi"/>
          <w:sz w:val="22"/>
          <w:szCs w:val="22"/>
        </w:rPr>
        <w:t>documents for securing proper identification of persons required to make such returns, statements, or documents and is the authority for social security numbers (SSNs) in IRS systems.</w:t>
      </w:r>
    </w:p>
    <w:p w:rsidR="0042764E" w:rsidRPr="006932A9" w:rsidP="0042764E" w14:paraId="32EE835B"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776C8A" w:rsidRPr="006932A9" w:rsidP="006932A9" w14:paraId="4E62B720" w14:textId="77777777">
      <w:pPr>
        <w:ind w:left="720"/>
        <w:rPr>
          <w:rFonts w:asciiTheme="minorHAnsi" w:hAnsiTheme="minorHAnsi"/>
          <w:sz w:val="22"/>
          <w:szCs w:val="22"/>
        </w:rPr>
      </w:pPr>
    </w:p>
    <w:p w:rsidR="000940A2" w:rsidP="006932A9" w14:paraId="09B43568" w14:textId="251C3C8E">
      <w:pPr>
        <w:ind w:left="720"/>
        <w:rPr>
          <w:rFonts w:asciiTheme="minorHAnsi" w:hAnsiTheme="minorHAnsi"/>
          <w:sz w:val="22"/>
          <w:szCs w:val="22"/>
        </w:rPr>
      </w:pPr>
      <w:r w:rsidRPr="000940A2">
        <w:rPr>
          <w:rFonts w:asciiTheme="minorHAnsi" w:hAnsiTheme="minorHAnsi"/>
          <w:sz w:val="22"/>
          <w:szCs w:val="22"/>
        </w:rPr>
        <w:t xml:space="preserve">The recordkeeping requirements mentioned within this proposed regulation are considered general tax records </w:t>
      </w:r>
      <w:r>
        <w:rPr>
          <w:rFonts w:asciiTheme="minorHAnsi" w:hAnsiTheme="minorHAnsi"/>
          <w:sz w:val="22"/>
          <w:szCs w:val="22"/>
        </w:rPr>
        <w:t xml:space="preserve">under Treasury Regulations section </w:t>
      </w:r>
      <w:r w:rsidRPr="000940A2">
        <w:rPr>
          <w:rFonts w:asciiTheme="minorHAnsi" w:hAnsiTheme="minorHAnsi"/>
          <w:sz w:val="22"/>
          <w:szCs w:val="22"/>
        </w:rPr>
        <w:t xml:space="preserve">1.6001-1(e). These records are required for IRS to validate that taxpayers have met the regulatory requirements and are entitled to receive section 48E(h) Increase. </w:t>
      </w:r>
      <w:r>
        <w:rPr>
          <w:rFonts w:asciiTheme="minorHAnsi" w:hAnsiTheme="minorHAnsi"/>
          <w:sz w:val="22"/>
          <w:szCs w:val="22"/>
        </w:rPr>
        <w:t>G</w:t>
      </w:r>
      <w:r w:rsidRPr="000940A2">
        <w:rPr>
          <w:rFonts w:asciiTheme="minorHAnsi" w:hAnsiTheme="minorHAnsi"/>
          <w:sz w:val="22"/>
          <w:szCs w:val="22"/>
        </w:rPr>
        <w:t xml:space="preserve">eneral tax records are already approved by OMB under 1545-0123 for business filers, 1545-0074 for individual filers, and 1545-0047 for tax-exempt </w:t>
      </w:r>
      <w:r w:rsidRPr="000940A2">
        <w:rPr>
          <w:rFonts w:asciiTheme="minorHAnsi" w:hAnsiTheme="minorHAnsi"/>
          <w:sz w:val="22"/>
          <w:szCs w:val="22"/>
        </w:rPr>
        <w:t>organizations</w:t>
      </w:r>
    </w:p>
    <w:p w:rsidR="000940A2" w:rsidP="006932A9" w14:paraId="5CBD8D0B" w14:textId="77777777">
      <w:pPr>
        <w:ind w:left="720"/>
        <w:rPr>
          <w:rFonts w:asciiTheme="minorHAnsi" w:hAnsiTheme="minorHAnsi"/>
          <w:sz w:val="22"/>
          <w:szCs w:val="22"/>
        </w:rPr>
      </w:pPr>
    </w:p>
    <w:p w:rsidR="006932A9" w:rsidP="006932A9" w14:paraId="5188AAC4" w14:textId="61719066">
      <w:pPr>
        <w:ind w:left="720"/>
        <w:rPr>
          <w:rFonts w:asciiTheme="minorHAnsi" w:hAnsiTheme="minorHAnsi"/>
          <w:sz w:val="22"/>
          <w:szCs w:val="22"/>
        </w:rPr>
      </w:pPr>
      <w:r w:rsidRPr="0050555F">
        <w:rPr>
          <w:rFonts w:asciiTheme="minorHAnsi" w:hAnsiTheme="minorHAnsi"/>
          <w:sz w:val="22"/>
          <w:szCs w:val="22"/>
        </w:rPr>
        <w:t xml:space="preserve">We estimate that between 1 and 70,000 individual, business, tax-exempt, and other qualifying taxpayers may meet the underlying credit criteria for Sections 6417 and 6418 annually over the next ten years. Although Sections 48 and 48E are not the only underlying credits included in that analysis, we do not have sufficient data to estimate the specific number of taxpayers who may qualify for these underlying credits, nor how many claimants of Sections 48 and 48E will meet the qualifications for the </w:t>
      </w:r>
      <w:r w:rsidR="00CD1142">
        <w:rPr>
          <w:rFonts w:asciiTheme="minorHAnsi" w:hAnsiTheme="minorHAnsi"/>
          <w:sz w:val="22"/>
          <w:szCs w:val="22"/>
        </w:rPr>
        <w:t>Program</w:t>
      </w:r>
      <w:r w:rsidRPr="0050555F">
        <w:rPr>
          <w:rFonts w:asciiTheme="minorHAnsi" w:hAnsiTheme="minorHAnsi"/>
          <w:sz w:val="22"/>
          <w:szCs w:val="22"/>
        </w:rPr>
        <w:t xml:space="preserve">. For these reasons, we estimate that the number of impacted </w:t>
      </w:r>
      <w:r w:rsidRPr="0050555F">
        <w:rPr>
          <w:rFonts w:asciiTheme="minorHAnsi" w:hAnsiTheme="minorHAnsi"/>
          <w:sz w:val="22"/>
          <w:szCs w:val="22"/>
        </w:rPr>
        <w:t>taxpayers for the Program to be between 1 and 70,000.</w:t>
      </w:r>
      <w:r w:rsidRPr="006932A9">
        <w:rPr>
          <w:rFonts w:asciiTheme="minorHAnsi" w:hAnsiTheme="minorHAnsi"/>
          <w:sz w:val="22"/>
          <w:szCs w:val="22"/>
        </w:rPr>
        <w:t xml:space="preserve"> </w:t>
      </w:r>
    </w:p>
    <w:p w:rsidR="000879B0" w:rsidP="006932A9" w14:paraId="5537E3A7" w14:textId="339A1859">
      <w:pPr>
        <w:ind w:left="720"/>
        <w:rPr>
          <w:rFonts w:asciiTheme="minorHAnsi" w:hAnsi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06"/>
        <w:gridCol w:w="1274"/>
        <w:gridCol w:w="1260"/>
        <w:gridCol w:w="1170"/>
        <w:gridCol w:w="1080"/>
        <w:gridCol w:w="990"/>
      </w:tblGrid>
      <w:tr w14:paraId="23BF86CC" w14:textId="77777777" w:rsidTr="0044240A">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60" w:type="dxa"/>
            <w:shd w:val="clear" w:color="auto" w:fill="auto"/>
            <w:vAlign w:val="bottom"/>
          </w:tcPr>
          <w:p w:rsidR="008D20F9" w:rsidRPr="001222FC" w:rsidP="00F45BDF" w14:paraId="4DDD1180"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606" w:type="dxa"/>
            <w:vAlign w:val="bottom"/>
          </w:tcPr>
          <w:p w:rsidR="008D20F9" w:rsidRPr="001222FC" w:rsidP="00F45BDF" w14:paraId="34F52D2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74" w:type="dxa"/>
            <w:vAlign w:val="bottom"/>
          </w:tcPr>
          <w:p w:rsidR="008D20F9" w:rsidRPr="001222FC" w:rsidP="00F45BDF" w14:paraId="3CD2CA6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260" w:type="dxa"/>
            <w:vAlign w:val="bottom"/>
          </w:tcPr>
          <w:p w:rsidR="008D20F9" w:rsidRPr="001222FC" w:rsidP="00F45BDF" w14:paraId="7DAA931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170" w:type="dxa"/>
            <w:shd w:val="clear" w:color="auto" w:fill="auto"/>
            <w:vAlign w:val="bottom"/>
          </w:tcPr>
          <w:p w:rsidR="008D20F9" w:rsidRPr="001222FC" w:rsidP="00F45BDF" w14:paraId="13DA1833"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080" w:type="dxa"/>
            <w:vAlign w:val="bottom"/>
          </w:tcPr>
          <w:p w:rsidR="008D20F9" w:rsidRPr="001222FC" w:rsidP="00F45BDF" w14:paraId="30DF289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990" w:type="dxa"/>
            <w:shd w:val="clear" w:color="auto" w:fill="auto"/>
            <w:vAlign w:val="bottom"/>
          </w:tcPr>
          <w:p w:rsidR="008D20F9" w:rsidRPr="001222FC" w:rsidP="00F45BDF" w14:paraId="7C249D9D"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627CC155" w14:textId="77777777" w:rsidTr="0044240A">
        <w:tblPrEx>
          <w:tblW w:w="8640" w:type="dxa"/>
          <w:tblInd w:w="715" w:type="dxa"/>
          <w:tblLayout w:type="fixed"/>
          <w:tblLook w:val="04A0"/>
        </w:tblPrEx>
        <w:tc>
          <w:tcPr>
            <w:tcW w:w="1260" w:type="dxa"/>
            <w:shd w:val="clear" w:color="auto" w:fill="auto"/>
            <w:vAlign w:val="bottom"/>
          </w:tcPr>
          <w:p w:rsidR="008D20F9" w:rsidRPr="001222FC" w:rsidP="00F45BDF" w14:paraId="05A31635" w14:textId="74DBC630">
            <w:pPr>
              <w:keepNext/>
              <w:keepLines/>
              <w:numPr>
                <w:ilvl w:val="12"/>
                <w:numId w:val="0"/>
              </w:numPr>
              <w:jc w:val="center"/>
              <w:rPr>
                <w:rFonts w:ascii="Arial Narrow" w:hAnsi="Arial Narrow"/>
                <w:sz w:val="20"/>
                <w:szCs w:val="20"/>
              </w:rPr>
            </w:pPr>
            <w:bookmarkStart w:id="1" w:name="_Hlk175310205"/>
            <w:r>
              <w:rPr>
                <w:rFonts w:ascii="Arial Narrow" w:hAnsi="Arial Narrow"/>
                <w:sz w:val="20"/>
                <w:szCs w:val="20"/>
              </w:rPr>
              <w:t>IRC § 48E(h)</w:t>
            </w:r>
          </w:p>
        </w:tc>
        <w:tc>
          <w:tcPr>
            <w:tcW w:w="1606" w:type="dxa"/>
            <w:vAlign w:val="bottom"/>
          </w:tcPr>
          <w:p w:rsidR="008D20F9" w:rsidRPr="001222FC" w:rsidP="00F45BDF" w14:paraId="5C97976A" w14:textId="761F9A03">
            <w:pPr>
              <w:keepNext/>
              <w:keepLines/>
              <w:numPr>
                <w:ilvl w:val="12"/>
                <w:numId w:val="0"/>
              </w:numPr>
              <w:jc w:val="center"/>
              <w:rPr>
                <w:rFonts w:ascii="Arial Narrow" w:hAnsi="Arial Narrow"/>
                <w:sz w:val="20"/>
                <w:szCs w:val="20"/>
              </w:rPr>
            </w:pPr>
            <w:r>
              <w:rPr>
                <w:rFonts w:ascii="Arial Narrow" w:hAnsi="Arial Narrow"/>
                <w:sz w:val="20"/>
                <w:szCs w:val="20"/>
              </w:rPr>
              <w:t>Initial applications</w:t>
            </w:r>
          </w:p>
        </w:tc>
        <w:tc>
          <w:tcPr>
            <w:tcW w:w="1274" w:type="dxa"/>
            <w:vAlign w:val="bottom"/>
          </w:tcPr>
          <w:p w:rsidR="008D20F9" w:rsidRPr="001222FC" w:rsidP="00F45BDF" w14:paraId="3E98A522" w14:textId="4D3AD602">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RPr="001222FC" w:rsidP="00F45BDF" w14:paraId="0103EB36" w14:textId="6530F92B">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RPr="001222FC" w:rsidP="00F45BDF" w14:paraId="0E6332A3" w14:textId="49EE94F5">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RPr="001222FC" w:rsidP="00F45BDF" w14:paraId="0E9A5DA7" w14:textId="60D54E06">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RPr="001222FC" w:rsidP="00F45BDF" w14:paraId="530784C1" w14:textId="700823C3">
            <w:pPr>
              <w:keepNext/>
              <w:keepLines/>
              <w:numPr>
                <w:ilvl w:val="12"/>
                <w:numId w:val="0"/>
              </w:numPr>
              <w:jc w:val="center"/>
              <w:rPr>
                <w:rFonts w:ascii="Arial Narrow" w:hAnsi="Arial Narrow"/>
                <w:sz w:val="20"/>
                <w:szCs w:val="20"/>
              </w:rPr>
            </w:pPr>
            <w:r>
              <w:rPr>
                <w:rFonts w:ascii="Arial Narrow" w:hAnsi="Arial Narrow"/>
                <w:sz w:val="20"/>
                <w:szCs w:val="20"/>
              </w:rPr>
              <w:t>70,000</w:t>
            </w:r>
          </w:p>
        </w:tc>
      </w:tr>
      <w:tr w14:paraId="5336051B" w14:textId="77777777" w:rsidTr="0044240A">
        <w:tblPrEx>
          <w:tblW w:w="8640" w:type="dxa"/>
          <w:tblInd w:w="715" w:type="dxa"/>
          <w:tblLayout w:type="fixed"/>
          <w:tblLook w:val="04A0"/>
        </w:tblPrEx>
        <w:tc>
          <w:tcPr>
            <w:tcW w:w="1260" w:type="dxa"/>
            <w:shd w:val="clear" w:color="auto" w:fill="auto"/>
            <w:vAlign w:val="bottom"/>
          </w:tcPr>
          <w:p w:rsidR="008D20F9" w:rsidP="008D20F9" w14:paraId="1DA3499F" w14:textId="77F05EBE">
            <w:pPr>
              <w:keepNext/>
              <w:keepLines/>
              <w:numPr>
                <w:ilvl w:val="12"/>
                <w:numId w:val="0"/>
              </w:numPr>
              <w:jc w:val="center"/>
              <w:rPr>
                <w:rFonts w:ascii="Arial Narrow" w:hAnsi="Arial Narrow"/>
                <w:sz w:val="20"/>
                <w:szCs w:val="20"/>
              </w:rPr>
            </w:pPr>
            <w:bookmarkStart w:id="2" w:name="_Hlk175310231"/>
            <w:bookmarkEnd w:id="1"/>
            <w:r>
              <w:rPr>
                <w:rFonts w:ascii="Arial Narrow" w:hAnsi="Arial Narrow"/>
                <w:sz w:val="20"/>
                <w:szCs w:val="20"/>
              </w:rPr>
              <w:t>IRC § 48E(h)</w:t>
            </w:r>
          </w:p>
        </w:tc>
        <w:tc>
          <w:tcPr>
            <w:tcW w:w="1606" w:type="dxa"/>
            <w:vAlign w:val="bottom"/>
          </w:tcPr>
          <w:p w:rsidR="008D20F9" w:rsidP="008D20F9" w14:paraId="1C4C09C4" w14:textId="4C0F9B8F">
            <w:pPr>
              <w:keepNext/>
              <w:keepLines/>
              <w:numPr>
                <w:ilvl w:val="12"/>
                <w:numId w:val="0"/>
              </w:numPr>
              <w:jc w:val="center"/>
              <w:rPr>
                <w:rFonts w:ascii="Arial Narrow" w:hAnsi="Arial Narrow"/>
                <w:sz w:val="20"/>
                <w:szCs w:val="20"/>
              </w:rPr>
            </w:pPr>
            <w:r>
              <w:rPr>
                <w:rFonts w:ascii="Arial Narrow" w:hAnsi="Arial Narrow"/>
                <w:sz w:val="20"/>
                <w:szCs w:val="20"/>
              </w:rPr>
              <w:t>Follow-up documentation</w:t>
            </w:r>
          </w:p>
        </w:tc>
        <w:tc>
          <w:tcPr>
            <w:tcW w:w="1274" w:type="dxa"/>
            <w:vAlign w:val="bottom"/>
          </w:tcPr>
          <w:p w:rsidR="008D20F9" w:rsidP="008D20F9" w14:paraId="2C1F761A" w14:textId="0CEBA83A">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P="008D20F9" w14:paraId="4E028B60" w14:textId="161330F1">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P="008D20F9" w14:paraId="52A9CA19" w14:textId="0A255D29">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P="008D20F9" w14:paraId="56BB1452" w14:textId="2AB82591">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P="008D20F9" w14:paraId="62077590" w14:textId="30FEB118">
            <w:pPr>
              <w:keepNext/>
              <w:keepLines/>
              <w:numPr>
                <w:ilvl w:val="12"/>
                <w:numId w:val="0"/>
              </w:numPr>
              <w:jc w:val="center"/>
              <w:rPr>
                <w:rFonts w:ascii="Arial Narrow" w:hAnsi="Arial Narrow"/>
                <w:sz w:val="20"/>
                <w:szCs w:val="20"/>
              </w:rPr>
            </w:pPr>
            <w:r>
              <w:rPr>
                <w:rFonts w:ascii="Arial Narrow" w:hAnsi="Arial Narrow"/>
                <w:sz w:val="20"/>
                <w:szCs w:val="20"/>
              </w:rPr>
              <w:t>70,000</w:t>
            </w:r>
          </w:p>
        </w:tc>
      </w:tr>
      <w:tr w14:paraId="3BB8D30A" w14:textId="77777777" w:rsidTr="0044240A">
        <w:tblPrEx>
          <w:tblW w:w="8640" w:type="dxa"/>
          <w:tblInd w:w="715" w:type="dxa"/>
          <w:tblLayout w:type="fixed"/>
          <w:tblLook w:val="04A0"/>
        </w:tblPrEx>
        <w:tc>
          <w:tcPr>
            <w:tcW w:w="1260" w:type="dxa"/>
            <w:shd w:val="clear" w:color="auto" w:fill="auto"/>
            <w:vAlign w:val="bottom"/>
          </w:tcPr>
          <w:p w:rsidR="008D20F9" w:rsidP="008D20F9" w14:paraId="3487D7A3" w14:textId="5CCDE1DC">
            <w:pPr>
              <w:keepNext/>
              <w:keepLines/>
              <w:numPr>
                <w:ilvl w:val="12"/>
                <w:numId w:val="0"/>
              </w:numPr>
              <w:jc w:val="center"/>
              <w:rPr>
                <w:rFonts w:ascii="Arial Narrow" w:hAnsi="Arial Narrow"/>
                <w:sz w:val="20"/>
                <w:szCs w:val="20"/>
              </w:rPr>
            </w:pPr>
            <w:r>
              <w:rPr>
                <w:rFonts w:ascii="Arial Narrow" w:hAnsi="Arial Narrow"/>
                <w:sz w:val="20"/>
                <w:szCs w:val="20"/>
              </w:rPr>
              <w:t>IRC § 48E(h)</w:t>
            </w:r>
          </w:p>
        </w:tc>
        <w:tc>
          <w:tcPr>
            <w:tcW w:w="1606" w:type="dxa"/>
            <w:vAlign w:val="bottom"/>
          </w:tcPr>
          <w:p w:rsidR="008D20F9" w:rsidP="008D20F9" w14:paraId="5A68686C" w14:textId="65EBDC79">
            <w:pPr>
              <w:keepNext/>
              <w:keepLines/>
              <w:numPr>
                <w:ilvl w:val="12"/>
                <w:numId w:val="0"/>
              </w:numPr>
              <w:jc w:val="center"/>
              <w:rPr>
                <w:rFonts w:ascii="Arial Narrow" w:hAnsi="Arial Narrow"/>
                <w:sz w:val="20"/>
                <w:szCs w:val="20"/>
              </w:rPr>
            </w:pPr>
            <w:r>
              <w:rPr>
                <w:rFonts w:ascii="Arial Narrow" w:hAnsi="Arial Narrow"/>
                <w:sz w:val="20"/>
                <w:szCs w:val="20"/>
              </w:rPr>
              <w:t>Projects placed in service</w:t>
            </w:r>
          </w:p>
        </w:tc>
        <w:tc>
          <w:tcPr>
            <w:tcW w:w="1274" w:type="dxa"/>
            <w:vAlign w:val="bottom"/>
          </w:tcPr>
          <w:p w:rsidR="008D20F9" w:rsidP="008D20F9" w14:paraId="727AD9C3" w14:textId="05860A46">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P="008D20F9" w14:paraId="6E010892" w14:textId="0244C02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P="008D20F9" w14:paraId="38B2B742" w14:textId="228D4049">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P="008D20F9" w14:paraId="3B2D404F" w14:textId="1FE8045E">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P="008D20F9" w14:paraId="5208EEAA" w14:textId="22FC5E72">
            <w:pPr>
              <w:keepNext/>
              <w:keepLines/>
              <w:numPr>
                <w:ilvl w:val="12"/>
                <w:numId w:val="0"/>
              </w:numPr>
              <w:jc w:val="center"/>
              <w:rPr>
                <w:rFonts w:ascii="Arial Narrow" w:hAnsi="Arial Narrow"/>
                <w:sz w:val="20"/>
                <w:szCs w:val="20"/>
              </w:rPr>
            </w:pPr>
            <w:r>
              <w:rPr>
                <w:rFonts w:ascii="Arial Narrow" w:hAnsi="Arial Narrow"/>
                <w:sz w:val="20"/>
                <w:szCs w:val="20"/>
              </w:rPr>
              <w:t>70,000</w:t>
            </w:r>
          </w:p>
        </w:tc>
      </w:tr>
      <w:bookmarkEnd w:id="2"/>
      <w:tr w14:paraId="476C2B80" w14:textId="77777777" w:rsidTr="0044240A">
        <w:tblPrEx>
          <w:tblW w:w="8640" w:type="dxa"/>
          <w:tblInd w:w="715" w:type="dxa"/>
          <w:tblLayout w:type="fixed"/>
          <w:tblLook w:val="04A0"/>
        </w:tblPrEx>
        <w:tc>
          <w:tcPr>
            <w:tcW w:w="1260" w:type="dxa"/>
            <w:shd w:val="clear" w:color="auto" w:fill="auto"/>
            <w:vAlign w:val="bottom"/>
          </w:tcPr>
          <w:p w:rsidR="008D20F9" w:rsidRPr="001222FC" w:rsidP="008D20F9" w14:paraId="6711BA89"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606" w:type="dxa"/>
            <w:vAlign w:val="bottom"/>
          </w:tcPr>
          <w:p w:rsidR="008D20F9" w:rsidRPr="001222FC" w:rsidP="008D20F9" w14:paraId="2E2DFFC0" w14:textId="77777777">
            <w:pPr>
              <w:keepNext/>
              <w:keepLines/>
              <w:numPr>
                <w:ilvl w:val="12"/>
                <w:numId w:val="0"/>
              </w:numPr>
              <w:jc w:val="center"/>
              <w:rPr>
                <w:rFonts w:ascii="Arial Narrow" w:hAnsi="Arial Narrow"/>
                <w:b/>
                <w:bCs/>
                <w:sz w:val="20"/>
                <w:szCs w:val="20"/>
              </w:rPr>
            </w:pPr>
          </w:p>
        </w:tc>
        <w:tc>
          <w:tcPr>
            <w:tcW w:w="1274" w:type="dxa"/>
            <w:vAlign w:val="bottom"/>
          </w:tcPr>
          <w:p w:rsidR="008D20F9" w:rsidRPr="001222FC" w:rsidP="008D20F9" w14:paraId="35B92465" w14:textId="185D38D3">
            <w:pPr>
              <w:keepNext/>
              <w:keepLines/>
              <w:numPr>
                <w:ilvl w:val="12"/>
                <w:numId w:val="0"/>
              </w:numPr>
              <w:jc w:val="center"/>
              <w:rPr>
                <w:rFonts w:ascii="Arial Narrow" w:hAnsi="Arial Narrow"/>
                <w:b/>
                <w:bCs/>
                <w:sz w:val="20"/>
                <w:szCs w:val="20"/>
              </w:rPr>
            </w:pPr>
            <w:r>
              <w:rPr>
                <w:rFonts w:ascii="Arial Narrow" w:hAnsi="Arial Narrow"/>
                <w:b/>
                <w:bCs/>
                <w:sz w:val="20"/>
                <w:szCs w:val="20"/>
              </w:rPr>
              <w:t>70,000</w:t>
            </w:r>
          </w:p>
        </w:tc>
        <w:tc>
          <w:tcPr>
            <w:tcW w:w="1260" w:type="dxa"/>
            <w:vAlign w:val="bottom"/>
          </w:tcPr>
          <w:p w:rsidR="008D20F9" w:rsidRPr="001222FC" w:rsidP="008D20F9" w14:paraId="1AB600A6" w14:textId="77777777">
            <w:pPr>
              <w:keepNext/>
              <w:keepLines/>
              <w:numPr>
                <w:ilvl w:val="12"/>
                <w:numId w:val="0"/>
              </w:numPr>
              <w:jc w:val="center"/>
              <w:rPr>
                <w:rFonts w:ascii="Arial Narrow" w:hAnsi="Arial Narrow"/>
                <w:b/>
                <w:bCs/>
                <w:sz w:val="20"/>
                <w:szCs w:val="20"/>
              </w:rPr>
            </w:pPr>
          </w:p>
        </w:tc>
        <w:tc>
          <w:tcPr>
            <w:tcW w:w="1170" w:type="dxa"/>
            <w:shd w:val="clear" w:color="auto" w:fill="auto"/>
            <w:vAlign w:val="bottom"/>
          </w:tcPr>
          <w:p w:rsidR="008D20F9" w:rsidRPr="001222FC" w:rsidP="008D20F9" w14:paraId="53439E7F" w14:textId="425BFBF5">
            <w:pPr>
              <w:keepNext/>
              <w:keepLines/>
              <w:numPr>
                <w:ilvl w:val="12"/>
                <w:numId w:val="0"/>
              </w:numPr>
              <w:jc w:val="center"/>
              <w:rPr>
                <w:rFonts w:ascii="Arial Narrow" w:hAnsi="Arial Narrow"/>
                <w:b/>
                <w:bCs/>
                <w:sz w:val="20"/>
                <w:szCs w:val="20"/>
              </w:rPr>
            </w:pPr>
            <w:r>
              <w:rPr>
                <w:rFonts w:ascii="Arial Narrow" w:hAnsi="Arial Narrow"/>
                <w:b/>
                <w:bCs/>
                <w:sz w:val="20"/>
                <w:szCs w:val="20"/>
              </w:rPr>
              <w:t>210,000</w:t>
            </w:r>
          </w:p>
        </w:tc>
        <w:tc>
          <w:tcPr>
            <w:tcW w:w="1080" w:type="dxa"/>
            <w:vAlign w:val="bottom"/>
          </w:tcPr>
          <w:p w:rsidR="008D20F9" w:rsidRPr="001222FC" w:rsidP="008D20F9" w14:paraId="64243ED5" w14:textId="77777777">
            <w:pPr>
              <w:keepNext/>
              <w:keepLines/>
              <w:numPr>
                <w:ilvl w:val="12"/>
                <w:numId w:val="0"/>
              </w:numPr>
              <w:jc w:val="center"/>
              <w:rPr>
                <w:rFonts w:ascii="Arial Narrow" w:hAnsi="Arial Narrow"/>
                <w:b/>
                <w:bCs/>
                <w:sz w:val="20"/>
                <w:szCs w:val="20"/>
              </w:rPr>
            </w:pPr>
          </w:p>
        </w:tc>
        <w:tc>
          <w:tcPr>
            <w:tcW w:w="990" w:type="dxa"/>
            <w:shd w:val="clear" w:color="auto" w:fill="auto"/>
            <w:vAlign w:val="bottom"/>
          </w:tcPr>
          <w:p w:rsidR="008D20F9" w:rsidRPr="001222FC" w:rsidP="008D20F9" w14:paraId="5D8B6345" w14:textId="654E6370">
            <w:pPr>
              <w:keepNext/>
              <w:keepLines/>
              <w:numPr>
                <w:ilvl w:val="12"/>
                <w:numId w:val="0"/>
              </w:numPr>
              <w:jc w:val="center"/>
              <w:rPr>
                <w:rFonts w:ascii="Arial Narrow" w:hAnsi="Arial Narrow"/>
                <w:b/>
                <w:bCs/>
                <w:sz w:val="20"/>
                <w:szCs w:val="20"/>
              </w:rPr>
            </w:pPr>
            <w:r>
              <w:rPr>
                <w:rFonts w:ascii="Arial Narrow" w:hAnsi="Arial Narrow"/>
                <w:b/>
                <w:bCs/>
                <w:sz w:val="20"/>
                <w:szCs w:val="20"/>
              </w:rPr>
              <w:t>210,000</w:t>
            </w:r>
          </w:p>
        </w:tc>
      </w:tr>
      <w:bookmarkEnd w:id="0"/>
    </w:tbl>
    <w:p w:rsidR="000879B0" w:rsidP="006932A9" w14:paraId="39A4DEE1" w14:textId="7CF606FB">
      <w:pPr>
        <w:ind w:left="720"/>
        <w:rPr>
          <w:rFonts w:asciiTheme="minorHAnsi" w:hAnsiTheme="minorHAnsi"/>
          <w:sz w:val="22"/>
          <w:szCs w:val="22"/>
        </w:rPr>
      </w:pPr>
    </w:p>
    <w:p w:rsidR="000879B0" w:rsidP="00341DE3" w14:paraId="6A4998DD" w14:textId="2C272613">
      <w:pPr>
        <w:ind w:left="720"/>
        <w:rPr>
          <w:rFonts w:asciiTheme="minorHAnsi" w:hAnsiTheme="minorHAnsi"/>
          <w:sz w:val="22"/>
          <w:szCs w:val="22"/>
        </w:rPr>
      </w:pPr>
      <w:r w:rsidRPr="0044240A">
        <w:rPr>
          <w:rFonts w:asciiTheme="minorHAnsi" w:hAnsiTheme="minorHAnsi"/>
          <w:sz w:val="22"/>
          <w:szCs w:val="22"/>
        </w:rPr>
        <w:t>The following regulations impose no additional burden. Please continue to assign OMB number 1545-</w:t>
      </w:r>
      <w:r>
        <w:rPr>
          <w:rFonts w:asciiTheme="minorHAnsi" w:hAnsiTheme="minorHAnsi"/>
          <w:sz w:val="22"/>
          <w:szCs w:val="22"/>
        </w:rPr>
        <w:t>NEW</w:t>
      </w:r>
      <w:r w:rsidRPr="0044240A">
        <w:rPr>
          <w:rFonts w:asciiTheme="minorHAnsi" w:hAnsiTheme="minorHAnsi"/>
          <w:sz w:val="22"/>
          <w:szCs w:val="22"/>
        </w:rPr>
        <w:t xml:space="preserve"> to these regulations.</w:t>
      </w:r>
    </w:p>
    <w:p w:rsidR="0044240A" w:rsidP="00341DE3" w14:paraId="2CFD4E43" w14:textId="77777777">
      <w:pPr>
        <w:ind w:left="720"/>
        <w:rPr>
          <w:rFonts w:asciiTheme="minorHAnsi" w:hAnsiTheme="minorHAnsi"/>
          <w:sz w:val="22"/>
          <w:szCs w:val="22"/>
        </w:rPr>
      </w:pPr>
    </w:p>
    <w:p w:rsidR="0044240A" w:rsidP="00341DE3" w14:paraId="5D02E76B" w14:textId="1DE589DB">
      <w:pPr>
        <w:ind w:left="720"/>
        <w:rPr>
          <w:rFonts w:asciiTheme="minorHAnsi" w:hAnsiTheme="minorHAnsi"/>
          <w:sz w:val="22"/>
          <w:szCs w:val="22"/>
        </w:rPr>
      </w:pPr>
      <w:r>
        <w:rPr>
          <w:rFonts w:asciiTheme="minorHAnsi" w:hAnsiTheme="minorHAnsi"/>
          <w:sz w:val="22"/>
          <w:szCs w:val="22"/>
        </w:rPr>
        <w:t>1.48E(h)-1</w:t>
      </w:r>
    </w:p>
    <w:p w:rsidR="0044240A" w:rsidRPr="00341DE3" w:rsidP="00341DE3" w14:paraId="51AEF375"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1B15B49B">
      <w:pPr>
        <w:ind w:left="720"/>
        <w:rPr>
          <w:rFonts w:asciiTheme="minorHAnsi" w:hAnsiTheme="minorHAnsi"/>
          <w:sz w:val="22"/>
          <w:szCs w:val="22"/>
        </w:rPr>
      </w:pPr>
      <w:bookmarkStart w:id="3" w:name="_Hlk115944351"/>
      <w:r>
        <w:rPr>
          <w:rFonts w:asciiTheme="minorHAnsi" w:hAnsiTheme="minorHAnsi"/>
          <w:sz w:val="22"/>
          <w:szCs w:val="22"/>
        </w:rPr>
        <w:t>T</w:t>
      </w:r>
      <w:r w:rsidRPr="00C1588F" w:rsidR="00051BE8">
        <w:rPr>
          <w:rFonts w:asciiTheme="minorHAnsi" w:hAnsiTheme="minorHAnsi"/>
          <w:sz w:val="22"/>
          <w:szCs w:val="22"/>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3"/>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5D07" w:rsidRPr="0040192A" w:rsidP="0040192A" w14:paraId="011A0F43" w14:textId="32AE651C">
      <w:pPr>
        <w:numPr>
          <w:ilvl w:val="12"/>
          <w:numId w:val="0"/>
        </w:numPr>
        <w:ind w:left="630"/>
        <w:rPr>
          <w:rFonts w:asciiTheme="minorHAnsi" w:hAnsiTheme="minorHAnsi" w:cstheme="minorHAnsi"/>
          <w:bCs/>
          <w:sz w:val="22"/>
          <w:szCs w:val="22"/>
        </w:rPr>
      </w:pPr>
      <w:r w:rsidRPr="00F63D72">
        <w:rPr>
          <w:rFonts w:asciiTheme="minorHAnsi" w:hAnsiTheme="minorHAnsi" w:cstheme="minorHAnsi"/>
          <w:bCs/>
          <w:sz w:val="22"/>
          <w:szCs w:val="22"/>
        </w:rPr>
        <w:t xml:space="preserve">IRS has estimated an annualized cost of approximately $2.1 million to develop, deploy, update, and maintain the 48E(h) and 48e portals.  The 48e portal is approved under OMB Control Number 1545-2308.   Therefore, the portion of the government cost for the 48E(h) portal is estimated at $1.05 million. </w:t>
      </w:r>
    </w:p>
    <w:p w:rsidR="0074150F" w:rsidP="0074150F" w14:paraId="2753276C" w14:textId="3C1C2430">
      <w:pPr>
        <w:ind w:left="720"/>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04618D" w:rsidP="00745D07" w14:paraId="1FAC7E7A" w14:textId="124995CB">
      <w:pPr>
        <w:ind w:left="720"/>
        <w:rPr>
          <w:rFonts w:asciiTheme="minorHAnsi" w:hAnsiTheme="minorHAnsi"/>
          <w:sz w:val="22"/>
          <w:szCs w:val="22"/>
        </w:rPr>
      </w:pPr>
      <w:r>
        <w:rPr>
          <w:rFonts w:asciiTheme="minorHAnsi" w:hAnsiTheme="minorHAnsi"/>
          <w:sz w:val="22"/>
          <w:szCs w:val="22"/>
        </w:rPr>
        <w:t>This is a new collection</w:t>
      </w:r>
      <w:r w:rsidR="00AA56D5">
        <w:rPr>
          <w:rFonts w:asciiTheme="minorHAnsi" w:hAnsiTheme="minorHAnsi"/>
          <w:sz w:val="22"/>
          <w:szCs w:val="22"/>
        </w:rPr>
        <w:t xml:space="preserve"> due to enactment of </w:t>
      </w:r>
      <w:r w:rsidRPr="002809B5" w:rsidR="00AA56D5">
        <w:rPr>
          <w:rFonts w:asciiTheme="minorHAnsi" w:hAnsiTheme="minorHAnsi"/>
          <w:sz w:val="22"/>
          <w:szCs w:val="22"/>
        </w:rPr>
        <w:t xml:space="preserve">the </w:t>
      </w:r>
      <w:r w:rsidR="00F622C5">
        <w:rPr>
          <w:rFonts w:asciiTheme="minorHAnsi" w:hAnsiTheme="minorHAnsi"/>
          <w:sz w:val="22"/>
          <w:szCs w:val="22"/>
        </w:rPr>
        <w:t>s</w:t>
      </w:r>
      <w:r w:rsidRPr="002809B5" w:rsidR="00AA56D5">
        <w:rPr>
          <w:rFonts w:asciiTheme="minorHAnsi" w:hAnsiTheme="minorHAnsi"/>
          <w:sz w:val="22"/>
          <w:szCs w:val="22"/>
        </w:rPr>
        <w:t>ection 13</w:t>
      </w:r>
      <w:r w:rsidR="00FC4FC7">
        <w:rPr>
          <w:rFonts w:asciiTheme="minorHAnsi" w:hAnsiTheme="minorHAnsi"/>
          <w:sz w:val="22"/>
          <w:szCs w:val="22"/>
        </w:rPr>
        <w:t>702</w:t>
      </w:r>
      <w:r w:rsidRPr="002809B5" w:rsidR="00AA56D5">
        <w:rPr>
          <w:rFonts w:asciiTheme="minorHAnsi" w:hAnsiTheme="minorHAnsi"/>
          <w:sz w:val="22"/>
          <w:szCs w:val="22"/>
        </w:rPr>
        <w:t xml:space="preserve"> of the Inflation Reduction Act of 2022</w:t>
      </w:r>
      <w:r w:rsidR="00AA56D5">
        <w:rPr>
          <w:rFonts w:asciiTheme="minorHAnsi" w:hAnsiTheme="minorHAnsi"/>
          <w:sz w:val="22"/>
          <w:szCs w:val="22"/>
        </w:rPr>
        <w:t>.</w:t>
      </w:r>
    </w:p>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77777777">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w:t>
      </w:r>
      <w:r w:rsidRPr="0004618D">
        <w:rPr>
          <w:rFonts w:asciiTheme="minorHAnsi" w:hAnsiTheme="minorHAnsi"/>
          <w:sz w:val="22"/>
          <w:szCs w:val="22"/>
        </w:rPr>
        <w:t>analysis</w:t>
      </w:r>
      <w:r w:rsidRPr="0004618D">
        <w:rPr>
          <w:rFonts w:asciiTheme="minorHAnsi" w:hAnsiTheme="minorHAnsi"/>
          <w:sz w:val="22"/>
          <w:szCs w:val="22"/>
        </w:rPr>
        <w:t xml:space="preserve">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003BD6F3">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sidR="0044240A">
        <w:rPr>
          <w:rFonts w:asciiTheme="minorHAnsi" w:hAnsiTheme="minorHAnsi"/>
          <w:sz w:val="22"/>
          <w:szCs w:val="22"/>
        </w:rPr>
        <w:t>regulation</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04618D" w:rsidRPr="00453AD3" w:rsidP="0004618D" w14:paraId="72B92CB8" w14:textId="77777777">
      <w:pPr>
        <w:ind w:left="720"/>
        <w:rPr>
          <w:rFonts w:asciiTheme="minorHAnsi" w:hAnsiTheme="minorHAnsi"/>
          <w:sz w:val="22"/>
          <w:szCs w:val="22"/>
        </w:rPr>
      </w:pPr>
      <w:bookmarkStart w:id="4" w:name="_Hlk95714878"/>
      <w:r w:rsidRPr="00453AD3">
        <w:rPr>
          <w:rFonts w:asciiTheme="minorHAnsi" w:hAnsiTheme="minorHAnsi"/>
          <w:sz w:val="22"/>
          <w:szCs w:val="22"/>
        </w:rPr>
        <w:t>There are no exceptions to the certification statement.</w:t>
      </w:r>
      <w:bookmarkEnd w:id="4"/>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2">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841150">
    <w:abstractNumId w:val="0"/>
  </w:num>
  <w:num w:numId="2" w16cid:durableId="2129355185">
    <w:abstractNumId w:val="3"/>
  </w:num>
  <w:num w:numId="3" w16cid:durableId="17513385">
    <w:abstractNumId w:val="2"/>
  </w:num>
  <w:num w:numId="4" w16cid:durableId="43525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5C2C"/>
    <w:rsid w:val="00041EEB"/>
    <w:rsid w:val="0004618D"/>
    <w:rsid w:val="00051BE8"/>
    <w:rsid w:val="00053B92"/>
    <w:rsid w:val="000719F5"/>
    <w:rsid w:val="00082CF9"/>
    <w:rsid w:val="000879B0"/>
    <w:rsid w:val="000940A2"/>
    <w:rsid w:val="000B2001"/>
    <w:rsid w:val="000B570A"/>
    <w:rsid w:val="000B59DA"/>
    <w:rsid w:val="000C4E47"/>
    <w:rsid w:val="000D5BFC"/>
    <w:rsid w:val="000F6392"/>
    <w:rsid w:val="00113287"/>
    <w:rsid w:val="001222FC"/>
    <w:rsid w:val="00123846"/>
    <w:rsid w:val="00124949"/>
    <w:rsid w:val="00141D87"/>
    <w:rsid w:val="0016324F"/>
    <w:rsid w:val="00176009"/>
    <w:rsid w:val="00183CB4"/>
    <w:rsid w:val="0019792A"/>
    <w:rsid w:val="001B25CF"/>
    <w:rsid w:val="001B7AD5"/>
    <w:rsid w:val="001C38AC"/>
    <w:rsid w:val="001C4602"/>
    <w:rsid w:val="001D23C7"/>
    <w:rsid w:val="001E0395"/>
    <w:rsid w:val="001E73C0"/>
    <w:rsid w:val="001F36ED"/>
    <w:rsid w:val="001F7C7C"/>
    <w:rsid w:val="00223C4D"/>
    <w:rsid w:val="00227874"/>
    <w:rsid w:val="00237BDB"/>
    <w:rsid w:val="00256D21"/>
    <w:rsid w:val="00256FAC"/>
    <w:rsid w:val="00257A4D"/>
    <w:rsid w:val="00262361"/>
    <w:rsid w:val="002809B5"/>
    <w:rsid w:val="00292D8C"/>
    <w:rsid w:val="0029693F"/>
    <w:rsid w:val="00296E02"/>
    <w:rsid w:val="002A62BF"/>
    <w:rsid w:val="002B31C3"/>
    <w:rsid w:val="002C728F"/>
    <w:rsid w:val="002E364E"/>
    <w:rsid w:val="002F40AA"/>
    <w:rsid w:val="002F546E"/>
    <w:rsid w:val="002F77C4"/>
    <w:rsid w:val="00305FFD"/>
    <w:rsid w:val="00311F2D"/>
    <w:rsid w:val="0031431D"/>
    <w:rsid w:val="00324452"/>
    <w:rsid w:val="00334F1C"/>
    <w:rsid w:val="00341DE3"/>
    <w:rsid w:val="00345D9E"/>
    <w:rsid w:val="00352112"/>
    <w:rsid w:val="00372843"/>
    <w:rsid w:val="00390D8D"/>
    <w:rsid w:val="0039174D"/>
    <w:rsid w:val="003A2BF7"/>
    <w:rsid w:val="003B733D"/>
    <w:rsid w:val="003D73A5"/>
    <w:rsid w:val="003E55D5"/>
    <w:rsid w:val="0040070C"/>
    <w:rsid w:val="0040192A"/>
    <w:rsid w:val="00410B3A"/>
    <w:rsid w:val="0041214A"/>
    <w:rsid w:val="00425E59"/>
    <w:rsid w:val="0042764E"/>
    <w:rsid w:val="00433687"/>
    <w:rsid w:val="00440D8E"/>
    <w:rsid w:val="0044240A"/>
    <w:rsid w:val="00445148"/>
    <w:rsid w:val="00453AD3"/>
    <w:rsid w:val="004557D4"/>
    <w:rsid w:val="00456842"/>
    <w:rsid w:val="0046657D"/>
    <w:rsid w:val="00472C75"/>
    <w:rsid w:val="004868E3"/>
    <w:rsid w:val="004A2185"/>
    <w:rsid w:val="004A4F15"/>
    <w:rsid w:val="004B3B32"/>
    <w:rsid w:val="004B6362"/>
    <w:rsid w:val="004D2036"/>
    <w:rsid w:val="004E4F0E"/>
    <w:rsid w:val="005037B5"/>
    <w:rsid w:val="00504F64"/>
    <w:rsid w:val="0050555F"/>
    <w:rsid w:val="00516CA6"/>
    <w:rsid w:val="00522990"/>
    <w:rsid w:val="005363D8"/>
    <w:rsid w:val="00543521"/>
    <w:rsid w:val="00560F94"/>
    <w:rsid w:val="005825FA"/>
    <w:rsid w:val="0058592D"/>
    <w:rsid w:val="00593331"/>
    <w:rsid w:val="005C0F2F"/>
    <w:rsid w:val="005C15F9"/>
    <w:rsid w:val="005D38C5"/>
    <w:rsid w:val="005D7050"/>
    <w:rsid w:val="005E0FD5"/>
    <w:rsid w:val="005E2C71"/>
    <w:rsid w:val="005E4AD5"/>
    <w:rsid w:val="00607A8F"/>
    <w:rsid w:val="00661EFB"/>
    <w:rsid w:val="00666CEC"/>
    <w:rsid w:val="0068184D"/>
    <w:rsid w:val="00681A56"/>
    <w:rsid w:val="00686D3D"/>
    <w:rsid w:val="006877E8"/>
    <w:rsid w:val="006932A9"/>
    <w:rsid w:val="00695111"/>
    <w:rsid w:val="006B1E7E"/>
    <w:rsid w:val="006C4093"/>
    <w:rsid w:val="006D0E10"/>
    <w:rsid w:val="006F2CA4"/>
    <w:rsid w:val="00716811"/>
    <w:rsid w:val="007206CE"/>
    <w:rsid w:val="007407D0"/>
    <w:rsid w:val="007411EA"/>
    <w:rsid w:val="0074150F"/>
    <w:rsid w:val="00745D07"/>
    <w:rsid w:val="007461BD"/>
    <w:rsid w:val="00747FD8"/>
    <w:rsid w:val="00755DC3"/>
    <w:rsid w:val="00756A5F"/>
    <w:rsid w:val="007621A4"/>
    <w:rsid w:val="00764596"/>
    <w:rsid w:val="00766F25"/>
    <w:rsid w:val="007746C0"/>
    <w:rsid w:val="00776278"/>
    <w:rsid w:val="00776C8A"/>
    <w:rsid w:val="00782C74"/>
    <w:rsid w:val="007875D2"/>
    <w:rsid w:val="007A27CA"/>
    <w:rsid w:val="007E1D02"/>
    <w:rsid w:val="007F0E0A"/>
    <w:rsid w:val="007F4314"/>
    <w:rsid w:val="0081477E"/>
    <w:rsid w:val="0084376D"/>
    <w:rsid w:val="00850034"/>
    <w:rsid w:val="00867DF9"/>
    <w:rsid w:val="00877660"/>
    <w:rsid w:val="0088518F"/>
    <w:rsid w:val="00885286"/>
    <w:rsid w:val="008B4598"/>
    <w:rsid w:val="008C6967"/>
    <w:rsid w:val="008C7907"/>
    <w:rsid w:val="008D20F9"/>
    <w:rsid w:val="008E2DFD"/>
    <w:rsid w:val="008E6B0E"/>
    <w:rsid w:val="009000DB"/>
    <w:rsid w:val="00915968"/>
    <w:rsid w:val="00955BFA"/>
    <w:rsid w:val="00973C7D"/>
    <w:rsid w:val="00975387"/>
    <w:rsid w:val="0097596A"/>
    <w:rsid w:val="00977331"/>
    <w:rsid w:val="009814F1"/>
    <w:rsid w:val="009B03D7"/>
    <w:rsid w:val="009F6FD9"/>
    <w:rsid w:val="00A04943"/>
    <w:rsid w:val="00A233BC"/>
    <w:rsid w:val="00A40F76"/>
    <w:rsid w:val="00A809BF"/>
    <w:rsid w:val="00A924E4"/>
    <w:rsid w:val="00AA3AC5"/>
    <w:rsid w:val="00AA56D5"/>
    <w:rsid w:val="00AB16A2"/>
    <w:rsid w:val="00AB4B3B"/>
    <w:rsid w:val="00AC5021"/>
    <w:rsid w:val="00AC6EF2"/>
    <w:rsid w:val="00AF7444"/>
    <w:rsid w:val="00B01014"/>
    <w:rsid w:val="00B136A5"/>
    <w:rsid w:val="00B33CE9"/>
    <w:rsid w:val="00B47C72"/>
    <w:rsid w:val="00B53859"/>
    <w:rsid w:val="00B85C5F"/>
    <w:rsid w:val="00B92190"/>
    <w:rsid w:val="00B92C93"/>
    <w:rsid w:val="00BB0A8F"/>
    <w:rsid w:val="00BC5693"/>
    <w:rsid w:val="00C05B8C"/>
    <w:rsid w:val="00C14006"/>
    <w:rsid w:val="00C1588F"/>
    <w:rsid w:val="00C24300"/>
    <w:rsid w:val="00C307EF"/>
    <w:rsid w:val="00C43BF7"/>
    <w:rsid w:val="00C4655A"/>
    <w:rsid w:val="00C46E34"/>
    <w:rsid w:val="00C52B3C"/>
    <w:rsid w:val="00C55486"/>
    <w:rsid w:val="00C62448"/>
    <w:rsid w:val="00C64821"/>
    <w:rsid w:val="00C65E74"/>
    <w:rsid w:val="00C71877"/>
    <w:rsid w:val="00C72031"/>
    <w:rsid w:val="00C7640B"/>
    <w:rsid w:val="00C80288"/>
    <w:rsid w:val="00CA23AD"/>
    <w:rsid w:val="00CC1512"/>
    <w:rsid w:val="00CD1142"/>
    <w:rsid w:val="00CE69C1"/>
    <w:rsid w:val="00CF29A2"/>
    <w:rsid w:val="00CF428C"/>
    <w:rsid w:val="00D03624"/>
    <w:rsid w:val="00D07D95"/>
    <w:rsid w:val="00D3393B"/>
    <w:rsid w:val="00D37BEF"/>
    <w:rsid w:val="00D41848"/>
    <w:rsid w:val="00D54D00"/>
    <w:rsid w:val="00D7287E"/>
    <w:rsid w:val="00D91940"/>
    <w:rsid w:val="00D92F5B"/>
    <w:rsid w:val="00DC44AF"/>
    <w:rsid w:val="00DF7790"/>
    <w:rsid w:val="00E15038"/>
    <w:rsid w:val="00E20033"/>
    <w:rsid w:val="00E25C5E"/>
    <w:rsid w:val="00E37495"/>
    <w:rsid w:val="00EB36F0"/>
    <w:rsid w:val="00EB6B42"/>
    <w:rsid w:val="00ED1804"/>
    <w:rsid w:val="00EE7A6B"/>
    <w:rsid w:val="00EF4317"/>
    <w:rsid w:val="00F02535"/>
    <w:rsid w:val="00F2462C"/>
    <w:rsid w:val="00F27A1C"/>
    <w:rsid w:val="00F33F29"/>
    <w:rsid w:val="00F34D5E"/>
    <w:rsid w:val="00F43B80"/>
    <w:rsid w:val="00F45BDF"/>
    <w:rsid w:val="00F53301"/>
    <w:rsid w:val="00F57FC0"/>
    <w:rsid w:val="00F60F8E"/>
    <w:rsid w:val="00F622C5"/>
    <w:rsid w:val="00F62E24"/>
    <w:rsid w:val="00F63D72"/>
    <w:rsid w:val="00F70F53"/>
    <w:rsid w:val="00F72C75"/>
    <w:rsid w:val="00F77BD9"/>
    <w:rsid w:val="00FA5A4C"/>
    <w:rsid w:val="00FA664D"/>
    <w:rsid w:val="00FB345A"/>
    <w:rsid w:val="00FB4CFF"/>
    <w:rsid w:val="00FC4FC7"/>
    <w:rsid w:val="00FD0A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unhideWhenUsed/>
    <w:rsid w:val="00A233BC"/>
    <w:rPr>
      <w:sz w:val="20"/>
      <w:szCs w:val="20"/>
    </w:rPr>
  </w:style>
  <w:style w:type="character" w:customStyle="1" w:styleId="CommentTextChar">
    <w:name w:val="Comment Text Char"/>
    <w:basedOn w:val="DefaultParagraphFont"/>
    <w:link w:val="CommentText"/>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character" w:styleId="UnresolvedMention">
    <w:name w:val="Unresolved Mention"/>
    <w:basedOn w:val="DefaultParagraphFont"/>
    <w:uiPriority w:val="99"/>
    <w:semiHidden/>
    <w:unhideWhenUsed/>
    <w:rsid w:val="0042764E"/>
    <w:rPr>
      <w:color w:val="605E5C"/>
      <w:shd w:val="clear" w:color="auto" w:fill="E1DFDD"/>
    </w:rPr>
  </w:style>
  <w:style w:type="paragraph" w:styleId="Revision">
    <w:name w:val="Revision"/>
    <w:hidden/>
    <w:uiPriority w:val="99"/>
    <w:semiHidden/>
    <w:rsid w:val="00BC5693"/>
    <w:rPr>
      <w:sz w:val="24"/>
      <w:szCs w:val="24"/>
    </w:rPr>
  </w:style>
  <w:style w:type="paragraph" w:styleId="ListParagraph">
    <w:name w:val="List Paragraph"/>
    <w:basedOn w:val="Normal"/>
    <w:uiPriority w:val="1"/>
    <w:qFormat/>
    <w:rsid w:val="00F43B80"/>
    <w:pPr>
      <w:adjustRightInd/>
      <w:spacing w:before="22"/>
      <w:ind w:left="820" w:hanging="36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1608</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Stasko Molly J</cp:lastModifiedBy>
  <cp:revision>7</cp:revision>
  <cp:lastPrinted>2005-08-19T16:21:00Z</cp:lastPrinted>
  <dcterms:created xsi:type="dcterms:W3CDTF">2024-12-23T18:00:00Z</dcterms:created>
  <dcterms:modified xsi:type="dcterms:W3CDTF">2025-01-07T18:29:00Z</dcterms:modified>
</cp:coreProperties>
</file>