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5E63" w:rsidRPr="00151B72" w:rsidP="000C1D66" w14:paraId="5E1D898C" w14:textId="72EEAD56">
      <w:pPr>
        <w:spacing w:line="276" w:lineRule="auto"/>
        <w:contextualSpacing/>
        <w:jc w:val="right"/>
        <w:rPr>
          <w:rFonts w:cs="Times New Roman"/>
          <w:b/>
          <w:bCs/>
          <w:sz w:val="28"/>
          <w:szCs w:val="28"/>
        </w:rPr>
      </w:pPr>
      <w:r>
        <w:rPr>
          <w:rFonts w:cs="Times New Roman"/>
          <w:b/>
          <w:bCs/>
          <w:sz w:val="28"/>
          <w:szCs w:val="28"/>
        </w:rPr>
        <w:t>April 22</w:t>
      </w:r>
      <w:r w:rsidRPr="00151B72" w:rsidR="3F2200A6">
        <w:rPr>
          <w:rFonts w:cs="Times New Roman"/>
          <w:b/>
          <w:bCs/>
          <w:sz w:val="28"/>
          <w:szCs w:val="28"/>
        </w:rPr>
        <w:t>, 202</w:t>
      </w:r>
      <w:r>
        <w:rPr>
          <w:rFonts w:cs="Times New Roman"/>
          <w:b/>
          <w:bCs/>
          <w:sz w:val="28"/>
          <w:szCs w:val="28"/>
        </w:rPr>
        <w:t>5</w:t>
      </w:r>
    </w:p>
    <w:p w:rsidR="00635E63" w:rsidRPr="00151B72" w:rsidP="00151B72" w14:paraId="69C01159" w14:textId="12A20CE1">
      <w:pPr>
        <w:spacing w:line="276" w:lineRule="auto"/>
        <w:contextualSpacing/>
        <w:jc w:val="center"/>
        <w:rPr>
          <w:rFonts w:cs="Times New Roman"/>
          <w:b/>
          <w:bCs/>
          <w:sz w:val="32"/>
          <w:szCs w:val="32"/>
        </w:rPr>
      </w:pPr>
      <w:r w:rsidRPr="00151B72">
        <w:rPr>
          <w:rFonts w:cs="Times New Roman"/>
          <w:b/>
          <w:bCs/>
          <w:sz w:val="32"/>
          <w:szCs w:val="32"/>
        </w:rPr>
        <w:t>Supporting Statement for</w:t>
      </w:r>
      <w:r w:rsidRPr="00151B72">
        <w:rPr>
          <w:rFonts w:cs="Times New Roman"/>
          <w:b/>
          <w:bCs/>
          <w:sz w:val="32"/>
          <w:szCs w:val="32"/>
        </w:rPr>
        <w:br/>
        <w:t>Paperwork Reduction Act Submissions</w:t>
      </w:r>
    </w:p>
    <w:p w:rsidR="00635E63" w:rsidRPr="00151B72" w:rsidP="00151B72" w14:paraId="6DD4DBBE" w14:textId="19FEF738">
      <w:pPr>
        <w:spacing w:line="276" w:lineRule="auto"/>
        <w:contextualSpacing/>
        <w:rPr>
          <w:rFonts w:cs="Times New Roman"/>
          <w:b/>
          <w:bCs/>
          <w:sz w:val="28"/>
          <w:szCs w:val="28"/>
        </w:rPr>
      </w:pPr>
    </w:p>
    <w:p w:rsidR="00635E63" w:rsidRPr="00151B72" w:rsidP="00151B72" w14:paraId="655EE819" w14:textId="4BB1BA41">
      <w:pPr>
        <w:spacing w:line="276" w:lineRule="auto"/>
        <w:contextualSpacing/>
        <w:rPr>
          <w:rFonts w:cs="Times New Roman"/>
          <w:b/>
          <w:bCs/>
          <w:sz w:val="28"/>
          <w:szCs w:val="28"/>
        </w:rPr>
      </w:pPr>
      <w:r w:rsidRPr="00151B72">
        <w:rPr>
          <w:rFonts w:cs="Times New Roman"/>
          <w:b/>
          <w:bCs/>
          <w:sz w:val="28"/>
          <w:szCs w:val="28"/>
        </w:rPr>
        <w:t>OMB Control Number:  1660-</w:t>
      </w:r>
      <w:r w:rsidRPr="00151B72" w:rsidR="0057138C">
        <w:rPr>
          <w:rFonts w:cs="Times New Roman"/>
          <w:b/>
          <w:bCs/>
          <w:sz w:val="28"/>
          <w:szCs w:val="28"/>
        </w:rPr>
        <w:t>0105</w:t>
      </w:r>
    </w:p>
    <w:p w:rsidR="00635E63" w:rsidRPr="00151B72" w:rsidP="00151B72" w14:paraId="380664B6" w14:textId="68525FCC">
      <w:pPr>
        <w:spacing w:line="276" w:lineRule="auto"/>
        <w:contextualSpacing/>
        <w:rPr>
          <w:rFonts w:cs="Times New Roman"/>
          <w:b/>
          <w:bCs/>
          <w:sz w:val="28"/>
          <w:szCs w:val="28"/>
        </w:rPr>
      </w:pPr>
    </w:p>
    <w:p w:rsidR="00635E63" w:rsidRPr="00151B72" w:rsidP="00151B72" w14:paraId="3B321277" w14:textId="067773ED">
      <w:pPr>
        <w:spacing w:line="276" w:lineRule="auto"/>
        <w:contextualSpacing/>
        <w:rPr>
          <w:rFonts w:cs="Times New Roman"/>
          <w:b/>
          <w:bCs/>
          <w:sz w:val="28"/>
          <w:szCs w:val="28"/>
        </w:rPr>
      </w:pPr>
      <w:r w:rsidRPr="00151B72">
        <w:rPr>
          <w:rFonts w:cs="Times New Roman"/>
          <w:b/>
          <w:bCs/>
          <w:sz w:val="28"/>
          <w:szCs w:val="28"/>
        </w:rPr>
        <w:t>Title:</w:t>
      </w:r>
      <w:r w:rsidRPr="00151B72" w:rsidR="00BE238B">
        <w:rPr>
          <w:rFonts w:cs="Times New Roman"/>
          <w:b/>
          <w:bCs/>
          <w:sz w:val="28"/>
          <w:szCs w:val="28"/>
        </w:rPr>
        <w:t xml:space="preserve">  </w:t>
      </w:r>
      <w:bookmarkStart w:id="0" w:name="_Hlk169245568"/>
      <w:r w:rsidRPr="00151B72" w:rsidR="007257AF">
        <w:rPr>
          <w:rFonts w:cs="Times New Roman"/>
          <w:b/>
          <w:bCs/>
          <w:sz w:val="28"/>
          <w:szCs w:val="28"/>
        </w:rPr>
        <w:t>National Household Survey on Disaster Preparedness</w:t>
      </w:r>
      <w:bookmarkEnd w:id="0"/>
    </w:p>
    <w:p w:rsidR="00635E63" w:rsidRPr="00151B72" w:rsidP="00151B72" w14:paraId="57212962" w14:textId="2E3D7423">
      <w:pPr>
        <w:spacing w:line="276" w:lineRule="auto"/>
        <w:contextualSpacing/>
        <w:rPr>
          <w:rFonts w:cs="Times New Roman"/>
          <w:b/>
          <w:bCs/>
          <w:sz w:val="28"/>
          <w:szCs w:val="28"/>
        </w:rPr>
      </w:pPr>
    </w:p>
    <w:p w:rsidR="00635E63" w:rsidRPr="00151B72" w:rsidP="00151B72" w14:paraId="069D2CE6" w14:textId="0C35A1D7">
      <w:pPr>
        <w:spacing w:line="276" w:lineRule="auto"/>
        <w:contextualSpacing/>
        <w:rPr>
          <w:rFonts w:cs="Times New Roman"/>
          <w:b/>
          <w:bCs/>
          <w:sz w:val="28"/>
          <w:szCs w:val="28"/>
        </w:rPr>
      </w:pPr>
      <w:r w:rsidRPr="00151B72">
        <w:rPr>
          <w:rFonts w:cs="Times New Roman"/>
          <w:b/>
          <w:bCs/>
          <w:sz w:val="28"/>
          <w:szCs w:val="28"/>
        </w:rPr>
        <w:t>Form Number(s):</w:t>
      </w:r>
    </w:p>
    <w:p w:rsidR="00BE238B" w:rsidRPr="00151B72" w:rsidP="00151B72" w14:paraId="008E7B78" w14:textId="44F26D2D">
      <w:pPr>
        <w:pStyle w:val="ListParagraph"/>
        <w:numPr>
          <w:ilvl w:val="0"/>
          <w:numId w:val="5"/>
        </w:numPr>
        <w:spacing w:line="276" w:lineRule="auto"/>
        <w:rPr>
          <w:rFonts w:cs="Times New Roman"/>
          <w:b/>
          <w:bCs/>
          <w:szCs w:val="24"/>
        </w:rPr>
      </w:pPr>
      <w:r w:rsidRPr="00151B72">
        <w:rPr>
          <w:rFonts w:cs="Times New Roman"/>
          <w:b/>
          <w:bCs/>
          <w:szCs w:val="24"/>
        </w:rPr>
        <w:t>FEMA Form FF-</w:t>
      </w:r>
      <w:r w:rsidRPr="00151B72" w:rsidR="00D30EF6">
        <w:rPr>
          <w:rFonts w:cs="Times New Roman"/>
          <w:b/>
          <w:bCs/>
          <w:szCs w:val="24"/>
        </w:rPr>
        <w:t>008</w:t>
      </w:r>
      <w:r w:rsidRPr="00151B72">
        <w:rPr>
          <w:rFonts w:cs="Times New Roman"/>
          <w:b/>
          <w:bCs/>
          <w:szCs w:val="24"/>
        </w:rPr>
        <w:t>-FY-</w:t>
      </w:r>
      <w:r w:rsidRPr="00151B72" w:rsidR="00D30EF6">
        <w:rPr>
          <w:rFonts w:cs="Times New Roman"/>
          <w:b/>
          <w:bCs/>
          <w:szCs w:val="24"/>
        </w:rPr>
        <w:t>21</w:t>
      </w:r>
      <w:r w:rsidRPr="00151B72">
        <w:rPr>
          <w:rFonts w:cs="Times New Roman"/>
          <w:b/>
          <w:bCs/>
          <w:szCs w:val="24"/>
        </w:rPr>
        <w:t>-</w:t>
      </w:r>
      <w:r w:rsidRPr="00151B72" w:rsidR="00D30EF6">
        <w:rPr>
          <w:rFonts w:cs="Times New Roman"/>
          <w:b/>
          <w:bCs/>
          <w:szCs w:val="24"/>
        </w:rPr>
        <w:t>103</w:t>
      </w:r>
      <w:r w:rsidR="00243551">
        <w:rPr>
          <w:rFonts w:cs="Times New Roman"/>
          <w:b/>
          <w:bCs/>
          <w:szCs w:val="24"/>
        </w:rPr>
        <w:t xml:space="preserve"> (formerly 008-0-15)</w:t>
      </w:r>
      <w:r w:rsidRPr="00151B72">
        <w:rPr>
          <w:rFonts w:cs="Times New Roman"/>
          <w:b/>
          <w:bCs/>
          <w:szCs w:val="24"/>
        </w:rPr>
        <w:t xml:space="preserve">, </w:t>
      </w:r>
      <w:r w:rsidRPr="00151B72" w:rsidR="00A83FB9">
        <w:rPr>
          <w:rFonts w:cs="Times New Roman"/>
          <w:b/>
          <w:bCs/>
          <w:szCs w:val="24"/>
        </w:rPr>
        <w:t>National Household Survey on Disaster Preparedness (</w:t>
      </w:r>
      <w:r w:rsidRPr="00151B72" w:rsidR="003B6964">
        <w:rPr>
          <w:rFonts w:cs="Times New Roman"/>
          <w:b/>
          <w:bCs/>
          <w:szCs w:val="24"/>
        </w:rPr>
        <w:t>Telephone</w:t>
      </w:r>
      <w:r w:rsidRPr="00151B72" w:rsidR="00A83FB9">
        <w:rPr>
          <w:rFonts w:cs="Times New Roman"/>
          <w:b/>
          <w:bCs/>
          <w:szCs w:val="24"/>
        </w:rPr>
        <w:t>)</w:t>
      </w:r>
      <w:r w:rsidRPr="00151B72">
        <w:rPr>
          <w:rFonts w:cs="Times New Roman"/>
          <w:b/>
          <w:bCs/>
          <w:szCs w:val="24"/>
        </w:rPr>
        <w:t>;</w:t>
      </w:r>
    </w:p>
    <w:p w:rsidR="00BE238B" w:rsidRPr="00151B72" w:rsidP="00151B72" w14:paraId="3A37A523" w14:textId="0B32F918">
      <w:pPr>
        <w:pStyle w:val="ListParagraph"/>
        <w:numPr>
          <w:ilvl w:val="0"/>
          <w:numId w:val="5"/>
        </w:numPr>
        <w:spacing w:line="276" w:lineRule="auto"/>
        <w:rPr>
          <w:rFonts w:cs="Times New Roman"/>
          <w:b/>
          <w:bCs/>
          <w:szCs w:val="24"/>
        </w:rPr>
      </w:pPr>
      <w:r w:rsidRPr="00151B72">
        <w:rPr>
          <w:rFonts w:cs="Times New Roman"/>
          <w:b/>
          <w:bCs/>
          <w:szCs w:val="24"/>
        </w:rPr>
        <w:t>FEMA Form FF-</w:t>
      </w:r>
      <w:r w:rsidRPr="00151B72" w:rsidR="00D30EF6">
        <w:rPr>
          <w:rFonts w:cs="Times New Roman"/>
          <w:b/>
          <w:bCs/>
          <w:szCs w:val="24"/>
        </w:rPr>
        <w:t>008</w:t>
      </w:r>
      <w:r w:rsidRPr="00151B72">
        <w:rPr>
          <w:rFonts w:cs="Times New Roman"/>
          <w:b/>
          <w:bCs/>
          <w:szCs w:val="24"/>
        </w:rPr>
        <w:t>-FY-</w:t>
      </w:r>
      <w:r w:rsidRPr="00151B72" w:rsidR="00D30EF6">
        <w:rPr>
          <w:rFonts w:cs="Times New Roman"/>
          <w:b/>
          <w:bCs/>
          <w:szCs w:val="24"/>
        </w:rPr>
        <w:t>21</w:t>
      </w:r>
      <w:r w:rsidRPr="00151B72">
        <w:rPr>
          <w:rFonts w:cs="Times New Roman"/>
          <w:b/>
          <w:bCs/>
          <w:szCs w:val="24"/>
        </w:rPr>
        <w:t>-</w:t>
      </w:r>
      <w:r w:rsidRPr="00151B72" w:rsidR="00D30EF6">
        <w:rPr>
          <w:rFonts w:cs="Times New Roman"/>
          <w:b/>
          <w:bCs/>
          <w:szCs w:val="24"/>
        </w:rPr>
        <w:t>104</w:t>
      </w:r>
      <w:r w:rsidRPr="00151B72">
        <w:rPr>
          <w:rFonts w:cs="Times New Roman"/>
          <w:b/>
          <w:bCs/>
          <w:szCs w:val="24"/>
        </w:rPr>
        <w:t xml:space="preserve">, </w:t>
      </w:r>
      <w:r w:rsidRPr="00151B72" w:rsidR="00A83FB9">
        <w:rPr>
          <w:rFonts w:cs="Times New Roman"/>
          <w:b/>
          <w:bCs/>
          <w:szCs w:val="24"/>
        </w:rPr>
        <w:t>National Household Survey on Disaster Preparedness (</w:t>
      </w:r>
      <w:r w:rsidRPr="00151B72" w:rsidR="00E01F14">
        <w:rPr>
          <w:rFonts w:cs="Times New Roman"/>
          <w:b/>
          <w:bCs/>
          <w:szCs w:val="24"/>
        </w:rPr>
        <w:t>Web</w:t>
      </w:r>
      <w:r w:rsidRPr="00151B72" w:rsidR="00A83FB9">
        <w:rPr>
          <w:rFonts w:cs="Times New Roman"/>
          <w:b/>
          <w:bCs/>
          <w:szCs w:val="24"/>
        </w:rPr>
        <w:t>)</w:t>
      </w:r>
    </w:p>
    <w:p w:rsidR="00635E63" w:rsidRPr="00151B72" w:rsidP="00151B72" w14:paraId="10BF2149" w14:textId="0F6CAC3D">
      <w:pPr>
        <w:spacing w:line="276" w:lineRule="auto"/>
        <w:contextualSpacing/>
        <w:rPr>
          <w:rFonts w:cs="Times New Roman"/>
          <w:b/>
          <w:bCs/>
          <w:sz w:val="28"/>
          <w:szCs w:val="28"/>
        </w:rPr>
      </w:pPr>
    </w:p>
    <w:p w:rsidR="00635E63" w:rsidRPr="00151B72" w:rsidP="00151B72" w14:paraId="571854E9" w14:textId="2C66384A">
      <w:pPr>
        <w:spacing w:line="276" w:lineRule="auto"/>
        <w:contextualSpacing/>
        <w:rPr>
          <w:rFonts w:cs="Times New Roman"/>
          <w:b/>
          <w:bCs/>
          <w:sz w:val="28"/>
          <w:szCs w:val="28"/>
        </w:rPr>
      </w:pPr>
      <w:r w:rsidRPr="00151B72">
        <w:rPr>
          <w:rFonts w:cs="Times New Roman"/>
          <w:b/>
          <w:bCs/>
          <w:sz w:val="28"/>
          <w:szCs w:val="28"/>
        </w:rPr>
        <w:t>General Instructions</w:t>
      </w:r>
    </w:p>
    <w:p w:rsidR="00635E63" w:rsidRPr="00151B72" w:rsidP="00151B72" w14:paraId="688A3A8F" w14:textId="19F56B53">
      <w:pPr>
        <w:spacing w:line="276" w:lineRule="auto"/>
        <w:contextualSpacing/>
        <w:rPr>
          <w:rFonts w:cs="Times New Roman"/>
        </w:rPr>
      </w:pPr>
    </w:p>
    <w:p w:rsidR="00635E63" w:rsidRPr="00151B72" w:rsidP="00151B72" w14:paraId="77230DCA" w14:textId="3D8AD666">
      <w:pPr>
        <w:spacing w:line="276" w:lineRule="auto"/>
        <w:contextualSpacing/>
        <w:rPr>
          <w:rFonts w:cs="Times New Roman"/>
        </w:rPr>
      </w:pPr>
      <w:r w:rsidRPr="00151B72">
        <w:rPr>
          <w:rFonts w:cs="Times New Roman"/>
        </w:rPr>
        <w:t>A Supporting Statement, including the text of the notice to the public required by 5 CFR 1320.5(a)(</w:t>
      </w:r>
      <w:r w:rsidRPr="00151B72" w:rsidR="006F4198">
        <w:rPr>
          <w:rFonts w:cs="Times New Roman"/>
        </w:rPr>
        <w:t>1</w:t>
      </w:r>
      <w:r w:rsidRPr="00151B72">
        <w:rPr>
          <w:rFonts w:cs="Times New Roman"/>
        </w:rPr>
        <w:t>)(iv) and its actual or estimated date of publication in the Federal Register, must accompany ea</w:t>
      </w:r>
      <w:r w:rsidR="00C12606">
        <w:rPr>
          <w:rFonts w:cs="Times New Roman"/>
        </w:rPr>
        <w:t>ch</w:t>
      </w:r>
      <w:r w:rsidRPr="00151B72">
        <w:rPr>
          <w:rFonts w:cs="Times New Roman"/>
        </w:rPr>
        <w:t xml:space="preserve">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151B72" w:rsidP="00151B72" w14:paraId="253F6323" w14:textId="0BCB0631">
      <w:pPr>
        <w:spacing w:line="276" w:lineRule="auto"/>
        <w:contextualSpacing/>
        <w:rPr>
          <w:rFonts w:cs="Times New Roman"/>
        </w:rPr>
      </w:pPr>
    </w:p>
    <w:p w:rsidR="00635E63" w:rsidRPr="00151B72" w:rsidP="00151B72" w14:paraId="06B94A10" w14:textId="056F07B5">
      <w:pPr>
        <w:spacing w:line="276" w:lineRule="auto"/>
        <w:contextualSpacing/>
        <w:rPr>
          <w:rFonts w:cs="Times New Roman"/>
          <w:b/>
          <w:bCs/>
          <w:sz w:val="28"/>
          <w:szCs w:val="28"/>
        </w:rPr>
      </w:pPr>
      <w:r w:rsidRPr="00151B72">
        <w:rPr>
          <w:rFonts w:cs="Times New Roman"/>
          <w:b/>
          <w:bCs/>
          <w:sz w:val="28"/>
          <w:szCs w:val="28"/>
        </w:rPr>
        <w:t>Specific Instructions</w:t>
      </w:r>
    </w:p>
    <w:p w:rsidR="00635E63" w:rsidRPr="00151B72" w:rsidP="00151B72" w14:paraId="09AC5D79" w14:textId="77777777">
      <w:pPr>
        <w:spacing w:line="276" w:lineRule="auto"/>
        <w:contextualSpacing/>
        <w:rPr>
          <w:rFonts w:cs="Times New Roman"/>
        </w:rPr>
      </w:pPr>
    </w:p>
    <w:p w:rsidR="00635E63" w:rsidRPr="00151B72" w:rsidP="00151B72" w14:paraId="174C5989" w14:textId="4D9F4667">
      <w:pPr>
        <w:spacing w:line="276" w:lineRule="auto"/>
        <w:contextualSpacing/>
        <w:rPr>
          <w:rFonts w:cs="Times New Roman"/>
          <w:b/>
          <w:bCs/>
        </w:rPr>
      </w:pPr>
      <w:r w:rsidRPr="00151B72">
        <w:rPr>
          <w:rFonts w:cs="Times New Roman"/>
          <w:b/>
          <w:bCs/>
        </w:rPr>
        <w:t>A.  Justification</w:t>
      </w:r>
    </w:p>
    <w:p w:rsidR="00635E63" w:rsidRPr="00151B72" w:rsidP="00151B72" w14:paraId="6E72C0CF" w14:textId="11FD7BC5">
      <w:pPr>
        <w:spacing w:line="276" w:lineRule="auto"/>
        <w:contextualSpacing/>
        <w:rPr>
          <w:rFonts w:cs="Times New Roman"/>
        </w:rPr>
      </w:pPr>
    </w:p>
    <w:p w:rsidR="00635E63" w:rsidRPr="00151B72" w:rsidP="00151B72" w14:paraId="4481E81E" w14:textId="47574CF9">
      <w:pPr>
        <w:pStyle w:val="ListParagraph"/>
        <w:numPr>
          <w:ilvl w:val="0"/>
          <w:numId w:val="6"/>
        </w:numPr>
        <w:spacing w:line="276" w:lineRule="auto"/>
        <w:rPr>
          <w:rFonts w:cs="Times New Roman"/>
          <w:b/>
          <w:bCs/>
        </w:rPr>
      </w:pPr>
      <w:r w:rsidRPr="00151B72">
        <w:rPr>
          <w:rFonts w:cs="Times New Roman"/>
          <w:b/>
          <w:bCs/>
        </w:rPr>
        <w:t>Explain the circumstances that make the collection of information necessary.  Identify any legal or administrative requirements that necessitate the collection.  Attach a copy of the appropriate section of ea</w:t>
      </w:r>
      <w:r w:rsidRPr="00151B72" w:rsidR="00B17A38">
        <w:rPr>
          <w:rFonts w:cs="Times New Roman"/>
          <w:b/>
          <w:bCs/>
        </w:rPr>
        <w:t>ch statute and regulation mandating or authorizing the collection of information.  Provide a detailed description of the nature and source of the information to be collected.</w:t>
      </w:r>
    </w:p>
    <w:p w:rsidR="008330E0" w:rsidRPr="00151B72" w:rsidP="000C1D66" w14:paraId="33EA2674" w14:textId="77777777">
      <w:pPr>
        <w:spacing w:line="276" w:lineRule="auto"/>
        <w:contextualSpacing/>
        <w:rPr>
          <w:rFonts w:cs="Times New Roman"/>
          <w:b/>
          <w:bCs/>
        </w:rPr>
      </w:pPr>
    </w:p>
    <w:p w:rsidR="00DD3A09" w:rsidRPr="00151B72" w:rsidP="000C1D66" w14:paraId="69EBA46F" w14:textId="124FE83D">
      <w:pPr>
        <w:tabs>
          <w:tab w:val="left" w:pos="-720"/>
        </w:tabs>
        <w:suppressAutoHyphens/>
        <w:spacing w:line="276" w:lineRule="auto"/>
        <w:contextualSpacing/>
        <w:rPr>
          <w:rFonts w:cs="Times New Roman"/>
        </w:rPr>
      </w:pPr>
      <w:r w:rsidRPr="00151B72">
        <w:rPr>
          <w:rFonts w:cs="Times New Roman"/>
        </w:rPr>
        <w:t xml:space="preserve">The </w:t>
      </w:r>
      <w:r w:rsidRPr="00151B72" w:rsidR="00EC09DF">
        <w:rPr>
          <w:rStyle w:val="ui-provider"/>
          <w:rFonts w:cs="Times New Roman"/>
        </w:rPr>
        <w:t xml:space="preserve">Robert T. Stafford Disaster Relief and Emergency Assistance Act (Stafford Act) (Pub. L. 93-288, as amended) </w:t>
      </w:r>
      <w:r w:rsidRPr="00151B72">
        <w:rPr>
          <w:rFonts w:cs="Times New Roman"/>
        </w:rPr>
        <w:t xml:space="preserve">(42 U.S.C. §§5195-5195(a)) identifies the purpose of emergency preparedness “for the protection of life and property in the United States from hazards.” It directs </w:t>
      </w:r>
      <w:r w:rsidRPr="00151B72">
        <w:rPr>
          <w:rFonts w:cs="Times New Roman"/>
        </w:rPr>
        <w:t xml:space="preserve">that the Federal Government “provide necessary direction, coordination, and guidance” as authorized for a comprehensive emergency preparedness system for all hazards. Emergency preparedness is defined as all “activities and measures designed or undertaken to prepare or minimize the effects of a hazard upon the civilian population…” The “conduct of research” is among the measures to be undertaken in preparation for hazards. </w:t>
      </w:r>
    </w:p>
    <w:p w:rsidR="00DD3A09" w:rsidRPr="00151B72" w:rsidP="000C1D66" w14:paraId="10101ACE" w14:textId="77777777">
      <w:pPr>
        <w:tabs>
          <w:tab w:val="left" w:pos="-720"/>
        </w:tabs>
        <w:suppressAutoHyphens/>
        <w:spacing w:line="276" w:lineRule="auto"/>
        <w:contextualSpacing/>
        <w:rPr>
          <w:rFonts w:cs="Times New Roman"/>
        </w:rPr>
      </w:pPr>
    </w:p>
    <w:p w:rsidR="000029B4" w:rsidRPr="00151B72" w:rsidP="000C1D66" w14:paraId="2D121C70" w14:textId="1D64C3AD">
      <w:pPr>
        <w:spacing w:after="120" w:line="276" w:lineRule="auto"/>
        <w:contextualSpacing/>
        <w:rPr>
          <w:rFonts w:cs="Times New Roman"/>
        </w:rPr>
      </w:pPr>
      <w:r w:rsidRPr="00151B72">
        <w:rPr>
          <w:rFonts w:cs="Times New Roman"/>
        </w:rPr>
        <w:t>The Department of Homeland Security (DHS) Strategic Plan 2020-2024 includes Goal 5 to “strengthen preparedness and resiliency.” The first objective (5.1) of this goal is to “build a national culture of preparedness” with a sub-objective to “improve awareness initiatives to encourage public action to increase preparedness.</w:t>
      </w:r>
      <w:r w:rsidRPr="00151B72">
        <w:rPr>
          <w:rStyle w:val="FootnoteReference"/>
          <w:rFonts w:cs="Times New Roman"/>
        </w:rPr>
        <w:t xml:space="preserve"> </w:t>
      </w:r>
      <w:r w:rsidRPr="00151B72">
        <w:rPr>
          <w:rFonts w:cs="Times New Roman"/>
        </w:rPr>
        <w:t xml:space="preserve">Similarly, in the Federal Emergency Management Agency’s (FEMA) 2022-2026 Strategic Plan, </w:t>
      </w:r>
      <w:r w:rsidRPr="00151B72" w:rsidR="00317500">
        <w:rPr>
          <w:rFonts w:cs="Times New Roman"/>
        </w:rPr>
        <w:t xml:space="preserve">Goal 3 is to “promote and sustain a ready FEMA and prepared nation.” </w:t>
      </w:r>
    </w:p>
    <w:p w:rsidR="00F664EE" w:rsidRPr="00151B72" w:rsidP="000C1D66" w14:paraId="4B7A5BAE" w14:textId="77777777">
      <w:pPr>
        <w:tabs>
          <w:tab w:val="left" w:pos="-720"/>
        </w:tabs>
        <w:suppressAutoHyphens/>
        <w:spacing w:line="276" w:lineRule="auto"/>
        <w:contextualSpacing/>
        <w:rPr>
          <w:rFonts w:cs="Times New Roman"/>
        </w:rPr>
      </w:pPr>
    </w:p>
    <w:p w:rsidR="00F664EE" w:rsidRPr="00151B72" w:rsidP="000C1D66" w14:paraId="301C0B69" w14:textId="77777777">
      <w:pPr>
        <w:tabs>
          <w:tab w:val="left" w:pos="-720"/>
        </w:tabs>
        <w:suppressAutoHyphens/>
        <w:spacing w:line="276" w:lineRule="auto"/>
        <w:contextualSpacing/>
        <w:rPr>
          <w:rFonts w:cs="Times New Roman"/>
        </w:rPr>
      </w:pPr>
      <w:r w:rsidRPr="00151B72">
        <w:rPr>
          <w:rFonts w:cs="Times New Roman"/>
        </w:rPr>
        <w:t xml:space="preserve">Presidential Policy Directive-8 (PPD-8) directs the Secretary of Homeland Security to “coordinate a comprehensive campaign to build and sustain national preparedness, including public outreach and community-based and private sector programs to enhance national resilience, the provision of Federal financial assistance, preparedness efforts by the Federal Government, and national research and development efforts.” </w:t>
      </w:r>
    </w:p>
    <w:p w:rsidR="00F664EE" w:rsidRPr="00151B72" w:rsidP="000C1D66" w14:paraId="3EEE95E2" w14:textId="77777777">
      <w:pPr>
        <w:tabs>
          <w:tab w:val="left" w:pos="-720"/>
        </w:tabs>
        <w:suppressAutoHyphens/>
        <w:spacing w:line="276" w:lineRule="auto"/>
        <w:contextualSpacing/>
        <w:rPr>
          <w:rFonts w:cs="Times New Roman"/>
        </w:rPr>
      </w:pPr>
    </w:p>
    <w:p w:rsidR="00F664EE" w:rsidRPr="00151B72" w:rsidP="000C1D66" w14:paraId="61F8D7AA" w14:textId="2A64BAF6">
      <w:pPr>
        <w:pStyle w:val="Pa14"/>
        <w:spacing w:after="40" w:line="276" w:lineRule="auto"/>
        <w:contextualSpacing/>
      </w:pPr>
      <w:r w:rsidRPr="00151B72">
        <w:t>The Post Katrina Emergency Management Reform Act</w:t>
      </w:r>
      <w:r w:rsidRPr="00151B72" w:rsidR="00502103">
        <w:t xml:space="preserve"> (PKEMRA)</w:t>
      </w:r>
      <w:r w:rsidRPr="00151B72" w:rsidR="00282FFB">
        <w:t xml:space="preserve"> (Pub. L. 109-295) (</w:t>
      </w:r>
      <w:r w:rsidRPr="00151B72">
        <w:t>6 U.S.C. §749</w:t>
      </w:r>
      <w:r w:rsidRPr="00151B72">
        <w:rPr>
          <w:rStyle w:val="A2"/>
          <w:sz w:val="24"/>
          <w:szCs w:val="24"/>
        </w:rPr>
        <w:t>(a)</w:t>
      </w:r>
      <w:r w:rsidRPr="00151B72" w:rsidR="00282FFB">
        <w:rPr>
          <w:rStyle w:val="A2"/>
          <w:sz w:val="24"/>
          <w:szCs w:val="24"/>
        </w:rPr>
        <w:t>)</w:t>
      </w:r>
      <w:r w:rsidRPr="00151B72">
        <w:rPr>
          <w:rStyle w:val="A2"/>
          <w:sz w:val="24"/>
          <w:szCs w:val="24"/>
        </w:rPr>
        <w:t xml:space="preserve"> requires the FEMA Administrator, in coordination with the National Council on Disability and the National Advisory Council, to establish a comprehensive system to assess, on an ongoing basis, the Nation’s prevention capabilities and overall preparedness, including operational readiness.</w:t>
      </w:r>
    </w:p>
    <w:p w:rsidR="00F664EE" w:rsidRPr="00151B72" w:rsidP="000C1D66" w14:paraId="2276896C" w14:textId="77777777">
      <w:pPr>
        <w:tabs>
          <w:tab w:val="left" w:pos="-720"/>
        </w:tabs>
        <w:suppressAutoHyphens/>
        <w:spacing w:line="276" w:lineRule="auto"/>
        <w:contextualSpacing/>
        <w:rPr>
          <w:rFonts w:cs="Times New Roman"/>
        </w:rPr>
      </w:pPr>
    </w:p>
    <w:p w:rsidR="00174B16" w:rsidRPr="00151B72" w:rsidP="000C1D66" w14:paraId="105207A0" w14:textId="1593B5F2">
      <w:pPr>
        <w:pStyle w:val="Pa14"/>
        <w:spacing w:after="40" w:line="276" w:lineRule="auto"/>
        <w:contextualSpacing/>
      </w:pPr>
      <w:r w:rsidRPr="00151B72">
        <w:t>In response to the charge to FEMA, and to the DHS and FEMA strategic priorities, FEMA manages programs to improve the public’s knowledge and actions for preparedness and resilience. Information from this collection will be used to track changes in knowledge, attitudes, and behaviors related to preparedness in the general public.</w:t>
      </w:r>
      <w:r w:rsidRPr="00151B72" w:rsidR="005E7976">
        <w:t xml:space="preserve"> This information collection will be in the form of a public opinion survey administered to </w:t>
      </w:r>
      <w:r w:rsidRPr="00151B72" w:rsidR="001266AA">
        <w:t xml:space="preserve">a sample of </w:t>
      </w:r>
      <w:r w:rsidRPr="00151B72" w:rsidR="004359E7">
        <w:t>American adults</w:t>
      </w:r>
      <w:r w:rsidRPr="00151B72" w:rsidR="00143406">
        <w:t xml:space="preserve"> across the nation. </w:t>
      </w:r>
      <w:r w:rsidRPr="00151B72" w:rsidR="00AE3239">
        <w:t xml:space="preserve">The </w:t>
      </w:r>
      <w:r w:rsidRPr="00151B72" w:rsidR="000E349B">
        <w:t xml:space="preserve">nature of the information collected will focus on people’s attitudes, </w:t>
      </w:r>
      <w:r w:rsidRPr="00151B72" w:rsidR="009B7E96">
        <w:t>behaviors, and motivations related to disaster preparedness and disaster risk.</w:t>
      </w:r>
    </w:p>
    <w:p w:rsidR="00174B16" w:rsidRPr="00151B72" w:rsidP="00151B72" w14:paraId="04943CA5" w14:textId="77777777">
      <w:pPr>
        <w:spacing w:line="276" w:lineRule="auto"/>
        <w:contextualSpacing/>
        <w:rPr>
          <w:rFonts w:cs="Times New Roman"/>
        </w:rPr>
      </w:pPr>
    </w:p>
    <w:p w:rsidR="00B17A38" w:rsidRPr="00151B72" w:rsidP="00151B72" w14:paraId="7B30CBB0" w14:textId="051EB1FE">
      <w:pPr>
        <w:pStyle w:val="ListParagraph"/>
        <w:numPr>
          <w:ilvl w:val="0"/>
          <w:numId w:val="6"/>
        </w:numPr>
        <w:spacing w:line="276" w:lineRule="auto"/>
        <w:rPr>
          <w:rFonts w:cs="Times New Roman"/>
          <w:b/>
          <w:bCs/>
        </w:rPr>
      </w:pPr>
      <w:r w:rsidRPr="00151B72">
        <w:rPr>
          <w:rFonts w:cs="Times New Roman"/>
          <w:b/>
          <w:bCs/>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5B0476" w:rsidRPr="00151B72" w:rsidP="000C1D66" w14:paraId="19602144" w14:textId="77777777">
      <w:pPr>
        <w:pStyle w:val="NormalWeb"/>
        <w:spacing w:line="276" w:lineRule="auto"/>
        <w:contextualSpacing/>
      </w:pPr>
    </w:p>
    <w:p w:rsidR="00041C7C" w:rsidRPr="00151B72" w:rsidP="000C1D66" w14:paraId="4DFA1855" w14:textId="06F42AFB">
      <w:pPr>
        <w:pStyle w:val="NormalWeb"/>
        <w:spacing w:line="276" w:lineRule="auto"/>
        <w:contextualSpacing/>
      </w:pPr>
      <w:r w:rsidRPr="00151B72">
        <w:t xml:space="preserve">The Individual and Community Preparedness Division analyzes and uses data collected in the two versions of the National Household Survey on Disaster Preparedness, FEMA Form </w:t>
      </w:r>
      <w:r w:rsidRPr="00151B72" w:rsidR="000F490D">
        <w:t>FF-</w:t>
      </w:r>
      <w:r w:rsidRPr="00151B72">
        <w:t xml:space="preserve">008-FY-21-103 </w:t>
      </w:r>
      <w:r w:rsidR="00943FD8">
        <w:t xml:space="preserve">(formerly 08-0-15) </w:t>
      </w:r>
      <w:r w:rsidRPr="00151B72">
        <w:t xml:space="preserve">(Telephone) and FEMA Form </w:t>
      </w:r>
      <w:r w:rsidRPr="00151B72" w:rsidR="000F490D">
        <w:t>FF-</w:t>
      </w:r>
      <w:r w:rsidRPr="00151B72">
        <w:t xml:space="preserve">008-FY-21-104 (Web), to identify progress and gaps in individual and community preparedness </w:t>
      </w:r>
      <w:r w:rsidRPr="00151B72" w:rsidR="00257D2A">
        <w:t xml:space="preserve">and </w:t>
      </w:r>
      <w:r w:rsidRPr="00151B72">
        <w:t xml:space="preserve">to better understand the </w:t>
      </w:r>
      <w:r w:rsidRPr="00151B72" w:rsidR="000561CF">
        <w:t xml:space="preserve">motivational factors </w:t>
      </w:r>
      <w:r w:rsidRPr="00151B72">
        <w:t>and barriers to preparedness</w:t>
      </w:r>
      <w:r w:rsidRPr="00151B72" w:rsidR="001F2C47">
        <w:t xml:space="preserve"> that people face</w:t>
      </w:r>
      <w:r w:rsidRPr="00151B72">
        <w:t xml:space="preserve">. The survey measures the public’s knowledge, attitudes, and behaviors relative to preparing for </w:t>
      </w:r>
      <w:r w:rsidRPr="00151B72" w:rsidR="001F2C47">
        <w:t>disasters</w:t>
      </w:r>
      <w:r w:rsidRPr="00151B72">
        <w:t xml:space="preserve">. This information is used by the Individual and Community Preparedness Division and FEMA components to tailor messaging and public information efforts, community outreach, and strategic planning initiatives to more effectively improve the state of individual preparedness and participation across the country. </w:t>
      </w:r>
      <w:r w:rsidRPr="00151B72" w:rsidR="00C21808">
        <w:t>The findings are compiled in a report that is circulated internally to DHS and FEMA officials as well as made available to the public on the FEMA website, OpenFEMA (</w:t>
      </w:r>
      <w:hyperlink r:id="rId9" w:history="1">
        <w:r w:rsidRPr="00151B72" w:rsidR="00C21808">
          <w:rPr>
            <w:rStyle w:val="Hyperlink"/>
          </w:rPr>
          <w:t>https://www.fema.gov/about/openfema/data-sets/national-household-survey</w:t>
        </w:r>
      </w:hyperlink>
      <w:r w:rsidRPr="00151B72" w:rsidR="00C21808">
        <w:t>).</w:t>
      </w:r>
    </w:p>
    <w:p w:rsidR="005B0476" w:rsidRPr="00151B72" w:rsidP="000C1D66" w14:paraId="6B56871A" w14:textId="77777777">
      <w:pPr>
        <w:pStyle w:val="NormalWeb"/>
        <w:spacing w:line="276" w:lineRule="auto"/>
        <w:contextualSpacing/>
      </w:pPr>
    </w:p>
    <w:p w:rsidR="00AE510D" w:rsidP="0063058F" w14:paraId="3EE0AA49" w14:textId="7B46EF48">
      <w:pPr>
        <w:pStyle w:val="NormalWeb"/>
        <w:spacing w:line="276" w:lineRule="auto"/>
        <w:contextualSpacing/>
      </w:pPr>
      <w:r w:rsidRPr="00151B72">
        <w:t xml:space="preserve">In the past, this information has been used to provide information to each of the FEMA regions and identified jurisdictions to develop targeted strategies for educating the public in their respective areas of responsibility. </w:t>
      </w:r>
      <w:r w:rsidRPr="00151B72" w:rsidR="00041C7C">
        <w:t xml:space="preserve">Selected data and trends </w:t>
      </w:r>
      <w:r w:rsidRPr="00151B72" w:rsidR="00BC7C17">
        <w:t xml:space="preserve">have </w:t>
      </w:r>
      <w:r w:rsidRPr="00151B72" w:rsidR="00041C7C">
        <w:t xml:space="preserve">also </w:t>
      </w:r>
      <w:r w:rsidRPr="00151B72" w:rsidR="00BC7C17">
        <w:t xml:space="preserve">been </w:t>
      </w:r>
      <w:r w:rsidRPr="00151B72" w:rsidR="00041C7C">
        <w:t>used for strategic plan</w:t>
      </w:r>
      <w:r w:rsidRPr="00151B72" w:rsidR="00FD253C">
        <w:t>ning and performance</w:t>
      </w:r>
      <w:r w:rsidRPr="00151B72" w:rsidR="00041C7C">
        <w:t xml:space="preserve"> metrics for DHS and FEMA</w:t>
      </w:r>
      <w:r w:rsidRPr="00151B72">
        <w:t xml:space="preserve">. Data from this survey </w:t>
      </w:r>
      <w:r w:rsidRPr="00151B72" w:rsidR="00B93A93">
        <w:t>has been</w:t>
      </w:r>
      <w:r w:rsidRPr="00151B72">
        <w:t xml:space="preserve"> used </w:t>
      </w:r>
      <w:r w:rsidRPr="00151B72" w:rsidR="00704C40">
        <w:t>for</w:t>
      </w:r>
      <w:r w:rsidRPr="00151B72" w:rsidR="00151AA0">
        <w:t xml:space="preserve"> a </w:t>
      </w:r>
      <w:r w:rsidRPr="00151B72">
        <w:t>Government Performance and Results Act (GPRA) metric collected by FEMA to track the nation’s preparedness</w:t>
      </w:r>
      <w:r w:rsidRPr="00151B72" w:rsidR="00151AA0">
        <w:t xml:space="preserve">: </w:t>
      </w:r>
      <w:r w:rsidRPr="00151B72">
        <w:t>“percent of adults that took multiple preparedness actions at their workplace, school, home, or other community location in the past year.”</w:t>
      </w:r>
      <w:r w:rsidRPr="00151B72" w:rsidR="00731F76">
        <w:t xml:space="preserve"> Most recently, the </w:t>
      </w:r>
      <w:r w:rsidRPr="00151B72" w:rsidR="003B4CEA">
        <w:t xml:space="preserve">survey results </w:t>
      </w:r>
      <w:r w:rsidRPr="00151B72" w:rsidR="00D3463C">
        <w:t>informed</w:t>
      </w:r>
      <w:r w:rsidRPr="00151B72" w:rsidR="003B4CEA">
        <w:t xml:space="preserve"> the selection of FEMA’s National Preparedness Month theme in order to address a major gap in </w:t>
      </w:r>
      <w:r w:rsidRPr="00151B72" w:rsidR="00F76BAA">
        <w:t xml:space="preserve">individual preparedness for a demographic community demonstrated by the </w:t>
      </w:r>
      <w:r w:rsidRPr="00151B72" w:rsidR="004A3330">
        <w:t>data.</w:t>
      </w:r>
    </w:p>
    <w:p w:rsidR="00B17A38" w:rsidRPr="00151B72" w:rsidP="0063058F" w14:paraId="4B55D978" w14:textId="6AE50FA0">
      <w:pPr>
        <w:pStyle w:val="ListParagraph"/>
        <w:numPr>
          <w:ilvl w:val="0"/>
          <w:numId w:val="6"/>
        </w:numPr>
        <w:spacing w:line="276" w:lineRule="auto"/>
        <w:rPr>
          <w:rFonts w:cs="Times New Roman"/>
          <w:b/>
          <w:bCs/>
        </w:rPr>
      </w:pPr>
      <w:r w:rsidRPr="00151B72">
        <w:rPr>
          <w:rFonts w:cs="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B0476" w:rsidRPr="00151B72" w:rsidP="0063058F" w14:paraId="7714E155" w14:textId="77777777">
      <w:pPr>
        <w:spacing w:line="276" w:lineRule="auto"/>
        <w:contextualSpacing/>
        <w:rPr>
          <w:rFonts w:cs="Times New Roman"/>
        </w:rPr>
      </w:pPr>
    </w:p>
    <w:p w:rsidR="0003449D" w:rsidRPr="00151B72" w:rsidP="000C1D66" w14:paraId="4935FECA" w14:textId="50C597C0">
      <w:pPr>
        <w:spacing w:line="276" w:lineRule="auto"/>
        <w:contextualSpacing/>
        <w:rPr>
          <w:rFonts w:cs="Times New Roman"/>
        </w:rPr>
      </w:pPr>
      <w:r w:rsidRPr="00151B72">
        <w:rPr>
          <w:rFonts w:cs="Times New Roman"/>
        </w:rPr>
        <w:t xml:space="preserve">Usability Testing has been conducted on this collection.  As result, an increase of </w:t>
      </w:r>
      <w:r w:rsidRPr="00151B72" w:rsidR="001352B2">
        <w:rPr>
          <w:rFonts w:cs="Times New Roman"/>
        </w:rPr>
        <w:t>3</w:t>
      </w:r>
      <w:r w:rsidR="007C1C6A">
        <w:rPr>
          <w:rFonts w:cs="Times New Roman"/>
        </w:rPr>
        <w:t>2</w:t>
      </w:r>
      <w:r w:rsidRPr="00151B72" w:rsidR="001352B2">
        <w:rPr>
          <w:rFonts w:cs="Times New Roman"/>
        </w:rPr>
        <w:t xml:space="preserve"> </w:t>
      </w:r>
      <w:r w:rsidRPr="00151B72">
        <w:rPr>
          <w:rFonts w:cs="Times New Roman"/>
        </w:rPr>
        <w:t>hours has been recognized and included as an update to the collection.</w:t>
      </w:r>
    </w:p>
    <w:p w:rsidR="00174B16" w:rsidRPr="00151B72" w:rsidP="0063058F" w14:paraId="0076DC10" w14:textId="77777777">
      <w:pPr>
        <w:spacing w:line="276" w:lineRule="auto"/>
        <w:contextualSpacing/>
        <w:rPr>
          <w:rFonts w:cs="Times New Roman"/>
        </w:rPr>
      </w:pPr>
    </w:p>
    <w:p w:rsidR="00B25543" w:rsidRPr="00151B72" w:rsidP="000C1D66" w14:paraId="2DACD052" w14:textId="20595413">
      <w:pPr>
        <w:spacing w:line="276" w:lineRule="auto"/>
        <w:contextualSpacing/>
        <w:rPr>
          <w:rFonts w:cs="Times New Roman"/>
        </w:rPr>
      </w:pPr>
      <w:r w:rsidRPr="00151B72">
        <w:rPr>
          <w:rFonts w:cs="Times New Roman"/>
        </w:rPr>
        <w:t xml:space="preserve">All information is collected via electronic means </w:t>
      </w:r>
      <w:r w:rsidRPr="00151B72" w:rsidR="008356AE">
        <w:rPr>
          <w:rFonts w:cs="Times New Roman"/>
        </w:rPr>
        <w:t xml:space="preserve">using </w:t>
      </w:r>
      <w:r w:rsidRPr="00151B72">
        <w:rPr>
          <w:rFonts w:cs="Times New Roman"/>
        </w:rPr>
        <w:t xml:space="preserve">web-based </w:t>
      </w:r>
      <w:r w:rsidRPr="00151B72" w:rsidR="0015090C">
        <w:rPr>
          <w:rFonts w:cs="Times New Roman"/>
        </w:rPr>
        <w:t xml:space="preserve">surveys </w:t>
      </w:r>
      <w:r w:rsidRPr="00151B72" w:rsidR="00DA66A2">
        <w:rPr>
          <w:rFonts w:cs="Times New Roman"/>
        </w:rPr>
        <w:t>(</w:t>
      </w:r>
      <w:r w:rsidRPr="00151B72" w:rsidR="0015090C">
        <w:rPr>
          <w:rFonts w:cs="Times New Roman"/>
        </w:rPr>
        <w:t xml:space="preserve">or </w:t>
      </w:r>
      <w:r w:rsidRPr="00151B72" w:rsidR="00DA66A2">
        <w:rPr>
          <w:rFonts w:cs="Times New Roman"/>
        </w:rPr>
        <w:t xml:space="preserve">if needed, </w:t>
      </w:r>
      <w:r w:rsidRPr="00151B72" w:rsidR="0015090C">
        <w:rPr>
          <w:rFonts w:cs="Times New Roman"/>
        </w:rPr>
        <w:t xml:space="preserve">via </w:t>
      </w:r>
      <w:r w:rsidRPr="00151B72" w:rsidR="0088585A">
        <w:rPr>
          <w:rFonts w:cs="Times New Roman"/>
        </w:rPr>
        <w:t xml:space="preserve">a </w:t>
      </w:r>
      <w:r w:rsidRPr="00151B72" w:rsidR="0015090C">
        <w:rPr>
          <w:rFonts w:cs="Times New Roman"/>
        </w:rPr>
        <w:t>computer-assisted telephone interviewing (CATI) s</w:t>
      </w:r>
      <w:r w:rsidRPr="00151B72" w:rsidR="0088585A">
        <w:rPr>
          <w:rFonts w:cs="Times New Roman"/>
        </w:rPr>
        <w:t>ystem</w:t>
      </w:r>
      <w:r w:rsidRPr="00151B72" w:rsidR="00DA66A2">
        <w:rPr>
          <w:rFonts w:cs="Times New Roman"/>
        </w:rPr>
        <w:t>)</w:t>
      </w:r>
      <w:r w:rsidRPr="00151B72">
        <w:rPr>
          <w:rFonts w:cs="Times New Roman"/>
        </w:rPr>
        <w:t xml:space="preserve">. </w:t>
      </w:r>
      <w:r w:rsidRPr="00151B72" w:rsidR="006E779A">
        <w:rPr>
          <w:rFonts w:cs="Times New Roman"/>
        </w:rPr>
        <w:t xml:space="preserve">For the web-based surveys, </w:t>
      </w:r>
      <w:r w:rsidRPr="00151B72">
        <w:rPr>
          <w:rFonts w:cs="Times New Roman"/>
        </w:rPr>
        <w:t xml:space="preserve">information is </w:t>
      </w:r>
      <w:r w:rsidRPr="00151B72" w:rsidR="00A30F5A">
        <w:rPr>
          <w:rFonts w:cs="Times New Roman"/>
        </w:rPr>
        <w:t>captured through people’s electronic devices (computers, tablets, mobile phones, etc.)</w:t>
      </w:r>
      <w:r w:rsidRPr="00151B72" w:rsidR="0088585A">
        <w:rPr>
          <w:rFonts w:cs="Times New Roman"/>
        </w:rPr>
        <w:t>. N</w:t>
      </w:r>
      <w:r w:rsidRPr="00151B72">
        <w:rPr>
          <w:rFonts w:cs="Times New Roman"/>
        </w:rPr>
        <w:t xml:space="preserve">o </w:t>
      </w:r>
      <w:r w:rsidRPr="00151B72" w:rsidR="0088585A">
        <w:rPr>
          <w:rFonts w:cs="Times New Roman"/>
        </w:rPr>
        <w:t>information is collected, recorded, or</w:t>
      </w:r>
      <w:r w:rsidRPr="00151B72">
        <w:rPr>
          <w:rFonts w:cs="Times New Roman"/>
        </w:rPr>
        <w:t xml:space="preserve"> submitted on paper. </w:t>
      </w:r>
      <w:r w:rsidRPr="00151B72" w:rsidR="00EF136C">
        <w:rPr>
          <w:rFonts w:cs="Times New Roman"/>
        </w:rPr>
        <w:t>W</w:t>
      </w:r>
      <w:r w:rsidRPr="00151B72">
        <w:rPr>
          <w:rFonts w:cs="Times New Roman"/>
        </w:rPr>
        <w:t>eb-based surveys are used in order to minimize time and effort to survey participants, and to streamline the administration of the survey.</w:t>
      </w:r>
    </w:p>
    <w:p w:rsidR="00B25543" w:rsidRPr="00151B72" w:rsidP="00151B72" w14:paraId="4CB8A99C" w14:textId="77777777">
      <w:pPr>
        <w:spacing w:line="276" w:lineRule="auto"/>
        <w:contextualSpacing/>
        <w:rPr>
          <w:rFonts w:cs="Times New Roman"/>
        </w:rPr>
      </w:pPr>
    </w:p>
    <w:p w:rsidR="00B17A38" w:rsidRPr="00151B72" w:rsidP="00151B72" w14:paraId="227356E5" w14:textId="6D77778D">
      <w:pPr>
        <w:pStyle w:val="ListParagraph"/>
        <w:numPr>
          <w:ilvl w:val="0"/>
          <w:numId w:val="6"/>
        </w:numPr>
        <w:spacing w:line="276" w:lineRule="auto"/>
        <w:rPr>
          <w:rFonts w:cs="Times New Roman"/>
          <w:b/>
          <w:bCs/>
        </w:rPr>
      </w:pPr>
      <w:r w:rsidRPr="00151B72">
        <w:rPr>
          <w:rFonts w:cs="Times New Roman"/>
          <w:b/>
          <w:bCs/>
        </w:rPr>
        <w:t>Describe efforts to identify duplication.  Show specifically why any similar information already available cannot be used or modified for use for the purposes described in Item 2 above.</w:t>
      </w:r>
    </w:p>
    <w:p w:rsidR="00174B16" w:rsidRPr="00151B72" w:rsidP="00151B72" w14:paraId="4F67FD38" w14:textId="7566B609">
      <w:pPr>
        <w:spacing w:line="276" w:lineRule="auto"/>
        <w:contextualSpacing/>
        <w:rPr>
          <w:rFonts w:cs="Times New Roman"/>
        </w:rPr>
      </w:pPr>
    </w:p>
    <w:p w:rsidR="00174B16" w:rsidRPr="00151B72" w:rsidP="000C1D66" w14:paraId="0062778D" w14:textId="0A180354">
      <w:pPr>
        <w:spacing w:line="276" w:lineRule="auto"/>
        <w:contextualSpacing/>
        <w:rPr>
          <w:rFonts w:cs="Times New Roman"/>
        </w:rPr>
      </w:pPr>
      <w:r w:rsidRPr="00151B72">
        <w:rPr>
          <w:rFonts w:cs="Times New Roman"/>
        </w:rPr>
        <w:t xml:space="preserve">Comparable data are not currently being collected. This is one of very few surveys administered by the Federal Government to collect information on disaster preparedness. Other surveys related to preparedness in the United States do not include adequate information on individual attitudes, knowledge and behaviors </w:t>
      </w:r>
      <w:r w:rsidRPr="00151B72" w:rsidR="007A456F">
        <w:rPr>
          <w:rFonts w:cs="Times New Roman"/>
        </w:rPr>
        <w:t>related to disaster preparedness</w:t>
      </w:r>
      <w:r w:rsidRPr="00151B72">
        <w:rPr>
          <w:rFonts w:cs="Times New Roman"/>
        </w:rPr>
        <w:t xml:space="preserve"> and/or are outdated or don’t include trending data. The National Household Survey on Disaster Preparedness is also dissimilar to other existing surveys in that it is more comprehensive. Lastly, the survey is unique in that it provides a continuous source of consistent information that is tracked for progress trending over many years (from 2007 until the present) and provides sufficient data to inform work at national,</w:t>
      </w:r>
      <w:r w:rsidRPr="00151B72" w:rsidR="00475EF9">
        <w:rPr>
          <w:rFonts w:cs="Times New Roman"/>
        </w:rPr>
        <w:t xml:space="preserve"> regional, and</w:t>
      </w:r>
      <w:r w:rsidRPr="00151B72">
        <w:rPr>
          <w:rFonts w:cs="Times New Roman"/>
        </w:rPr>
        <w:t xml:space="preserve"> community levels.</w:t>
      </w:r>
    </w:p>
    <w:p w:rsidR="00174B16" w:rsidRPr="00151B72" w:rsidP="00151B72" w14:paraId="43E619C5" w14:textId="77777777">
      <w:pPr>
        <w:spacing w:line="276" w:lineRule="auto"/>
        <w:contextualSpacing/>
        <w:rPr>
          <w:rFonts w:cs="Times New Roman"/>
        </w:rPr>
      </w:pPr>
    </w:p>
    <w:p w:rsidR="00071B16" w:rsidRPr="00151B72" w:rsidP="00151B72" w14:paraId="6213927A" w14:textId="2C3D86C5">
      <w:pPr>
        <w:pStyle w:val="ListParagraph"/>
        <w:numPr>
          <w:ilvl w:val="0"/>
          <w:numId w:val="6"/>
        </w:numPr>
        <w:spacing w:line="276" w:lineRule="auto"/>
        <w:rPr>
          <w:rFonts w:cs="Times New Roman"/>
          <w:b/>
          <w:bCs/>
        </w:rPr>
      </w:pPr>
      <w:r w:rsidRPr="00151B72">
        <w:rPr>
          <w:rFonts w:cs="Times New Roman"/>
          <w:b/>
          <w:bCs/>
        </w:rPr>
        <w:t>If the collection of information impacts businesses or other small entities (Item 5 of OMB Form 83-I), describe any methods used to minimize.</w:t>
      </w:r>
    </w:p>
    <w:p w:rsidR="00A14D86" w:rsidRPr="000C1D66" w:rsidP="00151B72" w14:paraId="40557E7E" w14:textId="77777777">
      <w:pPr>
        <w:spacing w:line="276" w:lineRule="auto"/>
        <w:contextualSpacing/>
        <w:rPr>
          <w:rFonts w:cs="Times New Roman"/>
          <w:i/>
          <w:iCs/>
          <w:color w:val="000000" w:themeColor="text1"/>
          <w:szCs w:val="24"/>
        </w:rPr>
      </w:pPr>
    </w:p>
    <w:p w:rsidR="00A14D86" w:rsidRPr="00151B72" w:rsidP="000C1D66" w14:paraId="27625E63" w14:textId="536BAA55">
      <w:pPr>
        <w:tabs>
          <w:tab w:val="left" w:pos="360"/>
        </w:tabs>
        <w:spacing w:line="276" w:lineRule="auto"/>
        <w:contextualSpacing/>
        <w:rPr>
          <w:rFonts w:cs="Times New Roman"/>
        </w:rPr>
      </w:pPr>
      <w:r w:rsidRPr="00151B72">
        <w:rPr>
          <w:rFonts w:cs="Times New Roman"/>
        </w:rPr>
        <w:t xml:space="preserve">This collection </w:t>
      </w:r>
      <w:r w:rsidRPr="00151B72" w:rsidR="00BB4945">
        <w:rPr>
          <w:rFonts w:cs="Times New Roman"/>
        </w:rPr>
        <w:t xml:space="preserve">of information </w:t>
      </w:r>
      <w:r w:rsidRPr="00151B72">
        <w:rPr>
          <w:rFonts w:cs="Times New Roman"/>
        </w:rPr>
        <w:t>does not impact small businesses or other small entities</w:t>
      </w:r>
      <w:r w:rsidR="00D1083E">
        <w:rPr>
          <w:rFonts w:cs="Times New Roman"/>
        </w:rPr>
        <w:t>, as all respondents are individuals and households</w:t>
      </w:r>
      <w:r w:rsidRPr="00151B72">
        <w:rPr>
          <w:rFonts w:cs="Times New Roman"/>
        </w:rPr>
        <w:t>.</w:t>
      </w:r>
    </w:p>
    <w:p w:rsidR="00174B16" w:rsidRPr="00151B72" w:rsidP="00151B72" w14:paraId="6D8541E3" w14:textId="77777777">
      <w:pPr>
        <w:spacing w:line="276" w:lineRule="auto"/>
        <w:contextualSpacing/>
        <w:rPr>
          <w:rFonts w:cs="Times New Roman"/>
        </w:rPr>
      </w:pPr>
    </w:p>
    <w:p w:rsidR="00071B16" w:rsidRPr="00151B72" w:rsidP="00151B72" w14:paraId="0F58FF4C" w14:textId="5E690DCF">
      <w:pPr>
        <w:pStyle w:val="ListParagraph"/>
        <w:numPr>
          <w:ilvl w:val="0"/>
          <w:numId w:val="6"/>
        </w:numPr>
        <w:spacing w:line="276" w:lineRule="auto"/>
        <w:rPr>
          <w:rFonts w:cs="Times New Roman"/>
          <w:b/>
          <w:bCs/>
        </w:rPr>
      </w:pPr>
      <w:r w:rsidRPr="00151B72">
        <w:rPr>
          <w:rFonts w:cs="Times New Roman"/>
          <w:b/>
          <w:bCs/>
        </w:rPr>
        <w:t>Describe the consequence to Federal/FEMA program or policy activities if the collection of information is not conducted, or is conducted less frequently as well as any technical or legal obstacles to reducing burden.</w:t>
      </w:r>
    </w:p>
    <w:p w:rsidR="00174B16" w:rsidRPr="00151B72" w:rsidP="00151B72" w14:paraId="7F724467" w14:textId="10250D35">
      <w:pPr>
        <w:spacing w:line="276" w:lineRule="auto"/>
        <w:contextualSpacing/>
        <w:rPr>
          <w:rFonts w:cs="Times New Roman"/>
        </w:rPr>
      </w:pPr>
    </w:p>
    <w:p w:rsidR="00174B16" w:rsidRPr="00151B72" w:rsidP="000C1D66" w14:paraId="78786837" w14:textId="022A8000">
      <w:pPr>
        <w:spacing w:line="276" w:lineRule="auto"/>
        <w:contextualSpacing/>
        <w:rPr>
          <w:rFonts w:cs="Times New Roman"/>
        </w:rPr>
      </w:pPr>
      <w:r w:rsidRPr="00151B72">
        <w:rPr>
          <w:rFonts w:cs="Times New Roman"/>
        </w:rPr>
        <w:t>Relevant FEMA programs and policies will not include or be based on the most current preparedness information, and the metrics for key strategic areas will be unavailable unless this survey is administered regularly with tracking maintained. As a result, these programs and policies will lack an inclusive approach, that is also evidence-based and comprehensive, to achieve their respective missions.</w:t>
      </w:r>
    </w:p>
    <w:p w:rsidR="00174B16" w:rsidRPr="00151B72" w:rsidP="00151B72" w14:paraId="2D901C8B" w14:textId="77777777">
      <w:pPr>
        <w:spacing w:line="276" w:lineRule="auto"/>
        <w:contextualSpacing/>
        <w:rPr>
          <w:rFonts w:cs="Times New Roman"/>
        </w:rPr>
      </w:pPr>
    </w:p>
    <w:p w:rsidR="00071B16" w:rsidRPr="00151B72" w:rsidP="00151B72" w14:paraId="245DF4BF" w14:textId="1973C391">
      <w:pPr>
        <w:pStyle w:val="ListParagraph"/>
        <w:numPr>
          <w:ilvl w:val="0"/>
          <w:numId w:val="6"/>
        </w:numPr>
        <w:spacing w:line="276" w:lineRule="auto"/>
        <w:rPr>
          <w:rFonts w:cs="Times New Roman"/>
          <w:b/>
          <w:bCs/>
        </w:rPr>
      </w:pPr>
      <w:r w:rsidRPr="00151B72">
        <w:rPr>
          <w:rFonts w:cs="Times New Roman"/>
          <w:b/>
          <w:bCs/>
        </w:rPr>
        <w:t>Explain any special circumstances that would cause an information collection to be conducted in a manner</w:t>
      </w:r>
      <w:r w:rsidRPr="00151B72" w:rsidR="00DF3547">
        <w:rPr>
          <w:rFonts w:cs="Times New Roman"/>
          <w:b/>
          <w:bCs/>
        </w:rPr>
        <w:t xml:space="preserve"> (</w:t>
      </w:r>
      <w:r w:rsidRPr="00151B72" w:rsidR="00DF3547">
        <w:rPr>
          <w:rFonts w:cs="Times New Roman"/>
          <w:b/>
          <w:bCs/>
          <w:i/>
          <w:iCs/>
        </w:rPr>
        <w:t>See</w:t>
      </w:r>
      <w:r w:rsidRPr="00151B72" w:rsidR="00DF3547">
        <w:rPr>
          <w:rFonts w:cs="Times New Roman"/>
          <w:b/>
          <w:bCs/>
        </w:rPr>
        <w:t xml:space="preserve"> 5 CFR 1320.5(d)(2))</w:t>
      </w:r>
      <w:r w:rsidRPr="00151B72">
        <w:rPr>
          <w:rFonts w:cs="Times New Roman"/>
          <w:b/>
          <w:bCs/>
        </w:rPr>
        <w:t>:</w:t>
      </w:r>
    </w:p>
    <w:p w:rsidR="00174B16" w:rsidRPr="00151B72" w:rsidP="00151B72" w14:paraId="01B1ACD0" w14:textId="77777777">
      <w:pPr>
        <w:spacing w:line="276" w:lineRule="auto"/>
        <w:contextualSpacing/>
        <w:rPr>
          <w:rFonts w:cs="Times New Roman"/>
        </w:rPr>
      </w:pPr>
    </w:p>
    <w:p w:rsidR="00071B16" w:rsidRPr="00151B72" w:rsidP="00151B72" w14:paraId="17ECAC91" w14:textId="0CA3C462">
      <w:pPr>
        <w:pStyle w:val="ListParagraph"/>
        <w:numPr>
          <w:ilvl w:val="1"/>
          <w:numId w:val="6"/>
        </w:numPr>
        <w:spacing w:line="276" w:lineRule="auto"/>
        <w:rPr>
          <w:rFonts w:cs="Times New Roman"/>
          <w:b/>
          <w:bCs/>
        </w:rPr>
      </w:pPr>
      <w:r w:rsidRPr="00151B72">
        <w:rPr>
          <w:rFonts w:cs="Times New Roman"/>
          <w:b/>
          <w:bCs/>
        </w:rPr>
        <w:t>Requiring respondents to report information to the agency more often than quarterly.</w:t>
      </w:r>
    </w:p>
    <w:p w:rsidR="00174B16" w:rsidRPr="00151B72" w:rsidP="00151B72" w14:paraId="03C4E808" w14:textId="1F2FC453">
      <w:pPr>
        <w:spacing w:line="276" w:lineRule="auto"/>
        <w:contextualSpacing/>
        <w:rPr>
          <w:rFonts w:cs="Times New Roman"/>
        </w:rPr>
      </w:pPr>
    </w:p>
    <w:p w:rsidR="00143D6F" w:rsidRPr="00151B72" w:rsidP="000C1D66" w14:paraId="236C12BE" w14:textId="367DAE6C">
      <w:pPr>
        <w:spacing w:line="276" w:lineRule="auto"/>
        <w:contextualSpacing/>
        <w:rPr>
          <w:rFonts w:cs="Times New Roman"/>
          <w:szCs w:val="24"/>
        </w:rPr>
      </w:pPr>
      <w:r w:rsidRPr="00151B72">
        <w:rPr>
          <w:rFonts w:cs="Times New Roman"/>
          <w:szCs w:val="24"/>
        </w:rPr>
        <w:t>This information collection does not require respondents to report information more than quarterly.</w:t>
      </w:r>
    </w:p>
    <w:p w:rsidR="00174B16" w:rsidRPr="00151B72" w:rsidP="00151B72" w14:paraId="7DB9B284" w14:textId="77777777">
      <w:pPr>
        <w:spacing w:line="276" w:lineRule="auto"/>
        <w:contextualSpacing/>
        <w:rPr>
          <w:rFonts w:cs="Times New Roman"/>
        </w:rPr>
      </w:pPr>
    </w:p>
    <w:p w:rsidR="00071B16" w:rsidRPr="00151B72" w:rsidP="00151B72" w14:paraId="7FDB1D55" w14:textId="7054E43D">
      <w:pPr>
        <w:pStyle w:val="ListParagraph"/>
        <w:numPr>
          <w:ilvl w:val="1"/>
          <w:numId w:val="6"/>
        </w:numPr>
        <w:spacing w:line="276" w:lineRule="auto"/>
        <w:rPr>
          <w:rFonts w:cs="Times New Roman"/>
          <w:b/>
          <w:bCs/>
        </w:rPr>
      </w:pPr>
      <w:r w:rsidRPr="00151B72">
        <w:rPr>
          <w:rFonts w:cs="Times New Roman"/>
          <w:b/>
          <w:bCs/>
        </w:rPr>
        <w:t>Requiring respondents to prepare a written response to a collection of information in fewer than 30 days after receipt of it.</w:t>
      </w:r>
    </w:p>
    <w:p w:rsidR="00174B16" w:rsidRPr="00151B72" w:rsidP="00151B72" w14:paraId="712FD6DC" w14:textId="3D704EA9">
      <w:pPr>
        <w:spacing w:line="276" w:lineRule="auto"/>
        <w:contextualSpacing/>
        <w:rPr>
          <w:rFonts w:cs="Times New Roman"/>
        </w:rPr>
      </w:pPr>
    </w:p>
    <w:p w:rsidR="00174B16" w:rsidRPr="00151B72" w:rsidP="000C1D66" w14:paraId="18866BC9" w14:textId="48DDB16E">
      <w:pPr>
        <w:spacing w:line="276" w:lineRule="auto"/>
        <w:contextualSpacing/>
        <w:rPr>
          <w:rFonts w:cs="Times New Roman"/>
        </w:rPr>
      </w:pPr>
      <w:bookmarkStart w:id="1" w:name="_Hlk162256596"/>
      <w:r w:rsidRPr="00151B72">
        <w:rPr>
          <w:rFonts w:cs="Times New Roman"/>
          <w:szCs w:val="24"/>
        </w:rPr>
        <w:t>This information collection does not require respondents to prepare a written response in fewer than 30 days after receipt of it.</w:t>
      </w:r>
      <w:bookmarkEnd w:id="1"/>
    </w:p>
    <w:p w:rsidR="00174B16" w:rsidRPr="00151B72" w:rsidP="00151B72" w14:paraId="2B73E381" w14:textId="77777777">
      <w:pPr>
        <w:spacing w:line="276" w:lineRule="auto"/>
        <w:contextualSpacing/>
        <w:rPr>
          <w:rFonts w:cs="Times New Roman"/>
        </w:rPr>
      </w:pPr>
    </w:p>
    <w:p w:rsidR="00071B16" w:rsidRPr="00151B72" w:rsidP="00151B72" w14:paraId="72D4D044" w14:textId="5802742D">
      <w:pPr>
        <w:pStyle w:val="ListParagraph"/>
        <w:numPr>
          <w:ilvl w:val="1"/>
          <w:numId w:val="6"/>
        </w:numPr>
        <w:spacing w:line="276" w:lineRule="auto"/>
        <w:rPr>
          <w:rFonts w:cs="Times New Roman"/>
          <w:b/>
          <w:bCs/>
        </w:rPr>
      </w:pPr>
      <w:r w:rsidRPr="00151B72">
        <w:rPr>
          <w:rFonts w:cs="Times New Roman"/>
          <w:b/>
          <w:bCs/>
        </w:rPr>
        <w:t>Requiring respondents to submit more than an original and two copies of any document.</w:t>
      </w:r>
    </w:p>
    <w:p w:rsidR="00174B16" w:rsidRPr="00151B72" w:rsidP="00151B72" w14:paraId="4452524E" w14:textId="47E4E224">
      <w:pPr>
        <w:spacing w:line="276" w:lineRule="auto"/>
        <w:contextualSpacing/>
        <w:rPr>
          <w:rFonts w:cs="Times New Roman"/>
        </w:rPr>
      </w:pPr>
    </w:p>
    <w:p w:rsidR="00963BFB" w:rsidRPr="00151B72" w:rsidP="000C1D66" w14:paraId="2F5650D3" w14:textId="406D7380">
      <w:pPr>
        <w:spacing w:line="276" w:lineRule="auto"/>
        <w:contextualSpacing/>
        <w:rPr>
          <w:rFonts w:cs="Times New Roman"/>
        </w:rPr>
      </w:pPr>
      <w:r w:rsidRPr="00151B72">
        <w:rPr>
          <w:rFonts w:cs="Times New Roman"/>
        </w:rPr>
        <w:t>This information collection does not require respondents to submit more than an original and two copies of any document.</w:t>
      </w:r>
    </w:p>
    <w:p w:rsidR="00174B16" w:rsidRPr="00151B72" w:rsidP="00151B72" w14:paraId="2035FF59" w14:textId="77777777">
      <w:pPr>
        <w:spacing w:line="276" w:lineRule="auto"/>
        <w:contextualSpacing/>
        <w:rPr>
          <w:rFonts w:cs="Times New Roman"/>
        </w:rPr>
      </w:pPr>
    </w:p>
    <w:p w:rsidR="00071B16" w:rsidRPr="00151B72" w:rsidP="00151B72" w14:paraId="7102A920" w14:textId="17EB98D1">
      <w:pPr>
        <w:pStyle w:val="ListParagraph"/>
        <w:numPr>
          <w:ilvl w:val="1"/>
          <w:numId w:val="6"/>
        </w:numPr>
        <w:spacing w:line="276" w:lineRule="auto"/>
        <w:rPr>
          <w:rFonts w:cs="Times New Roman"/>
          <w:b/>
          <w:bCs/>
        </w:rPr>
      </w:pPr>
      <w:r w:rsidRPr="00151B72">
        <w:rPr>
          <w:rFonts w:cs="Times New Roman"/>
          <w:b/>
          <w:bCs/>
        </w:rPr>
        <w:t>Requiring respondents to retain records, other than health, medical, government contract, grant-in-aid, or tax records for more than three years.</w:t>
      </w:r>
    </w:p>
    <w:p w:rsidR="00174B16" w:rsidRPr="00151B72" w:rsidP="00151B72" w14:paraId="3D56C811" w14:textId="2FFBD0EF">
      <w:pPr>
        <w:spacing w:line="276" w:lineRule="auto"/>
        <w:contextualSpacing/>
        <w:rPr>
          <w:rFonts w:cs="Times New Roman"/>
        </w:rPr>
      </w:pPr>
    </w:p>
    <w:p w:rsidR="00963BFB" w:rsidRPr="00151B72" w:rsidP="000C1D66" w14:paraId="2DC72514" w14:textId="6194E8D2">
      <w:pPr>
        <w:spacing w:line="276" w:lineRule="auto"/>
        <w:contextualSpacing/>
        <w:rPr>
          <w:rFonts w:cs="Times New Roman"/>
        </w:rPr>
      </w:pPr>
      <w:r w:rsidRPr="00151B72">
        <w:rPr>
          <w:rFonts w:cs="Times New Roman"/>
        </w:rPr>
        <w:t>This information collection does not require respondents to retain records (other than health, medical, government contract, grant-in-aid, or tax records) for more than three years.</w:t>
      </w:r>
    </w:p>
    <w:p w:rsidR="00174B16" w:rsidRPr="00151B72" w:rsidP="00151B72" w14:paraId="32FE27AA" w14:textId="77777777">
      <w:pPr>
        <w:spacing w:line="276" w:lineRule="auto"/>
        <w:contextualSpacing/>
        <w:rPr>
          <w:rFonts w:cs="Times New Roman"/>
        </w:rPr>
      </w:pPr>
    </w:p>
    <w:p w:rsidR="00071B16" w:rsidRPr="00151B72" w:rsidP="00151B72" w14:paraId="0521C8A0" w14:textId="5291C59C">
      <w:pPr>
        <w:pStyle w:val="ListParagraph"/>
        <w:numPr>
          <w:ilvl w:val="1"/>
          <w:numId w:val="6"/>
        </w:numPr>
        <w:spacing w:line="276" w:lineRule="auto"/>
        <w:rPr>
          <w:rFonts w:cs="Times New Roman"/>
          <w:b/>
          <w:bCs/>
        </w:rPr>
      </w:pPr>
      <w:r w:rsidRPr="00151B72">
        <w:rPr>
          <w:rFonts w:cs="Times New Roman"/>
          <w:b/>
          <w:bCs/>
        </w:rPr>
        <w:t>In connection with a statistical survey, that is not designed to produce valid and reliable results that can be generalized to the universe of study.</w:t>
      </w:r>
    </w:p>
    <w:p w:rsidR="00174B16" w:rsidRPr="00151B72" w:rsidP="00151B72" w14:paraId="6B5260ED" w14:textId="0EA610C9">
      <w:pPr>
        <w:spacing w:line="276" w:lineRule="auto"/>
        <w:contextualSpacing/>
        <w:rPr>
          <w:rFonts w:cs="Times New Roman"/>
        </w:rPr>
      </w:pPr>
    </w:p>
    <w:p w:rsidR="00993269" w:rsidRPr="00151B72" w:rsidP="000C1D66" w14:paraId="27C638E4" w14:textId="6F718216">
      <w:pPr>
        <w:spacing w:line="276" w:lineRule="auto"/>
        <w:contextualSpacing/>
        <w:rPr>
          <w:rFonts w:cs="Times New Roman"/>
        </w:rPr>
      </w:pPr>
      <w:r w:rsidRPr="00151B72">
        <w:rPr>
          <w:rFonts w:cs="Times New Roman"/>
        </w:rPr>
        <w:t>This information collection contains a statistical survey that is designed to produce valid and reliable results that can be generalized to the universe of study.</w:t>
      </w:r>
    </w:p>
    <w:p w:rsidR="00174B16" w:rsidRPr="00151B72" w:rsidP="00151B72" w14:paraId="5FE1B833" w14:textId="77777777">
      <w:pPr>
        <w:spacing w:line="276" w:lineRule="auto"/>
        <w:contextualSpacing/>
        <w:rPr>
          <w:rFonts w:cs="Times New Roman"/>
        </w:rPr>
      </w:pPr>
    </w:p>
    <w:p w:rsidR="00071B16" w:rsidRPr="00151B72" w:rsidP="00151B72" w14:paraId="497FD2A9" w14:textId="5B446E90">
      <w:pPr>
        <w:pStyle w:val="ListParagraph"/>
        <w:numPr>
          <w:ilvl w:val="1"/>
          <w:numId w:val="6"/>
        </w:numPr>
        <w:spacing w:line="276" w:lineRule="auto"/>
        <w:rPr>
          <w:rFonts w:cs="Times New Roman"/>
          <w:b/>
          <w:bCs/>
        </w:rPr>
      </w:pPr>
      <w:r w:rsidRPr="00151B72">
        <w:rPr>
          <w:rFonts w:cs="Times New Roman"/>
          <w:b/>
          <w:bCs/>
        </w:rPr>
        <w:t>Requiring the use of a statistical data classification that has not been reviewed and approved by OMB.</w:t>
      </w:r>
    </w:p>
    <w:p w:rsidR="00174B16" w:rsidRPr="00151B72" w:rsidP="00151B72" w14:paraId="315225D2" w14:textId="6B9ECAED">
      <w:pPr>
        <w:spacing w:line="276" w:lineRule="auto"/>
        <w:contextualSpacing/>
        <w:rPr>
          <w:rFonts w:cs="Times New Roman"/>
        </w:rPr>
      </w:pPr>
    </w:p>
    <w:p w:rsidR="00174B16" w:rsidRPr="00151B72" w:rsidP="000C1D66" w14:paraId="45DBE5DA" w14:textId="5F0FA26B">
      <w:pPr>
        <w:spacing w:line="276" w:lineRule="auto"/>
        <w:contextualSpacing/>
        <w:rPr>
          <w:rFonts w:cs="Times New Roman"/>
          <w:iCs/>
        </w:rPr>
      </w:pPr>
      <w:r w:rsidRPr="00151B72">
        <w:rPr>
          <w:rFonts w:cs="Times New Roman"/>
          <w:iCs/>
        </w:rPr>
        <w:t>This information collection does not use a statistical data classification that has not been reviewed and approved by OMB.</w:t>
      </w:r>
    </w:p>
    <w:p w:rsidR="00174B16" w:rsidRPr="00151B72" w:rsidP="00151B72" w14:paraId="47529CDC" w14:textId="77777777">
      <w:pPr>
        <w:spacing w:line="276" w:lineRule="auto"/>
        <w:contextualSpacing/>
        <w:rPr>
          <w:rFonts w:cs="Times New Roman"/>
        </w:rPr>
      </w:pPr>
    </w:p>
    <w:p w:rsidR="00071B16" w:rsidRPr="00151B72" w:rsidP="00151B72" w14:paraId="11CF00A2" w14:textId="47586BC7">
      <w:pPr>
        <w:pStyle w:val="ListParagraph"/>
        <w:numPr>
          <w:ilvl w:val="1"/>
          <w:numId w:val="6"/>
        </w:numPr>
        <w:spacing w:line="276" w:lineRule="auto"/>
        <w:rPr>
          <w:rFonts w:cs="Times New Roman"/>
          <w:b/>
          <w:bCs/>
        </w:rPr>
      </w:pPr>
      <w:r w:rsidRPr="00151B72">
        <w:rPr>
          <w:rFonts w:cs="Times New Roman"/>
          <w:b/>
          <w:bCs/>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174B16" w:rsidRPr="00151B72" w:rsidP="00151B72" w14:paraId="5B5804AA" w14:textId="1C7C0178">
      <w:pPr>
        <w:spacing w:line="276" w:lineRule="auto"/>
        <w:contextualSpacing/>
        <w:rPr>
          <w:rFonts w:cs="Times New Roman"/>
        </w:rPr>
      </w:pPr>
    </w:p>
    <w:p w:rsidR="00174B16" w:rsidRPr="00151B72" w:rsidP="000C1D66" w14:paraId="5C510B52" w14:textId="61EBA324">
      <w:pPr>
        <w:spacing w:line="276" w:lineRule="auto"/>
        <w:contextualSpacing/>
        <w:rPr>
          <w:rFonts w:cs="Times New Roman"/>
        </w:rPr>
      </w:pPr>
      <w:r w:rsidRPr="00151B72">
        <w:rPr>
          <w:rFonts w:cs="Times New Roman"/>
        </w:rPr>
        <w:t>This information collection does not include a pledge of confidentiality that is not supported by established authorities or policies.</w:t>
      </w:r>
    </w:p>
    <w:p w:rsidR="00174B16" w:rsidRPr="00151B72" w:rsidP="00151B72" w14:paraId="340E2E1A" w14:textId="77777777">
      <w:pPr>
        <w:spacing w:line="276" w:lineRule="auto"/>
        <w:contextualSpacing/>
        <w:rPr>
          <w:rFonts w:cs="Times New Roman"/>
        </w:rPr>
      </w:pPr>
    </w:p>
    <w:p w:rsidR="00174B16" w:rsidRPr="00151B72" w:rsidP="00151B72" w14:paraId="262B928D" w14:textId="319279D1">
      <w:pPr>
        <w:pStyle w:val="ListParagraph"/>
        <w:numPr>
          <w:ilvl w:val="1"/>
          <w:numId w:val="6"/>
        </w:numPr>
        <w:spacing w:line="276" w:lineRule="auto"/>
        <w:rPr>
          <w:rFonts w:cs="Times New Roman"/>
          <w:b/>
          <w:bCs/>
        </w:rPr>
      </w:pPr>
      <w:r w:rsidRPr="00151B72">
        <w:rPr>
          <w:rFonts w:cs="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00174B16" w:rsidRPr="00151B72" w:rsidP="00151B72" w14:paraId="1FAA1968" w14:textId="7547AFF2">
      <w:pPr>
        <w:spacing w:line="276" w:lineRule="auto"/>
        <w:contextualSpacing/>
        <w:rPr>
          <w:rFonts w:cs="Times New Roman"/>
        </w:rPr>
      </w:pPr>
    </w:p>
    <w:p w:rsidR="00174B16" w:rsidRPr="00151B72" w:rsidP="000C1D66" w14:paraId="5A35CA27" w14:textId="3B65BB10">
      <w:pPr>
        <w:spacing w:line="276" w:lineRule="auto"/>
        <w:contextualSpacing/>
        <w:rPr>
          <w:rFonts w:cs="Times New Roman"/>
        </w:rPr>
      </w:pPr>
      <w:r w:rsidRPr="00151B72">
        <w:rPr>
          <w:rFonts w:cs="Times New Roman"/>
          <w:szCs w:val="24"/>
        </w:rPr>
        <w:t>This information collection does not require respondents to submit trade secrets or other confidential information.</w:t>
      </w:r>
    </w:p>
    <w:p w:rsidR="00174B16" w:rsidRPr="00151B72" w:rsidP="00151B72" w14:paraId="79BDCA15" w14:textId="7A1B670F">
      <w:pPr>
        <w:spacing w:line="276" w:lineRule="auto"/>
        <w:contextualSpacing/>
        <w:rPr>
          <w:rFonts w:cs="Times New Roman"/>
        </w:rPr>
      </w:pPr>
    </w:p>
    <w:p w:rsidR="00071B16" w:rsidRPr="00151B72" w:rsidP="00151B72" w14:paraId="4F1A2C9D" w14:textId="47338CB7">
      <w:pPr>
        <w:pStyle w:val="ListParagraph"/>
        <w:numPr>
          <w:ilvl w:val="0"/>
          <w:numId w:val="6"/>
        </w:numPr>
        <w:spacing w:line="276" w:lineRule="auto"/>
        <w:rPr>
          <w:rFonts w:cs="Times New Roman"/>
          <w:b/>
          <w:bCs/>
        </w:rPr>
      </w:pPr>
      <w:r w:rsidRPr="00151B72">
        <w:rPr>
          <w:rFonts w:cs="Times New Roman"/>
          <w:b/>
          <w:bCs/>
        </w:rPr>
        <w:t>Federal Register Notice:</w:t>
      </w:r>
    </w:p>
    <w:p w:rsidR="00174B16" w:rsidRPr="00151B72" w:rsidP="00151B72" w14:paraId="43BCFE64" w14:textId="77777777">
      <w:pPr>
        <w:spacing w:line="276" w:lineRule="auto"/>
        <w:contextualSpacing/>
        <w:rPr>
          <w:rFonts w:cs="Times New Roman"/>
        </w:rPr>
      </w:pPr>
    </w:p>
    <w:p w:rsidR="00071B16" w:rsidRPr="00151B72" w:rsidP="00151B72" w14:paraId="402BB010" w14:textId="1BA92A00">
      <w:pPr>
        <w:pStyle w:val="ListParagraph"/>
        <w:numPr>
          <w:ilvl w:val="1"/>
          <w:numId w:val="6"/>
        </w:numPr>
        <w:spacing w:line="276" w:lineRule="auto"/>
        <w:rPr>
          <w:rFonts w:cs="Times New Roman"/>
          <w:b/>
          <w:bCs/>
        </w:rPr>
      </w:pPr>
      <w:r w:rsidRPr="00151B72">
        <w:rPr>
          <w:rFonts w:cs="Times New Roman"/>
          <w:b/>
          <w:bCs/>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C73EE" w:rsidRPr="00151B72" w:rsidP="000C1D66" w14:paraId="5E273DF8" w14:textId="77777777">
      <w:pPr>
        <w:spacing w:line="276" w:lineRule="auto"/>
        <w:contextualSpacing/>
        <w:rPr>
          <w:rFonts w:cs="Times New Roman"/>
          <w:color w:val="000000"/>
          <w:szCs w:val="24"/>
        </w:rPr>
      </w:pPr>
    </w:p>
    <w:p w:rsidR="00174B16" w:rsidRPr="00286A3B" w:rsidP="000C1D66" w14:paraId="7A750109" w14:textId="4B11E8C5">
      <w:pPr>
        <w:spacing w:line="276" w:lineRule="auto"/>
        <w:contextualSpacing/>
        <w:rPr>
          <w:rFonts w:cs="Times New Roman"/>
          <w:color w:val="000000"/>
          <w:szCs w:val="24"/>
        </w:rPr>
      </w:pPr>
      <w:r w:rsidRPr="00151B72">
        <w:rPr>
          <w:rFonts w:cs="Times New Roman"/>
          <w:color w:val="000000"/>
          <w:szCs w:val="24"/>
        </w:rPr>
        <w:t>A 60-day Federal Register Notice inviting public comments was published on</w:t>
      </w:r>
      <w:r w:rsidRPr="00286A3B">
        <w:rPr>
          <w:rFonts w:cs="Times New Roman"/>
          <w:color w:val="000000"/>
          <w:szCs w:val="24"/>
        </w:rPr>
        <w:t xml:space="preserve"> </w:t>
      </w:r>
      <w:r w:rsidRPr="00286A3B" w:rsidR="00C41BAE">
        <w:rPr>
          <w:rFonts w:cs="Times New Roman"/>
          <w:color w:val="000000"/>
          <w:szCs w:val="24"/>
        </w:rPr>
        <w:t xml:space="preserve">October 4, 2024, at </w:t>
      </w:r>
      <w:r w:rsidRPr="00286A3B" w:rsidR="00D40F47">
        <w:rPr>
          <w:rFonts w:cs="Times New Roman"/>
          <w:color w:val="000000"/>
          <w:szCs w:val="24"/>
        </w:rPr>
        <w:t>89 FR 80910</w:t>
      </w:r>
      <w:r w:rsidRPr="00286A3B">
        <w:rPr>
          <w:rFonts w:cs="Times New Roman"/>
          <w:color w:val="000000"/>
          <w:szCs w:val="24"/>
        </w:rPr>
        <w:t xml:space="preserve">.  </w:t>
      </w:r>
      <w:r w:rsidRPr="00D660EB">
        <w:rPr>
          <w:rFonts w:cs="Times New Roman"/>
          <w:color w:val="000000" w:themeColor="text1"/>
          <w:szCs w:val="24"/>
        </w:rPr>
        <w:t>No comments were received.</w:t>
      </w:r>
    </w:p>
    <w:p w:rsidR="00174B16" w:rsidRPr="00151B72" w:rsidP="000C1D66" w14:paraId="553D67B0" w14:textId="30E0798D">
      <w:pPr>
        <w:spacing w:line="276" w:lineRule="auto"/>
        <w:contextualSpacing/>
        <w:rPr>
          <w:rFonts w:cs="Times New Roman"/>
        </w:rPr>
      </w:pPr>
    </w:p>
    <w:p w:rsidR="00174B16" w:rsidRPr="00F6278A" w:rsidP="000C1D66" w14:paraId="2EA3E4F9" w14:textId="73B03AE4">
      <w:pPr>
        <w:spacing w:line="276" w:lineRule="auto"/>
        <w:contextualSpacing/>
        <w:rPr>
          <w:rFonts w:cs="Times New Roman"/>
          <w:color w:val="000000"/>
          <w:szCs w:val="24"/>
        </w:rPr>
      </w:pPr>
      <w:r w:rsidRPr="00151B72">
        <w:rPr>
          <w:rFonts w:cs="Times New Roman"/>
          <w:color w:val="000000"/>
          <w:szCs w:val="24"/>
        </w:rPr>
        <w:t>A 30-day Federal Register Notice inviting public comments was published o</w:t>
      </w:r>
      <w:r w:rsidRPr="00F6278A">
        <w:rPr>
          <w:rFonts w:cs="Times New Roman"/>
          <w:color w:val="000000"/>
          <w:szCs w:val="24"/>
        </w:rPr>
        <w:t xml:space="preserve">n </w:t>
      </w:r>
      <w:r w:rsidRPr="00F6278A" w:rsidR="00027EDC">
        <w:rPr>
          <w:rFonts w:cs="Times New Roman"/>
          <w:color w:val="000000"/>
          <w:szCs w:val="24"/>
        </w:rPr>
        <w:t xml:space="preserve">April 22, 2025, at </w:t>
      </w:r>
      <w:r w:rsidRPr="00F6278A" w:rsidR="009B4E3F">
        <w:rPr>
          <w:rFonts w:cs="Times New Roman"/>
          <w:color w:val="000000"/>
          <w:szCs w:val="24"/>
        </w:rPr>
        <w:t>90 FR 16879</w:t>
      </w:r>
      <w:r w:rsidRPr="00F6278A">
        <w:rPr>
          <w:rFonts w:cs="Times New Roman"/>
          <w:color w:val="000000"/>
          <w:szCs w:val="24"/>
        </w:rPr>
        <w:t xml:space="preserve">.  </w:t>
      </w:r>
      <w:r w:rsidRPr="00F6278A" w:rsidR="009B4E3F">
        <w:rPr>
          <w:rFonts w:cs="Times New Roman"/>
          <w:color w:val="000000"/>
          <w:szCs w:val="24"/>
        </w:rPr>
        <w:t>The public comment period is open until May 22, 2025</w:t>
      </w:r>
      <w:r w:rsidRPr="00F6278A">
        <w:rPr>
          <w:rFonts w:cs="Times New Roman"/>
          <w:color w:val="000000"/>
          <w:szCs w:val="24"/>
        </w:rPr>
        <w:t>.</w:t>
      </w:r>
    </w:p>
    <w:p w:rsidR="005106C6" w:rsidRPr="00151B72" w:rsidP="000C1D66" w14:paraId="627EFA8E" w14:textId="77777777">
      <w:pPr>
        <w:spacing w:line="276" w:lineRule="auto"/>
        <w:contextualSpacing/>
        <w:rPr>
          <w:rFonts w:cs="Times New Roman"/>
        </w:rPr>
      </w:pPr>
    </w:p>
    <w:p w:rsidR="00071B16" w:rsidRPr="00151B72" w:rsidP="00151B72" w14:paraId="367C58CF" w14:textId="47C1738A">
      <w:pPr>
        <w:pStyle w:val="ListParagraph"/>
        <w:numPr>
          <w:ilvl w:val="1"/>
          <w:numId w:val="6"/>
        </w:numPr>
        <w:spacing w:line="276" w:lineRule="auto"/>
        <w:rPr>
          <w:rFonts w:cs="Times New Roman"/>
          <w:b/>
          <w:bCs/>
        </w:rPr>
      </w:pPr>
      <w:r w:rsidRPr="00151B72">
        <w:rPr>
          <w:rFonts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D5D2F" w:rsidRPr="000C1D66" w:rsidP="000C1D66" w14:paraId="14670D8D" w14:textId="77777777">
      <w:pPr>
        <w:spacing w:line="276" w:lineRule="auto"/>
        <w:contextualSpacing/>
        <w:rPr>
          <w:rFonts w:cs="Times New Roman"/>
          <w:b/>
          <w:bCs/>
        </w:rPr>
      </w:pPr>
    </w:p>
    <w:p w:rsidR="00DD5D2F" w:rsidRPr="00151B72" w:rsidP="000C1D66" w14:paraId="4B2EFDE2" w14:textId="316AB153">
      <w:pPr>
        <w:tabs>
          <w:tab w:val="left" w:pos="-720"/>
        </w:tabs>
        <w:suppressAutoHyphens/>
        <w:spacing w:line="276" w:lineRule="auto"/>
        <w:contextualSpacing/>
        <w:rPr>
          <w:rFonts w:cs="Times New Roman"/>
        </w:rPr>
      </w:pPr>
      <w:r w:rsidRPr="00151B72">
        <w:rPr>
          <w:rFonts w:cs="Times New Roman"/>
        </w:rPr>
        <w:t>The Individual and Community Preparedness Division has consulted with survey methodologists, practitioners, and academic organizations in the design and methodologies for this data collection. Recommendations on frequency of collection, the clarity of instructions and recordkeeping, disclosure, or reporting format, and on the data elements to be recorded, disclosed, or reported came from their experience as well as industry best practices.</w:t>
      </w:r>
    </w:p>
    <w:p w:rsidR="00174B16" w:rsidRPr="00151B72" w:rsidP="00151B72" w14:paraId="7767D619" w14:textId="77777777">
      <w:pPr>
        <w:spacing w:line="276" w:lineRule="auto"/>
        <w:contextualSpacing/>
        <w:rPr>
          <w:rFonts w:cs="Times New Roman"/>
        </w:rPr>
      </w:pPr>
    </w:p>
    <w:p w:rsidR="00071B16" w:rsidRPr="00151B72" w:rsidP="00151B72" w14:paraId="200C4876" w14:textId="3D3362F3">
      <w:pPr>
        <w:pStyle w:val="ListParagraph"/>
        <w:numPr>
          <w:ilvl w:val="1"/>
          <w:numId w:val="6"/>
        </w:numPr>
        <w:spacing w:line="276" w:lineRule="auto"/>
        <w:rPr>
          <w:rFonts w:cs="Times New Roman"/>
          <w:b/>
          <w:bCs/>
        </w:rPr>
      </w:pPr>
      <w:r w:rsidRPr="00151B72">
        <w:rPr>
          <w:rFonts w:cs="Times New Roman"/>
          <w:b/>
          <w:bCs/>
        </w:rPr>
        <w:t xml:space="preserve">Describe </w:t>
      </w:r>
      <w:r w:rsidRPr="00151B72" w:rsidR="00E655F0">
        <w:rPr>
          <w:rFonts w:cs="Times New Roman"/>
          <w:b/>
          <w:bCs/>
        </w:rPr>
        <w:t>consultations</w:t>
      </w:r>
      <w:r w:rsidRPr="00151B72">
        <w:rPr>
          <w:rFonts w:cs="Times New Roman"/>
          <w:b/>
          <w:bCs/>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w:t>
      </w:r>
      <w:r w:rsidRPr="00151B72">
        <w:rPr>
          <w:rFonts w:cs="Times New Roman"/>
          <w:b/>
          <w:bCs/>
        </w:rPr>
        <w:t>may preclude consultation in a specific situation.  These circumstances should be explained.</w:t>
      </w:r>
    </w:p>
    <w:p w:rsidR="000400F6" w:rsidRPr="000C1D66" w:rsidP="000C1D66" w14:paraId="78577942" w14:textId="77777777">
      <w:pPr>
        <w:spacing w:line="276" w:lineRule="auto"/>
        <w:contextualSpacing/>
        <w:rPr>
          <w:rFonts w:cs="Times New Roman"/>
          <w:b/>
          <w:bCs/>
        </w:rPr>
      </w:pPr>
    </w:p>
    <w:p w:rsidR="000400F6" w:rsidRPr="00151B72" w:rsidP="000C1D66" w14:paraId="30A9E699" w14:textId="533E63A6">
      <w:pPr>
        <w:spacing w:line="276" w:lineRule="auto"/>
        <w:contextualSpacing/>
        <w:rPr>
          <w:rFonts w:cs="Times New Roman"/>
          <w:b/>
          <w:bCs/>
        </w:rPr>
      </w:pPr>
      <w:r w:rsidRPr="00151B72">
        <w:rPr>
          <w:rFonts w:cs="Times New Roman"/>
        </w:rPr>
        <w:t xml:space="preserve">Members of the general public were consulted, through cognitive interviews, by the Individual and Community Preparedness Division in the design of </w:t>
      </w:r>
      <w:r w:rsidRPr="00151B72" w:rsidR="003917BE">
        <w:rPr>
          <w:rFonts w:cs="Times New Roman"/>
        </w:rPr>
        <w:t xml:space="preserve">an </w:t>
      </w:r>
      <w:r w:rsidRPr="00151B72">
        <w:rPr>
          <w:rFonts w:cs="Times New Roman"/>
        </w:rPr>
        <w:t>earlier version of this survey. Cognitive interviews were conducted with fewer than nine individuals to assess clarity of specific questions. The survey has also been modified since the last collection to allow for a more detailed exploration of knowledge, attitudes and behaviors. In addition, experts in survey data collection were consulted to advise on various collection strategies.</w:t>
      </w:r>
    </w:p>
    <w:p w:rsidR="00174B16" w:rsidRPr="00151B72" w:rsidP="00151B72" w14:paraId="0A3BEB5A" w14:textId="7C11B0B5">
      <w:pPr>
        <w:spacing w:line="276" w:lineRule="auto"/>
        <w:contextualSpacing/>
        <w:rPr>
          <w:rFonts w:cs="Times New Roman"/>
        </w:rPr>
      </w:pPr>
    </w:p>
    <w:p w:rsidR="00E655F0" w:rsidRPr="00151B72" w:rsidP="00151B72" w14:paraId="4157BB8D" w14:textId="0F13EB70">
      <w:pPr>
        <w:pStyle w:val="ListParagraph"/>
        <w:numPr>
          <w:ilvl w:val="0"/>
          <w:numId w:val="6"/>
        </w:numPr>
        <w:spacing w:line="276" w:lineRule="auto"/>
        <w:rPr>
          <w:rFonts w:cs="Times New Roman"/>
          <w:b/>
          <w:bCs/>
        </w:rPr>
      </w:pPr>
      <w:r w:rsidRPr="00151B72">
        <w:rPr>
          <w:rFonts w:cs="Times New Roman"/>
          <w:b/>
          <w:bCs/>
        </w:rPr>
        <w:t>Explain any decision to provide any payments or gift to respondents, other than remuneration of contractors or grantees.</w:t>
      </w:r>
    </w:p>
    <w:p w:rsidR="00174B16" w:rsidRPr="00151B72" w:rsidP="00151B72" w14:paraId="348D8AC8" w14:textId="4260079C">
      <w:pPr>
        <w:spacing w:line="276" w:lineRule="auto"/>
        <w:contextualSpacing/>
        <w:rPr>
          <w:rFonts w:cs="Times New Roman"/>
        </w:rPr>
      </w:pPr>
    </w:p>
    <w:p w:rsidR="00174B16" w:rsidRPr="00151B72" w:rsidP="000C1D66" w14:paraId="7910D5EB" w14:textId="57D1D17E">
      <w:pPr>
        <w:spacing w:line="276" w:lineRule="auto"/>
        <w:contextualSpacing/>
        <w:rPr>
          <w:rFonts w:cs="Times New Roman"/>
        </w:rPr>
      </w:pPr>
      <w:r w:rsidRPr="00151B72">
        <w:rPr>
          <w:rFonts w:cs="Times New Roman"/>
        </w:rPr>
        <w:t xml:space="preserve">Survey respondents may receive nominal </w:t>
      </w:r>
      <w:r w:rsidRPr="00151B72" w:rsidR="00C24C53">
        <w:rPr>
          <w:rFonts w:cs="Times New Roman"/>
        </w:rPr>
        <w:t>compensation in the form of gift cards or points towards</w:t>
      </w:r>
      <w:r w:rsidRPr="00151B72" w:rsidR="001A2DD0">
        <w:rPr>
          <w:rFonts w:cs="Times New Roman"/>
        </w:rPr>
        <w:t xml:space="preserve"> </w:t>
      </w:r>
      <w:r w:rsidRPr="00151B72" w:rsidR="00A008A9">
        <w:rPr>
          <w:rFonts w:cs="Times New Roman"/>
        </w:rPr>
        <w:t xml:space="preserve">gift cards </w:t>
      </w:r>
      <w:r w:rsidRPr="00151B72" w:rsidR="00803734">
        <w:rPr>
          <w:rFonts w:cs="Times New Roman"/>
        </w:rPr>
        <w:t>in exchange for</w:t>
      </w:r>
      <w:r w:rsidRPr="00151B72" w:rsidR="00A008A9">
        <w:rPr>
          <w:rFonts w:cs="Times New Roman"/>
        </w:rPr>
        <w:t xml:space="preserve"> their participation in </w:t>
      </w:r>
      <w:r w:rsidRPr="00151B72" w:rsidR="006A3735">
        <w:rPr>
          <w:rFonts w:cs="Times New Roman"/>
        </w:rPr>
        <w:t>an online survey panel</w:t>
      </w:r>
      <w:r w:rsidRPr="00151B72" w:rsidR="00803734">
        <w:rPr>
          <w:rFonts w:cs="Times New Roman"/>
        </w:rPr>
        <w:t xml:space="preserve">. </w:t>
      </w:r>
      <w:r w:rsidRPr="00151B72" w:rsidR="00C9488A">
        <w:rPr>
          <w:rFonts w:cs="Times New Roman"/>
        </w:rPr>
        <w:t>T</w:t>
      </w:r>
      <w:r w:rsidRPr="00151B72" w:rsidR="00F24A72">
        <w:rPr>
          <w:rFonts w:cs="Times New Roman"/>
        </w:rPr>
        <w:t xml:space="preserve">his is a generally accepted </w:t>
      </w:r>
      <w:r w:rsidRPr="00151B72" w:rsidR="00F76733">
        <w:rPr>
          <w:rFonts w:cs="Times New Roman"/>
        </w:rPr>
        <w:t>practice to maintain panelist</w:t>
      </w:r>
      <w:r w:rsidRPr="00151B72" w:rsidR="004E0820">
        <w:rPr>
          <w:rFonts w:cs="Times New Roman"/>
        </w:rPr>
        <w:t>s’</w:t>
      </w:r>
      <w:r w:rsidRPr="00151B72" w:rsidR="00F76733">
        <w:rPr>
          <w:rFonts w:cs="Times New Roman"/>
        </w:rPr>
        <w:t xml:space="preserve"> participation over time and to avoid attrition of panel members. </w:t>
      </w:r>
      <w:r w:rsidRPr="00151B72" w:rsidR="00D25362">
        <w:rPr>
          <w:rFonts w:cs="Times New Roman"/>
        </w:rPr>
        <w:t xml:space="preserve">The </w:t>
      </w:r>
      <w:r w:rsidRPr="00151B72" w:rsidR="00336A9E">
        <w:rPr>
          <w:rFonts w:cs="Times New Roman"/>
        </w:rPr>
        <w:t xml:space="preserve">value of </w:t>
      </w:r>
      <w:r w:rsidRPr="00151B72" w:rsidR="00FB501F">
        <w:rPr>
          <w:rFonts w:cs="Times New Roman"/>
        </w:rPr>
        <w:t xml:space="preserve">their compensation is typically </w:t>
      </w:r>
      <w:r w:rsidRPr="00151B72" w:rsidR="00DA51A1">
        <w:rPr>
          <w:rFonts w:cs="Times New Roman"/>
        </w:rPr>
        <w:t>small and</w:t>
      </w:r>
      <w:r w:rsidRPr="00151B72" w:rsidR="00C67AD1">
        <w:rPr>
          <w:rFonts w:cs="Times New Roman"/>
        </w:rPr>
        <w:t xml:space="preserve"> </w:t>
      </w:r>
      <w:r w:rsidRPr="00151B72" w:rsidR="00D733A8">
        <w:rPr>
          <w:rFonts w:cs="Times New Roman"/>
        </w:rPr>
        <w:t xml:space="preserve">meant </w:t>
      </w:r>
      <w:r w:rsidRPr="00151B72" w:rsidR="00F02DCD">
        <w:rPr>
          <w:rFonts w:cs="Times New Roman"/>
        </w:rPr>
        <w:t>t</w:t>
      </w:r>
      <w:r w:rsidRPr="00151B72" w:rsidR="00D5089C">
        <w:rPr>
          <w:rFonts w:cs="Times New Roman"/>
        </w:rPr>
        <w:t>o provide a small incentive for their time spent completing the surveys.</w:t>
      </w:r>
    </w:p>
    <w:p w:rsidR="00174B16" w:rsidRPr="00151B72" w:rsidP="00151B72" w14:paraId="07CAEDDD" w14:textId="77777777">
      <w:pPr>
        <w:spacing w:line="276" w:lineRule="auto"/>
        <w:contextualSpacing/>
        <w:rPr>
          <w:rFonts w:cs="Times New Roman"/>
        </w:rPr>
      </w:pPr>
    </w:p>
    <w:p w:rsidR="00E655F0" w:rsidRPr="00151B72" w:rsidP="00151B72" w14:paraId="30A395C2" w14:textId="5BE3284A">
      <w:pPr>
        <w:pStyle w:val="ListParagraph"/>
        <w:numPr>
          <w:ilvl w:val="0"/>
          <w:numId w:val="6"/>
        </w:numPr>
        <w:spacing w:line="276" w:lineRule="auto"/>
        <w:rPr>
          <w:rFonts w:cs="Times New Roman"/>
          <w:b/>
          <w:bCs/>
        </w:rPr>
      </w:pPr>
      <w:r w:rsidRPr="00151B72">
        <w:rPr>
          <w:rFonts w:cs="Times New Roman"/>
          <w:b/>
          <w:bCs/>
        </w:rPr>
        <w:t>Describe any assurance of confidentiality provided to respondents.  Present the basis for the assurance in statute, regulation, or agency policy.</w:t>
      </w:r>
    </w:p>
    <w:p w:rsidR="00174B16" w:rsidRPr="00151B72" w:rsidP="00151B72" w14:paraId="2221A341" w14:textId="002316C8">
      <w:pPr>
        <w:spacing w:line="276" w:lineRule="auto"/>
        <w:contextualSpacing/>
        <w:rPr>
          <w:rFonts w:cs="Times New Roman"/>
        </w:rPr>
      </w:pPr>
    </w:p>
    <w:p w:rsidR="002B1A24" w:rsidRPr="00151B72" w:rsidP="000C1D66" w14:paraId="2FF218C4" w14:textId="77777777">
      <w:pPr>
        <w:tabs>
          <w:tab w:val="left" w:pos="360"/>
        </w:tabs>
        <w:spacing w:line="276" w:lineRule="auto"/>
        <w:contextualSpacing/>
        <w:rPr>
          <w:rFonts w:cs="Times New Roman"/>
          <w:color w:val="000000" w:themeColor="text1"/>
        </w:rPr>
      </w:pPr>
      <w:r w:rsidRPr="00151B72">
        <w:rPr>
          <w:rFonts w:cs="Times New Roman"/>
          <w:color w:val="000000" w:themeColor="text1"/>
        </w:rPr>
        <w:t xml:space="preserve">A Privacy Threshold Analysis (PTA) was approved on </w:t>
      </w:r>
      <w:r w:rsidRPr="00151B72" w:rsidR="009E1C90">
        <w:rPr>
          <w:rFonts w:cs="Times New Roman"/>
          <w:bCs/>
          <w:color w:val="000000" w:themeColor="text1"/>
        </w:rPr>
        <w:t>April 26, 2024</w:t>
      </w:r>
      <w:r w:rsidRPr="00151B72">
        <w:rPr>
          <w:rFonts w:cs="Times New Roman"/>
          <w:bCs/>
          <w:color w:val="000000" w:themeColor="text1"/>
        </w:rPr>
        <w:t>.</w:t>
      </w:r>
      <w:r w:rsidRPr="00151B72">
        <w:rPr>
          <w:rFonts w:cs="Times New Roman"/>
          <w:color w:val="000000" w:themeColor="text1"/>
        </w:rPr>
        <w:t xml:space="preserve">  </w:t>
      </w:r>
    </w:p>
    <w:p w:rsidR="002B1A24" w:rsidRPr="00151B72" w:rsidP="000C1D66" w14:paraId="7C728929" w14:textId="77777777">
      <w:pPr>
        <w:tabs>
          <w:tab w:val="left" w:pos="360"/>
        </w:tabs>
        <w:spacing w:line="276" w:lineRule="auto"/>
        <w:contextualSpacing/>
        <w:rPr>
          <w:rFonts w:cs="Times New Roman"/>
          <w:color w:val="000000" w:themeColor="text1"/>
        </w:rPr>
      </w:pPr>
    </w:p>
    <w:p w:rsidR="00BA0817" w:rsidRPr="00151B72" w:rsidP="000C1D66" w14:paraId="73AB7E65" w14:textId="18F191F0">
      <w:pPr>
        <w:tabs>
          <w:tab w:val="left" w:pos="360"/>
        </w:tabs>
        <w:spacing w:line="276" w:lineRule="auto"/>
        <w:contextualSpacing/>
        <w:rPr>
          <w:rFonts w:cs="Times New Roman"/>
          <w:color w:val="000000" w:themeColor="text1"/>
        </w:rPr>
      </w:pPr>
      <w:r w:rsidRPr="00151B72">
        <w:rPr>
          <w:rFonts w:cs="Times New Roman"/>
          <w:color w:val="000000" w:themeColor="text1"/>
        </w:rPr>
        <w:t>Privacy Impact Assessment (</w:t>
      </w:r>
      <w:r w:rsidRPr="00151B72">
        <w:rPr>
          <w:rFonts w:cs="Times New Roman"/>
          <w:color w:val="000000" w:themeColor="text1"/>
        </w:rPr>
        <w:t>PIA</w:t>
      </w:r>
      <w:r w:rsidRPr="00151B72">
        <w:rPr>
          <w:rFonts w:cs="Times New Roman"/>
          <w:color w:val="000000" w:themeColor="text1"/>
        </w:rPr>
        <w:t>) coverage</w:t>
      </w:r>
      <w:r w:rsidRPr="00151B72">
        <w:rPr>
          <w:rFonts w:cs="Times New Roman"/>
          <w:color w:val="000000" w:themeColor="text1"/>
        </w:rPr>
        <w:t xml:space="preserve"> for this collection </w:t>
      </w:r>
      <w:r w:rsidRPr="00151B72" w:rsidR="00A41E90">
        <w:rPr>
          <w:rFonts w:cs="Times New Roman"/>
          <w:color w:val="000000" w:themeColor="text1"/>
        </w:rPr>
        <w:t>was determined to not be</w:t>
      </w:r>
      <w:r w:rsidRPr="00151B72">
        <w:rPr>
          <w:rFonts w:cs="Times New Roman"/>
          <w:color w:val="000000" w:themeColor="text1"/>
        </w:rPr>
        <w:t xml:space="preserve"> needed.  </w:t>
      </w:r>
      <w:r w:rsidRPr="00151B72">
        <w:rPr>
          <w:rFonts w:cs="Times New Roman"/>
          <w:color w:val="000000" w:themeColor="text1"/>
        </w:rPr>
        <w:fldChar w:fldCharType="begin"/>
      </w:r>
      <w:r w:rsidRPr="00151B72">
        <w:rPr>
          <w:rFonts w:cs="Times New Roman"/>
          <w:color w:val="000000" w:themeColor="text1"/>
        </w:rPr>
        <w:instrText>ADVANCE \R 0.95</w:instrText>
      </w:r>
      <w:r w:rsidRPr="00151B72">
        <w:rPr>
          <w:rFonts w:cs="Times New Roman"/>
          <w:color w:val="000000" w:themeColor="text1"/>
        </w:rPr>
        <w:fldChar w:fldCharType="end"/>
      </w:r>
    </w:p>
    <w:p w:rsidR="00A41E90" w:rsidRPr="00151B72" w:rsidP="000C1D66" w14:paraId="37F3C80A" w14:textId="77777777">
      <w:pPr>
        <w:tabs>
          <w:tab w:val="left" w:pos="360"/>
        </w:tabs>
        <w:spacing w:line="276" w:lineRule="auto"/>
        <w:contextualSpacing/>
        <w:rPr>
          <w:rFonts w:cs="Times New Roman"/>
          <w:color w:val="000000" w:themeColor="text1"/>
        </w:rPr>
      </w:pPr>
    </w:p>
    <w:p w:rsidR="00A41E90" w:rsidRPr="00151B72" w:rsidP="000C1D66" w14:paraId="09E13150" w14:textId="4E3C3310">
      <w:pPr>
        <w:tabs>
          <w:tab w:val="left" w:pos="360"/>
        </w:tabs>
        <w:spacing w:line="276" w:lineRule="auto"/>
        <w:contextualSpacing/>
        <w:rPr>
          <w:rFonts w:cs="Times New Roman"/>
          <w:color w:val="000000" w:themeColor="text1"/>
        </w:rPr>
      </w:pPr>
      <w:r w:rsidRPr="00151B72">
        <w:rPr>
          <w:rFonts w:cs="Times New Roman"/>
          <w:color w:val="000000" w:themeColor="text1"/>
        </w:rPr>
        <w:t>System of Records Notification (SORN) coverage for this collection was determined to not be needed.</w:t>
      </w:r>
    </w:p>
    <w:p w:rsidR="00174B16" w:rsidRPr="00151B72" w:rsidP="00151B72" w14:paraId="5E3CC1C9" w14:textId="77777777">
      <w:pPr>
        <w:spacing w:line="276" w:lineRule="auto"/>
        <w:contextualSpacing/>
        <w:rPr>
          <w:rFonts w:cs="Times New Roman"/>
        </w:rPr>
      </w:pPr>
    </w:p>
    <w:p w:rsidR="00B3312A" w:rsidRPr="00151B72" w:rsidP="00151B72" w14:paraId="17A5CA01" w14:textId="5D281BBF">
      <w:pPr>
        <w:pStyle w:val="ListParagraph"/>
        <w:numPr>
          <w:ilvl w:val="0"/>
          <w:numId w:val="6"/>
        </w:numPr>
        <w:spacing w:line="276" w:lineRule="auto"/>
        <w:rPr>
          <w:rFonts w:cs="Times New Roman"/>
          <w:b/>
          <w:bCs/>
        </w:rPr>
      </w:pPr>
      <w:r w:rsidRPr="00151B72">
        <w:rPr>
          <w:rFonts w:cs="Times New Roman"/>
          <w:b/>
          <w:bCs/>
        </w:rPr>
        <w:t xml:space="preserve">Provide additional justification for any question of a sensitive nature (such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00151B72" w:rsidR="009B2B7F">
        <w:rPr>
          <w:rFonts w:cs="Times New Roman"/>
          <w:b/>
          <w:bCs/>
        </w:rPr>
        <w:t>to</w:t>
      </w:r>
      <w:r w:rsidRPr="00151B72">
        <w:rPr>
          <w:rFonts w:cs="Times New Roman"/>
          <w:b/>
          <w:bCs/>
        </w:rPr>
        <w:t xml:space="preserve"> be taken to obtain their consent.</w:t>
      </w:r>
    </w:p>
    <w:p w:rsidR="00EE0EFD" w:rsidRPr="00151B72" w:rsidP="00151B72" w14:paraId="1450DC3E" w14:textId="0AFEBAA3">
      <w:pPr>
        <w:spacing w:line="276" w:lineRule="auto"/>
        <w:contextualSpacing/>
        <w:rPr>
          <w:rFonts w:cs="Times New Roman"/>
        </w:rPr>
      </w:pPr>
    </w:p>
    <w:p w:rsidR="00A356FE" w:rsidRPr="00151B72" w:rsidP="000C1D66" w14:paraId="26937F66" w14:textId="72F2FB2A">
      <w:pPr>
        <w:spacing w:line="276" w:lineRule="auto"/>
        <w:contextualSpacing/>
        <w:rPr>
          <w:rFonts w:cs="Times New Roman"/>
        </w:rPr>
      </w:pPr>
      <w:r w:rsidRPr="00151B72">
        <w:rPr>
          <w:rFonts w:cs="Times New Roman"/>
        </w:rPr>
        <w:t xml:space="preserve">The following questions will be asked to </w:t>
      </w:r>
      <w:r w:rsidRPr="00151B72" w:rsidR="00F731F4">
        <w:rPr>
          <w:rFonts w:cs="Times New Roman"/>
        </w:rPr>
        <w:t xml:space="preserve">accurately </w:t>
      </w:r>
      <w:r w:rsidRPr="00151B72" w:rsidR="00E475E5">
        <w:rPr>
          <w:rFonts w:cs="Times New Roman"/>
        </w:rPr>
        <w:t xml:space="preserve">capture respondents’ gender </w:t>
      </w:r>
      <w:r w:rsidRPr="00151B72" w:rsidR="008630D4">
        <w:rPr>
          <w:rFonts w:cs="Times New Roman"/>
        </w:rPr>
        <w:t xml:space="preserve">identity </w:t>
      </w:r>
      <w:r w:rsidRPr="00151B72">
        <w:rPr>
          <w:rFonts w:cs="Times New Roman"/>
        </w:rPr>
        <w:t>in a holistic and inclusive manner:</w:t>
      </w:r>
    </w:p>
    <w:p w:rsidR="002F7CF7" w:rsidRPr="00151B72" w:rsidP="000C1D66" w14:paraId="4FAE06DC" w14:textId="4EFDCF6F">
      <w:pPr>
        <w:pStyle w:val="ListParagraph"/>
        <w:numPr>
          <w:ilvl w:val="0"/>
          <w:numId w:val="14"/>
        </w:numPr>
        <w:spacing w:line="276" w:lineRule="auto"/>
        <w:rPr>
          <w:rFonts w:cs="Times New Roman"/>
        </w:rPr>
      </w:pPr>
      <w:r w:rsidRPr="00151B72">
        <w:rPr>
          <w:rFonts w:cs="Times New Roman"/>
        </w:rPr>
        <w:t>“What sex were you assigned at birth, on your original birth certificate?”</w:t>
      </w:r>
    </w:p>
    <w:p w:rsidR="00A356FE" w:rsidRPr="00151B72" w:rsidP="000C1D66" w14:paraId="20335E48" w14:textId="43B22ACA">
      <w:pPr>
        <w:pStyle w:val="ListParagraph"/>
        <w:numPr>
          <w:ilvl w:val="0"/>
          <w:numId w:val="14"/>
        </w:numPr>
        <w:spacing w:line="276" w:lineRule="auto"/>
        <w:rPr>
          <w:rFonts w:cs="Times New Roman"/>
        </w:rPr>
      </w:pPr>
      <w:r w:rsidRPr="00151B72">
        <w:rPr>
          <w:rFonts w:cs="Times New Roman"/>
        </w:rPr>
        <w:t>“What is your current gender</w:t>
      </w:r>
      <w:r w:rsidRPr="00151B72" w:rsidR="0032373C">
        <w:rPr>
          <w:rFonts w:cs="Times New Roman"/>
        </w:rPr>
        <w:t>?</w:t>
      </w:r>
      <w:r w:rsidRPr="00151B72">
        <w:rPr>
          <w:rFonts w:cs="Times New Roman"/>
        </w:rPr>
        <w:t>”</w:t>
      </w:r>
    </w:p>
    <w:p w:rsidR="00161DFC" w:rsidRPr="00151B72" w:rsidP="000C1D66" w14:paraId="6CD6EE50" w14:textId="77777777">
      <w:pPr>
        <w:spacing w:line="276" w:lineRule="auto"/>
        <w:contextualSpacing/>
        <w:rPr>
          <w:rFonts w:cs="Times New Roman"/>
        </w:rPr>
      </w:pPr>
    </w:p>
    <w:p w:rsidR="00680142" w:rsidRPr="00151B72" w:rsidP="000C1D66" w14:paraId="1618D740" w14:textId="45A5B8A4">
      <w:pPr>
        <w:spacing w:line="276" w:lineRule="auto"/>
        <w:contextualSpacing/>
        <w:rPr>
          <w:rFonts w:cs="Times New Roman"/>
        </w:rPr>
      </w:pPr>
      <w:r w:rsidRPr="00151B72">
        <w:rPr>
          <w:rFonts w:cs="Times New Roman"/>
        </w:rPr>
        <w:t xml:space="preserve">This dual-question approach for capturing sex and gender </w:t>
      </w:r>
      <w:r w:rsidRPr="00151B72" w:rsidR="002301BE">
        <w:rPr>
          <w:rFonts w:cs="Times New Roman"/>
        </w:rPr>
        <w:t>is based on</w:t>
      </w:r>
      <w:r w:rsidRPr="00151B72">
        <w:rPr>
          <w:rFonts w:cs="Times New Roman"/>
        </w:rPr>
        <w:t xml:space="preserve"> guidelines </w:t>
      </w:r>
      <w:r w:rsidRPr="00151B72" w:rsidR="00D21D28">
        <w:rPr>
          <w:rFonts w:cs="Times New Roman"/>
        </w:rPr>
        <w:t>from</w:t>
      </w:r>
      <w:r w:rsidRPr="00151B72">
        <w:rPr>
          <w:rFonts w:cs="Times New Roman"/>
        </w:rPr>
        <w:t xml:space="preserve"> the </w:t>
      </w:r>
      <w:r w:rsidRPr="000C1D66" w:rsidR="00C02A50">
        <w:t>National Academies of Sciences</w:t>
      </w:r>
      <w:r>
        <w:rPr>
          <w:rStyle w:val="FootnoteReference"/>
          <w:rFonts w:cs="Times New Roman"/>
          <w:color w:val="0000FF"/>
          <w:u w:val="single"/>
        </w:rPr>
        <w:footnoteReference w:id="3"/>
      </w:r>
      <w:r w:rsidRPr="00151B72">
        <w:rPr>
          <w:rFonts w:cs="Times New Roman"/>
        </w:rPr>
        <w:t xml:space="preserve"> for measuring gender identity</w:t>
      </w:r>
      <w:r w:rsidRPr="00151B72" w:rsidR="00F00E44">
        <w:rPr>
          <w:rFonts w:cs="Times New Roman"/>
        </w:rPr>
        <w:t xml:space="preserve"> and </w:t>
      </w:r>
      <w:r w:rsidRPr="000C1D66" w:rsidR="006E0611">
        <w:t>White House Recommendations on the Best Practices for the Collection of Sexual Orientation and Gender Identity Data on Federal Statistical Surveys</w:t>
      </w:r>
      <w:r>
        <w:rPr>
          <w:rStyle w:val="FootnoteReference"/>
          <w:rFonts w:cs="Times New Roman"/>
          <w:color w:val="0000FF"/>
          <w:u w:val="single"/>
        </w:rPr>
        <w:footnoteReference w:id="4"/>
      </w:r>
      <w:r w:rsidRPr="00151B72" w:rsidR="00E30F68">
        <w:rPr>
          <w:rFonts w:cs="Times New Roman"/>
        </w:rPr>
        <w:t>. Respondents will have the option to opt-out of answer</w:t>
      </w:r>
      <w:r w:rsidRPr="00151B72" w:rsidR="00D80249">
        <w:rPr>
          <w:rFonts w:cs="Times New Roman"/>
        </w:rPr>
        <w:t>ing</w:t>
      </w:r>
      <w:r w:rsidRPr="00151B72" w:rsidR="00E30F68">
        <w:rPr>
          <w:rFonts w:cs="Times New Roman"/>
        </w:rPr>
        <w:t xml:space="preserve"> these questions by selecting “Prefer not to answer” </w:t>
      </w:r>
      <w:r w:rsidRPr="00151B72" w:rsidR="00EA5683">
        <w:rPr>
          <w:rFonts w:cs="Times New Roman"/>
        </w:rPr>
        <w:t xml:space="preserve">or “Don’t know” </w:t>
      </w:r>
      <w:r w:rsidRPr="00151B72" w:rsidR="00E30F68">
        <w:rPr>
          <w:rFonts w:cs="Times New Roman"/>
        </w:rPr>
        <w:t xml:space="preserve">as a response </w:t>
      </w:r>
      <w:r w:rsidRPr="00151B72" w:rsidR="00EA5683">
        <w:rPr>
          <w:rFonts w:cs="Times New Roman"/>
        </w:rPr>
        <w:t>to these</w:t>
      </w:r>
      <w:r w:rsidRPr="00151B72" w:rsidR="00E30F68">
        <w:rPr>
          <w:rFonts w:cs="Times New Roman"/>
        </w:rPr>
        <w:t xml:space="preserve"> questions.</w:t>
      </w:r>
    </w:p>
    <w:p w:rsidR="00A23F2E" w:rsidRPr="00151B72" w:rsidP="000C1D66" w14:paraId="59326A5A" w14:textId="77777777">
      <w:pPr>
        <w:spacing w:line="276" w:lineRule="auto"/>
        <w:contextualSpacing/>
        <w:rPr>
          <w:rFonts w:cs="Times New Roman"/>
        </w:rPr>
      </w:pPr>
    </w:p>
    <w:p w:rsidR="00680142" w:rsidRPr="00151B72" w:rsidP="000C1D66" w14:paraId="131BF2C5" w14:textId="4CEE2E6F">
      <w:pPr>
        <w:spacing w:line="276" w:lineRule="auto"/>
        <w:contextualSpacing/>
        <w:rPr>
          <w:rFonts w:cs="Times New Roman"/>
        </w:rPr>
      </w:pPr>
      <w:r w:rsidRPr="00151B72">
        <w:rPr>
          <w:rFonts w:cs="Times New Roman"/>
        </w:rPr>
        <w:t>The following question</w:t>
      </w:r>
      <w:r w:rsidRPr="00151B72" w:rsidR="00565FD4">
        <w:rPr>
          <w:rFonts w:cs="Times New Roman"/>
        </w:rPr>
        <w:t>s</w:t>
      </w:r>
      <w:r w:rsidRPr="00151B72">
        <w:rPr>
          <w:rFonts w:cs="Times New Roman"/>
        </w:rPr>
        <w:t xml:space="preserve"> will be asked to capture respondents’ </w:t>
      </w:r>
      <w:r w:rsidRPr="00151B72" w:rsidR="00BF6BF7">
        <w:rPr>
          <w:rFonts w:cs="Times New Roman"/>
        </w:rPr>
        <w:t xml:space="preserve">perceived </w:t>
      </w:r>
      <w:r w:rsidRPr="00151B72">
        <w:rPr>
          <w:rFonts w:cs="Times New Roman"/>
        </w:rPr>
        <w:t xml:space="preserve">identity as </w:t>
      </w:r>
      <w:r w:rsidRPr="00151B72" w:rsidR="00EA7001">
        <w:rPr>
          <w:rFonts w:cs="Times New Roman"/>
        </w:rPr>
        <w:t>part of historically underserved</w:t>
      </w:r>
      <w:r w:rsidRPr="00151B72" w:rsidR="00BF6BF7">
        <w:rPr>
          <w:rFonts w:cs="Times New Roman"/>
        </w:rPr>
        <w:t xml:space="preserve"> community groups</w:t>
      </w:r>
      <w:r w:rsidRPr="00151B72" w:rsidR="00604A60">
        <w:rPr>
          <w:rFonts w:cs="Times New Roman"/>
        </w:rPr>
        <w:t>:</w:t>
      </w:r>
    </w:p>
    <w:p w:rsidR="00C92901" w:rsidRPr="00151B72" w:rsidP="000C1D66" w14:paraId="2F0CFCEF" w14:textId="7B76C2B7">
      <w:pPr>
        <w:pStyle w:val="ListParagraph"/>
        <w:numPr>
          <w:ilvl w:val="0"/>
          <w:numId w:val="15"/>
        </w:numPr>
        <w:spacing w:line="276" w:lineRule="auto"/>
        <w:rPr>
          <w:rFonts w:cs="Times New Roman"/>
        </w:rPr>
      </w:pPr>
      <w:r w:rsidRPr="00151B72">
        <w:rPr>
          <w:rFonts w:cs="Times New Roman"/>
        </w:rPr>
        <w:t>“Do you, personally, self-identify as LGBTQIA+?”</w:t>
      </w:r>
    </w:p>
    <w:p w:rsidR="003D3AEE" w:rsidRPr="00151B72" w:rsidP="000C1D66" w14:paraId="7EEB9566" w14:textId="57123A45">
      <w:pPr>
        <w:pStyle w:val="ListParagraph"/>
        <w:numPr>
          <w:ilvl w:val="0"/>
          <w:numId w:val="15"/>
        </w:numPr>
        <w:spacing w:line="276" w:lineRule="auto"/>
        <w:rPr>
          <w:rFonts w:cs="Times New Roman"/>
        </w:rPr>
      </w:pPr>
      <w:r w:rsidRPr="00151B72">
        <w:rPr>
          <w:rFonts w:cs="Times New Roman"/>
        </w:rPr>
        <w:t>“Do you consider yourself affiliated with or a member of an organized religion or spiritual practice?”</w:t>
      </w:r>
    </w:p>
    <w:p w:rsidR="0066195C" w:rsidRPr="00151B72" w:rsidP="000C1D66" w14:paraId="67D7FF7D" w14:textId="0ADC4B2C">
      <w:pPr>
        <w:pStyle w:val="ListParagraph"/>
        <w:numPr>
          <w:ilvl w:val="1"/>
          <w:numId w:val="15"/>
        </w:numPr>
        <w:spacing w:line="276" w:lineRule="auto"/>
        <w:rPr>
          <w:rFonts w:cs="Times New Roman"/>
        </w:rPr>
      </w:pPr>
      <w:r w:rsidRPr="00151B72">
        <w:rPr>
          <w:rFonts w:cs="Times New Roman"/>
        </w:rPr>
        <w:t>“What religion or spirituality are you a member of or affiliated with?”</w:t>
      </w:r>
    </w:p>
    <w:p w:rsidR="0066195C" w:rsidRPr="00151B72" w:rsidP="000C1D66" w14:paraId="4AF575CC" w14:textId="41A586BA">
      <w:pPr>
        <w:pStyle w:val="ListParagraph"/>
        <w:numPr>
          <w:ilvl w:val="1"/>
          <w:numId w:val="15"/>
        </w:numPr>
        <w:spacing w:line="276" w:lineRule="auto"/>
        <w:rPr>
          <w:rFonts w:cs="Times New Roman"/>
        </w:rPr>
      </w:pPr>
      <w:r w:rsidRPr="00151B72">
        <w:rPr>
          <w:rFonts w:cs="Times New Roman"/>
        </w:rPr>
        <w:t>“Do you consider yourself to be a religious minority?”</w:t>
      </w:r>
    </w:p>
    <w:p w:rsidR="0063202E" w:rsidRPr="00151B72" w:rsidP="000C1D66" w14:paraId="73B400F5" w14:textId="207332C1">
      <w:pPr>
        <w:spacing w:line="276" w:lineRule="auto"/>
        <w:contextualSpacing/>
        <w:rPr>
          <w:rFonts w:cs="Times New Roman"/>
        </w:rPr>
      </w:pPr>
      <w:r w:rsidRPr="00151B72">
        <w:rPr>
          <w:rFonts w:cs="Times New Roman"/>
        </w:rPr>
        <w:t>Respondents will have the option to opt-out of answering these questions by selecting “Prefer not to answer” or “Don’t know” as a response to these questions.</w:t>
      </w:r>
    </w:p>
    <w:p w:rsidR="00E03384" w:rsidRPr="00151B72" w:rsidP="000C1D66" w14:paraId="07DCB5F5" w14:textId="77777777">
      <w:pPr>
        <w:spacing w:line="276" w:lineRule="auto"/>
        <w:contextualSpacing/>
        <w:rPr>
          <w:rFonts w:cs="Times New Roman"/>
        </w:rPr>
      </w:pPr>
    </w:p>
    <w:p w:rsidR="00657C2D" w:rsidRPr="00151B72" w:rsidP="000C1D66" w14:paraId="73588303" w14:textId="54348D7A">
      <w:pPr>
        <w:spacing w:line="276" w:lineRule="auto"/>
        <w:contextualSpacing/>
        <w:rPr>
          <w:rFonts w:cs="Times New Roman"/>
        </w:rPr>
      </w:pPr>
      <w:r w:rsidRPr="00151B72">
        <w:rPr>
          <w:rFonts w:cs="Times New Roman"/>
        </w:rPr>
        <w:t xml:space="preserve">FEMA considers these questions necessary to facilitate nuanced analysis of differences in attitudes and behaviors related to disaster preparedness by gender, LGBTQIA+ identity, and religious identity. </w:t>
      </w:r>
      <w:r w:rsidRPr="00151B72" w:rsidR="00EA34EF">
        <w:rPr>
          <w:rFonts w:cs="Times New Roman"/>
        </w:rPr>
        <w:t xml:space="preserve">Members of </w:t>
      </w:r>
      <w:r w:rsidRPr="00151B72" w:rsidR="004731A6">
        <w:rPr>
          <w:rFonts w:cs="Times New Roman"/>
        </w:rPr>
        <w:t>demographic minorit</w:t>
      </w:r>
      <w:r w:rsidRPr="00151B72" w:rsidR="00D4232D">
        <w:rPr>
          <w:rFonts w:cs="Times New Roman"/>
        </w:rPr>
        <w:t>y population</w:t>
      </w:r>
      <w:r w:rsidRPr="00151B72" w:rsidR="00CA5D02">
        <w:rPr>
          <w:rFonts w:cs="Times New Roman"/>
        </w:rPr>
        <w:t>s</w:t>
      </w:r>
      <w:r w:rsidRPr="00151B72" w:rsidR="004731A6">
        <w:rPr>
          <w:rFonts w:cs="Times New Roman"/>
        </w:rPr>
        <w:t xml:space="preserve"> and/or historically undeserved community groups may face disproportionate burdens and/or unique challenges when dealing with disasters. </w:t>
      </w:r>
      <w:r w:rsidRPr="00151B72" w:rsidR="00C50469">
        <w:rPr>
          <w:rFonts w:cs="Times New Roman"/>
        </w:rPr>
        <w:t xml:space="preserve">FEMA’s 2022-2026 Strategic Plan </w:t>
      </w:r>
      <w:r w:rsidRPr="00151B72" w:rsidR="00EA21C6">
        <w:rPr>
          <w:rFonts w:cs="Times New Roman"/>
        </w:rPr>
        <w:t>Goal 1 is to “instill equity as a foundation of emergency management.” Supporting objectives 1.2</w:t>
      </w:r>
      <w:r w:rsidRPr="00151B72" w:rsidR="00D60B30">
        <w:rPr>
          <w:rFonts w:cs="Times New Roman"/>
        </w:rPr>
        <w:t xml:space="preserve"> (</w:t>
      </w:r>
      <w:r w:rsidRPr="00151B72" w:rsidR="00281158">
        <w:rPr>
          <w:rFonts w:cs="Times New Roman"/>
        </w:rPr>
        <w:t>“</w:t>
      </w:r>
      <w:r w:rsidRPr="00151B72" w:rsidR="00D60B30">
        <w:rPr>
          <w:rFonts w:cs="Times New Roman"/>
        </w:rPr>
        <w:t>remove barriers to FEMA programs through a people first approach</w:t>
      </w:r>
      <w:r w:rsidRPr="00151B72" w:rsidR="00281158">
        <w:rPr>
          <w:rFonts w:cs="Times New Roman"/>
        </w:rPr>
        <w:t>”</w:t>
      </w:r>
      <w:r w:rsidRPr="00151B72" w:rsidR="00D60B30">
        <w:rPr>
          <w:rFonts w:cs="Times New Roman"/>
        </w:rPr>
        <w:t>) and 1.3 (</w:t>
      </w:r>
      <w:r w:rsidRPr="00151B72" w:rsidR="00281158">
        <w:rPr>
          <w:rFonts w:cs="Times New Roman"/>
        </w:rPr>
        <w:t>“</w:t>
      </w:r>
      <w:r w:rsidRPr="00151B72" w:rsidR="00D60B30">
        <w:rPr>
          <w:rFonts w:cs="Times New Roman"/>
        </w:rPr>
        <w:t>achieve equitable outcomes for those we serve</w:t>
      </w:r>
      <w:r w:rsidRPr="00151B72" w:rsidR="00281158">
        <w:rPr>
          <w:rFonts w:cs="Times New Roman"/>
        </w:rPr>
        <w:t>”</w:t>
      </w:r>
      <w:r w:rsidRPr="00151B72" w:rsidR="00D60B30">
        <w:rPr>
          <w:rFonts w:cs="Times New Roman"/>
        </w:rPr>
        <w:t xml:space="preserve">) </w:t>
      </w:r>
      <w:r w:rsidRPr="00151B72" w:rsidR="004935B6">
        <w:rPr>
          <w:rFonts w:cs="Times New Roman"/>
        </w:rPr>
        <w:t>identify the</w:t>
      </w:r>
      <w:r w:rsidRPr="00151B72" w:rsidR="00E711BF">
        <w:rPr>
          <w:rFonts w:cs="Times New Roman"/>
        </w:rPr>
        <w:t xml:space="preserve"> ways in which FEMA plans to achieve Goal 1</w:t>
      </w:r>
      <w:r w:rsidRPr="00151B72" w:rsidR="007B5461">
        <w:rPr>
          <w:rFonts w:cs="Times New Roman"/>
        </w:rPr>
        <w:t>. The</w:t>
      </w:r>
      <w:r w:rsidRPr="00151B72" w:rsidR="009E510D">
        <w:rPr>
          <w:rFonts w:cs="Times New Roman"/>
        </w:rPr>
        <w:t xml:space="preserve"> data collected through these questions help the agency </w:t>
      </w:r>
      <w:r w:rsidRPr="00151B72" w:rsidR="00E711BF">
        <w:rPr>
          <w:rFonts w:cs="Times New Roman"/>
        </w:rPr>
        <w:t>in meeting these objectives by providing</w:t>
      </w:r>
      <w:r w:rsidRPr="00151B72" w:rsidR="002D650D">
        <w:rPr>
          <w:rFonts w:cs="Times New Roman"/>
        </w:rPr>
        <w:t xml:space="preserve"> relevant data about </w:t>
      </w:r>
      <w:r w:rsidRPr="00151B72" w:rsidR="007555D8">
        <w:rPr>
          <w:rFonts w:cs="Times New Roman"/>
        </w:rPr>
        <w:t xml:space="preserve">the needs, challenges, and barriers </w:t>
      </w:r>
      <w:r w:rsidRPr="00151B72" w:rsidR="002D650D">
        <w:rPr>
          <w:rFonts w:cs="Times New Roman"/>
        </w:rPr>
        <w:t xml:space="preserve">to disaster preparedness </w:t>
      </w:r>
      <w:r w:rsidRPr="00151B72" w:rsidR="007555D8">
        <w:rPr>
          <w:rFonts w:cs="Times New Roman"/>
        </w:rPr>
        <w:t xml:space="preserve">for </w:t>
      </w:r>
      <w:r w:rsidRPr="00151B72" w:rsidR="00DF73D5">
        <w:rPr>
          <w:rFonts w:cs="Times New Roman"/>
        </w:rPr>
        <w:t>several underserved communities</w:t>
      </w:r>
      <w:r w:rsidRPr="00151B72" w:rsidR="007A5DC1">
        <w:rPr>
          <w:rFonts w:cs="Times New Roman"/>
        </w:rPr>
        <w:t>.</w:t>
      </w:r>
      <w:r w:rsidRPr="00151B72" w:rsidR="00B6499E">
        <w:rPr>
          <w:rFonts w:cs="Times New Roman"/>
        </w:rPr>
        <w:t xml:space="preserve"> </w:t>
      </w:r>
    </w:p>
    <w:p w:rsidR="00EE0EFD" w:rsidRPr="00151B72" w:rsidP="00151B72" w14:paraId="694AB6CF" w14:textId="72541ADB">
      <w:pPr>
        <w:spacing w:line="276" w:lineRule="auto"/>
        <w:contextualSpacing/>
        <w:rPr>
          <w:rFonts w:cs="Times New Roman"/>
        </w:rPr>
      </w:pPr>
    </w:p>
    <w:p w:rsidR="00B3312A" w:rsidRPr="00151B72" w:rsidP="00151B72" w14:paraId="4AD7CC8E" w14:textId="19B93522">
      <w:pPr>
        <w:pStyle w:val="ListParagraph"/>
        <w:numPr>
          <w:ilvl w:val="0"/>
          <w:numId w:val="6"/>
        </w:numPr>
        <w:spacing w:line="276" w:lineRule="auto"/>
        <w:rPr>
          <w:rFonts w:cs="Times New Roman"/>
          <w:b/>
          <w:bCs/>
        </w:rPr>
      </w:pPr>
      <w:r w:rsidRPr="00151B72">
        <w:rPr>
          <w:rFonts w:cs="Times New Roman"/>
          <w:b/>
          <w:bCs/>
        </w:rPr>
        <w:t>Provide estimates of the hour burden of the collection of information.  The stat</w:t>
      </w:r>
      <w:r w:rsidRPr="00151B72" w:rsidR="006B5A7B">
        <w:rPr>
          <w:rFonts w:cs="Times New Roman"/>
          <w:b/>
          <w:bCs/>
        </w:rPr>
        <w:t>ement</w:t>
      </w:r>
      <w:r w:rsidRPr="00151B72">
        <w:rPr>
          <w:rFonts w:cs="Times New Roman"/>
          <w:b/>
          <w:bCs/>
        </w:rPr>
        <w:t xml:space="preserve"> should:</w:t>
      </w:r>
    </w:p>
    <w:p w:rsidR="00EE0EFD" w:rsidRPr="00151B72" w:rsidP="00151B72" w14:paraId="19007DA4" w14:textId="7DCD3444">
      <w:pPr>
        <w:spacing w:line="276" w:lineRule="auto"/>
        <w:contextualSpacing/>
        <w:rPr>
          <w:rFonts w:cs="Times New Roman"/>
        </w:rPr>
      </w:pPr>
    </w:p>
    <w:p w:rsidR="00B3312A" w:rsidRPr="00151B72" w:rsidP="00151B72" w14:paraId="2982763D" w14:textId="10C8F85A">
      <w:pPr>
        <w:pStyle w:val="ListParagraph"/>
        <w:numPr>
          <w:ilvl w:val="1"/>
          <w:numId w:val="6"/>
        </w:numPr>
        <w:spacing w:line="276" w:lineRule="auto"/>
        <w:rPr>
          <w:rFonts w:cs="Times New Roman"/>
          <w:b/>
          <w:bCs/>
        </w:rPr>
      </w:pPr>
      <w:r w:rsidRPr="00151B72">
        <w:rPr>
          <w:rFonts w:cs="Times New Roman"/>
          <w:b/>
          <w:bCs/>
        </w:rPr>
        <w:t xml:space="preserve">Indicate the number of respondents, frequency of response, annual hour burden, and an explanation of how the burden was estimated for each collection instrument (separately list each instrument and describe information as requested).  Unless directed to do so, agencies should not </w:t>
      </w:r>
      <w:r w:rsidRPr="00151B72">
        <w:rPr>
          <w:rFonts w:cs="Times New Roman"/>
          <w:b/>
          <w:bCs/>
        </w:rPr>
        <w:t>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E0EFD" w:rsidP="00151B72" w14:paraId="08EC548A" w14:textId="6F5E4E81">
      <w:pPr>
        <w:spacing w:line="276" w:lineRule="auto"/>
        <w:contextualSpacing/>
        <w:rPr>
          <w:rFonts w:cs="Times New Roman"/>
        </w:rPr>
      </w:pPr>
    </w:p>
    <w:p w:rsidR="00E92E11" w:rsidP="00E92E11" w14:paraId="5AA5B66C" w14:textId="77777777">
      <w:pPr>
        <w:spacing w:line="276" w:lineRule="auto"/>
        <w:contextualSpacing/>
        <w:rPr>
          <w:rFonts w:cs="Times New Roman"/>
        </w:rPr>
      </w:pPr>
      <w:r w:rsidRPr="00151B72">
        <w:rPr>
          <w:rFonts w:cs="Times New Roman"/>
          <w:b/>
          <w:bCs/>
        </w:rPr>
        <w:t>FEMA Form FF-008-FY-21-103</w:t>
      </w:r>
      <w:r>
        <w:rPr>
          <w:rFonts w:cs="Times New Roman"/>
          <w:b/>
          <w:bCs/>
        </w:rPr>
        <w:t xml:space="preserve"> (formerly 008-0-15)</w:t>
      </w:r>
      <w:r w:rsidRPr="00151B72">
        <w:rPr>
          <w:rFonts w:cs="Times New Roman"/>
          <w:b/>
          <w:bCs/>
        </w:rPr>
        <w:t>, National Household Survey on Disaster Preparedness (Phone):</w:t>
      </w:r>
      <w:r w:rsidRPr="00151B72">
        <w:rPr>
          <w:rFonts w:cs="Times New Roman"/>
        </w:rPr>
        <w:t xml:space="preserve"> is estimated to have </w:t>
      </w:r>
      <w:r>
        <w:rPr>
          <w:rFonts w:cs="Times New Roman"/>
        </w:rPr>
        <w:t>1</w:t>
      </w:r>
      <w:r w:rsidRPr="00151B72">
        <w:rPr>
          <w:rFonts w:cs="Times New Roman"/>
        </w:rPr>
        <w:t xml:space="preserve"> respondent times </w:t>
      </w:r>
      <w:r>
        <w:rPr>
          <w:rFonts w:cs="Times New Roman"/>
        </w:rPr>
        <w:t>1</w:t>
      </w:r>
      <w:r w:rsidRPr="00151B72">
        <w:rPr>
          <w:rFonts w:cs="Times New Roman"/>
        </w:rPr>
        <w:t xml:space="preserve"> response per year* for </w:t>
      </w:r>
      <w:r>
        <w:rPr>
          <w:rFonts w:cs="Times New Roman"/>
        </w:rPr>
        <w:t>1</w:t>
      </w:r>
      <w:r w:rsidRPr="00151B72">
        <w:rPr>
          <w:rFonts w:cs="Times New Roman"/>
        </w:rPr>
        <w:t xml:space="preserve"> total annual response (</w:t>
      </w:r>
      <w:r>
        <w:rPr>
          <w:rFonts w:cs="Times New Roman"/>
        </w:rPr>
        <w:t>1</w:t>
      </w:r>
      <w:r w:rsidRPr="00151B72">
        <w:rPr>
          <w:rFonts w:cs="Times New Roman"/>
        </w:rPr>
        <w:t xml:space="preserve"> </w:t>
      </w:r>
      <w:r>
        <w:rPr>
          <w:rFonts w:cs="Times New Roman"/>
        </w:rPr>
        <w:t>×</w:t>
      </w:r>
      <w:r w:rsidRPr="00151B72">
        <w:rPr>
          <w:rFonts w:cs="Times New Roman"/>
        </w:rPr>
        <w:t xml:space="preserve"> </w:t>
      </w:r>
      <w:r>
        <w:rPr>
          <w:rFonts w:cs="Times New Roman"/>
        </w:rPr>
        <w:t>1</w:t>
      </w:r>
      <w:r w:rsidRPr="00151B72">
        <w:rPr>
          <w:rFonts w:cs="Times New Roman"/>
        </w:rPr>
        <w:t xml:space="preserve"> = </w:t>
      </w:r>
      <w:r>
        <w:rPr>
          <w:rFonts w:cs="Times New Roman"/>
        </w:rPr>
        <w:t>1</w:t>
      </w:r>
      <w:r w:rsidRPr="00151B72">
        <w:rPr>
          <w:rFonts w:cs="Times New Roman"/>
        </w:rPr>
        <w:t xml:space="preserve">). </w:t>
      </w:r>
      <w:r>
        <w:rPr>
          <w:rFonts w:cs="Times New Roman"/>
        </w:rPr>
        <w:t xml:space="preserve"> </w:t>
      </w:r>
      <w:r w:rsidRPr="00151B72">
        <w:rPr>
          <w:rFonts w:cs="Times New Roman"/>
        </w:rPr>
        <w:t xml:space="preserve">It is estimated that each response will require </w:t>
      </w:r>
      <w:r>
        <w:rPr>
          <w:rFonts w:cs="Times New Roman"/>
        </w:rPr>
        <w:t>60 minutes (or 1</w:t>
      </w:r>
      <w:r w:rsidRPr="00151B72">
        <w:rPr>
          <w:rFonts w:cs="Times New Roman"/>
        </w:rPr>
        <w:t xml:space="preserve"> burden hour</w:t>
      </w:r>
      <w:r>
        <w:rPr>
          <w:rFonts w:cs="Times New Roman"/>
        </w:rPr>
        <w:t>)</w:t>
      </w:r>
      <w:r w:rsidRPr="00151B72">
        <w:rPr>
          <w:rFonts w:cs="Times New Roman"/>
        </w:rPr>
        <w:t xml:space="preserve"> to complete, therefore </w:t>
      </w:r>
      <w:r>
        <w:rPr>
          <w:rFonts w:cs="Times New Roman"/>
        </w:rPr>
        <w:t>1</w:t>
      </w:r>
      <w:r w:rsidRPr="00151B72">
        <w:rPr>
          <w:rFonts w:cs="Times New Roman"/>
        </w:rPr>
        <w:t xml:space="preserve"> responses times </w:t>
      </w:r>
      <w:r>
        <w:rPr>
          <w:rFonts w:cs="Times New Roman"/>
        </w:rPr>
        <w:t>1</w:t>
      </w:r>
      <w:r w:rsidRPr="00151B72">
        <w:rPr>
          <w:rFonts w:cs="Times New Roman"/>
        </w:rPr>
        <w:t xml:space="preserve"> hours equals </w:t>
      </w:r>
      <w:r>
        <w:rPr>
          <w:rFonts w:cs="Times New Roman"/>
        </w:rPr>
        <w:t>1</w:t>
      </w:r>
      <w:r w:rsidRPr="00151B72">
        <w:rPr>
          <w:rFonts w:cs="Times New Roman"/>
        </w:rPr>
        <w:t xml:space="preserve"> total annual burden hours (</w:t>
      </w:r>
      <w:r>
        <w:rPr>
          <w:rFonts w:cs="Times New Roman"/>
        </w:rPr>
        <w:t>1</w:t>
      </w:r>
      <w:r w:rsidRPr="00151B72">
        <w:rPr>
          <w:rFonts w:cs="Times New Roman"/>
        </w:rPr>
        <w:t xml:space="preserve"> x </w:t>
      </w:r>
      <w:r>
        <w:rPr>
          <w:rFonts w:cs="Times New Roman"/>
        </w:rPr>
        <w:t>1</w:t>
      </w:r>
      <w:r w:rsidRPr="00151B72">
        <w:rPr>
          <w:rFonts w:cs="Times New Roman"/>
        </w:rPr>
        <w:t xml:space="preserve"> = </w:t>
      </w:r>
      <w:r>
        <w:rPr>
          <w:rFonts w:cs="Times New Roman"/>
        </w:rPr>
        <w:t>1</w:t>
      </w:r>
      <w:r w:rsidRPr="00151B72">
        <w:rPr>
          <w:rFonts w:cs="Times New Roman"/>
        </w:rPr>
        <w:t xml:space="preserve">). </w:t>
      </w:r>
    </w:p>
    <w:p w:rsidR="00E92E11" w:rsidP="00E92E11" w14:paraId="225433F7" w14:textId="77777777">
      <w:pPr>
        <w:spacing w:line="276" w:lineRule="auto"/>
        <w:contextualSpacing/>
        <w:rPr>
          <w:rFonts w:cs="Times New Roman"/>
        </w:rPr>
      </w:pPr>
    </w:p>
    <w:p w:rsidR="00E92E11" w:rsidRPr="00151B72" w:rsidP="00E92E11" w14:paraId="135A3F55" w14:textId="77777777">
      <w:pPr>
        <w:spacing w:line="276" w:lineRule="auto"/>
        <w:contextualSpacing/>
        <w:rPr>
          <w:rFonts w:cs="Times New Roman"/>
          <w:b/>
          <w:bCs/>
        </w:rPr>
      </w:pPr>
      <w:r>
        <w:rPr>
          <w:rFonts w:cs="Times New Roman"/>
          <w:i/>
          <w:iCs/>
        </w:rPr>
        <w:t>*</w:t>
      </w:r>
      <w:r w:rsidRPr="00151B72">
        <w:rPr>
          <w:rFonts w:cs="Times New Roman"/>
          <w:i/>
          <w:iCs/>
        </w:rPr>
        <w:t xml:space="preserve">The phone form is included only as a backup data collection format in case a future survey vendor is unable to collect responses entirely via a web survey. </w:t>
      </w:r>
      <w:r>
        <w:rPr>
          <w:rFonts w:cs="Times New Roman"/>
          <w:i/>
          <w:iCs/>
        </w:rPr>
        <w:t>N</w:t>
      </w:r>
      <w:r w:rsidRPr="00151B72">
        <w:rPr>
          <w:rFonts w:cs="Times New Roman"/>
          <w:i/>
          <w:iCs/>
        </w:rPr>
        <w:t>o responses are anticipated</w:t>
      </w:r>
      <w:r>
        <w:rPr>
          <w:rFonts w:cs="Times New Roman"/>
          <w:i/>
          <w:iCs/>
        </w:rPr>
        <w:t>, but the minimum of one response for one burden hour is included for ROCIS</w:t>
      </w:r>
      <w:r w:rsidRPr="00151B72">
        <w:rPr>
          <w:rFonts w:cs="Times New Roman"/>
          <w:i/>
          <w:iCs/>
        </w:rPr>
        <w:t>.</w:t>
      </w:r>
    </w:p>
    <w:p w:rsidR="00E92E11" w:rsidRPr="00151B72" w:rsidP="00151B72" w14:paraId="5FD71E88" w14:textId="77777777">
      <w:pPr>
        <w:spacing w:line="276" w:lineRule="auto"/>
        <w:contextualSpacing/>
        <w:rPr>
          <w:rFonts w:cs="Times New Roman"/>
        </w:rPr>
      </w:pPr>
    </w:p>
    <w:p w:rsidR="00F92C3F" w:rsidRPr="00151B72" w:rsidP="000C1D66" w14:paraId="43579310" w14:textId="0B699543">
      <w:pPr>
        <w:spacing w:line="276" w:lineRule="auto"/>
        <w:contextualSpacing/>
        <w:rPr>
          <w:rFonts w:cs="Times New Roman"/>
        </w:rPr>
      </w:pPr>
      <w:r w:rsidRPr="00151B72">
        <w:rPr>
          <w:rFonts w:cs="Times New Roman"/>
          <w:b/>
          <w:bCs/>
        </w:rPr>
        <w:t>FEMA Form FF-</w:t>
      </w:r>
      <w:r w:rsidRPr="00151B72" w:rsidR="660C2AD8">
        <w:rPr>
          <w:rFonts w:cs="Times New Roman"/>
          <w:b/>
          <w:bCs/>
        </w:rPr>
        <w:t>008</w:t>
      </w:r>
      <w:r w:rsidRPr="00151B72">
        <w:rPr>
          <w:rFonts w:cs="Times New Roman"/>
          <w:b/>
          <w:bCs/>
        </w:rPr>
        <w:t>-FY-</w:t>
      </w:r>
      <w:r w:rsidRPr="00151B72" w:rsidR="660C2AD8">
        <w:rPr>
          <w:rFonts w:cs="Times New Roman"/>
          <w:b/>
          <w:bCs/>
        </w:rPr>
        <w:t>21</w:t>
      </w:r>
      <w:r w:rsidRPr="00151B72">
        <w:rPr>
          <w:rFonts w:cs="Times New Roman"/>
          <w:b/>
          <w:bCs/>
        </w:rPr>
        <w:t>-</w:t>
      </w:r>
      <w:r w:rsidRPr="00151B72" w:rsidR="660C2AD8">
        <w:rPr>
          <w:rFonts w:cs="Times New Roman"/>
          <w:b/>
          <w:bCs/>
        </w:rPr>
        <w:t>104</w:t>
      </w:r>
      <w:r w:rsidRPr="00151B72">
        <w:rPr>
          <w:rFonts w:cs="Times New Roman"/>
          <w:b/>
          <w:bCs/>
        </w:rPr>
        <w:t xml:space="preserve">, </w:t>
      </w:r>
      <w:r w:rsidRPr="00151B72" w:rsidR="660C2AD8">
        <w:rPr>
          <w:rFonts w:cs="Times New Roman"/>
          <w:b/>
          <w:bCs/>
        </w:rPr>
        <w:t>National Household Survey on Disaster Preparedness</w:t>
      </w:r>
      <w:r w:rsidRPr="00151B72" w:rsidR="7EEA80E2">
        <w:rPr>
          <w:rFonts w:cs="Times New Roman"/>
          <w:b/>
          <w:bCs/>
        </w:rPr>
        <w:t xml:space="preserve"> (Web)</w:t>
      </w:r>
      <w:r w:rsidRPr="00151B72">
        <w:rPr>
          <w:rFonts w:cs="Times New Roman"/>
          <w:b/>
          <w:bCs/>
        </w:rPr>
        <w:t>:</w:t>
      </w:r>
      <w:r w:rsidRPr="00151B72">
        <w:rPr>
          <w:rFonts w:cs="Times New Roman"/>
        </w:rPr>
        <w:t xml:space="preserve"> is estimated to have </w:t>
      </w:r>
      <w:r w:rsidR="006B14CB">
        <w:rPr>
          <w:rFonts w:cs="Times New Roman"/>
        </w:rPr>
        <w:t>3,750</w:t>
      </w:r>
      <w:r w:rsidRPr="00151B72">
        <w:rPr>
          <w:rFonts w:cs="Times New Roman"/>
        </w:rPr>
        <w:t xml:space="preserve"> respondents</w:t>
      </w:r>
      <w:r w:rsidRPr="00151B72" w:rsidR="3CDF8FA8">
        <w:rPr>
          <w:rFonts w:cs="Times New Roman"/>
        </w:rPr>
        <w:t xml:space="preserve"> </w:t>
      </w:r>
      <w:r w:rsidRPr="00151B72" w:rsidR="40F79F99">
        <w:rPr>
          <w:rFonts w:cs="Times New Roman"/>
        </w:rPr>
        <w:t>times</w:t>
      </w:r>
      <w:r w:rsidRPr="00151B72" w:rsidR="58F3E9A6">
        <w:rPr>
          <w:rFonts w:cs="Times New Roman"/>
        </w:rPr>
        <w:t xml:space="preserve"> </w:t>
      </w:r>
      <w:r w:rsidR="006B14CB">
        <w:rPr>
          <w:rFonts w:cs="Times New Roman"/>
        </w:rPr>
        <w:t>1</w:t>
      </w:r>
      <w:r w:rsidRPr="00151B72" w:rsidR="58F3E9A6">
        <w:rPr>
          <w:rFonts w:cs="Times New Roman"/>
        </w:rPr>
        <w:t xml:space="preserve"> </w:t>
      </w:r>
      <w:r w:rsidRPr="00151B72">
        <w:rPr>
          <w:rFonts w:cs="Times New Roman"/>
        </w:rPr>
        <w:t>response per year</w:t>
      </w:r>
      <w:r w:rsidRPr="00151B72" w:rsidR="224E6B6F">
        <w:rPr>
          <w:rFonts w:cs="Times New Roman"/>
        </w:rPr>
        <w:t>*</w:t>
      </w:r>
      <w:r w:rsidRPr="00151B72">
        <w:rPr>
          <w:rFonts w:cs="Times New Roman"/>
        </w:rPr>
        <w:t xml:space="preserve"> for </w:t>
      </w:r>
      <w:r w:rsidRPr="00151B72" w:rsidR="48DB0D44">
        <w:rPr>
          <w:rFonts w:cs="Times New Roman"/>
        </w:rPr>
        <w:t>3,750</w:t>
      </w:r>
      <w:r w:rsidRPr="00151B72">
        <w:rPr>
          <w:rFonts w:cs="Times New Roman"/>
        </w:rPr>
        <w:t xml:space="preserve"> </w:t>
      </w:r>
      <w:r w:rsidRPr="00151B72" w:rsidR="3CDF8FA8">
        <w:rPr>
          <w:rFonts w:cs="Times New Roman"/>
        </w:rPr>
        <w:t xml:space="preserve">total annual </w:t>
      </w:r>
      <w:r w:rsidRPr="00151B72">
        <w:rPr>
          <w:rFonts w:cs="Times New Roman"/>
        </w:rPr>
        <w:t>responses</w:t>
      </w:r>
      <w:r w:rsidRPr="00151B72" w:rsidR="40F79F99">
        <w:rPr>
          <w:rFonts w:cs="Times New Roman"/>
        </w:rPr>
        <w:t xml:space="preserve"> (</w:t>
      </w:r>
      <w:r w:rsidR="006B14CB">
        <w:rPr>
          <w:rFonts w:cs="Times New Roman"/>
        </w:rPr>
        <w:t>3,750</w:t>
      </w:r>
      <w:r w:rsidRPr="00151B72" w:rsidR="40F79F99">
        <w:rPr>
          <w:rFonts w:cs="Times New Roman"/>
        </w:rPr>
        <w:t xml:space="preserve"> </w:t>
      </w:r>
      <w:r w:rsidR="00085B96">
        <w:rPr>
          <w:rFonts w:cs="Times New Roman"/>
        </w:rPr>
        <w:t>×</w:t>
      </w:r>
      <w:r w:rsidRPr="00151B72" w:rsidR="40F79F99">
        <w:rPr>
          <w:rFonts w:cs="Times New Roman"/>
        </w:rPr>
        <w:t xml:space="preserve"> </w:t>
      </w:r>
      <w:r w:rsidR="006B14CB">
        <w:rPr>
          <w:rFonts w:cs="Times New Roman"/>
        </w:rPr>
        <w:t>1</w:t>
      </w:r>
      <w:r w:rsidRPr="00151B72" w:rsidR="40F79F99">
        <w:rPr>
          <w:rFonts w:cs="Times New Roman"/>
        </w:rPr>
        <w:t xml:space="preserve"> = </w:t>
      </w:r>
      <w:r w:rsidRPr="00151B72" w:rsidR="48DB0D44">
        <w:rPr>
          <w:rFonts w:cs="Times New Roman"/>
        </w:rPr>
        <w:t>3,750</w:t>
      </w:r>
      <w:r w:rsidRPr="00151B72" w:rsidR="40F79F99">
        <w:rPr>
          <w:rFonts w:cs="Times New Roman"/>
        </w:rPr>
        <w:t>)</w:t>
      </w:r>
      <w:r w:rsidRPr="00151B72">
        <w:rPr>
          <w:rFonts w:cs="Times New Roman"/>
        </w:rPr>
        <w:t>. It is estimated that each response will require</w:t>
      </w:r>
      <w:r w:rsidRPr="00151B72" w:rsidR="20D49459">
        <w:rPr>
          <w:rFonts w:cs="Times New Roman"/>
        </w:rPr>
        <w:t xml:space="preserve"> </w:t>
      </w:r>
      <w:r w:rsidR="00EB6528">
        <w:rPr>
          <w:rFonts w:cs="Times New Roman"/>
        </w:rPr>
        <w:t xml:space="preserve">20.5 minutes </w:t>
      </w:r>
      <w:r w:rsidR="00435614">
        <w:rPr>
          <w:rFonts w:cs="Times New Roman"/>
        </w:rPr>
        <w:t>(</w:t>
      </w:r>
      <w:r w:rsidR="00EB6528">
        <w:rPr>
          <w:rFonts w:cs="Times New Roman"/>
        </w:rPr>
        <w:t xml:space="preserve">or </w:t>
      </w:r>
      <w:r w:rsidRPr="00151B72" w:rsidR="48DB0D44">
        <w:rPr>
          <w:rFonts w:cs="Times New Roman"/>
        </w:rPr>
        <w:t>0.</w:t>
      </w:r>
      <w:r w:rsidRPr="00151B72" w:rsidR="00E969B6">
        <w:rPr>
          <w:rFonts w:cs="Times New Roman"/>
        </w:rPr>
        <w:t>3417</w:t>
      </w:r>
      <w:r w:rsidRPr="00151B72" w:rsidR="20D49459">
        <w:rPr>
          <w:rFonts w:cs="Times New Roman"/>
        </w:rPr>
        <w:t xml:space="preserve"> burden </w:t>
      </w:r>
      <w:r w:rsidRPr="00151B72">
        <w:rPr>
          <w:rFonts w:cs="Times New Roman"/>
        </w:rPr>
        <w:t>hours</w:t>
      </w:r>
      <w:r w:rsidR="00435614">
        <w:rPr>
          <w:rFonts w:cs="Times New Roman"/>
        </w:rPr>
        <w:t>)</w:t>
      </w:r>
      <w:r w:rsidRPr="00151B72">
        <w:rPr>
          <w:rFonts w:cs="Times New Roman"/>
        </w:rPr>
        <w:t xml:space="preserve"> to complete, </w:t>
      </w:r>
      <w:r w:rsidRPr="00151B72" w:rsidR="3CDF8FA8">
        <w:rPr>
          <w:rFonts w:cs="Times New Roman"/>
        </w:rPr>
        <w:t>therefore</w:t>
      </w:r>
      <w:r w:rsidRPr="00151B72">
        <w:rPr>
          <w:rFonts w:cs="Times New Roman"/>
        </w:rPr>
        <w:t xml:space="preserve"> </w:t>
      </w:r>
      <w:r w:rsidRPr="00151B72" w:rsidR="4B9FB495">
        <w:rPr>
          <w:rFonts w:cs="Times New Roman"/>
        </w:rPr>
        <w:t>3,750</w:t>
      </w:r>
      <w:r w:rsidRPr="00151B72" w:rsidR="20D49459">
        <w:rPr>
          <w:rFonts w:cs="Times New Roman"/>
        </w:rPr>
        <w:t xml:space="preserve"> </w:t>
      </w:r>
      <w:r w:rsidRPr="00151B72" w:rsidR="3CDF8FA8">
        <w:rPr>
          <w:rFonts w:cs="Times New Roman"/>
        </w:rPr>
        <w:t xml:space="preserve">responses </w:t>
      </w:r>
      <w:r w:rsidRPr="00151B72" w:rsidR="361280C8">
        <w:rPr>
          <w:rFonts w:cs="Times New Roman"/>
        </w:rPr>
        <w:t>times</w:t>
      </w:r>
      <w:r w:rsidRPr="00151B72" w:rsidR="3CDF8FA8">
        <w:rPr>
          <w:rFonts w:cs="Times New Roman"/>
        </w:rPr>
        <w:t xml:space="preserve"> </w:t>
      </w:r>
      <w:r w:rsidRPr="00151B72" w:rsidR="4B9FB495">
        <w:rPr>
          <w:rFonts w:cs="Times New Roman"/>
        </w:rPr>
        <w:t>0.</w:t>
      </w:r>
      <w:r w:rsidRPr="00151B72" w:rsidR="00616CA2">
        <w:rPr>
          <w:rFonts w:cs="Times New Roman"/>
        </w:rPr>
        <w:t>3417</w:t>
      </w:r>
      <w:r w:rsidRPr="00151B72" w:rsidR="20D49459">
        <w:rPr>
          <w:rFonts w:cs="Times New Roman"/>
        </w:rPr>
        <w:t xml:space="preserve"> </w:t>
      </w:r>
      <w:r w:rsidRPr="00151B72">
        <w:rPr>
          <w:rFonts w:cs="Times New Roman"/>
        </w:rPr>
        <w:t>hours</w:t>
      </w:r>
      <w:r w:rsidRPr="00151B72" w:rsidR="3CDF8FA8">
        <w:rPr>
          <w:rFonts w:cs="Times New Roman"/>
        </w:rPr>
        <w:t xml:space="preserve"> equals </w:t>
      </w:r>
      <w:r w:rsidRPr="00151B72" w:rsidR="00616CA2">
        <w:rPr>
          <w:rFonts w:cs="Times New Roman"/>
        </w:rPr>
        <w:t>1,281</w:t>
      </w:r>
      <w:r w:rsidRPr="00151B72" w:rsidR="3CDF8FA8">
        <w:rPr>
          <w:rFonts w:cs="Times New Roman"/>
        </w:rPr>
        <w:t xml:space="preserve"> total annual burden hours</w:t>
      </w:r>
      <w:r w:rsidRPr="00151B72" w:rsidR="361280C8">
        <w:rPr>
          <w:rFonts w:cs="Times New Roman"/>
        </w:rPr>
        <w:t xml:space="preserve"> (</w:t>
      </w:r>
      <w:r w:rsidRPr="00151B72" w:rsidR="4B9FB495">
        <w:rPr>
          <w:rFonts w:cs="Times New Roman"/>
        </w:rPr>
        <w:t xml:space="preserve">3,750 </w:t>
      </w:r>
      <w:r w:rsidR="0010528F">
        <w:rPr>
          <w:rFonts w:cs="Times New Roman"/>
        </w:rPr>
        <w:t>×</w:t>
      </w:r>
      <w:r w:rsidRPr="00151B72" w:rsidR="361280C8">
        <w:rPr>
          <w:rFonts w:cs="Times New Roman"/>
        </w:rPr>
        <w:t xml:space="preserve"> </w:t>
      </w:r>
      <w:r w:rsidRPr="00151B72" w:rsidR="4B9FB495">
        <w:rPr>
          <w:rFonts w:cs="Times New Roman"/>
        </w:rPr>
        <w:t>0.</w:t>
      </w:r>
      <w:r w:rsidRPr="00151B72" w:rsidR="00616CA2">
        <w:rPr>
          <w:rFonts w:cs="Times New Roman"/>
        </w:rPr>
        <w:t>3417</w:t>
      </w:r>
      <w:r w:rsidRPr="00151B72" w:rsidR="361280C8">
        <w:rPr>
          <w:rFonts w:cs="Times New Roman"/>
        </w:rPr>
        <w:t xml:space="preserve"> = </w:t>
      </w:r>
      <w:r w:rsidRPr="00151B72" w:rsidR="00616CA2">
        <w:rPr>
          <w:rFonts w:cs="Times New Roman"/>
        </w:rPr>
        <w:t>1,281</w:t>
      </w:r>
      <w:r w:rsidRPr="00151B72" w:rsidR="361280C8">
        <w:rPr>
          <w:rFonts w:cs="Times New Roman"/>
        </w:rPr>
        <w:t>)</w:t>
      </w:r>
      <w:r w:rsidRPr="00151B72" w:rsidR="3CDF8FA8">
        <w:rPr>
          <w:rFonts w:cs="Times New Roman"/>
        </w:rPr>
        <w:t>.</w:t>
      </w:r>
    </w:p>
    <w:p w:rsidR="008D3124" w:rsidRPr="00151B72" w:rsidP="000C1D66" w14:paraId="619B7865" w14:textId="77777777">
      <w:pPr>
        <w:spacing w:line="276" w:lineRule="auto"/>
        <w:contextualSpacing/>
        <w:rPr>
          <w:rFonts w:cs="Times New Roman"/>
        </w:rPr>
      </w:pPr>
    </w:p>
    <w:p w:rsidR="008D3124" w:rsidRPr="00151B72" w:rsidP="000C1D66" w14:paraId="6B13D20D" w14:textId="3EF20894">
      <w:pPr>
        <w:spacing w:line="276" w:lineRule="auto"/>
        <w:contextualSpacing/>
        <w:rPr>
          <w:rFonts w:cs="Times New Roman"/>
          <w:i/>
          <w:iCs/>
        </w:rPr>
      </w:pPr>
      <w:r w:rsidRPr="00151B72">
        <w:rPr>
          <w:rFonts w:cs="Times New Roman"/>
          <w:i/>
          <w:iCs/>
        </w:rPr>
        <w:t>*</w:t>
      </w:r>
      <w:r w:rsidRPr="00151B72" w:rsidR="007D65B6">
        <w:rPr>
          <w:rFonts w:cs="Times New Roman"/>
          <w:i/>
          <w:iCs/>
        </w:rPr>
        <w:t>T</w:t>
      </w:r>
      <w:r w:rsidRPr="00151B72">
        <w:rPr>
          <w:rFonts w:cs="Times New Roman"/>
          <w:i/>
          <w:iCs/>
        </w:rPr>
        <w:t xml:space="preserve">he </w:t>
      </w:r>
      <w:r w:rsidR="005F7D02">
        <w:rPr>
          <w:rFonts w:cs="Times New Roman"/>
          <w:i/>
          <w:iCs/>
        </w:rPr>
        <w:t>total</w:t>
      </w:r>
      <w:r w:rsidRPr="00151B72" w:rsidR="00785F36">
        <w:rPr>
          <w:rFonts w:cs="Times New Roman"/>
          <w:i/>
          <w:iCs/>
        </w:rPr>
        <w:t xml:space="preserve"> respondent </w:t>
      </w:r>
      <w:r w:rsidR="005F7D02">
        <w:rPr>
          <w:rFonts w:cs="Times New Roman"/>
          <w:i/>
          <w:iCs/>
        </w:rPr>
        <w:t xml:space="preserve">pool is </w:t>
      </w:r>
      <w:r w:rsidR="0048232D">
        <w:rPr>
          <w:rFonts w:cs="Times New Roman"/>
          <w:i/>
          <w:iCs/>
        </w:rPr>
        <w:t xml:space="preserve">7,500 people and each respondent </w:t>
      </w:r>
      <w:r w:rsidRPr="00151B72" w:rsidR="00785F36">
        <w:rPr>
          <w:rFonts w:cs="Times New Roman"/>
          <w:i/>
          <w:iCs/>
        </w:rPr>
        <w:t>is expected to take the survey once, but the survey will only be conducted every other year. Therefore, the</w:t>
      </w:r>
      <w:r w:rsidRPr="00151B72" w:rsidR="00011B18">
        <w:rPr>
          <w:rFonts w:cs="Times New Roman"/>
          <w:i/>
          <w:iCs/>
        </w:rPr>
        <w:t xml:space="preserve"> total annual number of responses </w:t>
      </w:r>
      <w:r w:rsidRPr="00151B72" w:rsidR="00011B18">
        <w:rPr>
          <w:rFonts w:cs="Times New Roman"/>
          <w:i/>
          <w:iCs/>
          <w:u w:val="single"/>
        </w:rPr>
        <w:t>per year</w:t>
      </w:r>
      <w:r w:rsidRPr="00151B72" w:rsidR="00011B18">
        <w:rPr>
          <w:rFonts w:cs="Times New Roman"/>
          <w:i/>
          <w:iCs/>
        </w:rPr>
        <w:t xml:space="preserve"> (3,750) is half the total </w:t>
      </w:r>
      <w:r w:rsidR="00CC1523">
        <w:rPr>
          <w:rFonts w:cs="Times New Roman"/>
          <w:i/>
          <w:iCs/>
        </w:rPr>
        <w:t>potential respondent pool</w:t>
      </w:r>
      <w:r w:rsidRPr="00151B72" w:rsidR="00011B18">
        <w:rPr>
          <w:rFonts w:cs="Times New Roman"/>
          <w:i/>
          <w:iCs/>
        </w:rPr>
        <w:t xml:space="preserve"> (7,500).</w:t>
      </w:r>
    </w:p>
    <w:p w:rsidR="0090301E" w:rsidRPr="00151B72" w:rsidP="000C1D66" w14:paraId="0DE6EB2C" w14:textId="157523C8">
      <w:pPr>
        <w:tabs>
          <w:tab w:val="left" w:pos="5940"/>
        </w:tabs>
        <w:spacing w:line="276" w:lineRule="auto"/>
        <w:ind w:left="1440"/>
        <w:contextualSpacing/>
        <w:rPr>
          <w:rFonts w:cs="Times New Roman"/>
        </w:rPr>
      </w:pPr>
      <w:r>
        <w:rPr>
          <w:rFonts w:cs="Times New Roman"/>
        </w:rPr>
        <w:tab/>
      </w:r>
    </w:p>
    <w:p w:rsidR="00434474" w:rsidRPr="00151B72" w:rsidP="000C1D66" w14:paraId="459B69AB" w14:textId="77777777">
      <w:pPr>
        <w:spacing w:line="276" w:lineRule="auto"/>
        <w:contextualSpacing/>
        <w:rPr>
          <w:rFonts w:cs="Times New Roman"/>
        </w:rPr>
      </w:pPr>
    </w:p>
    <w:p w:rsidR="0003449D" w:rsidRPr="00151B72" w:rsidP="000C1D66" w14:paraId="074D0BD6" w14:textId="380F4880">
      <w:pPr>
        <w:spacing w:line="276" w:lineRule="auto"/>
        <w:contextualSpacing/>
        <w:rPr>
          <w:rFonts w:cs="Times New Roman"/>
          <w:szCs w:val="24"/>
        </w:rPr>
      </w:pPr>
      <w:r w:rsidRPr="00151B72">
        <w:rPr>
          <w:rFonts w:cs="Times New Roman"/>
          <w:szCs w:val="24"/>
        </w:rPr>
        <w:t xml:space="preserve">After conducting usability testing there is a </w:t>
      </w:r>
      <w:r w:rsidRPr="00151B72" w:rsidR="00E65762">
        <w:rPr>
          <w:rFonts w:cs="Times New Roman"/>
          <w:szCs w:val="24"/>
        </w:rPr>
        <w:t>3</w:t>
      </w:r>
      <w:r w:rsidR="007C1C6A">
        <w:rPr>
          <w:rFonts w:cs="Times New Roman"/>
          <w:szCs w:val="24"/>
        </w:rPr>
        <w:t>2</w:t>
      </w:r>
      <w:r w:rsidRPr="00151B72" w:rsidR="00E65762">
        <w:rPr>
          <w:rFonts w:cs="Times New Roman"/>
          <w:szCs w:val="24"/>
        </w:rPr>
        <w:t xml:space="preserve"> hour</w:t>
      </w:r>
      <w:r w:rsidRPr="00151B72">
        <w:rPr>
          <w:rFonts w:cs="Times New Roman"/>
          <w:szCs w:val="24"/>
        </w:rPr>
        <w:t xml:space="preserve"> increase in burden on the OMB inventory.</w:t>
      </w:r>
    </w:p>
    <w:p w:rsidR="00297A64" w:rsidRPr="00151B72" w:rsidP="00151B72" w14:paraId="3C5D8827" w14:textId="77777777">
      <w:pPr>
        <w:spacing w:line="276" w:lineRule="auto"/>
        <w:contextualSpacing/>
        <w:rPr>
          <w:rFonts w:cs="Times New Roman"/>
        </w:rPr>
      </w:pPr>
    </w:p>
    <w:p w:rsidR="00B3312A" w:rsidRPr="00151B72" w:rsidP="00151B72" w14:paraId="3101610B" w14:textId="269DF36B">
      <w:pPr>
        <w:pStyle w:val="ListParagraph"/>
        <w:numPr>
          <w:ilvl w:val="1"/>
          <w:numId w:val="6"/>
        </w:numPr>
        <w:spacing w:line="276" w:lineRule="auto"/>
        <w:rPr>
          <w:rFonts w:cs="Times New Roman"/>
        </w:rPr>
      </w:pPr>
      <w:r w:rsidRPr="00151B72">
        <w:rPr>
          <w:rFonts w:cs="Times New Roman"/>
          <w:b/>
          <w:bCs/>
        </w:rPr>
        <w:t>If this request for approval covers more than one form, provide separate hour burden estimates for each form and aggregate the hour burdens in Item 13 of OMB Form 83-I</w:t>
      </w:r>
      <w:r w:rsidRPr="00151B72">
        <w:rPr>
          <w:rFonts w:cs="Times New Roman"/>
        </w:rPr>
        <w:t>.</w:t>
      </w:r>
    </w:p>
    <w:p w:rsidR="00EE0EFD" w:rsidRPr="00151B72" w:rsidP="00151B72" w14:paraId="14902824" w14:textId="6AA54346">
      <w:pPr>
        <w:spacing w:line="276" w:lineRule="auto"/>
        <w:contextualSpacing/>
        <w:rPr>
          <w:rFonts w:cs="Times New Roman"/>
        </w:rPr>
      </w:pPr>
    </w:p>
    <w:p w:rsidR="00EE0EFD" w:rsidRPr="00151B72" w:rsidP="000C1D66" w14:paraId="6112B922" w14:textId="5D0A3C50">
      <w:pPr>
        <w:spacing w:line="276" w:lineRule="auto"/>
        <w:contextualSpacing/>
        <w:rPr>
          <w:rFonts w:cs="Times New Roman"/>
        </w:rPr>
      </w:pPr>
      <w:r w:rsidRPr="00151B72">
        <w:rPr>
          <w:rFonts w:cs="Times New Roman"/>
        </w:rPr>
        <w:t>Please see our response for 12a above and 12c below.</w:t>
      </w:r>
    </w:p>
    <w:p w:rsidR="00EE0EFD" w:rsidRPr="00151B72" w:rsidP="00151B72" w14:paraId="2C854C33" w14:textId="77777777">
      <w:pPr>
        <w:spacing w:line="276" w:lineRule="auto"/>
        <w:contextualSpacing/>
        <w:rPr>
          <w:rFonts w:cs="Times New Roman"/>
        </w:rPr>
      </w:pPr>
    </w:p>
    <w:p w:rsidR="00394AE5" w:rsidRPr="00331A92" w:rsidP="00331A92" w14:paraId="249CA4F9" w14:textId="151EEE1A">
      <w:pPr>
        <w:numPr>
          <w:ilvl w:val="1"/>
          <w:numId w:val="6"/>
        </w:numPr>
        <w:spacing w:line="276" w:lineRule="auto"/>
        <w:rPr>
          <w:rFonts w:cs="Times New Roman"/>
          <w:b/>
          <w:bCs/>
          <w:szCs w:val="24"/>
        </w:rPr>
      </w:pPr>
      <w:r w:rsidRPr="00331A92">
        <w:rPr>
          <w:rFonts w:cs="Times New Roman"/>
          <w:b/>
          <w:bCs/>
          <w:szCs w:val="24"/>
        </w:rPr>
        <w:t xml:space="preserve">Provide an estimate of annualized cost to respondents for the hour burdens for collections of information, identifying and using appropriate wage rate categories.  NOTE: The wage-rate category for each respondent must be </w:t>
      </w:r>
      <w:r w:rsidRPr="00331A92">
        <w:rPr>
          <w:rFonts w:cs="Times New Roman"/>
          <w:b/>
          <w:bCs/>
          <w:szCs w:val="24"/>
        </w:rPr>
        <w:t>multiplied by 1.45 (1.61 for State and local government employees)</w:t>
      </w:r>
      <w:r w:rsidRPr="00BF7617">
        <w:rPr>
          <w:rStyle w:val="FootnoteReference"/>
          <w:rFonts w:cs="Times New Roman"/>
          <w:b/>
          <w:bCs/>
          <w:szCs w:val="24"/>
        </w:rPr>
        <w:t xml:space="preserve"> </w:t>
      </w:r>
      <w:r>
        <w:rPr>
          <w:rStyle w:val="FootnoteReference"/>
          <w:rFonts w:cs="Times New Roman"/>
          <w:b/>
          <w:bCs/>
          <w:szCs w:val="24"/>
        </w:rPr>
        <w:footnoteReference w:id="5"/>
      </w:r>
      <w:r w:rsidRPr="00331A92">
        <w:rPr>
          <w:rFonts w:cs="Times New Roman"/>
          <w:b/>
          <w:bCs/>
          <w:szCs w:val="24"/>
        </w:rPr>
        <w:t xml:space="preserve"> and this total should be entered in the cell for “Avg. Hourly Wage Rate.”  The cost to the respondents of contracting out to paying outside parties for information collection activities should not be included here.  Instead this cost should be included in Item 13.</w:t>
      </w:r>
    </w:p>
    <w:p w:rsidR="003D7CB1" w:rsidP="003D7CB1" w14:paraId="0E2FAFB8" w14:textId="77777777">
      <w:pPr>
        <w:pStyle w:val="ListParagraph"/>
        <w:spacing w:line="276" w:lineRule="auto"/>
        <w:ind w:left="1440"/>
        <w:rPr>
          <w:rFonts w:cs="Times New Roman"/>
          <w:b/>
          <w:bCs/>
        </w:rPr>
      </w:pPr>
    </w:p>
    <w:tbl>
      <w:tblPr>
        <w:tblStyle w:val="TableGrid"/>
        <w:tblW w:w="10705" w:type="dxa"/>
        <w:jc w:val="center"/>
        <w:tblLook w:val="04A0"/>
      </w:tblPr>
      <w:tblGrid>
        <w:gridCol w:w="1164"/>
        <w:gridCol w:w="1920"/>
        <w:gridCol w:w="1239"/>
        <w:gridCol w:w="1172"/>
        <w:gridCol w:w="1070"/>
        <w:gridCol w:w="1065"/>
        <w:gridCol w:w="987"/>
        <w:gridCol w:w="861"/>
        <w:gridCol w:w="1227"/>
      </w:tblGrid>
      <w:tr w14:paraId="36D083F8" w14:textId="77777777" w:rsidTr="00331A92">
        <w:tblPrEx>
          <w:tblW w:w="10705" w:type="dxa"/>
          <w:jc w:val="center"/>
          <w:tblLook w:val="04A0"/>
        </w:tblPrEx>
        <w:trPr>
          <w:jc w:val="center"/>
        </w:trPr>
        <w:tc>
          <w:tcPr>
            <w:tcW w:w="10705" w:type="dxa"/>
            <w:gridSpan w:val="9"/>
            <w:shd w:val="clear" w:color="auto" w:fill="B4C6E7" w:themeFill="accent1" w:themeFillTint="66"/>
          </w:tcPr>
          <w:p w:rsidR="006D7E41" w:rsidRPr="00C54100" w:rsidP="0026188A" w14:paraId="0EE65ED3" w14:textId="77777777">
            <w:pPr>
              <w:jc w:val="center"/>
              <w:rPr>
                <w:rFonts w:eastAsia="Calibri" w:cs="Times New Roman"/>
                <w:b/>
                <w:sz w:val="20"/>
                <w:szCs w:val="20"/>
              </w:rPr>
            </w:pPr>
            <w:r w:rsidRPr="00C54100">
              <w:rPr>
                <w:rFonts w:eastAsia="Calibri" w:cs="Times New Roman"/>
                <w:b/>
                <w:sz w:val="20"/>
                <w:szCs w:val="20"/>
              </w:rPr>
              <w:t>Estimated Annualized Burden Hours and Costs</w:t>
            </w:r>
          </w:p>
        </w:tc>
      </w:tr>
      <w:tr w14:paraId="739BF667" w14:textId="77777777" w:rsidTr="00331A92">
        <w:tblPrEx>
          <w:tblW w:w="10705" w:type="dxa"/>
          <w:jc w:val="center"/>
          <w:tblLook w:val="04A0"/>
        </w:tblPrEx>
        <w:trPr>
          <w:jc w:val="center"/>
        </w:trPr>
        <w:tc>
          <w:tcPr>
            <w:tcW w:w="1165" w:type="dxa"/>
            <w:shd w:val="clear" w:color="auto" w:fill="B4C6E7" w:themeFill="accent1" w:themeFillTint="66"/>
          </w:tcPr>
          <w:p w:rsidR="005C242B" w:rsidRPr="005E2BB2" w:rsidP="00331A92" w14:paraId="78638739" w14:textId="77777777">
            <w:pPr>
              <w:jc w:val="center"/>
              <w:rPr>
                <w:rFonts w:eastAsia="Calibri" w:cs="Times New Roman"/>
                <w:sz w:val="20"/>
                <w:szCs w:val="20"/>
              </w:rPr>
            </w:pPr>
            <w:r w:rsidRPr="005E2BB2">
              <w:rPr>
                <w:rFonts w:cs="Times New Roman"/>
                <w:sz w:val="20"/>
                <w:szCs w:val="20"/>
              </w:rPr>
              <w:t>Type of Respondent</w:t>
            </w:r>
          </w:p>
        </w:tc>
        <w:tc>
          <w:tcPr>
            <w:tcW w:w="2250" w:type="dxa"/>
            <w:shd w:val="clear" w:color="auto" w:fill="B4C6E7" w:themeFill="accent1" w:themeFillTint="66"/>
          </w:tcPr>
          <w:p w:rsidR="005C242B" w:rsidRPr="005E2BB2" w:rsidP="00331A92" w14:paraId="1D479683" w14:textId="77777777">
            <w:pPr>
              <w:jc w:val="center"/>
              <w:rPr>
                <w:rFonts w:eastAsia="Calibri" w:cs="Times New Roman"/>
                <w:sz w:val="20"/>
                <w:szCs w:val="20"/>
              </w:rPr>
            </w:pPr>
            <w:r w:rsidRPr="005E2BB2">
              <w:rPr>
                <w:rFonts w:eastAsia="Calibri" w:cs="Times New Roman"/>
                <w:sz w:val="20"/>
                <w:szCs w:val="20"/>
              </w:rPr>
              <w:t>Form Name / Form No.</w:t>
            </w:r>
          </w:p>
        </w:tc>
        <w:tc>
          <w:tcPr>
            <w:tcW w:w="690" w:type="dxa"/>
            <w:shd w:val="clear" w:color="auto" w:fill="B4C6E7" w:themeFill="accent1" w:themeFillTint="66"/>
          </w:tcPr>
          <w:p w:rsidR="005C242B" w:rsidRPr="005E2BB2" w:rsidP="00331A92" w14:paraId="5E65DC5B" w14:textId="77777777">
            <w:pPr>
              <w:jc w:val="center"/>
              <w:rPr>
                <w:rFonts w:eastAsia="Calibri" w:cs="Times New Roman"/>
                <w:sz w:val="20"/>
                <w:szCs w:val="20"/>
              </w:rPr>
            </w:pPr>
            <w:r w:rsidRPr="005E2BB2">
              <w:rPr>
                <w:rFonts w:eastAsia="Calibri" w:cs="Times New Roman"/>
                <w:sz w:val="20"/>
                <w:szCs w:val="20"/>
              </w:rPr>
              <w:t>No. of Respondents</w:t>
            </w:r>
          </w:p>
        </w:tc>
        <w:tc>
          <w:tcPr>
            <w:tcW w:w="1178" w:type="dxa"/>
            <w:shd w:val="clear" w:color="auto" w:fill="B4C6E7" w:themeFill="accent1" w:themeFillTint="66"/>
          </w:tcPr>
          <w:p w:rsidR="005C242B" w:rsidRPr="005E2BB2" w:rsidP="00331A92" w14:paraId="04C374D1" w14:textId="77777777">
            <w:pPr>
              <w:jc w:val="center"/>
              <w:rPr>
                <w:rFonts w:eastAsia="Calibri" w:cs="Times New Roman"/>
                <w:sz w:val="20"/>
                <w:szCs w:val="20"/>
              </w:rPr>
            </w:pPr>
            <w:r w:rsidRPr="005E2BB2">
              <w:rPr>
                <w:rFonts w:eastAsia="Calibri" w:cs="Times New Roman"/>
                <w:sz w:val="20"/>
                <w:szCs w:val="20"/>
              </w:rPr>
              <w:t>No. of Responses per Respondent</w:t>
            </w:r>
          </w:p>
        </w:tc>
        <w:tc>
          <w:tcPr>
            <w:tcW w:w="1075" w:type="dxa"/>
            <w:shd w:val="clear" w:color="auto" w:fill="B4C6E7" w:themeFill="accent1" w:themeFillTint="66"/>
          </w:tcPr>
          <w:p w:rsidR="005C242B" w:rsidRPr="005E2BB2" w:rsidP="00331A92" w14:paraId="59651CAA" w14:textId="77777777">
            <w:pPr>
              <w:jc w:val="center"/>
              <w:rPr>
                <w:rFonts w:eastAsia="Calibri" w:cs="Times New Roman"/>
                <w:sz w:val="20"/>
                <w:szCs w:val="20"/>
              </w:rPr>
            </w:pPr>
            <w:r w:rsidRPr="005E2BB2">
              <w:rPr>
                <w:rFonts w:eastAsia="Calibri" w:cs="Times New Roman"/>
                <w:sz w:val="20"/>
                <w:szCs w:val="20"/>
              </w:rPr>
              <w:t>Total No. of Responses</w:t>
            </w:r>
          </w:p>
        </w:tc>
        <w:tc>
          <w:tcPr>
            <w:tcW w:w="1107" w:type="dxa"/>
            <w:shd w:val="clear" w:color="auto" w:fill="B4C6E7" w:themeFill="accent1" w:themeFillTint="66"/>
          </w:tcPr>
          <w:p w:rsidR="005C242B" w:rsidRPr="005E2BB2" w:rsidP="00331A92" w14:paraId="17097C14" w14:textId="77777777">
            <w:pPr>
              <w:jc w:val="center"/>
              <w:rPr>
                <w:rFonts w:eastAsia="Calibri" w:cs="Times New Roman"/>
                <w:sz w:val="20"/>
                <w:szCs w:val="20"/>
              </w:rPr>
            </w:pPr>
            <w:r w:rsidRPr="005E2BB2">
              <w:rPr>
                <w:rFonts w:eastAsia="Calibri" w:cs="Times New Roman"/>
                <w:sz w:val="20"/>
                <w:szCs w:val="20"/>
              </w:rPr>
              <w:t>Avg. Burden per Response (in hours)</w:t>
            </w:r>
          </w:p>
        </w:tc>
        <w:tc>
          <w:tcPr>
            <w:tcW w:w="1080" w:type="dxa"/>
            <w:shd w:val="clear" w:color="auto" w:fill="B4C6E7" w:themeFill="accent1" w:themeFillTint="66"/>
          </w:tcPr>
          <w:p w:rsidR="005C242B" w:rsidRPr="005E2BB2" w:rsidP="00331A92" w14:paraId="61E9C855" w14:textId="77777777">
            <w:pPr>
              <w:jc w:val="center"/>
              <w:rPr>
                <w:rFonts w:eastAsia="Calibri" w:cs="Times New Roman"/>
                <w:sz w:val="20"/>
                <w:szCs w:val="20"/>
              </w:rPr>
            </w:pPr>
            <w:r w:rsidRPr="005E2BB2">
              <w:rPr>
                <w:rFonts w:eastAsia="Calibri" w:cs="Times New Roman"/>
                <w:sz w:val="20"/>
                <w:szCs w:val="20"/>
              </w:rPr>
              <w:t>Total Annual Burden (in hours)</w:t>
            </w:r>
          </w:p>
        </w:tc>
        <w:tc>
          <w:tcPr>
            <w:tcW w:w="900" w:type="dxa"/>
            <w:shd w:val="clear" w:color="auto" w:fill="B4C6E7" w:themeFill="accent1" w:themeFillTint="66"/>
          </w:tcPr>
          <w:p w:rsidR="005C242B" w:rsidRPr="005E2BB2" w:rsidP="00331A92" w14:paraId="60B74024" w14:textId="77777777">
            <w:pPr>
              <w:jc w:val="center"/>
              <w:rPr>
                <w:rFonts w:eastAsia="Calibri" w:cs="Times New Roman"/>
                <w:sz w:val="20"/>
                <w:szCs w:val="20"/>
              </w:rPr>
            </w:pPr>
            <w:r w:rsidRPr="005E2BB2">
              <w:rPr>
                <w:rFonts w:eastAsia="Calibri" w:cs="Times New Roman"/>
                <w:sz w:val="20"/>
                <w:szCs w:val="20"/>
              </w:rPr>
              <w:t>Avg. Hourly Wage Rate</w:t>
            </w:r>
          </w:p>
        </w:tc>
        <w:tc>
          <w:tcPr>
            <w:tcW w:w="1260" w:type="dxa"/>
            <w:shd w:val="clear" w:color="auto" w:fill="B4C6E7" w:themeFill="accent1" w:themeFillTint="66"/>
          </w:tcPr>
          <w:p w:rsidR="005C242B" w:rsidRPr="005E2BB2" w:rsidP="00331A92" w14:paraId="7124880E" w14:textId="77777777">
            <w:pPr>
              <w:jc w:val="center"/>
              <w:rPr>
                <w:rFonts w:eastAsia="Calibri" w:cs="Times New Roman"/>
                <w:sz w:val="20"/>
                <w:szCs w:val="20"/>
              </w:rPr>
            </w:pPr>
            <w:r w:rsidRPr="005E2BB2">
              <w:rPr>
                <w:rFonts w:eastAsia="Calibri" w:cs="Times New Roman"/>
                <w:sz w:val="20"/>
                <w:szCs w:val="20"/>
              </w:rPr>
              <w:t>Total Annual Respondent Cost</w:t>
            </w:r>
          </w:p>
        </w:tc>
      </w:tr>
      <w:tr w14:paraId="005A86DF" w14:textId="77777777" w:rsidTr="00331A92">
        <w:tblPrEx>
          <w:tblW w:w="10705" w:type="dxa"/>
          <w:jc w:val="center"/>
          <w:tblLook w:val="04A0"/>
        </w:tblPrEx>
        <w:trPr>
          <w:jc w:val="center"/>
        </w:trPr>
        <w:tc>
          <w:tcPr>
            <w:tcW w:w="1165" w:type="dxa"/>
            <w:vAlign w:val="center"/>
          </w:tcPr>
          <w:p w:rsidR="00A06E92" w:rsidRPr="00B25E00" w:rsidP="00A06E92" w14:paraId="7313290B" w14:textId="1E150E6C">
            <w:pPr>
              <w:rPr>
                <w:rFonts w:cs="Times New Roman"/>
                <w:sz w:val="20"/>
                <w:szCs w:val="20"/>
              </w:rPr>
            </w:pPr>
            <w:r w:rsidRPr="00B25E00">
              <w:rPr>
                <w:color w:val="000000"/>
                <w:sz w:val="20"/>
                <w:szCs w:val="20"/>
              </w:rPr>
              <w:t xml:space="preserve">Individuals and Households </w:t>
            </w:r>
          </w:p>
        </w:tc>
        <w:tc>
          <w:tcPr>
            <w:tcW w:w="2250" w:type="dxa"/>
            <w:vAlign w:val="center"/>
          </w:tcPr>
          <w:p w:rsidR="00A06E92" w:rsidRPr="00B25E00" w:rsidP="00A06E92" w14:paraId="411A86EE" w14:textId="17ADA9C9">
            <w:pPr>
              <w:rPr>
                <w:rFonts w:eastAsia="Calibri" w:cs="Times New Roman"/>
                <w:sz w:val="20"/>
                <w:szCs w:val="20"/>
              </w:rPr>
            </w:pPr>
            <w:r w:rsidRPr="00B25E00">
              <w:rPr>
                <w:color w:val="000000"/>
                <w:sz w:val="20"/>
                <w:szCs w:val="20"/>
              </w:rPr>
              <w:t>National Household Survey on Disaster Preparedness (phone) / FEMA Form FF-008-FY-21-103</w:t>
            </w:r>
            <w:r w:rsidR="005E35BB">
              <w:rPr>
                <w:color w:val="000000"/>
                <w:sz w:val="20"/>
                <w:szCs w:val="20"/>
              </w:rPr>
              <w:t xml:space="preserve"> (formerly 008-0-15)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A06E92" w:rsidRPr="00B25E00" w:rsidP="00A06E92" w14:paraId="31B71CB9" w14:textId="5E4DCB70">
            <w:pPr>
              <w:jc w:val="center"/>
              <w:rPr>
                <w:rFonts w:eastAsia="Calibri" w:cs="Times New Roman"/>
                <w:sz w:val="20"/>
                <w:szCs w:val="20"/>
              </w:rPr>
            </w:pPr>
            <w:r w:rsidRPr="00B25E00">
              <w:rPr>
                <w:color w:val="000000"/>
                <w:sz w:val="20"/>
                <w:szCs w:val="20"/>
              </w:rPr>
              <w:t>1</w:t>
            </w:r>
          </w:p>
        </w:tc>
        <w:tc>
          <w:tcPr>
            <w:tcW w:w="1178" w:type="dxa"/>
            <w:tcBorders>
              <w:top w:val="single" w:sz="4" w:space="0" w:color="auto"/>
              <w:left w:val="nil"/>
              <w:bottom w:val="single" w:sz="4" w:space="0" w:color="auto"/>
              <w:right w:val="single" w:sz="4" w:space="0" w:color="auto"/>
            </w:tcBorders>
            <w:shd w:val="clear" w:color="auto" w:fill="auto"/>
            <w:vAlign w:val="center"/>
          </w:tcPr>
          <w:p w:rsidR="00A06E92" w:rsidRPr="00B25E00" w:rsidP="00A06E92" w14:paraId="58D5AAE4" w14:textId="593F6666">
            <w:pPr>
              <w:jc w:val="center"/>
              <w:rPr>
                <w:rFonts w:eastAsia="Calibri" w:cs="Times New Roman"/>
                <w:sz w:val="20"/>
                <w:szCs w:val="20"/>
              </w:rPr>
            </w:pPr>
            <w:r w:rsidRPr="00B25E00">
              <w:rPr>
                <w:color w:val="000000"/>
                <w:sz w:val="20"/>
                <w:szCs w:val="20"/>
              </w:rPr>
              <w:t>1</w:t>
            </w:r>
          </w:p>
        </w:tc>
        <w:tc>
          <w:tcPr>
            <w:tcW w:w="1075" w:type="dxa"/>
            <w:tcBorders>
              <w:top w:val="single" w:sz="4" w:space="0" w:color="auto"/>
              <w:left w:val="nil"/>
              <w:bottom w:val="single" w:sz="4" w:space="0" w:color="auto"/>
              <w:right w:val="single" w:sz="4" w:space="0" w:color="auto"/>
            </w:tcBorders>
            <w:shd w:val="clear" w:color="auto" w:fill="auto"/>
            <w:vAlign w:val="center"/>
          </w:tcPr>
          <w:p w:rsidR="00A06E92" w:rsidRPr="00B25E00" w:rsidP="00A06E92" w14:paraId="1809C3D3" w14:textId="4EE65009">
            <w:pPr>
              <w:jc w:val="center"/>
              <w:rPr>
                <w:rFonts w:eastAsia="Calibri" w:cs="Times New Roman"/>
                <w:sz w:val="20"/>
                <w:szCs w:val="20"/>
              </w:rPr>
            </w:pPr>
            <w:r w:rsidRPr="00B25E00">
              <w:rPr>
                <w:color w:val="000000"/>
                <w:sz w:val="20"/>
                <w:szCs w:val="20"/>
              </w:rPr>
              <w:t>1</w:t>
            </w:r>
          </w:p>
        </w:tc>
        <w:tc>
          <w:tcPr>
            <w:tcW w:w="1107" w:type="dxa"/>
            <w:tcBorders>
              <w:top w:val="single" w:sz="4" w:space="0" w:color="auto"/>
              <w:left w:val="nil"/>
              <w:bottom w:val="single" w:sz="4" w:space="0" w:color="auto"/>
              <w:right w:val="single" w:sz="4" w:space="0" w:color="auto"/>
            </w:tcBorders>
            <w:shd w:val="clear" w:color="auto" w:fill="auto"/>
            <w:vAlign w:val="center"/>
          </w:tcPr>
          <w:p w:rsidR="00A06E92" w:rsidRPr="00B25E00" w:rsidP="00A06E92" w14:paraId="49AA24B5" w14:textId="50ACA492">
            <w:pPr>
              <w:jc w:val="center"/>
              <w:rPr>
                <w:rFonts w:eastAsia="Calibri" w:cs="Times New Roman"/>
                <w:sz w:val="20"/>
                <w:szCs w:val="20"/>
              </w:rPr>
            </w:pPr>
            <w:r w:rsidRPr="00B25E00">
              <w:rPr>
                <w:color w:val="000000"/>
                <w:sz w:val="20"/>
                <w:szCs w:val="20"/>
              </w:rPr>
              <w:t>1</w:t>
            </w:r>
          </w:p>
        </w:tc>
        <w:tc>
          <w:tcPr>
            <w:tcW w:w="1080" w:type="dxa"/>
            <w:tcBorders>
              <w:top w:val="single" w:sz="4" w:space="0" w:color="auto"/>
              <w:left w:val="nil"/>
              <w:bottom w:val="single" w:sz="4" w:space="0" w:color="auto"/>
              <w:right w:val="single" w:sz="4" w:space="0" w:color="auto"/>
            </w:tcBorders>
            <w:shd w:val="clear" w:color="auto" w:fill="auto"/>
            <w:vAlign w:val="center"/>
          </w:tcPr>
          <w:p w:rsidR="00A06E92" w:rsidRPr="00B25E00" w:rsidP="00A06E92" w14:paraId="1F4F104B" w14:textId="477BDA3D">
            <w:pPr>
              <w:jc w:val="center"/>
              <w:rPr>
                <w:rFonts w:eastAsia="Calibri" w:cs="Times New Roman"/>
                <w:sz w:val="20"/>
                <w:szCs w:val="20"/>
              </w:rPr>
            </w:pPr>
            <w:r w:rsidRPr="00B25E00">
              <w:rPr>
                <w:color w:val="000000"/>
                <w:sz w:val="20"/>
                <w:szCs w:val="20"/>
              </w:rPr>
              <w:t>1</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A06E92" w:rsidRPr="00B25E00" w:rsidP="00A06E92" w14:paraId="3730CD3C" w14:textId="7499461A">
            <w:pPr>
              <w:jc w:val="center"/>
              <w:rPr>
                <w:rFonts w:eastAsia="Calibri" w:cs="Times New Roman"/>
                <w:sz w:val="20"/>
                <w:szCs w:val="20"/>
              </w:rPr>
            </w:pPr>
            <w:r w:rsidRPr="00B25E00">
              <w:rPr>
                <w:color w:val="000000"/>
                <w:sz w:val="20"/>
                <w:szCs w:val="20"/>
              </w:rPr>
              <w:t>$45.65</w:t>
            </w:r>
          </w:p>
        </w:tc>
        <w:tc>
          <w:tcPr>
            <w:tcW w:w="1260" w:type="dxa"/>
            <w:tcBorders>
              <w:top w:val="single" w:sz="4" w:space="0" w:color="auto"/>
              <w:left w:val="nil"/>
              <w:bottom w:val="single" w:sz="4" w:space="0" w:color="auto"/>
              <w:right w:val="single" w:sz="4" w:space="0" w:color="auto"/>
            </w:tcBorders>
            <w:shd w:val="clear" w:color="auto" w:fill="auto"/>
            <w:vAlign w:val="center"/>
          </w:tcPr>
          <w:p w:rsidR="00A06E92" w:rsidRPr="00B25E00" w:rsidP="00A06E92" w14:paraId="663E5548" w14:textId="372355AC">
            <w:pPr>
              <w:jc w:val="center"/>
              <w:rPr>
                <w:rFonts w:eastAsia="Calibri" w:cs="Times New Roman"/>
                <w:sz w:val="20"/>
                <w:szCs w:val="20"/>
              </w:rPr>
            </w:pPr>
            <w:r w:rsidRPr="00B25E00">
              <w:rPr>
                <w:color w:val="000000"/>
                <w:sz w:val="20"/>
                <w:szCs w:val="20"/>
              </w:rPr>
              <w:t>$46</w:t>
            </w:r>
          </w:p>
        </w:tc>
      </w:tr>
      <w:tr w14:paraId="7FF0B3C4" w14:textId="77777777" w:rsidTr="00331A92">
        <w:tblPrEx>
          <w:tblW w:w="10705" w:type="dxa"/>
          <w:jc w:val="center"/>
          <w:tblLook w:val="04A0"/>
        </w:tblPrEx>
        <w:trPr>
          <w:jc w:val="center"/>
        </w:trPr>
        <w:tc>
          <w:tcPr>
            <w:tcW w:w="1165" w:type="dxa"/>
            <w:vAlign w:val="center"/>
          </w:tcPr>
          <w:p w:rsidR="00A06E92" w:rsidRPr="00B25E00" w:rsidP="00A06E92" w14:paraId="2BF4D914" w14:textId="28D6FB7C">
            <w:pPr>
              <w:rPr>
                <w:rFonts w:cs="Times New Roman"/>
                <w:sz w:val="20"/>
                <w:szCs w:val="20"/>
              </w:rPr>
            </w:pPr>
            <w:r w:rsidRPr="00B25E00">
              <w:rPr>
                <w:color w:val="000000"/>
                <w:sz w:val="20"/>
                <w:szCs w:val="20"/>
              </w:rPr>
              <w:t xml:space="preserve">Individuals and Households </w:t>
            </w:r>
          </w:p>
        </w:tc>
        <w:tc>
          <w:tcPr>
            <w:tcW w:w="2250" w:type="dxa"/>
            <w:vAlign w:val="center"/>
          </w:tcPr>
          <w:p w:rsidR="00A06E92" w:rsidRPr="00B25E00" w:rsidP="00A06E92" w14:paraId="6B38935B" w14:textId="58F05980">
            <w:pPr>
              <w:rPr>
                <w:rFonts w:eastAsia="Calibri" w:cs="Times New Roman"/>
                <w:sz w:val="20"/>
                <w:szCs w:val="20"/>
              </w:rPr>
            </w:pPr>
            <w:r w:rsidRPr="00B25E00">
              <w:rPr>
                <w:color w:val="000000"/>
                <w:sz w:val="20"/>
                <w:szCs w:val="20"/>
              </w:rPr>
              <w:t>National Household Survey on Disaster Preparedness (web) / FEMA Form FF-008-FY-21-104</w:t>
            </w:r>
          </w:p>
        </w:tc>
        <w:tc>
          <w:tcPr>
            <w:tcW w:w="690" w:type="dxa"/>
            <w:tcBorders>
              <w:top w:val="nil"/>
              <w:left w:val="single" w:sz="4" w:space="0" w:color="auto"/>
              <w:bottom w:val="single" w:sz="4" w:space="0" w:color="auto"/>
              <w:right w:val="single" w:sz="4" w:space="0" w:color="auto"/>
            </w:tcBorders>
            <w:shd w:val="clear" w:color="auto" w:fill="auto"/>
            <w:vAlign w:val="center"/>
          </w:tcPr>
          <w:p w:rsidR="00A06E92" w:rsidRPr="00B25E00" w:rsidP="00A06E92" w14:paraId="7479F008" w14:textId="7D9FB2FF">
            <w:pPr>
              <w:jc w:val="center"/>
              <w:rPr>
                <w:rFonts w:eastAsia="Calibri" w:cs="Times New Roman"/>
                <w:sz w:val="20"/>
                <w:szCs w:val="20"/>
              </w:rPr>
            </w:pPr>
            <w:r w:rsidRPr="00B25E00">
              <w:rPr>
                <w:color w:val="000000"/>
                <w:sz w:val="20"/>
                <w:szCs w:val="20"/>
              </w:rPr>
              <w:t>3,750</w:t>
            </w:r>
          </w:p>
        </w:tc>
        <w:tc>
          <w:tcPr>
            <w:tcW w:w="1178" w:type="dxa"/>
            <w:tcBorders>
              <w:top w:val="nil"/>
              <w:left w:val="nil"/>
              <w:bottom w:val="single" w:sz="4" w:space="0" w:color="auto"/>
              <w:right w:val="single" w:sz="4" w:space="0" w:color="auto"/>
            </w:tcBorders>
            <w:shd w:val="clear" w:color="auto" w:fill="auto"/>
            <w:vAlign w:val="center"/>
          </w:tcPr>
          <w:p w:rsidR="00A06E92" w:rsidRPr="00B25E00" w:rsidP="00A06E92" w14:paraId="04FA6B5B" w14:textId="4747638E">
            <w:pPr>
              <w:jc w:val="center"/>
              <w:rPr>
                <w:rFonts w:eastAsia="Calibri" w:cs="Times New Roman"/>
                <w:sz w:val="20"/>
                <w:szCs w:val="20"/>
              </w:rPr>
            </w:pPr>
            <w:r w:rsidRPr="00B25E00">
              <w:rPr>
                <w:color w:val="000000"/>
                <w:sz w:val="20"/>
                <w:szCs w:val="20"/>
              </w:rPr>
              <w:t>1</w:t>
            </w:r>
          </w:p>
        </w:tc>
        <w:tc>
          <w:tcPr>
            <w:tcW w:w="1075" w:type="dxa"/>
            <w:tcBorders>
              <w:top w:val="nil"/>
              <w:left w:val="nil"/>
              <w:bottom w:val="single" w:sz="4" w:space="0" w:color="auto"/>
              <w:right w:val="single" w:sz="4" w:space="0" w:color="auto"/>
            </w:tcBorders>
            <w:shd w:val="clear" w:color="auto" w:fill="auto"/>
            <w:vAlign w:val="center"/>
          </w:tcPr>
          <w:p w:rsidR="00A06E92" w:rsidRPr="00B25E00" w:rsidP="00A06E92" w14:paraId="15F52CB2" w14:textId="6C22BAAA">
            <w:pPr>
              <w:jc w:val="center"/>
              <w:rPr>
                <w:rFonts w:eastAsia="Calibri" w:cs="Times New Roman"/>
                <w:sz w:val="20"/>
                <w:szCs w:val="20"/>
              </w:rPr>
            </w:pPr>
            <w:r w:rsidRPr="00B25E00">
              <w:rPr>
                <w:color w:val="000000"/>
                <w:sz w:val="20"/>
                <w:szCs w:val="20"/>
              </w:rPr>
              <w:t>3,750</w:t>
            </w:r>
          </w:p>
        </w:tc>
        <w:tc>
          <w:tcPr>
            <w:tcW w:w="1107" w:type="dxa"/>
            <w:tcBorders>
              <w:top w:val="nil"/>
              <w:left w:val="nil"/>
              <w:bottom w:val="single" w:sz="4" w:space="0" w:color="auto"/>
              <w:right w:val="single" w:sz="4" w:space="0" w:color="auto"/>
            </w:tcBorders>
            <w:shd w:val="clear" w:color="auto" w:fill="auto"/>
            <w:vAlign w:val="center"/>
          </w:tcPr>
          <w:p w:rsidR="00A06E92" w:rsidRPr="00B25E00" w:rsidP="00A06E92" w14:paraId="79C069B3" w14:textId="58821339">
            <w:pPr>
              <w:jc w:val="center"/>
              <w:rPr>
                <w:rFonts w:eastAsia="Calibri" w:cs="Times New Roman"/>
                <w:sz w:val="20"/>
                <w:szCs w:val="20"/>
              </w:rPr>
            </w:pPr>
            <w:r w:rsidRPr="00B25E00">
              <w:rPr>
                <w:color w:val="000000"/>
                <w:sz w:val="20"/>
                <w:szCs w:val="20"/>
              </w:rPr>
              <w:t>0.3417</w:t>
            </w:r>
          </w:p>
        </w:tc>
        <w:tc>
          <w:tcPr>
            <w:tcW w:w="1080" w:type="dxa"/>
            <w:tcBorders>
              <w:top w:val="nil"/>
              <w:left w:val="nil"/>
              <w:bottom w:val="single" w:sz="4" w:space="0" w:color="auto"/>
              <w:right w:val="single" w:sz="4" w:space="0" w:color="auto"/>
            </w:tcBorders>
            <w:shd w:val="clear" w:color="auto" w:fill="auto"/>
            <w:vAlign w:val="center"/>
          </w:tcPr>
          <w:p w:rsidR="00A06E92" w:rsidRPr="00B25E00" w:rsidP="00A06E92" w14:paraId="65A3EB57" w14:textId="515751FF">
            <w:pPr>
              <w:jc w:val="center"/>
              <w:rPr>
                <w:rFonts w:eastAsia="Calibri" w:cs="Times New Roman"/>
                <w:sz w:val="20"/>
                <w:szCs w:val="20"/>
              </w:rPr>
            </w:pPr>
            <w:r w:rsidRPr="00B25E00">
              <w:rPr>
                <w:color w:val="000000"/>
                <w:sz w:val="20"/>
                <w:szCs w:val="20"/>
              </w:rPr>
              <w:t>1,281</w:t>
            </w:r>
          </w:p>
        </w:tc>
        <w:tc>
          <w:tcPr>
            <w:tcW w:w="900" w:type="dxa"/>
            <w:tcBorders>
              <w:top w:val="nil"/>
              <w:left w:val="nil"/>
              <w:bottom w:val="single" w:sz="4" w:space="0" w:color="auto"/>
              <w:right w:val="single" w:sz="4" w:space="0" w:color="auto"/>
            </w:tcBorders>
            <w:shd w:val="clear" w:color="000000" w:fill="FFFFFF"/>
            <w:vAlign w:val="center"/>
          </w:tcPr>
          <w:p w:rsidR="00A06E92" w:rsidRPr="00B25E00" w:rsidP="00A06E92" w14:paraId="5C88576C" w14:textId="0B5FEAD8">
            <w:pPr>
              <w:jc w:val="center"/>
              <w:rPr>
                <w:rFonts w:eastAsia="Calibri" w:cs="Times New Roman"/>
                <w:sz w:val="20"/>
                <w:szCs w:val="20"/>
              </w:rPr>
            </w:pPr>
            <w:r w:rsidRPr="00B25E00">
              <w:rPr>
                <w:color w:val="000000"/>
                <w:sz w:val="20"/>
                <w:szCs w:val="20"/>
              </w:rPr>
              <w:t>$45.65</w:t>
            </w:r>
          </w:p>
        </w:tc>
        <w:tc>
          <w:tcPr>
            <w:tcW w:w="1260" w:type="dxa"/>
            <w:tcBorders>
              <w:top w:val="nil"/>
              <w:left w:val="nil"/>
              <w:bottom w:val="single" w:sz="4" w:space="0" w:color="auto"/>
              <w:right w:val="single" w:sz="4" w:space="0" w:color="auto"/>
            </w:tcBorders>
            <w:shd w:val="clear" w:color="auto" w:fill="auto"/>
            <w:vAlign w:val="center"/>
          </w:tcPr>
          <w:p w:rsidR="00A06E92" w:rsidRPr="00B25E00" w:rsidP="00A06E92" w14:paraId="758EBCDF" w14:textId="79C12746">
            <w:pPr>
              <w:jc w:val="center"/>
              <w:rPr>
                <w:rFonts w:eastAsia="Calibri" w:cs="Times New Roman"/>
                <w:sz w:val="20"/>
                <w:szCs w:val="20"/>
              </w:rPr>
            </w:pPr>
            <w:r w:rsidRPr="00B25E00">
              <w:rPr>
                <w:color w:val="000000"/>
                <w:sz w:val="20"/>
                <w:szCs w:val="20"/>
              </w:rPr>
              <w:t>$58,478</w:t>
            </w:r>
          </w:p>
        </w:tc>
      </w:tr>
      <w:tr w14:paraId="4A874518" w14:textId="77777777" w:rsidTr="00A72675">
        <w:tblPrEx>
          <w:tblW w:w="10705" w:type="dxa"/>
          <w:jc w:val="center"/>
          <w:tblLook w:val="04A0"/>
        </w:tblPrEx>
        <w:trPr>
          <w:jc w:val="center"/>
        </w:trPr>
        <w:tc>
          <w:tcPr>
            <w:tcW w:w="1165" w:type="dxa"/>
            <w:shd w:val="clear" w:color="auto" w:fill="FFFFFF" w:themeFill="background1"/>
          </w:tcPr>
          <w:p w:rsidR="007C5D22" w:rsidRPr="00B25E00" w:rsidP="007C5D22" w14:paraId="38E7FC30" w14:textId="77777777">
            <w:pPr>
              <w:rPr>
                <w:rFonts w:eastAsia="Calibri" w:cs="Times New Roman"/>
                <w:b/>
                <w:bCs/>
                <w:color w:val="000000" w:themeColor="text1"/>
                <w:sz w:val="20"/>
                <w:szCs w:val="20"/>
              </w:rPr>
            </w:pPr>
            <w:r w:rsidRPr="00B25E00">
              <w:rPr>
                <w:rFonts w:eastAsia="Calibri" w:cs="Times New Roman"/>
                <w:b/>
                <w:bCs/>
                <w:color w:val="000000" w:themeColor="text1"/>
                <w:sz w:val="20"/>
                <w:szCs w:val="20"/>
              </w:rPr>
              <w:t>Total</w:t>
            </w:r>
          </w:p>
        </w:tc>
        <w:tc>
          <w:tcPr>
            <w:tcW w:w="2250" w:type="dxa"/>
            <w:shd w:val="clear" w:color="auto" w:fill="000000" w:themeFill="text1"/>
          </w:tcPr>
          <w:p w:rsidR="007C5D22" w:rsidRPr="00B25E00" w:rsidP="007C5D22" w14:paraId="36C29362" w14:textId="77777777">
            <w:pPr>
              <w:rPr>
                <w:rFonts w:eastAsia="Calibri" w:cs="Times New Roman"/>
                <w:b/>
                <w:bCs/>
                <w:color w:val="000000" w:themeColor="text1"/>
                <w:sz w:val="20"/>
                <w:szCs w:val="20"/>
              </w:rPr>
            </w:pPr>
          </w:p>
        </w:tc>
        <w:tc>
          <w:tcPr>
            <w:tcW w:w="690" w:type="dxa"/>
            <w:vAlign w:val="center"/>
          </w:tcPr>
          <w:p w:rsidR="007C5D22" w:rsidRPr="00331A92" w:rsidP="00B25E00" w14:paraId="619CD730" w14:textId="0A2AB433">
            <w:pPr>
              <w:jc w:val="center"/>
              <w:rPr>
                <w:rFonts w:eastAsia="Calibri" w:cs="Times New Roman"/>
                <w:b/>
                <w:bCs/>
                <w:sz w:val="20"/>
                <w:szCs w:val="20"/>
              </w:rPr>
            </w:pPr>
            <w:r w:rsidRPr="00331A92">
              <w:rPr>
                <w:rFonts w:eastAsia="Calibri" w:cs="Times New Roman"/>
                <w:b/>
                <w:bCs/>
                <w:sz w:val="20"/>
                <w:szCs w:val="20"/>
              </w:rPr>
              <w:t>3,751</w:t>
            </w:r>
          </w:p>
        </w:tc>
        <w:tc>
          <w:tcPr>
            <w:tcW w:w="1178" w:type="dxa"/>
            <w:shd w:val="clear" w:color="auto" w:fill="000000"/>
            <w:vAlign w:val="center"/>
          </w:tcPr>
          <w:p w:rsidR="007C5D22" w:rsidRPr="00331A92" w:rsidP="00B25E00" w14:paraId="58F83C4E" w14:textId="77777777">
            <w:pPr>
              <w:jc w:val="center"/>
              <w:rPr>
                <w:rFonts w:eastAsia="Calibri" w:cs="Times New Roman"/>
                <w:b/>
                <w:bCs/>
                <w:sz w:val="20"/>
                <w:szCs w:val="20"/>
              </w:rPr>
            </w:pPr>
          </w:p>
        </w:tc>
        <w:tc>
          <w:tcPr>
            <w:tcW w:w="1075" w:type="dxa"/>
            <w:vAlign w:val="center"/>
          </w:tcPr>
          <w:p w:rsidR="007C5D22" w:rsidRPr="00331A92" w:rsidP="00B25E00" w14:paraId="462E5D71" w14:textId="16E75B7A">
            <w:pPr>
              <w:jc w:val="center"/>
              <w:rPr>
                <w:rFonts w:eastAsia="Calibri" w:cs="Times New Roman"/>
                <w:b/>
                <w:bCs/>
                <w:sz w:val="20"/>
                <w:szCs w:val="20"/>
              </w:rPr>
            </w:pPr>
            <w:r w:rsidRPr="00331A92">
              <w:rPr>
                <w:rFonts w:eastAsia="Calibri" w:cs="Times New Roman"/>
                <w:b/>
                <w:bCs/>
                <w:sz w:val="20"/>
                <w:szCs w:val="20"/>
              </w:rPr>
              <w:t>3,751</w:t>
            </w:r>
          </w:p>
        </w:tc>
        <w:tc>
          <w:tcPr>
            <w:tcW w:w="1107" w:type="dxa"/>
            <w:shd w:val="clear" w:color="auto" w:fill="000000"/>
            <w:vAlign w:val="center"/>
          </w:tcPr>
          <w:p w:rsidR="007C5D22" w:rsidRPr="00331A92" w:rsidP="00B25E00" w14:paraId="7BC3A179" w14:textId="77777777">
            <w:pPr>
              <w:jc w:val="center"/>
              <w:rPr>
                <w:rFonts w:eastAsia="Calibri" w:cs="Times New Roman"/>
                <w:b/>
                <w:bCs/>
                <w:sz w:val="20"/>
                <w:szCs w:val="20"/>
              </w:rPr>
            </w:pPr>
          </w:p>
        </w:tc>
        <w:tc>
          <w:tcPr>
            <w:tcW w:w="1080" w:type="dxa"/>
            <w:vAlign w:val="center"/>
          </w:tcPr>
          <w:p w:rsidR="007C5D22" w:rsidRPr="00331A92" w:rsidP="00B25E00" w14:paraId="1B168E9A" w14:textId="6215719E">
            <w:pPr>
              <w:jc w:val="center"/>
              <w:rPr>
                <w:rFonts w:eastAsia="Calibri" w:cs="Times New Roman"/>
                <w:b/>
                <w:bCs/>
                <w:sz w:val="20"/>
                <w:szCs w:val="20"/>
              </w:rPr>
            </w:pPr>
            <w:r w:rsidRPr="00331A92">
              <w:rPr>
                <w:rFonts w:eastAsia="Calibri" w:cs="Times New Roman"/>
                <w:b/>
                <w:bCs/>
                <w:sz w:val="20"/>
                <w:szCs w:val="20"/>
              </w:rPr>
              <w:t>1,282</w:t>
            </w:r>
          </w:p>
        </w:tc>
        <w:tc>
          <w:tcPr>
            <w:tcW w:w="900" w:type="dxa"/>
            <w:shd w:val="clear" w:color="auto" w:fill="000000"/>
            <w:vAlign w:val="center"/>
          </w:tcPr>
          <w:p w:rsidR="007C5D22" w:rsidRPr="00331A92" w:rsidP="00B25E00" w14:paraId="4B69764C" w14:textId="77777777">
            <w:pPr>
              <w:jc w:val="center"/>
              <w:rPr>
                <w:rFonts w:eastAsia="Calibri" w:cs="Times New Roman"/>
                <w:b/>
                <w:bCs/>
                <w:sz w:val="20"/>
                <w:szCs w:val="20"/>
              </w:rPr>
            </w:pPr>
          </w:p>
        </w:tc>
        <w:tc>
          <w:tcPr>
            <w:tcW w:w="1260" w:type="dxa"/>
            <w:vAlign w:val="center"/>
          </w:tcPr>
          <w:p w:rsidR="007C5D22" w:rsidRPr="00331A92" w:rsidP="00B25E00" w14:paraId="27EC1EF9" w14:textId="656DFDBA">
            <w:pPr>
              <w:jc w:val="center"/>
              <w:rPr>
                <w:rFonts w:eastAsia="Calibri" w:cs="Times New Roman"/>
                <w:b/>
                <w:bCs/>
                <w:sz w:val="20"/>
                <w:szCs w:val="20"/>
              </w:rPr>
            </w:pPr>
            <w:r w:rsidRPr="00331A92">
              <w:rPr>
                <w:rFonts w:cs="Times New Roman"/>
                <w:b/>
                <w:bCs/>
                <w:sz w:val="20"/>
                <w:szCs w:val="20"/>
              </w:rPr>
              <w:t>$</w:t>
            </w:r>
            <w:r w:rsidRPr="00331A92" w:rsidR="005C447B">
              <w:rPr>
                <w:rFonts w:cs="Times New Roman"/>
                <w:b/>
                <w:bCs/>
                <w:sz w:val="20"/>
                <w:szCs w:val="20"/>
              </w:rPr>
              <w:t>58,524</w:t>
            </w:r>
          </w:p>
        </w:tc>
      </w:tr>
    </w:tbl>
    <w:p w:rsidR="00112B70" w:rsidRPr="000C1D66" w:rsidP="00112B70" w14:paraId="311105C0" w14:textId="77777777">
      <w:pPr>
        <w:spacing w:line="276" w:lineRule="auto"/>
        <w:contextualSpacing/>
        <w:rPr>
          <w:sz w:val="18"/>
          <w:szCs w:val="18"/>
        </w:rPr>
      </w:pPr>
      <w:r w:rsidRPr="000C1D66">
        <w:rPr>
          <w:sz w:val="18"/>
          <w:szCs w:val="18"/>
        </w:rPr>
        <w:t>Note:  The “Avg. Hourly Wage Rate” for each respondent include a wage multiplier to reflect a fully-loaded wage rate.</w:t>
      </w:r>
    </w:p>
    <w:p w:rsidR="00112B70" w:rsidRPr="000C1D66" w:rsidP="00112B70" w14:paraId="75165144" w14:textId="77777777">
      <w:pPr>
        <w:spacing w:line="276" w:lineRule="auto"/>
        <w:contextualSpacing/>
        <w:rPr>
          <w:sz w:val="18"/>
          <w:szCs w:val="18"/>
        </w:rPr>
      </w:pPr>
      <w:r w:rsidRPr="000C1D66">
        <w:rPr>
          <w:sz w:val="18"/>
          <w:szCs w:val="18"/>
        </w:rPr>
        <w:t>“Type of Respondent should be entered exactly as chosen in Question 3 of the OMB Form 83-I.</w:t>
      </w:r>
    </w:p>
    <w:p w:rsidR="00926982" w:rsidP="00AC49FB" w14:paraId="637EA808" w14:textId="77777777">
      <w:pPr>
        <w:spacing w:line="276" w:lineRule="auto"/>
      </w:pPr>
    </w:p>
    <w:p w:rsidR="006D6E2F" w:rsidRPr="00AD6EF4" w:rsidP="006D6E2F" w14:paraId="7E7143AB" w14:textId="77777777">
      <w:pPr>
        <w:tabs>
          <w:tab w:val="left" w:pos="-720"/>
        </w:tabs>
        <w:suppressAutoHyphens/>
        <w:rPr>
          <w:szCs w:val="24"/>
        </w:rPr>
      </w:pPr>
      <w:r w:rsidRPr="00AD6EF4">
        <w:rPr>
          <w:b/>
          <w:szCs w:val="24"/>
        </w:rPr>
        <w:t>Instruction for Wage-rate category multiplier:  Take each non-loaded “Avg. Hourly Wage Rate” from the BLS website table and multiply that number by 1.4</w:t>
      </w:r>
      <w:r>
        <w:rPr>
          <w:b/>
          <w:szCs w:val="24"/>
        </w:rPr>
        <w:t>5</w:t>
      </w:r>
      <w:r w:rsidRPr="00AD6EF4">
        <w:rPr>
          <w:b/>
          <w:szCs w:val="24"/>
        </w:rPr>
        <w:t>.  For example, a non-loaded BLS table wage rate of $42.51 would be multiplied by 1.4</w:t>
      </w:r>
      <w:r>
        <w:rPr>
          <w:b/>
          <w:szCs w:val="24"/>
        </w:rPr>
        <w:t>5</w:t>
      </w:r>
      <w:r w:rsidRPr="00AD6EF4">
        <w:rPr>
          <w:b/>
          <w:szCs w:val="24"/>
        </w:rPr>
        <w:t>, and the entry for the “Avg. Hourly Wage Rate” would be $6</w:t>
      </w:r>
      <w:r>
        <w:rPr>
          <w:b/>
          <w:szCs w:val="24"/>
        </w:rPr>
        <w:t>1.64</w:t>
      </w:r>
      <w:r w:rsidRPr="00AD6EF4">
        <w:rPr>
          <w:b/>
          <w:szCs w:val="24"/>
        </w:rPr>
        <w:t>.</w:t>
      </w:r>
    </w:p>
    <w:p w:rsidR="00926982" w:rsidP="000C1D66" w14:paraId="65D23EAE" w14:textId="44C6A899">
      <w:pPr>
        <w:spacing w:line="276" w:lineRule="auto"/>
        <w:contextualSpacing/>
      </w:pPr>
    </w:p>
    <w:p w:rsidR="00926982" w:rsidP="000C1D66" w14:paraId="143ECDB3" w14:textId="6E655CB5">
      <w:pPr>
        <w:spacing w:line="276" w:lineRule="auto"/>
        <w:contextualSpacing/>
        <w:rPr>
          <w:rFonts w:cs="Times New Roman"/>
          <w:szCs w:val="24"/>
        </w:rPr>
      </w:pPr>
      <w:r w:rsidRPr="006625E7">
        <w:rPr>
          <w:rFonts w:cs="Times New Roman"/>
          <w:szCs w:val="24"/>
        </w:rPr>
        <w:t>According to the U.S. Department of Labor, Bureau of Labor Statistics</w:t>
      </w:r>
      <w:r w:rsidR="006A4D10">
        <w:rPr>
          <w:rFonts w:cs="Times New Roman"/>
          <w:szCs w:val="24"/>
        </w:rPr>
        <w:t>,</w:t>
      </w:r>
      <w:r w:rsidRPr="006625E7">
        <w:rPr>
          <w:rFonts w:cs="Times New Roman"/>
          <w:szCs w:val="24"/>
        </w:rPr>
        <w:t xml:space="preserve"> </w:t>
      </w:r>
      <w:r w:rsidRPr="00AD6EF4" w:rsidR="00B55BCC">
        <w:t>the May 20</w:t>
      </w:r>
      <w:r w:rsidR="00B55BCC">
        <w:t>23</w:t>
      </w:r>
      <w:r w:rsidRPr="00AD6EF4" w:rsidR="00B55BCC">
        <w:t xml:space="preserve"> Occupational Employment and Wage Estimates wage rate </w:t>
      </w:r>
      <w:r w:rsidRPr="006625E7">
        <w:rPr>
          <w:rFonts w:cs="Times New Roman"/>
          <w:szCs w:val="24"/>
        </w:rPr>
        <w:t xml:space="preserve">for </w:t>
      </w:r>
      <w:r w:rsidRPr="00277C32" w:rsidR="00A035CD">
        <w:rPr>
          <w:rFonts w:cs="Times New Roman"/>
          <w:szCs w:val="24"/>
        </w:rPr>
        <w:t>All Occupations (SOC 00-0000)</w:t>
      </w:r>
      <w:r w:rsidRPr="00277C32">
        <w:rPr>
          <w:rFonts w:cs="Times New Roman"/>
          <w:szCs w:val="24"/>
        </w:rPr>
        <w:t xml:space="preserve"> </w:t>
      </w:r>
      <w:r w:rsidRPr="006625E7">
        <w:rPr>
          <w:rFonts w:cs="Times New Roman"/>
          <w:szCs w:val="24"/>
        </w:rPr>
        <w:t xml:space="preserve">is estimated to be </w:t>
      </w:r>
      <w:r w:rsidRPr="00277C32" w:rsidR="00F1153B">
        <w:rPr>
          <w:rFonts w:cs="Times New Roman"/>
          <w:szCs w:val="24"/>
        </w:rPr>
        <w:t>$</w:t>
      </w:r>
      <w:r w:rsidRPr="00277C32" w:rsidR="00F6083E">
        <w:rPr>
          <w:rFonts w:cs="Times New Roman"/>
          <w:szCs w:val="24"/>
        </w:rPr>
        <w:t xml:space="preserve">31.48 </w:t>
      </w:r>
      <w:r w:rsidRPr="006625E7">
        <w:rPr>
          <w:rFonts w:cs="Times New Roman"/>
          <w:szCs w:val="24"/>
        </w:rPr>
        <w:t>per hour</w:t>
      </w:r>
      <w:r w:rsidR="00A73CD7">
        <w:rPr>
          <w:rFonts w:cs="Times New Roman"/>
          <w:szCs w:val="24"/>
        </w:rPr>
        <w:t>.</w:t>
      </w:r>
      <w:r w:rsidRPr="00B71DC9" w:rsidR="00B71DC9">
        <w:rPr>
          <w:rStyle w:val="normaltextrun"/>
        </w:rPr>
        <w:t xml:space="preserve"> </w:t>
      </w:r>
      <w:r>
        <w:rPr>
          <w:rStyle w:val="FootnoteReference"/>
        </w:rPr>
        <w:footnoteReference w:id="6"/>
      </w:r>
      <w:r w:rsidR="00B71DC9">
        <w:rPr>
          <w:rStyle w:val="normaltextrun"/>
        </w:rPr>
        <w:t xml:space="preserve"> </w:t>
      </w:r>
      <w:r w:rsidR="00A73CD7">
        <w:rPr>
          <w:rFonts w:cs="Times New Roman"/>
          <w:szCs w:val="24"/>
        </w:rPr>
        <w:t>I</w:t>
      </w:r>
      <w:r w:rsidRPr="006625E7">
        <w:rPr>
          <w:rFonts w:cs="Times New Roman"/>
          <w:szCs w:val="24"/>
        </w:rPr>
        <w:t>ncluding the wage rate multiplier</w:t>
      </w:r>
      <w:r w:rsidR="00A73CD7">
        <w:rPr>
          <w:rFonts w:cs="Times New Roman"/>
          <w:szCs w:val="24"/>
        </w:rPr>
        <w:t xml:space="preserve"> of 1.45</w:t>
      </w:r>
      <w:r w:rsidRPr="006625E7">
        <w:rPr>
          <w:rFonts w:cs="Times New Roman"/>
          <w:szCs w:val="24"/>
        </w:rPr>
        <w:t xml:space="preserve">, </w:t>
      </w:r>
      <w:r w:rsidR="00A73CD7">
        <w:rPr>
          <w:rFonts w:cs="Times New Roman"/>
          <w:szCs w:val="24"/>
        </w:rPr>
        <w:t xml:space="preserve">the fully loaded wage rate is </w:t>
      </w:r>
      <w:r w:rsidRPr="00277C32" w:rsidR="00A73CD7">
        <w:rPr>
          <w:rFonts w:cs="Times New Roman"/>
          <w:szCs w:val="24"/>
        </w:rPr>
        <w:t>$</w:t>
      </w:r>
      <w:r w:rsidRPr="00277C32" w:rsidR="00D55B9D">
        <w:rPr>
          <w:rFonts w:cs="Times New Roman"/>
          <w:szCs w:val="24"/>
        </w:rPr>
        <w:t>45.65</w:t>
      </w:r>
      <w:r w:rsidRPr="00D55B9D" w:rsidR="00A73CD7">
        <w:rPr>
          <w:rFonts w:cs="Times New Roman"/>
          <w:szCs w:val="24"/>
        </w:rPr>
        <w:t xml:space="preserve">.  </w:t>
      </w:r>
      <w:r w:rsidR="00A73CD7">
        <w:rPr>
          <w:rFonts w:cs="Times New Roman"/>
          <w:szCs w:val="24"/>
        </w:rPr>
        <w:t>Therefore,</w:t>
      </w:r>
      <w:r w:rsidRPr="006625E7">
        <w:rPr>
          <w:rFonts w:cs="Times New Roman"/>
          <w:szCs w:val="24"/>
        </w:rPr>
        <w:t xml:space="preserve"> the estimated burden hour cost to respondents is estimated </w:t>
      </w:r>
      <w:r w:rsidRPr="000D34F9">
        <w:rPr>
          <w:rFonts w:cs="Times New Roman"/>
          <w:color w:val="000000" w:themeColor="text1"/>
          <w:szCs w:val="24"/>
        </w:rPr>
        <w:t xml:space="preserve">to be </w:t>
      </w:r>
      <w:r w:rsidRPr="00277C32" w:rsidR="00BF733E">
        <w:rPr>
          <w:rFonts w:cs="Times New Roman"/>
          <w:szCs w:val="24"/>
        </w:rPr>
        <w:t>$</w:t>
      </w:r>
      <w:r w:rsidRPr="00277C32" w:rsidR="0016576D">
        <w:rPr>
          <w:rFonts w:cs="Times New Roman"/>
          <w:szCs w:val="24"/>
        </w:rPr>
        <w:t>58,52</w:t>
      </w:r>
      <w:r w:rsidR="00987362">
        <w:rPr>
          <w:rFonts w:cs="Times New Roman"/>
          <w:szCs w:val="24"/>
        </w:rPr>
        <w:t>4</w:t>
      </w:r>
      <w:r w:rsidRPr="00277C32" w:rsidR="00BF733E">
        <w:rPr>
          <w:rFonts w:cs="Times New Roman"/>
          <w:szCs w:val="24"/>
        </w:rPr>
        <w:t xml:space="preserve"> </w:t>
      </w:r>
      <w:r w:rsidRPr="007F416A">
        <w:rPr>
          <w:rFonts w:cs="Times New Roman"/>
          <w:szCs w:val="24"/>
        </w:rPr>
        <w:t>annually</w:t>
      </w:r>
      <w:r w:rsidRPr="007F416A" w:rsidR="001F65D0">
        <w:rPr>
          <w:rFonts w:cs="Times New Roman"/>
          <w:szCs w:val="24"/>
        </w:rPr>
        <w:t xml:space="preserve"> </w:t>
      </w:r>
      <w:r w:rsidRPr="00277C32" w:rsidR="001F65D0">
        <w:rPr>
          <w:rFonts w:cs="Times New Roman"/>
          <w:szCs w:val="24"/>
        </w:rPr>
        <w:t>($</w:t>
      </w:r>
      <w:r w:rsidRPr="00277C32" w:rsidR="0085009A">
        <w:rPr>
          <w:rFonts w:cs="Times New Roman"/>
          <w:szCs w:val="24"/>
        </w:rPr>
        <w:t>45.65 × 1,282 burden hours</w:t>
      </w:r>
      <w:r w:rsidR="002B7A04">
        <w:rPr>
          <w:rFonts w:cs="Times New Roman"/>
          <w:szCs w:val="24"/>
        </w:rPr>
        <w:t xml:space="preserve"> + $1 due to rounding</w:t>
      </w:r>
      <w:r w:rsidRPr="00277C32" w:rsidR="001F65D0">
        <w:rPr>
          <w:rFonts w:cs="Times New Roman"/>
          <w:szCs w:val="24"/>
        </w:rPr>
        <w:t>)</w:t>
      </w:r>
      <w:r w:rsidRPr="007F416A">
        <w:rPr>
          <w:rFonts w:cs="Times New Roman"/>
          <w:szCs w:val="24"/>
        </w:rPr>
        <w:t>.</w:t>
      </w:r>
    </w:p>
    <w:p w:rsidR="00926982" w:rsidP="000C1D66" w14:paraId="0F88A130" w14:textId="77777777">
      <w:pPr>
        <w:spacing w:line="276" w:lineRule="auto"/>
        <w:contextualSpacing/>
      </w:pPr>
    </w:p>
    <w:p w:rsidR="003165CC" w:rsidRPr="00926982" w:rsidP="00151B72" w14:paraId="24EB33A3" w14:textId="0BDE5D8D">
      <w:pPr>
        <w:pStyle w:val="ListParagraph"/>
        <w:numPr>
          <w:ilvl w:val="0"/>
          <w:numId w:val="6"/>
        </w:numPr>
        <w:spacing w:line="276" w:lineRule="auto"/>
        <w:rPr>
          <w:b/>
          <w:bCs/>
        </w:rPr>
      </w:pPr>
      <w:r w:rsidRPr="00926982">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D91D7C" w:rsidP="000C1D66" w14:paraId="483B4A3C" w14:textId="35AAA5BB">
      <w:pPr>
        <w:spacing w:line="276" w:lineRule="auto"/>
        <w:contextualSpacing/>
      </w:pPr>
    </w:p>
    <w:p w:rsidR="00926982" w:rsidP="00926982" w14:paraId="2D003211" w14:textId="77777777">
      <w:pPr>
        <w:spacing w:line="276" w:lineRule="auto"/>
      </w:pPr>
    </w:p>
    <w:tbl>
      <w:tblPr>
        <w:tblStyle w:val="TableGrid1"/>
        <w:tblW w:w="0" w:type="auto"/>
        <w:tblLook w:val="04A0"/>
      </w:tblPr>
      <w:tblGrid>
        <w:gridCol w:w="1865"/>
        <w:gridCol w:w="1837"/>
        <w:gridCol w:w="1971"/>
        <w:gridCol w:w="1840"/>
        <w:gridCol w:w="1837"/>
      </w:tblGrid>
      <w:tr w14:paraId="715855EF" w14:textId="77777777" w:rsidTr="00331A92">
        <w:tblPrEx>
          <w:tblW w:w="0" w:type="auto"/>
          <w:tblLook w:val="04A0"/>
        </w:tblPrEx>
        <w:tc>
          <w:tcPr>
            <w:tcW w:w="9350" w:type="dxa"/>
            <w:gridSpan w:val="5"/>
            <w:shd w:val="clear" w:color="auto" w:fill="B4C6E7" w:themeFill="accent1" w:themeFillTint="66"/>
          </w:tcPr>
          <w:p w:rsidR="00D91D7C" w:rsidRPr="00B54C82" w14:paraId="01533D03" w14:textId="77777777">
            <w:pPr>
              <w:jc w:val="center"/>
              <w:rPr>
                <w:rFonts w:ascii="Times New Roman" w:eastAsia="Calibri" w:hAnsi="Times New Roman" w:cs="Times New Roman"/>
                <w:b/>
                <w:sz w:val="20"/>
                <w:szCs w:val="20"/>
                <w:highlight w:val="yellow"/>
              </w:rPr>
            </w:pPr>
            <w:r w:rsidRPr="00B54C82">
              <w:rPr>
                <w:rFonts w:ascii="Times New Roman" w:eastAsia="Calibri" w:hAnsi="Times New Roman" w:cs="Times New Roman"/>
                <w:b/>
                <w:sz w:val="20"/>
                <w:szCs w:val="20"/>
              </w:rPr>
              <w:t>Annual Cost Burden to Respondents or Recordkeepers</w:t>
            </w:r>
          </w:p>
        </w:tc>
      </w:tr>
      <w:tr w14:paraId="41B3D0E1" w14:textId="77777777" w:rsidTr="00331A92">
        <w:tblPrEx>
          <w:tblW w:w="0" w:type="auto"/>
          <w:tblLook w:val="04A0"/>
        </w:tblPrEx>
        <w:tc>
          <w:tcPr>
            <w:tcW w:w="1870" w:type="dxa"/>
            <w:shd w:val="clear" w:color="auto" w:fill="B4C6E7" w:themeFill="accent1" w:themeFillTint="66"/>
            <w:vAlign w:val="bottom"/>
          </w:tcPr>
          <w:p w:rsidR="00D91D7C" w:rsidRPr="00B9451B" w14:paraId="64E5945B" w14:textId="77777777">
            <w:pPr>
              <w:jc w:val="center"/>
              <w:rPr>
                <w:rFonts w:ascii="Times New Roman" w:eastAsia="Calibri" w:hAnsi="Times New Roman" w:cs="Times New Roman"/>
                <w:sz w:val="20"/>
                <w:szCs w:val="20"/>
              </w:rPr>
            </w:pPr>
            <w:r w:rsidRPr="00B9451B">
              <w:rPr>
                <w:rFonts w:ascii="Times New Roman" w:eastAsia="Calibri" w:hAnsi="Times New Roman" w:cs="Times New Roman"/>
                <w:sz w:val="20"/>
                <w:szCs w:val="20"/>
              </w:rPr>
              <w:t>Data Collection Activity/Instrument</w:t>
            </w:r>
          </w:p>
        </w:tc>
        <w:tc>
          <w:tcPr>
            <w:tcW w:w="1870" w:type="dxa"/>
            <w:shd w:val="clear" w:color="auto" w:fill="B4C6E7" w:themeFill="accent1" w:themeFillTint="66"/>
            <w:vAlign w:val="bottom"/>
          </w:tcPr>
          <w:p w:rsidR="00D91D7C" w:rsidRPr="00B9451B" w14:paraId="5679470A" w14:textId="77777777">
            <w:pPr>
              <w:jc w:val="center"/>
              <w:rPr>
                <w:rFonts w:ascii="Times New Roman" w:eastAsia="Calibri" w:hAnsi="Times New Roman" w:cs="Times New Roman"/>
                <w:sz w:val="20"/>
                <w:szCs w:val="20"/>
              </w:rPr>
            </w:pPr>
            <w:r w:rsidRPr="00B9451B">
              <w:rPr>
                <w:rFonts w:ascii="Times New Roman" w:eastAsia="Calibri" w:hAnsi="Times New Roman" w:cs="Times New Roman"/>
                <w:sz w:val="20"/>
                <w:szCs w:val="20"/>
              </w:rPr>
              <w:t>*Annual Capital Start-Up Cost (investments in overhead, equipment, and other one-time expenditures</w:t>
            </w:r>
          </w:p>
        </w:tc>
        <w:tc>
          <w:tcPr>
            <w:tcW w:w="1870" w:type="dxa"/>
            <w:shd w:val="clear" w:color="auto" w:fill="B4C6E7" w:themeFill="accent1" w:themeFillTint="66"/>
            <w:vAlign w:val="bottom"/>
          </w:tcPr>
          <w:p w:rsidR="00D91D7C" w:rsidRPr="00B9451B" w14:paraId="05A73EA0" w14:textId="77777777">
            <w:pPr>
              <w:jc w:val="center"/>
              <w:rPr>
                <w:rFonts w:ascii="Times New Roman" w:eastAsia="Calibri" w:hAnsi="Times New Roman" w:cs="Times New Roman"/>
                <w:sz w:val="20"/>
                <w:szCs w:val="20"/>
              </w:rPr>
            </w:pPr>
            <w:r w:rsidRPr="00B9451B">
              <w:rPr>
                <w:rFonts w:ascii="Times New Roman" w:eastAsia="Calibri" w:hAnsi="Times New Roman" w:cs="Times New Roman"/>
                <w:sz w:val="20"/>
                <w:szCs w:val="20"/>
              </w:rPr>
              <w:t>*Annual Operations and Maintenance Costs (such as recordkeeping, technical/professional services, etc.)</w:t>
            </w:r>
          </w:p>
        </w:tc>
        <w:tc>
          <w:tcPr>
            <w:tcW w:w="1870" w:type="dxa"/>
            <w:shd w:val="clear" w:color="auto" w:fill="B4C6E7" w:themeFill="accent1" w:themeFillTint="66"/>
            <w:vAlign w:val="bottom"/>
          </w:tcPr>
          <w:p w:rsidR="00D91D7C" w:rsidRPr="00B9451B" w14:paraId="7C1A3A7E" w14:textId="77777777">
            <w:pPr>
              <w:jc w:val="center"/>
              <w:rPr>
                <w:rFonts w:ascii="Times New Roman" w:eastAsia="Calibri" w:hAnsi="Times New Roman" w:cs="Times New Roman"/>
                <w:sz w:val="20"/>
                <w:szCs w:val="20"/>
              </w:rPr>
            </w:pPr>
            <w:r w:rsidRPr="00B9451B">
              <w:rPr>
                <w:rFonts w:ascii="Times New Roman" w:eastAsia="Calibri" w:hAnsi="Times New Roman" w:cs="Times New Roman"/>
                <w:sz w:val="20"/>
                <w:szCs w:val="20"/>
              </w:rPr>
              <w:t>Annual Non-Labor Cost (expenditures on training, travel, and other resources)</w:t>
            </w:r>
          </w:p>
        </w:tc>
        <w:tc>
          <w:tcPr>
            <w:tcW w:w="1870" w:type="dxa"/>
            <w:shd w:val="clear" w:color="auto" w:fill="B4C6E7" w:themeFill="accent1" w:themeFillTint="66"/>
            <w:vAlign w:val="bottom"/>
          </w:tcPr>
          <w:p w:rsidR="00D91D7C" w:rsidRPr="00B9451B" w14:paraId="1542E0B9" w14:textId="77777777">
            <w:pPr>
              <w:jc w:val="center"/>
              <w:rPr>
                <w:rFonts w:ascii="Times New Roman" w:eastAsia="Calibri" w:hAnsi="Times New Roman" w:cs="Times New Roman"/>
                <w:sz w:val="20"/>
                <w:szCs w:val="20"/>
              </w:rPr>
            </w:pPr>
            <w:r w:rsidRPr="00B9451B">
              <w:rPr>
                <w:rFonts w:ascii="Times New Roman" w:eastAsia="Calibri" w:hAnsi="Times New Roman" w:cs="Times New Roman"/>
                <w:sz w:val="20"/>
                <w:szCs w:val="20"/>
              </w:rPr>
              <w:t>Total Annual Cost to Respondents</w:t>
            </w:r>
          </w:p>
        </w:tc>
      </w:tr>
      <w:tr w14:paraId="64253DFC" w14:textId="77777777">
        <w:tblPrEx>
          <w:tblW w:w="0" w:type="auto"/>
          <w:tblLook w:val="04A0"/>
        </w:tblPrEx>
        <w:tc>
          <w:tcPr>
            <w:tcW w:w="1870" w:type="dxa"/>
          </w:tcPr>
          <w:p w:rsidR="00D91D7C" w:rsidRPr="00B9451B" w14:paraId="2A612001" w14:textId="77777777">
            <w:pPr>
              <w:rPr>
                <w:rFonts w:ascii="Times New Roman" w:eastAsia="Calibri" w:hAnsi="Times New Roman" w:cs="Times New Roman"/>
                <w:sz w:val="20"/>
                <w:szCs w:val="20"/>
              </w:rPr>
            </w:pPr>
            <w:r w:rsidRPr="00B9451B">
              <w:rPr>
                <w:rFonts w:ascii="Times New Roman" w:eastAsia="Calibri" w:hAnsi="Times New Roman" w:cs="Times New Roman"/>
                <w:sz w:val="20"/>
                <w:szCs w:val="20"/>
              </w:rPr>
              <w:t>N/A</w:t>
            </w:r>
          </w:p>
        </w:tc>
        <w:tc>
          <w:tcPr>
            <w:tcW w:w="1870" w:type="dxa"/>
            <w:vAlign w:val="center"/>
          </w:tcPr>
          <w:p w:rsidR="00D91D7C" w:rsidRPr="00B9451B" w14:paraId="6B159F27" w14:textId="77777777">
            <w:pPr>
              <w:jc w:val="right"/>
              <w:rPr>
                <w:rFonts w:ascii="Times New Roman" w:eastAsia="Calibri" w:hAnsi="Times New Roman" w:cs="Times New Roman"/>
                <w:sz w:val="20"/>
                <w:szCs w:val="20"/>
              </w:rPr>
            </w:pPr>
            <w:r w:rsidRPr="00B9451B">
              <w:rPr>
                <w:rFonts w:ascii="Times New Roman" w:eastAsia="Calibri" w:hAnsi="Times New Roman" w:cs="Times New Roman"/>
                <w:sz w:val="20"/>
                <w:szCs w:val="20"/>
              </w:rPr>
              <w:t>$0</w:t>
            </w:r>
          </w:p>
        </w:tc>
        <w:tc>
          <w:tcPr>
            <w:tcW w:w="1870" w:type="dxa"/>
            <w:vAlign w:val="center"/>
          </w:tcPr>
          <w:p w:rsidR="00D91D7C" w:rsidRPr="00B9451B" w14:paraId="37877E60" w14:textId="77777777">
            <w:pPr>
              <w:jc w:val="right"/>
              <w:rPr>
                <w:rFonts w:ascii="Times New Roman" w:eastAsia="Calibri" w:hAnsi="Times New Roman" w:cs="Times New Roman"/>
                <w:sz w:val="20"/>
                <w:szCs w:val="20"/>
              </w:rPr>
            </w:pPr>
            <w:r w:rsidRPr="00B9451B">
              <w:rPr>
                <w:rFonts w:ascii="Times New Roman" w:eastAsia="Calibri" w:hAnsi="Times New Roman" w:cs="Times New Roman"/>
                <w:sz w:val="20"/>
                <w:szCs w:val="20"/>
              </w:rPr>
              <w:t>$0</w:t>
            </w:r>
          </w:p>
        </w:tc>
        <w:tc>
          <w:tcPr>
            <w:tcW w:w="1870" w:type="dxa"/>
            <w:vAlign w:val="center"/>
          </w:tcPr>
          <w:p w:rsidR="00D91D7C" w:rsidRPr="00B9451B" w14:paraId="6407EF3B" w14:textId="77777777">
            <w:pPr>
              <w:jc w:val="right"/>
              <w:rPr>
                <w:rFonts w:ascii="Times New Roman" w:eastAsia="Calibri" w:hAnsi="Times New Roman" w:cs="Times New Roman"/>
                <w:sz w:val="20"/>
                <w:szCs w:val="20"/>
              </w:rPr>
            </w:pPr>
            <w:r w:rsidRPr="00B9451B">
              <w:rPr>
                <w:rFonts w:ascii="Times New Roman" w:eastAsia="Calibri" w:hAnsi="Times New Roman" w:cs="Times New Roman"/>
                <w:sz w:val="20"/>
                <w:szCs w:val="20"/>
              </w:rPr>
              <w:t>$0</w:t>
            </w:r>
          </w:p>
        </w:tc>
        <w:tc>
          <w:tcPr>
            <w:tcW w:w="1870" w:type="dxa"/>
            <w:vAlign w:val="center"/>
          </w:tcPr>
          <w:p w:rsidR="00D91D7C" w:rsidRPr="00B9451B" w14:paraId="1F7199C8" w14:textId="77777777">
            <w:pPr>
              <w:jc w:val="right"/>
              <w:rPr>
                <w:rFonts w:ascii="Times New Roman" w:eastAsia="Calibri" w:hAnsi="Times New Roman" w:cs="Times New Roman"/>
                <w:sz w:val="20"/>
                <w:szCs w:val="20"/>
              </w:rPr>
            </w:pPr>
            <w:r w:rsidRPr="00B9451B">
              <w:rPr>
                <w:rFonts w:ascii="Times New Roman" w:eastAsia="Calibri" w:hAnsi="Times New Roman" w:cs="Times New Roman"/>
                <w:sz w:val="20"/>
                <w:szCs w:val="20"/>
              </w:rPr>
              <w:t>$0</w:t>
            </w:r>
          </w:p>
        </w:tc>
      </w:tr>
      <w:tr w14:paraId="75A47E13" w14:textId="77777777">
        <w:tblPrEx>
          <w:tblW w:w="0" w:type="auto"/>
          <w:tblLook w:val="04A0"/>
        </w:tblPrEx>
        <w:tc>
          <w:tcPr>
            <w:tcW w:w="1870" w:type="dxa"/>
          </w:tcPr>
          <w:p w:rsidR="00D91D7C" w:rsidRPr="00B9451B" w14:paraId="03C7CC76" w14:textId="77777777">
            <w:pPr>
              <w:rPr>
                <w:rFonts w:ascii="Times New Roman" w:eastAsia="Calibri" w:hAnsi="Times New Roman" w:cs="Times New Roman"/>
                <w:b/>
                <w:sz w:val="20"/>
                <w:szCs w:val="20"/>
              </w:rPr>
            </w:pPr>
            <w:r w:rsidRPr="00B9451B">
              <w:rPr>
                <w:rFonts w:ascii="Times New Roman" w:eastAsia="Calibri" w:hAnsi="Times New Roman" w:cs="Times New Roman"/>
                <w:b/>
                <w:sz w:val="20"/>
                <w:szCs w:val="20"/>
              </w:rPr>
              <w:t>Total</w:t>
            </w:r>
          </w:p>
        </w:tc>
        <w:tc>
          <w:tcPr>
            <w:tcW w:w="1870" w:type="dxa"/>
            <w:vAlign w:val="center"/>
          </w:tcPr>
          <w:p w:rsidR="00D91D7C" w:rsidRPr="00B9451B" w14:paraId="22FB6B2A" w14:textId="77777777">
            <w:pPr>
              <w:jc w:val="right"/>
              <w:rPr>
                <w:rFonts w:ascii="Times New Roman" w:eastAsia="Calibri" w:hAnsi="Times New Roman" w:cs="Times New Roman"/>
                <w:sz w:val="20"/>
                <w:szCs w:val="20"/>
              </w:rPr>
            </w:pPr>
            <w:r w:rsidRPr="00B9451B">
              <w:rPr>
                <w:rFonts w:ascii="Times New Roman" w:eastAsia="Calibri" w:hAnsi="Times New Roman" w:cs="Times New Roman"/>
                <w:sz w:val="20"/>
                <w:szCs w:val="20"/>
              </w:rPr>
              <w:t>$0</w:t>
            </w:r>
          </w:p>
        </w:tc>
        <w:tc>
          <w:tcPr>
            <w:tcW w:w="1870" w:type="dxa"/>
            <w:vAlign w:val="center"/>
          </w:tcPr>
          <w:p w:rsidR="00D91D7C" w:rsidRPr="00B9451B" w14:paraId="224AE8C0" w14:textId="77777777">
            <w:pPr>
              <w:jc w:val="right"/>
              <w:rPr>
                <w:rFonts w:ascii="Times New Roman" w:eastAsia="Calibri" w:hAnsi="Times New Roman" w:cs="Times New Roman"/>
                <w:sz w:val="20"/>
                <w:szCs w:val="20"/>
              </w:rPr>
            </w:pPr>
            <w:r w:rsidRPr="00B9451B">
              <w:rPr>
                <w:rFonts w:ascii="Times New Roman" w:eastAsia="Calibri" w:hAnsi="Times New Roman" w:cs="Times New Roman"/>
                <w:sz w:val="20"/>
                <w:szCs w:val="20"/>
              </w:rPr>
              <w:t>$0</w:t>
            </w:r>
          </w:p>
        </w:tc>
        <w:tc>
          <w:tcPr>
            <w:tcW w:w="1870" w:type="dxa"/>
            <w:vAlign w:val="center"/>
          </w:tcPr>
          <w:p w:rsidR="00D91D7C" w:rsidRPr="00B9451B" w14:paraId="2ECFD3F6" w14:textId="77777777">
            <w:pPr>
              <w:jc w:val="right"/>
              <w:rPr>
                <w:rFonts w:ascii="Times New Roman" w:eastAsia="Calibri" w:hAnsi="Times New Roman" w:cs="Times New Roman"/>
                <w:sz w:val="20"/>
                <w:szCs w:val="20"/>
              </w:rPr>
            </w:pPr>
            <w:r w:rsidRPr="00B9451B">
              <w:rPr>
                <w:rFonts w:ascii="Times New Roman" w:eastAsia="Calibri" w:hAnsi="Times New Roman" w:cs="Times New Roman"/>
                <w:sz w:val="20"/>
                <w:szCs w:val="20"/>
              </w:rPr>
              <w:t>$0</w:t>
            </w:r>
          </w:p>
        </w:tc>
        <w:tc>
          <w:tcPr>
            <w:tcW w:w="1870" w:type="dxa"/>
            <w:vAlign w:val="center"/>
          </w:tcPr>
          <w:p w:rsidR="00D91D7C" w:rsidRPr="00B9451B" w14:paraId="76033F68" w14:textId="77777777">
            <w:pPr>
              <w:jc w:val="right"/>
              <w:rPr>
                <w:rFonts w:ascii="Times New Roman" w:eastAsia="Calibri" w:hAnsi="Times New Roman" w:cs="Times New Roman"/>
                <w:sz w:val="20"/>
                <w:szCs w:val="20"/>
              </w:rPr>
            </w:pPr>
            <w:r w:rsidRPr="00B9451B">
              <w:rPr>
                <w:rFonts w:ascii="Times New Roman" w:eastAsia="Calibri" w:hAnsi="Times New Roman" w:cs="Times New Roman"/>
                <w:sz w:val="20"/>
                <w:szCs w:val="20"/>
              </w:rPr>
              <w:t>$0</w:t>
            </w:r>
          </w:p>
        </w:tc>
      </w:tr>
    </w:tbl>
    <w:p w:rsidR="00D91D7C" w:rsidP="000C1D66" w14:paraId="7281C47B" w14:textId="77777777">
      <w:pPr>
        <w:spacing w:line="276" w:lineRule="auto"/>
        <w:contextualSpacing/>
      </w:pPr>
    </w:p>
    <w:p w:rsidR="00AC49FB" w:rsidRPr="00926982" w:rsidP="00151B72" w14:paraId="02AC0342" w14:textId="01D7A0AA">
      <w:pPr>
        <w:pStyle w:val="ListParagraph"/>
        <w:spacing w:line="276" w:lineRule="auto"/>
        <w:rPr>
          <w:b/>
          <w:bCs/>
        </w:rPr>
      </w:pPr>
      <w:r w:rsidRPr="00926982">
        <w:rPr>
          <w:b/>
          <w:bCs/>
        </w:rPr>
        <w:t>The cost estimates should be split into two components:</w:t>
      </w:r>
    </w:p>
    <w:p w:rsidR="00926982" w:rsidP="000C1D66" w14:paraId="31A592EA" w14:textId="77777777">
      <w:pPr>
        <w:spacing w:line="276" w:lineRule="auto"/>
        <w:contextualSpacing/>
      </w:pPr>
    </w:p>
    <w:p w:rsidR="00AC49FB" w:rsidP="00151B72" w14:paraId="4E598FF2" w14:textId="353448FC">
      <w:pPr>
        <w:pStyle w:val="ListParagraph"/>
        <w:numPr>
          <w:ilvl w:val="1"/>
          <w:numId w:val="6"/>
        </w:numPr>
        <w:spacing w:line="276" w:lineRule="auto"/>
      </w:pPr>
      <w:r w:rsidRPr="00926982">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t>.</w:t>
      </w:r>
    </w:p>
    <w:p w:rsidR="00D91D7C" w:rsidRPr="000C1D66" w:rsidP="000C1D66" w14:paraId="44CBA4C0" w14:textId="77777777">
      <w:pPr>
        <w:spacing w:line="276" w:lineRule="auto"/>
        <w:contextualSpacing/>
        <w:rPr>
          <w:b/>
          <w:bCs/>
        </w:rPr>
      </w:pPr>
    </w:p>
    <w:p w:rsidR="00D91D7C" w:rsidRPr="00B671BA" w:rsidP="000C1D66" w14:paraId="537C2C9F" w14:textId="3DFC6E2E">
      <w:pPr>
        <w:spacing w:line="276" w:lineRule="auto"/>
        <w:contextualSpacing/>
        <w:rPr>
          <w:bCs/>
        </w:rPr>
      </w:pPr>
      <w:r w:rsidRPr="00B671BA">
        <w:rPr>
          <w:bCs/>
        </w:rPr>
        <w:t xml:space="preserve">There are no </w:t>
      </w:r>
      <w:r w:rsidR="00B671BA">
        <w:rPr>
          <w:bCs/>
        </w:rPr>
        <w:t>operation</w:t>
      </w:r>
      <w:r w:rsidRPr="00B671BA">
        <w:rPr>
          <w:bCs/>
        </w:rPr>
        <w:t xml:space="preserve"> or maintenance costs associated with this information collection.</w:t>
      </w:r>
    </w:p>
    <w:p w:rsidR="00926982" w:rsidP="000C1D66" w14:paraId="31E0CDC7" w14:textId="77777777">
      <w:pPr>
        <w:spacing w:line="276" w:lineRule="auto"/>
        <w:contextualSpacing/>
      </w:pPr>
    </w:p>
    <w:p w:rsidR="00AC49FB" w:rsidP="00151B72" w14:paraId="29914388" w14:textId="723C69BA">
      <w:pPr>
        <w:pStyle w:val="ListParagraph"/>
        <w:numPr>
          <w:ilvl w:val="1"/>
          <w:numId w:val="6"/>
        </w:numPr>
        <w:spacing w:line="276" w:lineRule="auto"/>
        <w:rPr>
          <w:b/>
          <w:bCs/>
        </w:rPr>
      </w:pPr>
      <w:r w:rsidRPr="00926982">
        <w:rPr>
          <w:b/>
          <w:bCs/>
        </w:rPr>
        <w:t>Capital and Start-Up Cost should include, among other items, preparations for collecting information such as purchasing computers and software, monitoring sampling, drilling and testing equipment, and record storge facilities.</w:t>
      </w:r>
    </w:p>
    <w:p w:rsidR="00150FC9" w:rsidRPr="000C1D66" w:rsidP="000C1D66" w14:paraId="7D6CF65B" w14:textId="77777777">
      <w:pPr>
        <w:spacing w:line="276" w:lineRule="auto"/>
        <w:contextualSpacing/>
        <w:rPr>
          <w:b/>
          <w:bCs/>
        </w:rPr>
      </w:pPr>
    </w:p>
    <w:p w:rsidR="00150FC9" w:rsidRPr="00150FC9" w:rsidP="000C1D66" w14:paraId="621C942A" w14:textId="253AFBF6">
      <w:pPr>
        <w:spacing w:line="276" w:lineRule="auto"/>
        <w:contextualSpacing/>
        <w:rPr>
          <w:bCs/>
        </w:rPr>
      </w:pPr>
      <w:r w:rsidRPr="004B3931">
        <w:rPr>
          <w:bCs/>
        </w:rPr>
        <w:t>There are no capital</w:t>
      </w:r>
      <w:r w:rsidR="00B671BA">
        <w:rPr>
          <w:bCs/>
        </w:rPr>
        <w:t xml:space="preserve"> or</w:t>
      </w:r>
      <w:r w:rsidRPr="004B3931">
        <w:rPr>
          <w:bCs/>
        </w:rPr>
        <w:t xml:space="preserve"> start-up costs associated with this information collection.</w:t>
      </w:r>
    </w:p>
    <w:p w:rsidR="00DC32C7" w:rsidP="000C1D66" w14:paraId="60E62D31" w14:textId="77777777">
      <w:pPr>
        <w:spacing w:line="276" w:lineRule="auto"/>
        <w:contextualSpacing/>
      </w:pPr>
    </w:p>
    <w:p w:rsidR="00AC49FB" w:rsidRPr="00926982" w:rsidP="00151B72" w14:paraId="798B4846" w14:textId="1205EBE0">
      <w:pPr>
        <w:pStyle w:val="ListParagraph"/>
        <w:numPr>
          <w:ilvl w:val="0"/>
          <w:numId w:val="6"/>
        </w:numPr>
        <w:spacing w:line="276" w:lineRule="auto"/>
        <w:rPr>
          <w:b/>
          <w:bCs/>
        </w:rPr>
      </w:pPr>
      <w:r w:rsidRPr="00926982">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CB6292" w14:paraId="37FA7925" w14:textId="63E5ED80">
      <w:r>
        <w:br w:type="page"/>
      </w:r>
    </w:p>
    <w:tbl>
      <w:tblPr>
        <w:tblStyle w:val="TableGrid2"/>
        <w:tblW w:w="0" w:type="auto"/>
        <w:tblLook w:val="04A0"/>
      </w:tblPr>
      <w:tblGrid>
        <w:gridCol w:w="7375"/>
        <w:gridCol w:w="1975"/>
      </w:tblGrid>
      <w:tr w14:paraId="0856EAFA" w14:textId="77777777" w:rsidTr="00331A92">
        <w:tblPrEx>
          <w:tblW w:w="0" w:type="auto"/>
          <w:tblLook w:val="04A0"/>
        </w:tblPrEx>
        <w:tc>
          <w:tcPr>
            <w:tcW w:w="9350" w:type="dxa"/>
            <w:gridSpan w:val="2"/>
            <w:shd w:val="clear" w:color="auto" w:fill="B4C6E7" w:themeFill="accent1" w:themeFillTint="66"/>
          </w:tcPr>
          <w:p w:rsidR="009A4214" w:rsidRPr="00C764DB" w:rsidP="002A2783" w14:paraId="0CBEA1EE" w14:textId="77777777">
            <w:pPr>
              <w:jc w:val="center"/>
              <w:rPr>
                <w:rFonts w:ascii="Times New Roman" w:eastAsia="Calibri" w:hAnsi="Times New Roman" w:cs="Times New Roman"/>
                <w:b/>
                <w:sz w:val="20"/>
                <w:szCs w:val="20"/>
              </w:rPr>
            </w:pPr>
            <w:bookmarkStart w:id="2" w:name="_Hlk51849777"/>
            <w:r w:rsidRPr="00C764DB">
              <w:rPr>
                <w:rFonts w:ascii="Times New Roman" w:eastAsia="Calibri" w:hAnsi="Times New Roman" w:cs="Times New Roman"/>
                <w:b/>
                <w:sz w:val="20"/>
                <w:szCs w:val="20"/>
              </w:rPr>
              <w:t>Annual Cost to the Federal Government</w:t>
            </w:r>
          </w:p>
        </w:tc>
      </w:tr>
      <w:tr w14:paraId="50860DAE" w14:textId="77777777" w:rsidTr="00331A92">
        <w:tblPrEx>
          <w:tblW w:w="0" w:type="auto"/>
          <w:tblLook w:val="04A0"/>
        </w:tblPrEx>
        <w:tc>
          <w:tcPr>
            <w:tcW w:w="7375" w:type="dxa"/>
            <w:shd w:val="clear" w:color="auto" w:fill="B4C6E7" w:themeFill="accent1" w:themeFillTint="66"/>
          </w:tcPr>
          <w:p w:rsidR="009A4214" w:rsidRPr="00331A92" w:rsidP="002A2783" w14:paraId="09811F30" w14:textId="77777777">
            <w:pPr>
              <w:jc w:val="center"/>
              <w:rPr>
                <w:rFonts w:ascii="Times New Roman" w:eastAsia="Calibri" w:hAnsi="Times New Roman" w:cs="Times New Roman"/>
                <w:b/>
                <w:sz w:val="18"/>
                <w:szCs w:val="18"/>
              </w:rPr>
            </w:pPr>
            <w:r w:rsidRPr="00331A92">
              <w:rPr>
                <w:rFonts w:ascii="Times New Roman" w:eastAsia="Calibri" w:hAnsi="Times New Roman" w:cs="Times New Roman"/>
                <w:b/>
                <w:sz w:val="18"/>
                <w:szCs w:val="18"/>
              </w:rPr>
              <w:t>Item</w:t>
            </w:r>
          </w:p>
        </w:tc>
        <w:tc>
          <w:tcPr>
            <w:tcW w:w="1975" w:type="dxa"/>
            <w:shd w:val="clear" w:color="auto" w:fill="B4C6E7" w:themeFill="accent1" w:themeFillTint="66"/>
          </w:tcPr>
          <w:p w:rsidR="009A4214" w:rsidRPr="00331A92" w:rsidP="002A2783" w14:paraId="399627EA" w14:textId="77777777">
            <w:pPr>
              <w:jc w:val="center"/>
              <w:rPr>
                <w:rFonts w:ascii="Times New Roman" w:eastAsia="Calibri" w:hAnsi="Times New Roman" w:cs="Times New Roman"/>
                <w:b/>
                <w:sz w:val="18"/>
                <w:szCs w:val="18"/>
              </w:rPr>
            </w:pPr>
            <w:r w:rsidRPr="00331A92">
              <w:rPr>
                <w:rFonts w:ascii="Times New Roman" w:eastAsia="Calibri" w:hAnsi="Times New Roman" w:cs="Times New Roman"/>
                <w:b/>
                <w:sz w:val="18"/>
                <w:szCs w:val="18"/>
              </w:rPr>
              <w:t>Cost ($)</w:t>
            </w:r>
          </w:p>
        </w:tc>
      </w:tr>
      <w:tr w14:paraId="5898696B" w14:textId="77777777" w:rsidTr="002A2783">
        <w:tblPrEx>
          <w:tblW w:w="0" w:type="auto"/>
          <w:tblLook w:val="04A0"/>
        </w:tblPrEx>
        <w:tc>
          <w:tcPr>
            <w:tcW w:w="7375" w:type="dxa"/>
          </w:tcPr>
          <w:p w:rsidR="009A4214" w:rsidRPr="00331A92" w:rsidP="002A2783" w14:paraId="41C7A59A" w14:textId="77777777">
            <w:pPr>
              <w:rPr>
                <w:rFonts w:ascii="Times New Roman" w:eastAsia="Calibri" w:hAnsi="Times New Roman" w:cs="Times New Roman"/>
                <w:sz w:val="18"/>
                <w:szCs w:val="18"/>
              </w:rPr>
            </w:pPr>
            <w:r w:rsidRPr="00331A92">
              <w:rPr>
                <w:rFonts w:ascii="Times New Roman" w:eastAsia="Calibri" w:hAnsi="Times New Roman" w:cs="Times New Roman"/>
                <w:b/>
                <w:bCs/>
                <w:sz w:val="18"/>
                <w:szCs w:val="18"/>
              </w:rPr>
              <w:t>Contract Costs</w:t>
            </w:r>
            <w:r w:rsidRPr="00331A92">
              <w:rPr>
                <w:rFonts w:ascii="Times New Roman" w:eastAsia="Calibri" w:hAnsi="Times New Roman" w:cs="Times New Roman"/>
                <w:sz w:val="18"/>
                <w:szCs w:val="18"/>
              </w:rPr>
              <w:t>:</w:t>
            </w:r>
          </w:p>
          <w:p w:rsidR="007F4E98" w:rsidRPr="00331A92" w:rsidP="002A2783" w14:paraId="0E82DDAF" w14:textId="536908FD">
            <w:pPr>
              <w:rPr>
                <w:rFonts w:ascii="Times New Roman" w:eastAsia="Calibri" w:hAnsi="Times New Roman" w:cs="Times New Roman"/>
                <w:sz w:val="18"/>
                <w:szCs w:val="18"/>
              </w:rPr>
            </w:pPr>
            <w:r w:rsidRPr="00331A92">
              <w:rPr>
                <w:rFonts w:ascii="Times New Roman" w:eastAsia="Calibri" w:hAnsi="Times New Roman" w:cs="Times New Roman"/>
                <w:sz w:val="18"/>
                <w:szCs w:val="18"/>
              </w:rPr>
              <w:t xml:space="preserve">Primary Contractor Labor = </w:t>
            </w:r>
            <w:r w:rsidRPr="00331A92" w:rsidR="00AA4DCC">
              <w:rPr>
                <w:rFonts w:ascii="Times New Roman" w:eastAsia="Calibri" w:hAnsi="Times New Roman" w:cs="Times New Roman"/>
                <w:sz w:val="18"/>
                <w:szCs w:val="18"/>
              </w:rPr>
              <w:t>$358,500</w:t>
            </w:r>
          </w:p>
          <w:p w:rsidR="00194111" w:rsidRPr="00331A92" w:rsidP="002A2783" w14:paraId="752169F7" w14:textId="1E0D367A">
            <w:pPr>
              <w:rPr>
                <w:rFonts w:ascii="Times New Roman" w:eastAsia="Calibri" w:hAnsi="Times New Roman" w:cs="Times New Roman"/>
                <w:sz w:val="18"/>
                <w:szCs w:val="18"/>
              </w:rPr>
            </w:pPr>
            <w:r w:rsidRPr="00331A92">
              <w:rPr>
                <w:rFonts w:ascii="Times New Roman" w:eastAsia="Calibri" w:hAnsi="Times New Roman" w:cs="Times New Roman"/>
                <w:sz w:val="18"/>
                <w:szCs w:val="18"/>
              </w:rPr>
              <w:t xml:space="preserve">Survey Vendor Subcontractor </w:t>
            </w:r>
            <w:r w:rsidRPr="00331A92" w:rsidR="00D94A9C">
              <w:rPr>
                <w:rFonts w:ascii="Times New Roman" w:eastAsia="Calibri" w:hAnsi="Times New Roman" w:cs="Times New Roman"/>
                <w:sz w:val="18"/>
                <w:szCs w:val="18"/>
              </w:rPr>
              <w:t>Labor &amp; Sampling Frame</w:t>
            </w:r>
            <w:r w:rsidRPr="00331A92">
              <w:rPr>
                <w:rFonts w:ascii="Times New Roman" w:eastAsia="Calibri" w:hAnsi="Times New Roman" w:cs="Times New Roman"/>
                <w:sz w:val="18"/>
                <w:szCs w:val="18"/>
              </w:rPr>
              <w:t xml:space="preserve"> = </w:t>
            </w:r>
            <w:r w:rsidRPr="00331A92" w:rsidR="00740373">
              <w:rPr>
                <w:rFonts w:ascii="Times New Roman" w:eastAsia="Calibri" w:hAnsi="Times New Roman" w:cs="Times New Roman"/>
                <w:sz w:val="18"/>
                <w:szCs w:val="18"/>
              </w:rPr>
              <w:t>$25</w:t>
            </w:r>
            <w:r w:rsidRPr="00331A92" w:rsidR="00D27633">
              <w:rPr>
                <w:rFonts w:ascii="Times New Roman" w:eastAsia="Calibri" w:hAnsi="Times New Roman" w:cs="Times New Roman"/>
                <w:sz w:val="18"/>
                <w:szCs w:val="18"/>
              </w:rPr>
              <w:t>6</w:t>
            </w:r>
            <w:r w:rsidRPr="00331A92" w:rsidR="00740373">
              <w:rPr>
                <w:rFonts w:ascii="Times New Roman" w:eastAsia="Calibri" w:hAnsi="Times New Roman" w:cs="Times New Roman"/>
                <w:sz w:val="18"/>
                <w:szCs w:val="18"/>
              </w:rPr>
              <w:t>,000</w:t>
            </w:r>
          </w:p>
          <w:p w:rsidR="00194111" w:rsidRPr="00331A92" w:rsidP="002A2783" w14:paraId="1CA53775" w14:textId="77777777">
            <w:pPr>
              <w:rPr>
                <w:rFonts w:ascii="Times New Roman" w:eastAsia="Calibri" w:hAnsi="Times New Roman" w:cs="Times New Roman"/>
                <w:sz w:val="18"/>
                <w:szCs w:val="18"/>
              </w:rPr>
            </w:pPr>
            <w:r w:rsidRPr="00331A92">
              <w:rPr>
                <w:rFonts w:ascii="Times New Roman" w:eastAsia="Calibri" w:hAnsi="Times New Roman" w:cs="Times New Roman"/>
                <w:sz w:val="18"/>
                <w:szCs w:val="18"/>
              </w:rPr>
              <w:t xml:space="preserve">Translations </w:t>
            </w:r>
            <w:r w:rsidRPr="00331A92" w:rsidR="007F4E98">
              <w:rPr>
                <w:rFonts w:ascii="Times New Roman" w:eastAsia="Calibri" w:hAnsi="Times New Roman" w:cs="Times New Roman"/>
                <w:sz w:val="18"/>
                <w:szCs w:val="18"/>
              </w:rPr>
              <w:t xml:space="preserve">= </w:t>
            </w:r>
            <w:r w:rsidRPr="00331A92">
              <w:rPr>
                <w:rFonts w:ascii="Times New Roman" w:eastAsia="Calibri" w:hAnsi="Times New Roman" w:cs="Times New Roman"/>
                <w:sz w:val="18"/>
                <w:szCs w:val="18"/>
              </w:rPr>
              <w:t>$2,800</w:t>
            </w:r>
          </w:p>
          <w:p w:rsidR="009945AD" w:rsidRPr="00331A92" w:rsidP="002A2783" w14:paraId="7DBAC0A2" w14:textId="5A31C0BF">
            <w:pPr>
              <w:rPr>
                <w:rFonts w:ascii="Times New Roman" w:eastAsia="Calibri" w:hAnsi="Times New Roman" w:cs="Times New Roman"/>
                <w:sz w:val="18"/>
                <w:szCs w:val="18"/>
              </w:rPr>
            </w:pPr>
            <w:r w:rsidRPr="00331A92">
              <w:rPr>
                <w:rFonts w:ascii="Times New Roman" w:eastAsia="Calibri" w:hAnsi="Times New Roman" w:cs="Times New Roman"/>
                <w:sz w:val="18"/>
                <w:szCs w:val="18"/>
              </w:rPr>
              <w:t xml:space="preserve">Total per bi-annual data collection = </w:t>
            </w:r>
            <w:r w:rsidRPr="00331A92" w:rsidR="00C3705E">
              <w:rPr>
                <w:rFonts w:ascii="Times New Roman" w:eastAsia="Calibri" w:hAnsi="Times New Roman" w:cs="Times New Roman"/>
                <w:sz w:val="18"/>
                <w:szCs w:val="18"/>
              </w:rPr>
              <w:t>$617,300</w:t>
            </w:r>
            <w:r w:rsidRPr="00331A92">
              <w:rPr>
                <w:rFonts w:ascii="Times New Roman" w:eastAsia="Calibri" w:hAnsi="Times New Roman" w:cs="Times New Roman"/>
                <w:sz w:val="18"/>
                <w:szCs w:val="18"/>
              </w:rPr>
              <w:t xml:space="preserve"> </w:t>
            </w:r>
            <w:r w:rsidRPr="00331A92" w:rsidR="00233BF1">
              <w:rPr>
                <w:rFonts w:ascii="Times New Roman" w:eastAsia="Calibri" w:hAnsi="Times New Roman" w:cs="Times New Roman"/>
                <w:sz w:val="18"/>
                <w:szCs w:val="18"/>
              </w:rPr>
              <w:t>[</w:t>
            </w:r>
            <w:r w:rsidRPr="00331A92">
              <w:rPr>
                <w:rFonts w:ascii="Times New Roman" w:eastAsia="Calibri" w:hAnsi="Times New Roman" w:cs="Times New Roman"/>
                <w:sz w:val="18"/>
                <w:szCs w:val="18"/>
              </w:rPr>
              <w:t xml:space="preserve">Total annual cost = </w:t>
            </w:r>
            <w:r w:rsidRPr="00331A92" w:rsidR="00C3705E">
              <w:rPr>
                <w:rFonts w:ascii="Times New Roman" w:eastAsia="Calibri" w:hAnsi="Times New Roman" w:cs="Times New Roman"/>
                <w:sz w:val="18"/>
                <w:szCs w:val="18"/>
              </w:rPr>
              <w:t>$308,650</w:t>
            </w:r>
            <w:r w:rsidRPr="00331A92" w:rsidR="00233BF1">
              <w:rPr>
                <w:rFonts w:ascii="Times New Roman" w:eastAsia="Calibri" w:hAnsi="Times New Roman" w:cs="Times New Roman"/>
                <w:sz w:val="18"/>
                <w:szCs w:val="18"/>
              </w:rPr>
              <w:t>]</w:t>
            </w:r>
          </w:p>
        </w:tc>
        <w:tc>
          <w:tcPr>
            <w:tcW w:w="1975" w:type="dxa"/>
            <w:vAlign w:val="center"/>
          </w:tcPr>
          <w:p w:rsidR="009A4214" w:rsidRPr="00C764DB" w:rsidP="002A2783" w14:paraId="007D0E40" w14:textId="4F4CB37A">
            <w:pPr>
              <w:jc w:val="right"/>
              <w:rPr>
                <w:rFonts w:ascii="Times New Roman" w:eastAsia="Calibri" w:hAnsi="Times New Roman" w:cs="Times New Roman"/>
                <w:sz w:val="18"/>
                <w:szCs w:val="18"/>
              </w:rPr>
            </w:pPr>
            <w:r w:rsidRPr="00C764DB">
              <w:rPr>
                <w:rFonts w:ascii="Times New Roman" w:eastAsia="Calibri" w:hAnsi="Times New Roman" w:cs="Times New Roman"/>
                <w:sz w:val="18"/>
                <w:szCs w:val="18"/>
              </w:rPr>
              <w:t>$</w:t>
            </w:r>
            <w:r w:rsidRPr="00C764DB" w:rsidR="00C3705E">
              <w:rPr>
                <w:rFonts w:ascii="Times New Roman" w:eastAsia="Calibri" w:hAnsi="Times New Roman" w:cs="Times New Roman"/>
                <w:sz w:val="18"/>
                <w:szCs w:val="18"/>
              </w:rPr>
              <w:t>308,650</w:t>
            </w:r>
          </w:p>
        </w:tc>
      </w:tr>
      <w:tr w14:paraId="08D45960" w14:textId="77777777" w:rsidTr="002A2783">
        <w:tblPrEx>
          <w:tblW w:w="0" w:type="auto"/>
          <w:tblLook w:val="04A0"/>
        </w:tblPrEx>
        <w:tc>
          <w:tcPr>
            <w:tcW w:w="7375" w:type="dxa"/>
          </w:tcPr>
          <w:p w:rsidR="009A4214" w:rsidRPr="00331A92" w:rsidP="002A2783" w14:paraId="6A11023D" w14:textId="029EA994">
            <w:pPr>
              <w:rPr>
                <w:rFonts w:ascii="Times New Roman" w:eastAsia="Calibri" w:hAnsi="Times New Roman" w:cs="Times New Roman"/>
                <w:sz w:val="18"/>
                <w:szCs w:val="18"/>
              </w:rPr>
            </w:pPr>
            <w:r w:rsidRPr="00331A92">
              <w:rPr>
                <w:rFonts w:ascii="Times New Roman" w:eastAsia="Calibri" w:hAnsi="Times New Roman" w:cs="Times New Roman"/>
                <w:b/>
                <w:bCs/>
                <w:sz w:val="18"/>
                <w:szCs w:val="18"/>
              </w:rPr>
              <w:t>Staff Salaries</w:t>
            </w:r>
            <w:r w:rsidRPr="00331A92" w:rsidR="0085246E">
              <w:rPr>
                <w:rFonts w:ascii="Times New Roman" w:eastAsia="Calibri" w:hAnsi="Times New Roman" w:cs="Times New Roman"/>
                <w:b/>
                <w:bCs/>
                <w:sz w:val="18"/>
                <w:szCs w:val="18"/>
                <w:vertAlign w:val="superscript"/>
              </w:rPr>
              <w:t>1,</w:t>
            </w:r>
            <w:r w:rsidRPr="00331A92" w:rsidR="004B0F31">
              <w:rPr>
                <w:rFonts w:ascii="Times New Roman" w:eastAsia="Calibri" w:hAnsi="Times New Roman" w:cs="Times New Roman"/>
                <w:b/>
                <w:bCs/>
                <w:sz w:val="18"/>
                <w:szCs w:val="18"/>
                <w:vertAlign w:val="superscript"/>
              </w:rPr>
              <w:t>2</w:t>
            </w:r>
            <w:r w:rsidRPr="00331A92">
              <w:rPr>
                <w:rFonts w:ascii="Times New Roman" w:eastAsia="Calibri" w:hAnsi="Times New Roman" w:cs="Times New Roman"/>
                <w:sz w:val="18"/>
                <w:szCs w:val="18"/>
              </w:rPr>
              <w:t xml:space="preserve">: </w:t>
            </w:r>
          </w:p>
          <w:p w:rsidR="009A4214" w:rsidRPr="00331A92" w:rsidP="002A2783" w14:paraId="298FD7B2" w14:textId="28A30DFD">
            <w:pPr>
              <w:rPr>
                <w:rFonts w:ascii="Times New Roman" w:eastAsia="Calibri" w:hAnsi="Times New Roman" w:cs="Times New Roman"/>
                <w:sz w:val="18"/>
                <w:szCs w:val="18"/>
              </w:rPr>
            </w:pPr>
            <w:r w:rsidRPr="00331A92">
              <w:rPr>
                <w:rFonts w:ascii="Times New Roman" w:eastAsia="Calibri" w:hAnsi="Times New Roman" w:cs="Times New Roman"/>
                <w:sz w:val="18"/>
                <w:szCs w:val="18"/>
              </w:rPr>
              <w:t xml:space="preserve">1 GS </w:t>
            </w:r>
            <w:r w:rsidRPr="00331A92" w:rsidR="009C0240">
              <w:rPr>
                <w:rFonts w:ascii="Times New Roman" w:eastAsia="Calibri" w:hAnsi="Times New Roman" w:cs="Times New Roman"/>
                <w:sz w:val="18"/>
                <w:szCs w:val="18"/>
              </w:rPr>
              <w:t xml:space="preserve">14 </w:t>
            </w:r>
            <w:r w:rsidRPr="00331A92">
              <w:rPr>
                <w:rFonts w:ascii="Times New Roman" w:eastAsia="Calibri" w:hAnsi="Times New Roman" w:cs="Times New Roman"/>
                <w:sz w:val="18"/>
                <w:szCs w:val="18"/>
              </w:rPr>
              <w:t>Step 5 ($</w:t>
            </w:r>
            <w:r w:rsidRPr="00331A92" w:rsidR="00553CD2">
              <w:rPr>
                <w:rFonts w:ascii="Times New Roman" w:eastAsia="Calibri" w:hAnsi="Times New Roman" w:cs="Times New Roman"/>
                <w:sz w:val="18"/>
                <w:szCs w:val="18"/>
              </w:rPr>
              <w:t>157,982</w:t>
            </w:r>
            <w:r w:rsidRPr="00331A92">
              <w:rPr>
                <w:rFonts w:ascii="Times New Roman" w:eastAsia="Calibri" w:hAnsi="Times New Roman" w:cs="Times New Roman"/>
                <w:sz w:val="18"/>
                <w:szCs w:val="18"/>
              </w:rPr>
              <w:t>) at 1% time x 1.45 loaded wage rate = $</w:t>
            </w:r>
            <w:r w:rsidRPr="00331A92" w:rsidR="007D7F2D">
              <w:rPr>
                <w:rFonts w:ascii="Times New Roman" w:eastAsia="Calibri" w:hAnsi="Times New Roman" w:cs="Times New Roman"/>
                <w:sz w:val="18"/>
                <w:szCs w:val="18"/>
              </w:rPr>
              <w:t>2,</w:t>
            </w:r>
            <w:r w:rsidRPr="00331A92" w:rsidR="00125739">
              <w:rPr>
                <w:rFonts w:ascii="Times New Roman" w:eastAsia="Calibri" w:hAnsi="Times New Roman" w:cs="Times New Roman"/>
                <w:sz w:val="18"/>
                <w:szCs w:val="18"/>
              </w:rPr>
              <w:t>291</w:t>
            </w:r>
          </w:p>
          <w:p w:rsidR="009E5683" w:rsidRPr="00331A92" w:rsidP="002A2783" w14:paraId="7F111BBD" w14:textId="7D36D0F1">
            <w:pPr>
              <w:rPr>
                <w:rFonts w:ascii="Times New Roman" w:eastAsia="Calibri" w:hAnsi="Times New Roman" w:cs="Times New Roman"/>
                <w:sz w:val="18"/>
                <w:szCs w:val="18"/>
              </w:rPr>
            </w:pPr>
            <w:r w:rsidRPr="00331A92">
              <w:rPr>
                <w:rFonts w:ascii="Times New Roman" w:eastAsia="Calibri" w:hAnsi="Times New Roman" w:cs="Times New Roman"/>
                <w:sz w:val="18"/>
                <w:szCs w:val="18"/>
              </w:rPr>
              <w:t xml:space="preserve">1 GS </w:t>
            </w:r>
            <w:r w:rsidRPr="00331A92" w:rsidR="00E65189">
              <w:rPr>
                <w:rFonts w:ascii="Times New Roman" w:eastAsia="Calibri" w:hAnsi="Times New Roman" w:cs="Times New Roman"/>
                <w:sz w:val="18"/>
                <w:szCs w:val="18"/>
              </w:rPr>
              <w:t xml:space="preserve">13 </w:t>
            </w:r>
            <w:r w:rsidRPr="00331A92">
              <w:rPr>
                <w:rFonts w:ascii="Times New Roman" w:eastAsia="Calibri" w:hAnsi="Times New Roman" w:cs="Times New Roman"/>
                <w:sz w:val="18"/>
                <w:szCs w:val="18"/>
              </w:rPr>
              <w:t>Step 5 ($</w:t>
            </w:r>
            <w:r w:rsidRPr="00331A92" w:rsidR="00E65189">
              <w:rPr>
                <w:rFonts w:ascii="Times New Roman" w:eastAsia="Calibri" w:hAnsi="Times New Roman" w:cs="Times New Roman"/>
                <w:sz w:val="18"/>
                <w:szCs w:val="18"/>
              </w:rPr>
              <w:t>1</w:t>
            </w:r>
            <w:r w:rsidRPr="00331A92" w:rsidR="00832B87">
              <w:rPr>
                <w:rFonts w:ascii="Times New Roman" w:eastAsia="Calibri" w:hAnsi="Times New Roman" w:cs="Times New Roman"/>
                <w:sz w:val="18"/>
                <w:szCs w:val="18"/>
              </w:rPr>
              <w:t>33,692</w:t>
            </w:r>
            <w:r w:rsidRPr="00331A92">
              <w:rPr>
                <w:rFonts w:ascii="Times New Roman" w:eastAsia="Calibri" w:hAnsi="Times New Roman" w:cs="Times New Roman"/>
                <w:sz w:val="18"/>
                <w:szCs w:val="18"/>
              </w:rPr>
              <w:t xml:space="preserve">) at </w:t>
            </w:r>
            <w:r w:rsidRPr="00331A92" w:rsidR="00E65189">
              <w:rPr>
                <w:rFonts w:ascii="Times New Roman" w:eastAsia="Calibri" w:hAnsi="Times New Roman" w:cs="Times New Roman"/>
                <w:sz w:val="18"/>
                <w:szCs w:val="18"/>
              </w:rPr>
              <w:t>6</w:t>
            </w:r>
            <w:r w:rsidRPr="00331A92">
              <w:rPr>
                <w:rFonts w:ascii="Times New Roman" w:eastAsia="Calibri" w:hAnsi="Times New Roman" w:cs="Times New Roman"/>
                <w:sz w:val="18"/>
                <w:szCs w:val="18"/>
              </w:rPr>
              <w:t>% time x 1.45 loaded wage rate = $</w:t>
            </w:r>
            <w:r w:rsidRPr="00331A92" w:rsidR="001D3BF2">
              <w:rPr>
                <w:rFonts w:ascii="Times New Roman" w:eastAsia="Calibri" w:hAnsi="Times New Roman" w:cs="Times New Roman"/>
                <w:sz w:val="18"/>
                <w:szCs w:val="18"/>
              </w:rPr>
              <w:t>1</w:t>
            </w:r>
            <w:r w:rsidRPr="00331A92" w:rsidR="00573941">
              <w:rPr>
                <w:rFonts w:ascii="Times New Roman" w:eastAsia="Calibri" w:hAnsi="Times New Roman" w:cs="Times New Roman"/>
                <w:sz w:val="18"/>
                <w:szCs w:val="18"/>
              </w:rPr>
              <w:t>1,631</w:t>
            </w:r>
          </w:p>
          <w:p w:rsidR="009945AD" w:rsidRPr="00331A92" w:rsidP="002A2783" w14:paraId="0E5292F8" w14:textId="3CC3640D">
            <w:pPr>
              <w:rPr>
                <w:rFonts w:ascii="Times New Roman" w:eastAsia="Calibri" w:hAnsi="Times New Roman" w:cs="Times New Roman"/>
                <w:sz w:val="18"/>
                <w:szCs w:val="18"/>
              </w:rPr>
            </w:pPr>
            <w:r w:rsidRPr="00331A92">
              <w:rPr>
                <w:rFonts w:ascii="Times New Roman" w:eastAsia="Calibri" w:hAnsi="Times New Roman" w:cs="Times New Roman"/>
                <w:sz w:val="18"/>
                <w:szCs w:val="18"/>
              </w:rPr>
              <w:t>1 GS 11 Step 5 ($</w:t>
            </w:r>
            <w:r w:rsidRPr="00331A92" w:rsidR="00F937C1">
              <w:rPr>
                <w:rFonts w:ascii="Times New Roman" w:eastAsia="Calibri" w:hAnsi="Times New Roman" w:cs="Times New Roman"/>
                <w:sz w:val="18"/>
                <w:szCs w:val="18"/>
              </w:rPr>
              <w:t>93,798</w:t>
            </w:r>
            <w:r w:rsidRPr="00331A92">
              <w:rPr>
                <w:rFonts w:ascii="Times New Roman" w:eastAsia="Calibri" w:hAnsi="Times New Roman" w:cs="Times New Roman"/>
                <w:sz w:val="18"/>
                <w:szCs w:val="18"/>
              </w:rPr>
              <w:t xml:space="preserve">) at 1% time x 1.45 loaded wage rate = </w:t>
            </w:r>
            <w:r w:rsidRPr="00331A92" w:rsidR="00E26BCB">
              <w:rPr>
                <w:rFonts w:ascii="Times New Roman" w:eastAsia="Calibri" w:hAnsi="Times New Roman" w:cs="Times New Roman"/>
                <w:sz w:val="18"/>
                <w:szCs w:val="18"/>
              </w:rPr>
              <w:t>$</w:t>
            </w:r>
            <w:r w:rsidRPr="00331A92" w:rsidR="008F4474">
              <w:rPr>
                <w:rFonts w:ascii="Times New Roman" w:eastAsia="Calibri" w:hAnsi="Times New Roman" w:cs="Times New Roman"/>
                <w:sz w:val="18"/>
                <w:szCs w:val="18"/>
              </w:rPr>
              <w:t>1,</w:t>
            </w:r>
            <w:r w:rsidRPr="00331A92" w:rsidR="00EF4FA4">
              <w:rPr>
                <w:rFonts w:ascii="Times New Roman" w:eastAsia="Calibri" w:hAnsi="Times New Roman" w:cs="Times New Roman"/>
                <w:sz w:val="18"/>
                <w:szCs w:val="18"/>
              </w:rPr>
              <w:t>360</w:t>
            </w:r>
          </w:p>
        </w:tc>
        <w:tc>
          <w:tcPr>
            <w:tcW w:w="1975" w:type="dxa"/>
            <w:vAlign w:val="center"/>
          </w:tcPr>
          <w:p w:rsidR="009A4214" w:rsidRPr="00C764DB" w:rsidP="002A2783" w14:paraId="10DCFCA1" w14:textId="2EE2256F">
            <w:pPr>
              <w:jc w:val="right"/>
              <w:rPr>
                <w:rFonts w:ascii="Times New Roman" w:eastAsia="Calibri" w:hAnsi="Times New Roman" w:cs="Times New Roman"/>
                <w:sz w:val="18"/>
                <w:szCs w:val="18"/>
              </w:rPr>
            </w:pPr>
            <w:r w:rsidRPr="00C764DB">
              <w:rPr>
                <w:rFonts w:ascii="Times New Roman" w:eastAsia="Calibri" w:hAnsi="Times New Roman" w:cs="Times New Roman"/>
                <w:sz w:val="18"/>
                <w:szCs w:val="18"/>
              </w:rPr>
              <w:t>$</w:t>
            </w:r>
            <w:r w:rsidRPr="00C764DB" w:rsidR="009C0240">
              <w:rPr>
                <w:rFonts w:ascii="Times New Roman" w:eastAsia="Calibri" w:hAnsi="Times New Roman" w:cs="Times New Roman"/>
                <w:sz w:val="18"/>
                <w:szCs w:val="18"/>
              </w:rPr>
              <w:t>1</w:t>
            </w:r>
            <w:r w:rsidRPr="00C764DB" w:rsidR="0020015A">
              <w:rPr>
                <w:rFonts w:ascii="Times New Roman" w:eastAsia="Calibri" w:hAnsi="Times New Roman" w:cs="Times New Roman"/>
                <w:sz w:val="18"/>
                <w:szCs w:val="18"/>
              </w:rPr>
              <w:t>5,282</w:t>
            </w:r>
          </w:p>
        </w:tc>
      </w:tr>
      <w:tr w14:paraId="77A58194" w14:textId="77777777" w:rsidTr="002A2783">
        <w:tblPrEx>
          <w:tblW w:w="0" w:type="auto"/>
          <w:tblLook w:val="04A0"/>
        </w:tblPrEx>
        <w:tc>
          <w:tcPr>
            <w:tcW w:w="7375" w:type="dxa"/>
          </w:tcPr>
          <w:p w:rsidR="009A4214" w:rsidRPr="00331A92" w:rsidP="002A2783" w14:paraId="557563C8" w14:textId="77777777">
            <w:pPr>
              <w:rPr>
                <w:rFonts w:ascii="Times New Roman" w:eastAsia="Calibri" w:hAnsi="Times New Roman" w:cs="Times New Roman"/>
                <w:sz w:val="18"/>
                <w:szCs w:val="18"/>
              </w:rPr>
            </w:pPr>
            <w:r w:rsidRPr="00331A92">
              <w:rPr>
                <w:rFonts w:ascii="Times New Roman" w:eastAsia="Calibri" w:hAnsi="Times New Roman" w:cs="Times New Roman"/>
                <w:b/>
                <w:bCs/>
                <w:sz w:val="18"/>
                <w:szCs w:val="18"/>
              </w:rPr>
              <w:t>Facilities</w:t>
            </w:r>
            <w:r w:rsidRPr="00331A92">
              <w:rPr>
                <w:rFonts w:ascii="Times New Roman" w:eastAsia="Calibri" w:hAnsi="Times New Roman" w:cs="Times New Roman"/>
                <w:sz w:val="18"/>
                <w:szCs w:val="18"/>
              </w:rPr>
              <w:t xml:space="preserve"> [cost for renting, overhead, etc. for data collection activity]</w:t>
            </w:r>
          </w:p>
        </w:tc>
        <w:tc>
          <w:tcPr>
            <w:tcW w:w="1975" w:type="dxa"/>
            <w:vAlign w:val="center"/>
          </w:tcPr>
          <w:p w:rsidR="009A4214" w:rsidRPr="00C764DB" w:rsidP="002A2783" w14:paraId="1381DA6F" w14:textId="69B3A9FC">
            <w:pPr>
              <w:jc w:val="right"/>
              <w:rPr>
                <w:rFonts w:ascii="Times New Roman" w:eastAsia="Calibri" w:hAnsi="Times New Roman" w:cs="Times New Roman"/>
                <w:sz w:val="18"/>
                <w:szCs w:val="18"/>
              </w:rPr>
            </w:pPr>
            <w:r w:rsidRPr="00C764DB">
              <w:rPr>
                <w:rFonts w:ascii="Times New Roman" w:eastAsia="Calibri" w:hAnsi="Times New Roman" w:cs="Times New Roman"/>
                <w:sz w:val="18"/>
                <w:szCs w:val="18"/>
              </w:rPr>
              <w:t>$</w:t>
            </w:r>
            <w:r w:rsidRPr="00C764DB" w:rsidR="00E76D43">
              <w:rPr>
                <w:rFonts w:ascii="Times New Roman" w:eastAsia="Calibri" w:hAnsi="Times New Roman" w:cs="Times New Roman"/>
                <w:sz w:val="18"/>
                <w:szCs w:val="18"/>
              </w:rPr>
              <w:t>0</w:t>
            </w:r>
          </w:p>
        </w:tc>
      </w:tr>
      <w:tr w14:paraId="76BCE9A4" w14:textId="77777777" w:rsidTr="002A2783">
        <w:tblPrEx>
          <w:tblW w:w="0" w:type="auto"/>
          <w:tblLook w:val="04A0"/>
        </w:tblPrEx>
        <w:tc>
          <w:tcPr>
            <w:tcW w:w="7375" w:type="dxa"/>
          </w:tcPr>
          <w:p w:rsidR="009A4214" w:rsidRPr="00331A92" w:rsidP="002A2783" w14:paraId="2368FFE1" w14:textId="77777777">
            <w:pPr>
              <w:rPr>
                <w:rFonts w:ascii="Times New Roman" w:eastAsia="Calibri" w:hAnsi="Times New Roman" w:cs="Times New Roman"/>
                <w:sz w:val="18"/>
                <w:szCs w:val="18"/>
              </w:rPr>
            </w:pPr>
            <w:r w:rsidRPr="00331A92">
              <w:rPr>
                <w:rFonts w:ascii="Times New Roman" w:eastAsia="Calibri" w:hAnsi="Times New Roman" w:cs="Times New Roman"/>
                <w:b/>
                <w:bCs/>
                <w:sz w:val="18"/>
                <w:szCs w:val="18"/>
              </w:rPr>
              <w:t>Computer Hardware and Software</w:t>
            </w:r>
            <w:r w:rsidRPr="00331A92">
              <w:rPr>
                <w:rFonts w:ascii="Times New Roman" w:eastAsia="Calibri" w:hAnsi="Times New Roman" w:cs="Times New Roman"/>
                <w:sz w:val="18"/>
                <w:szCs w:val="18"/>
              </w:rPr>
              <w:t xml:space="preserve"> [cost of equipment annual lifecycle]</w:t>
            </w:r>
          </w:p>
        </w:tc>
        <w:tc>
          <w:tcPr>
            <w:tcW w:w="1975" w:type="dxa"/>
            <w:vAlign w:val="center"/>
          </w:tcPr>
          <w:p w:rsidR="009A4214" w:rsidRPr="00C764DB" w:rsidP="002A2783" w14:paraId="0E2D30FC" w14:textId="19E9D329">
            <w:pPr>
              <w:jc w:val="right"/>
              <w:rPr>
                <w:rFonts w:ascii="Times New Roman" w:eastAsia="Calibri" w:hAnsi="Times New Roman" w:cs="Times New Roman"/>
                <w:sz w:val="18"/>
                <w:szCs w:val="18"/>
              </w:rPr>
            </w:pPr>
            <w:r w:rsidRPr="00C764DB">
              <w:rPr>
                <w:rFonts w:ascii="Times New Roman" w:eastAsia="Calibri" w:hAnsi="Times New Roman" w:cs="Times New Roman"/>
                <w:sz w:val="18"/>
                <w:szCs w:val="18"/>
              </w:rPr>
              <w:t>$</w:t>
            </w:r>
            <w:r w:rsidRPr="00C764DB" w:rsidR="00E76D43">
              <w:rPr>
                <w:rFonts w:ascii="Times New Roman" w:eastAsia="Calibri" w:hAnsi="Times New Roman" w:cs="Times New Roman"/>
                <w:sz w:val="18"/>
                <w:szCs w:val="18"/>
              </w:rPr>
              <w:t>0</w:t>
            </w:r>
          </w:p>
        </w:tc>
      </w:tr>
      <w:tr w14:paraId="61BE45AF" w14:textId="77777777" w:rsidTr="002A2783">
        <w:tblPrEx>
          <w:tblW w:w="0" w:type="auto"/>
          <w:tblLook w:val="04A0"/>
        </w:tblPrEx>
        <w:tc>
          <w:tcPr>
            <w:tcW w:w="7375" w:type="dxa"/>
          </w:tcPr>
          <w:p w:rsidR="009A4214" w:rsidRPr="00331A92" w:rsidP="002A2783" w14:paraId="485C3E53" w14:textId="77777777">
            <w:pPr>
              <w:rPr>
                <w:rFonts w:ascii="Times New Roman" w:eastAsia="Calibri" w:hAnsi="Times New Roman" w:cs="Times New Roman"/>
                <w:sz w:val="18"/>
                <w:szCs w:val="18"/>
              </w:rPr>
            </w:pPr>
            <w:r w:rsidRPr="00331A92">
              <w:rPr>
                <w:rFonts w:ascii="Times New Roman" w:eastAsia="Calibri" w:hAnsi="Times New Roman" w:cs="Times New Roman"/>
                <w:b/>
                <w:bCs/>
                <w:sz w:val="18"/>
                <w:szCs w:val="18"/>
              </w:rPr>
              <w:t>Equipment Maintenance</w:t>
            </w:r>
            <w:r w:rsidRPr="00331A92">
              <w:rPr>
                <w:rFonts w:ascii="Times New Roman" w:eastAsia="Calibri" w:hAnsi="Times New Roman" w:cs="Times New Roman"/>
                <w:sz w:val="18"/>
                <w:szCs w:val="18"/>
              </w:rPr>
              <w:t xml:space="preserve"> [cost of annual maintenance/service agreements for equipment]</w:t>
            </w:r>
          </w:p>
        </w:tc>
        <w:tc>
          <w:tcPr>
            <w:tcW w:w="1975" w:type="dxa"/>
            <w:vAlign w:val="center"/>
          </w:tcPr>
          <w:p w:rsidR="009A4214" w:rsidRPr="00C764DB" w:rsidP="002A2783" w14:paraId="15CFD8D6" w14:textId="067060B8">
            <w:pPr>
              <w:jc w:val="right"/>
              <w:rPr>
                <w:rFonts w:ascii="Times New Roman" w:eastAsia="Calibri" w:hAnsi="Times New Roman" w:cs="Times New Roman"/>
                <w:sz w:val="18"/>
                <w:szCs w:val="18"/>
              </w:rPr>
            </w:pPr>
            <w:r w:rsidRPr="00C764DB">
              <w:rPr>
                <w:rFonts w:ascii="Times New Roman" w:eastAsia="Calibri" w:hAnsi="Times New Roman" w:cs="Times New Roman"/>
                <w:sz w:val="18"/>
                <w:szCs w:val="18"/>
              </w:rPr>
              <w:t>$</w:t>
            </w:r>
            <w:r w:rsidRPr="00C764DB" w:rsidR="00E76D43">
              <w:rPr>
                <w:rFonts w:ascii="Times New Roman" w:eastAsia="Calibri" w:hAnsi="Times New Roman" w:cs="Times New Roman"/>
                <w:sz w:val="18"/>
                <w:szCs w:val="18"/>
              </w:rPr>
              <w:t>0</w:t>
            </w:r>
          </w:p>
        </w:tc>
      </w:tr>
      <w:tr w14:paraId="688F949B" w14:textId="77777777" w:rsidTr="002A2783">
        <w:tblPrEx>
          <w:tblW w:w="0" w:type="auto"/>
          <w:tblLook w:val="04A0"/>
        </w:tblPrEx>
        <w:tc>
          <w:tcPr>
            <w:tcW w:w="7375" w:type="dxa"/>
          </w:tcPr>
          <w:p w:rsidR="009A4214" w:rsidRPr="00331A92" w:rsidP="002A2783" w14:paraId="5B843067" w14:textId="77777777">
            <w:pPr>
              <w:rPr>
                <w:rFonts w:ascii="Times New Roman" w:eastAsia="Calibri" w:hAnsi="Times New Roman" w:cs="Times New Roman"/>
                <w:sz w:val="18"/>
                <w:szCs w:val="18"/>
              </w:rPr>
            </w:pPr>
            <w:r w:rsidRPr="00331A92">
              <w:rPr>
                <w:rFonts w:ascii="Times New Roman" w:eastAsia="Calibri" w:hAnsi="Times New Roman" w:cs="Times New Roman"/>
                <w:b/>
                <w:bCs/>
                <w:sz w:val="18"/>
                <w:szCs w:val="18"/>
              </w:rPr>
              <w:t>Travel</w:t>
            </w:r>
            <w:r w:rsidRPr="00331A92">
              <w:rPr>
                <w:rFonts w:ascii="Times New Roman" w:eastAsia="Calibri" w:hAnsi="Times New Roman" w:cs="Times New Roman"/>
                <w:sz w:val="18"/>
                <w:szCs w:val="18"/>
              </w:rPr>
              <w:t xml:space="preserve"> (not to exceed)</w:t>
            </w:r>
          </w:p>
        </w:tc>
        <w:tc>
          <w:tcPr>
            <w:tcW w:w="1975" w:type="dxa"/>
            <w:vAlign w:val="center"/>
          </w:tcPr>
          <w:p w:rsidR="009A4214" w:rsidRPr="00C764DB" w:rsidP="002A2783" w14:paraId="7941B37C" w14:textId="290FEE6F">
            <w:pPr>
              <w:jc w:val="right"/>
              <w:rPr>
                <w:rFonts w:ascii="Times New Roman" w:eastAsia="Calibri" w:hAnsi="Times New Roman" w:cs="Times New Roman"/>
                <w:sz w:val="18"/>
                <w:szCs w:val="18"/>
              </w:rPr>
            </w:pPr>
            <w:r w:rsidRPr="00C764DB">
              <w:rPr>
                <w:rFonts w:ascii="Times New Roman" w:eastAsia="Calibri" w:hAnsi="Times New Roman" w:cs="Times New Roman"/>
                <w:sz w:val="18"/>
                <w:szCs w:val="18"/>
              </w:rPr>
              <w:t>$</w:t>
            </w:r>
            <w:r w:rsidRPr="00C764DB" w:rsidR="00E76D43">
              <w:rPr>
                <w:rFonts w:ascii="Times New Roman" w:eastAsia="Calibri" w:hAnsi="Times New Roman" w:cs="Times New Roman"/>
                <w:sz w:val="18"/>
                <w:szCs w:val="18"/>
              </w:rPr>
              <w:t>0</w:t>
            </w:r>
          </w:p>
        </w:tc>
      </w:tr>
      <w:tr w14:paraId="79ABBE0E" w14:textId="77777777" w:rsidTr="002A2783">
        <w:tblPrEx>
          <w:tblW w:w="0" w:type="auto"/>
          <w:tblLook w:val="04A0"/>
        </w:tblPrEx>
        <w:tc>
          <w:tcPr>
            <w:tcW w:w="7375" w:type="dxa"/>
          </w:tcPr>
          <w:p w:rsidR="009A4214" w:rsidRPr="00331A92" w:rsidP="002A2783" w14:paraId="6744E230" w14:textId="77777777">
            <w:pPr>
              <w:rPr>
                <w:rFonts w:ascii="Times New Roman" w:eastAsia="Calibri" w:hAnsi="Times New Roman" w:cs="Times New Roman"/>
                <w:b/>
                <w:sz w:val="18"/>
                <w:szCs w:val="18"/>
              </w:rPr>
            </w:pPr>
            <w:r w:rsidRPr="00331A92">
              <w:rPr>
                <w:rFonts w:ascii="Times New Roman" w:eastAsia="Calibri" w:hAnsi="Times New Roman" w:cs="Times New Roman"/>
                <w:b/>
                <w:sz w:val="18"/>
                <w:szCs w:val="18"/>
              </w:rPr>
              <w:t>Total</w:t>
            </w:r>
          </w:p>
        </w:tc>
        <w:tc>
          <w:tcPr>
            <w:tcW w:w="1975" w:type="dxa"/>
            <w:vAlign w:val="center"/>
          </w:tcPr>
          <w:p w:rsidR="009A4214" w:rsidRPr="00C764DB" w:rsidP="002A2783" w14:paraId="58A62A25" w14:textId="34C2DD94">
            <w:pPr>
              <w:jc w:val="right"/>
              <w:rPr>
                <w:rFonts w:ascii="Times New Roman" w:eastAsia="Calibri" w:hAnsi="Times New Roman" w:cs="Times New Roman"/>
                <w:b/>
                <w:sz w:val="18"/>
                <w:szCs w:val="18"/>
              </w:rPr>
            </w:pPr>
            <w:r w:rsidRPr="00C764DB">
              <w:rPr>
                <w:rFonts w:ascii="Times New Roman" w:eastAsia="Calibri" w:hAnsi="Times New Roman" w:cs="Times New Roman"/>
                <w:b/>
                <w:sz w:val="18"/>
                <w:szCs w:val="18"/>
              </w:rPr>
              <w:t>$</w:t>
            </w:r>
            <w:r w:rsidRPr="00C764DB" w:rsidR="00627EAC">
              <w:rPr>
                <w:rFonts w:ascii="Times New Roman" w:eastAsia="Calibri" w:hAnsi="Times New Roman" w:cs="Times New Roman"/>
                <w:b/>
                <w:sz w:val="18"/>
                <w:szCs w:val="18"/>
              </w:rPr>
              <w:t>323,932</w:t>
            </w:r>
          </w:p>
        </w:tc>
      </w:tr>
      <w:tr w14:paraId="7C34BD63" w14:textId="77777777" w:rsidTr="002A2783">
        <w:tblPrEx>
          <w:tblW w:w="0" w:type="auto"/>
          <w:tblLook w:val="04A0"/>
        </w:tblPrEx>
        <w:tc>
          <w:tcPr>
            <w:tcW w:w="9350" w:type="dxa"/>
            <w:gridSpan w:val="2"/>
          </w:tcPr>
          <w:p w:rsidR="009A4214" w:rsidRPr="00C764DB" w:rsidP="002A2783" w14:paraId="4CA71F83" w14:textId="61871117">
            <w:pPr>
              <w:rPr>
                <w:rFonts w:ascii="Times New Roman" w:eastAsia="Calibri" w:hAnsi="Times New Roman" w:cs="Times New Roman"/>
                <w:sz w:val="18"/>
                <w:szCs w:val="18"/>
              </w:rPr>
            </w:pPr>
            <w:r w:rsidRPr="00331A92">
              <w:rPr>
                <w:rFonts w:ascii="Times New Roman" w:eastAsia="Calibri" w:hAnsi="Times New Roman" w:cs="Times New Roman"/>
                <w:sz w:val="18"/>
                <w:szCs w:val="18"/>
                <w:vertAlign w:val="superscript"/>
              </w:rPr>
              <w:t>1</w:t>
            </w:r>
            <w:r w:rsidRPr="00331A92">
              <w:rPr>
                <w:rFonts w:ascii="Times New Roman" w:eastAsia="Calibri" w:hAnsi="Times New Roman" w:cs="Times New Roman"/>
                <w:sz w:val="18"/>
                <w:szCs w:val="18"/>
              </w:rPr>
              <w:t xml:space="preserve"> </w:t>
            </w:r>
            <w:r w:rsidRPr="00331A92" w:rsidR="00B9451B">
              <w:rPr>
                <w:rFonts w:ascii="Times New Roman" w:eastAsia="Calibri" w:hAnsi="Times New Roman" w:cs="Times New Roman"/>
                <w:sz w:val="18"/>
                <w:szCs w:val="18"/>
              </w:rPr>
              <w:t xml:space="preserve">Office of Personnel Management 2024 Pay and Leave Tables for the Washington-Baltimore-Arlington, DC-MD-VA-WV-PA locality.  Available online at </w:t>
            </w:r>
            <w:hyperlink r:id="rId10" w:history="1">
              <w:r w:rsidRPr="00331A92" w:rsidR="00B9451B">
                <w:rPr>
                  <w:rStyle w:val="Hyperlink"/>
                  <w:rFonts w:ascii="Times New Roman" w:eastAsia="Calibri" w:hAnsi="Times New Roman" w:cs="Times New Roman"/>
                  <w:sz w:val="18"/>
                  <w:szCs w:val="18"/>
                </w:rPr>
                <w:t>https://www.opm.gov/policy-data-oversight/pay-leave/salaries-wages/salary-tables/pdf/2024/DCB.pdf</w:t>
              </w:r>
            </w:hyperlink>
            <w:r w:rsidRPr="00331A92" w:rsidR="00B9451B">
              <w:rPr>
                <w:rFonts w:ascii="Times New Roman" w:eastAsia="Calibri" w:hAnsi="Times New Roman" w:cs="Times New Roman"/>
                <w:sz w:val="18"/>
                <w:szCs w:val="18"/>
              </w:rPr>
              <w:t>.  Accessed January 2, 2024.</w:t>
            </w:r>
          </w:p>
          <w:p w:rsidR="009A4214" w:rsidRPr="00C764DB" w:rsidP="002A2783" w14:paraId="4270CB51" w14:textId="77777777">
            <w:pPr>
              <w:rPr>
                <w:rFonts w:ascii="Times New Roman" w:eastAsia="Calibri" w:hAnsi="Times New Roman" w:cs="Times New Roman"/>
                <w:sz w:val="18"/>
                <w:szCs w:val="18"/>
              </w:rPr>
            </w:pPr>
            <w:r w:rsidRPr="00331A92">
              <w:rPr>
                <w:rFonts w:ascii="Times New Roman" w:eastAsia="Calibri" w:hAnsi="Times New Roman" w:cs="Times New Roman"/>
                <w:sz w:val="18"/>
                <w:szCs w:val="18"/>
                <w:vertAlign w:val="superscript"/>
              </w:rPr>
              <w:t>2</w:t>
            </w:r>
            <w:r w:rsidRPr="00331A92">
              <w:rPr>
                <w:rFonts w:ascii="Times New Roman" w:eastAsia="Calibri" w:hAnsi="Times New Roman" w:cs="Times New Roman"/>
                <w:sz w:val="18"/>
                <w:szCs w:val="18"/>
              </w:rPr>
              <w:t xml:space="preserve"> Wage rate includes a 1.45 multiplier to reflect the fully-loaded wage rate.</w:t>
            </w:r>
          </w:p>
        </w:tc>
      </w:tr>
      <w:bookmarkEnd w:id="2"/>
    </w:tbl>
    <w:p w:rsidR="00926982" w:rsidP="000C1D66" w14:paraId="4D453F82" w14:textId="77777777">
      <w:pPr>
        <w:spacing w:line="276" w:lineRule="auto"/>
        <w:contextualSpacing/>
      </w:pPr>
    </w:p>
    <w:p w:rsidR="00AC49FB" w:rsidRPr="00425D0D" w:rsidP="00151B72" w14:paraId="46138024" w14:textId="0D48ABB0">
      <w:pPr>
        <w:pStyle w:val="ListParagraph"/>
        <w:numPr>
          <w:ilvl w:val="0"/>
          <w:numId w:val="6"/>
        </w:numPr>
        <w:spacing w:line="276" w:lineRule="auto"/>
        <w:rPr>
          <w:b/>
          <w:bCs/>
        </w:rPr>
      </w:pPr>
      <w:r w:rsidRPr="00425D0D">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151B72" w14:paraId="4196D2F4" w14:textId="77777777">
      <w:pPr>
        <w:pStyle w:val="ListParagraph"/>
        <w:spacing w:line="276" w:lineRule="auto"/>
      </w:pPr>
    </w:p>
    <w:p w:rsidR="00055F6D" w:rsidRPr="001D3D89" w:rsidP="00151B72" w14:paraId="6F2A70D5" w14:textId="096FB2BA">
      <w:pPr>
        <w:pStyle w:val="ListParagraph"/>
        <w:spacing w:line="276" w:lineRule="auto"/>
        <w:rPr>
          <w:i/>
          <w:iCs/>
          <w:sz w:val="20"/>
          <w:szCs w:val="20"/>
        </w:rPr>
      </w:pPr>
      <w:r w:rsidRPr="001D3D89">
        <w:rPr>
          <w:i/>
          <w:iCs/>
          <w:sz w:val="20"/>
          <w:szCs w:val="20"/>
        </w:rPr>
        <w:t xml:space="preserve">A </w:t>
      </w:r>
      <w:bookmarkStart w:id="3" w:name="_Hlk116570215"/>
      <w:r w:rsidR="00054513">
        <w:rPr>
          <w:b/>
          <w:bCs/>
          <w:i/>
          <w:iCs/>
          <w:sz w:val="20"/>
          <w:szCs w:val="20"/>
        </w:rPr>
        <w:t>“</w:t>
      </w:r>
      <w:bookmarkEnd w:id="3"/>
      <w:r w:rsidRPr="001D3D89">
        <w:rPr>
          <w:b/>
          <w:bCs/>
          <w:i/>
          <w:iCs/>
          <w:sz w:val="20"/>
          <w:szCs w:val="20"/>
        </w:rPr>
        <w:t>Program increase</w:t>
      </w:r>
      <w:r w:rsidR="00054513">
        <w:rPr>
          <w:b/>
          <w:bCs/>
          <w:i/>
          <w:iCs/>
          <w:sz w:val="20"/>
          <w:szCs w:val="20"/>
        </w:rPr>
        <w:t>”</w:t>
      </w:r>
      <w:r w:rsidRPr="001D3D89">
        <w:rPr>
          <w:i/>
          <w:iCs/>
          <w:sz w:val="20"/>
          <w:szCs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151B72" w14:paraId="593AD93B" w14:textId="77777777">
      <w:pPr>
        <w:pStyle w:val="ListParagraph"/>
        <w:spacing w:line="276" w:lineRule="auto"/>
        <w:rPr>
          <w:i/>
          <w:iCs/>
          <w:sz w:val="20"/>
          <w:szCs w:val="20"/>
        </w:rPr>
      </w:pPr>
    </w:p>
    <w:p w:rsidR="00055F6D" w:rsidRPr="001D3D89" w:rsidP="00151B72" w14:paraId="55624594" w14:textId="2D7852FD">
      <w:pPr>
        <w:pStyle w:val="ListParagraph"/>
        <w:spacing w:line="276" w:lineRule="auto"/>
        <w:rPr>
          <w:i/>
          <w:iCs/>
          <w:sz w:val="20"/>
          <w:szCs w:val="20"/>
        </w:rPr>
      </w:pPr>
      <w:r w:rsidRPr="001D3D89">
        <w:rPr>
          <w:i/>
          <w:iCs/>
          <w:sz w:val="20"/>
          <w:szCs w:val="20"/>
        </w:rPr>
        <w:t xml:space="preserve">A </w:t>
      </w:r>
      <w:r w:rsidR="00054513">
        <w:rPr>
          <w:b/>
          <w:bCs/>
          <w:i/>
          <w:iCs/>
          <w:sz w:val="20"/>
          <w:szCs w:val="20"/>
        </w:rPr>
        <w:t>“</w:t>
      </w:r>
      <w:r w:rsidRPr="001D3D89">
        <w:rPr>
          <w:b/>
          <w:bCs/>
          <w:i/>
          <w:iCs/>
          <w:sz w:val="20"/>
          <w:szCs w:val="20"/>
        </w:rPr>
        <w:t>Program decrease</w:t>
      </w:r>
      <w:r w:rsidR="00054513">
        <w:rPr>
          <w:b/>
          <w:bCs/>
          <w:i/>
          <w:iCs/>
          <w:sz w:val="20"/>
          <w:szCs w:val="20"/>
        </w:rPr>
        <w:t>”</w:t>
      </w:r>
      <w:r w:rsidRPr="001D3D89">
        <w:rPr>
          <w:i/>
          <w:iCs/>
          <w:sz w:val="20"/>
          <w:szCs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151B72" w14:paraId="16F7CB71" w14:textId="77777777">
      <w:pPr>
        <w:pStyle w:val="ListParagraph"/>
        <w:spacing w:line="276" w:lineRule="auto"/>
        <w:rPr>
          <w:i/>
          <w:iCs/>
          <w:sz w:val="20"/>
          <w:szCs w:val="20"/>
        </w:rPr>
      </w:pPr>
    </w:p>
    <w:p w:rsidR="00055F6D" w:rsidRPr="001D3D89" w:rsidP="00151B72" w14:paraId="1321BE83" w14:textId="37C05C44">
      <w:pPr>
        <w:pStyle w:val="ListParagraph"/>
        <w:spacing w:line="276" w:lineRule="auto"/>
        <w:rPr>
          <w:i/>
          <w:iCs/>
          <w:sz w:val="20"/>
          <w:szCs w:val="20"/>
        </w:rPr>
      </w:pPr>
      <w:r w:rsidRPr="00054513">
        <w:rPr>
          <w:i/>
          <w:iCs/>
          <w:sz w:val="20"/>
          <w:szCs w:val="20"/>
        </w:rPr>
        <w:t xml:space="preserve">An </w:t>
      </w:r>
      <w:r>
        <w:rPr>
          <w:b/>
          <w:bCs/>
          <w:i/>
          <w:iCs/>
          <w:sz w:val="20"/>
          <w:szCs w:val="20"/>
        </w:rPr>
        <w:t>“</w:t>
      </w:r>
      <w:r w:rsidRPr="001D3D89">
        <w:rPr>
          <w:b/>
          <w:bCs/>
          <w:i/>
          <w:iCs/>
          <w:sz w:val="20"/>
          <w:szCs w:val="20"/>
        </w:rPr>
        <w:t>Adjustment</w:t>
      </w:r>
      <w:r>
        <w:rPr>
          <w:b/>
          <w:bCs/>
          <w:i/>
          <w:iCs/>
          <w:sz w:val="20"/>
          <w:szCs w:val="20"/>
        </w:rPr>
        <w: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031A99" w:rsidP="000C1D66" w14:paraId="10C340CE" w14:textId="061743EE">
      <w:pPr>
        <w:spacing w:line="276" w:lineRule="auto"/>
        <w:contextualSpacing/>
      </w:pPr>
      <w:r>
        <w:br w:type="page"/>
      </w:r>
    </w:p>
    <w:tbl>
      <w:tblPr>
        <w:tblStyle w:val="TableGrid"/>
        <w:tblW w:w="10339" w:type="dxa"/>
        <w:tblInd w:w="-545" w:type="dxa"/>
        <w:tblLook w:val="04A0"/>
      </w:tblPr>
      <w:tblGrid>
        <w:gridCol w:w="1952"/>
        <w:gridCol w:w="1828"/>
        <w:gridCol w:w="1156"/>
        <w:gridCol w:w="1236"/>
        <w:gridCol w:w="1658"/>
        <w:gridCol w:w="1273"/>
        <w:gridCol w:w="1236"/>
      </w:tblGrid>
      <w:tr w14:paraId="02CC69F1" w14:textId="77777777" w:rsidTr="00331A92">
        <w:tblPrEx>
          <w:tblW w:w="10339" w:type="dxa"/>
          <w:tblInd w:w="-545" w:type="dxa"/>
          <w:tblLook w:val="04A0"/>
        </w:tblPrEx>
        <w:tc>
          <w:tcPr>
            <w:tcW w:w="10339" w:type="dxa"/>
            <w:gridSpan w:val="7"/>
            <w:shd w:val="clear" w:color="auto" w:fill="B4C6E7" w:themeFill="accent1" w:themeFillTint="66"/>
          </w:tcPr>
          <w:p w:rsidR="00544CF4" w:rsidRPr="008D1279" w:rsidP="0026188A" w14:paraId="7FDAAA83" w14:textId="77777777">
            <w:pPr>
              <w:jc w:val="center"/>
              <w:rPr>
                <w:rFonts w:cs="Times New Roman"/>
                <w:b/>
                <w:sz w:val="20"/>
                <w:szCs w:val="20"/>
              </w:rPr>
            </w:pPr>
            <w:r w:rsidRPr="008D1279">
              <w:rPr>
                <w:rFonts w:cs="Times New Roman"/>
                <w:b/>
                <w:sz w:val="20"/>
                <w:szCs w:val="20"/>
              </w:rPr>
              <w:t>Itemized Changes in Annual Burden Hours</w:t>
            </w:r>
          </w:p>
        </w:tc>
      </w:tr>
      <w:tr w14:paraId="1F3596A0" w14:textId="77777777" w:rsidTr="00331A92">
        <w:tblPrEx>
          <w:tblW w:w="10339" w:type="dxa"/>
          <w:tblInd w:w="-545" w:type="dxa"/>
          <w:tblLook w:val="04A0"/>
        </w:tblPrEx>
        <w:tc>
          <w:tcPr>
            <w:tcW w:w="1952" w:type="dxa"/>
            <w:shd w:val="clear" w:color="auto" w:fill="B4C6E7" w:themeFill="accent1" w:themeFillTint="66"/>
          </w:tcPr>
          <w:p w:rsidR="00544CF4" w:rsidRPr="008D1279" w:rsidP="0026188A" w14:paraId="7708E9E3" w14:textId="77777777">
            <w:pPr>
              <w:rPr>
                <w:rFonts w:cs="Times New Roman"/>
                <w:sz w:val="20"/>
                <w:szCs w:val="20"/>
              </w:rPr>
            </w:pPr>
            <w:r w:rsidRPr="008D1279">
              <w:rPr>
                <w:rFonts w:cs="Times New Roman"/>
                <w:sz w:val="20"/>
                <w:szCs w:val="20"/>
              </w:rPr>
              <w:t>Data Collection Activity/Instrument</w:t>
            </w:r>
          </w:p>
        </w:tc>
        <w:tc>
          <w:tcPr>
            <w:tcW w:w="1828" w:type="dxa"/>
            <w:shd w:val="clear" w:color="auto" w:fill="B4C6E7" w:themeFill="accent1" w:themeFillTint="66"/>
          </w:tcPr>
          <w:p w:rsidR="00544CF4" w:rsidRPr="008D1279" w:rsidP="0026188A" w14:paraId="2C01912B" w14:textId="77777777">
            <w:pPr>
              <w:rPr>
                <w:rFonts w:cs="Times New Roman"/>
                <w:sz w:val="20"/>
                <w:szCs w:val="20"/>
              </w:rPr>
            </w:pPr>
            <w:r w:rsidRPr="008D1279">
              <w:rPr>
                <w:rFonts w:cs="Times New Roman"/>
                <w:sz w:val="20"/>
                <w:szCs w:val="20"/>
              </w:rPr>
              <w:t>Program Change (hours currently on OMB inventory)</w:t>
            </w:r>
          </w:p>
        </w:tc>
        <w:tc>
          <w:tcPr>
            <w:tcW w:w="1156" w:type="dxa"/>
            <w:shd w:val="clear" w:color="auto" w:fill="B4C6E7" w:themeFill="accent1" w:themeFillTint="66"/>
          </w:tcPr>
          <w:p w:rsidR="00544CF4" w:rsidRPr="008D1279" w:rsidP="0026188A" w14:paraId="532AF829" w14:textId="77777777">
            <w:pPr>
              <w:rPr>
                <w:rFonts w:cs="Times New Roman"/>
                <w:sz w:val="20"/>
                <w:szCs w:val="20"/>
              </w:rPr>
            </w:pPr>
            <w:r w:rsidRPr="008D1279">
              <w:rPr>
                <w:rFonts w:cs="Times New Roman"/>
                <w:sz w:val="20"/>
                <w:szCs w:val="20"/>
              </w:rPr>
              <w:t>Program Change (new)</w:t>
            </w:r>
          </w:p>
        </w:tc>
        <w:tc>
          <w:tcPr>
            <w:tcW w:w="1236" w:type="dxa"/>
            <w:shd w:val="clear" w:color="auto" w:fill="B4C6E7" w:themeFill="accent1" w:themeFillTint="66"/>
          </w:tcPr>
          <w:p w:rsidR="00544CF4" w:rsidRPr="008D1279" w:rsidP="0026188A" w14:paraId="327F190F" w14:textId="77777777">
            <w:pPr>
              <w:rPr>
                <w:rFonts w:cs="Times New Roman"/>
                <w:sz w:val="20"/>
                <w:szCs w:val="20"/>
              </w:rPr>
            </w:pPr>
            <w:r w:rsidRPr="008D1279">
              <w:rPr>
                <w:rFonts w:cs="Times New Roman"/>
                <w:sz w:val="20"/>
                <w:szCs w:val="20"/>
              </w:rPr>
              <w:t>Difference</w:t>
            </w:r>
          </w:p>
        </w:tc>
        <w:tc>
          <w:tcPr>
            <w:tcW w:w="1658" w:type="dxa"/>
            <w:shd w:val="clear" w:color="auto" w:fill="B4C6E7" w:themeFill="accent1" w:themeFillTint="66"/>
          </w:tcPr>
          <w:p w:rsidR="00544CF4" w:rsidRPr="008D1279" w:rsidP="0026188A" w14:paraId="50F117F5" w14:textId="77777777">
            <w:pPr>
              <w:rPr>
                <w:rFonts w:cs="Times New Roman"/>
                <w:sz w:val="20"/>
                <w:szCs w:val="20"/>
              </w:rPr>
            </w:pPr>
            <w:r w:rsidRPr="008D1279">
              <w:rPr>
                <w:rFonts w:cs="Times New Roman"/>
                <w:sz w:val="20"/>
                <w:szCs w:val="20"/>
              </w:rPr>
              <w:t>Adjustment (hours currently on OMB inventory)</w:t>
            </w:r>
          </w:p>
        </w:tc>
        <w:tc>
          <w:tcPr>
            <w:tcW w:w="1273" w:type="dxa"/>
            <w:shd w:val="clear" w:color="auto" w:fill="B4C6E7" w:themeFill="accent1" w:themeFillTint="66"/>
          </w:tcPr>
          <w:p w:rsidR="00544CF4" w:rsidRPr="008D1279" w:rsidP="0026188A" w14:paraId="4C310518" w14:textId="77777777">
            <w:pPr>
              <w:rPr>
                <w:rFonts w:cs="Times New Roman"/>
                <w:sz w:val="20"/>
                <w:szCs w:val="20"/>
              </w:rPr>
            </w:pPr>
            <w:r w:rsidRPr="008D1279">
              <w:rPr>
                <w:rFonts w:cs="Times New Roman"/>
                <w:sz w:val="20"/>
                <w:szCs w:val="20"/>
              </w:rPr>
              <w:t>Adjustment (new)</w:t>
            </w:r>
          </w:p>
        </w:tc>
        <w:tc>
          <w:tcPr>
            <w:tcW w:w="1236" w:type="dxa"/>
            <w:shd w:val="clear" w:color="auto" w:fill="B4C6E7" w:themeFill="accent1" w:themeFillTint="66"/>
          </w:tcPr>
          <w:p w:rsidR="00544CF4" w:rsidRPr="008D1279" w:rsidP="0026188A" w14:paraId="0F9D4390" w14:textId="77777777">
            <w:pPr>
              <w:rPr>
                <w:rFonts w:cs="Times New Roman"/>
                <w:sz w:val="20"/>
                <w:szCs w:val="20"/>
              </w:rPr>
            </w:pPr>
            <w:r w:rsidRPr="008D1279">
              <w:rPr>
                <w:rFonts w:cs="Times New Roman"/>
                <w:sz w:val="20"/>
                <w:szCs w:val="20"/>
              </w:rPr>
              <w:t>Difference</w:t>
            </w:r>
          </w:p>
        </w:tc>
      </w:tr>
      <w:tr w14:paraId="176A3981" w14:textId="77777777" w:rsidTr="00FE79D5">
        <w:tblPrEx>
          <w:tblW w:w="10339" w:type="dxa"/>
          <w:tblInd w:w="-545" w:type="dxa"/>
          <w:tblLook w:val="04A0"/>
        </w:tblPrEx>
        <w:tc>
          <w:tcPr>
            <w:tcW w:w="1952" w:type="dxa"/>
          </w:tcPr>
          <w:p w:rsidR="00FE79D5" w:rsidRPr="008D1279" w:rsidP="00FE79D5" w14:paraId="65E02B26" w14:textId="569A4B41">
            <w:pPr>
              <w:rPr>
                <w:rFonts w:cs="Times New Roman"/>
                <w:sz w:val="20"/>
                <w:szCs w:val="20"/>
              </w:rPr>
            </w:pPr>
            <w:r w:rsidRPr="000C1D66">
              <w:rPr>
                <w:color w:val="000000"/>
                <w:sz w:val="18"/>
                <w:szCs w:val="18"/>
              </w:rPr>
              <w:t>National Household Survey on Disaster Preparedness / FEMA Form FF-008-FY-21-103</w:t>
            </w:r>
            <w:r w:rsidR="00750F88">
              <w:rPr>
                <w:color w:val="000000"/>
                <w:sz w:val="18"/>
                <w:szCs w:val="18"/>
              </w:rPr>
              <w:t xml:space="preserve"> (formerly 008-0-15)</w:t>
            </w:r>
            <w:r w:rsidRPr="000C1D66">
              <w:rPr>
                <w:color w:val="000000"/>
                <w:sz w:val="18"/>
                <w:szCs w:val="18"/>
              </w:rPr>
              <w:t xml:space="preserve"> (phone)</w:t>
            </w:r>
          </w:p>
        </w:tc>
        <w:tc>
          <w:tcPr>
            <w:tcW w:w="1828" w:type="dxa"/>
            <w:shd w:val="clear" w:color="auto" w:fill="auto"/>
            <w:vAlign w:val="center"/>
          </w:tcPr>
          <w:p w:rsidR="00FE79D5" w:rsidRPr="008D1279" w:rsidP="00FE79D5" w14:paraId="63E44564" w14:textId="28819B81">
            <w:pPr>
              <w:jc w:val="right"/>
              <w:rPr>
                <w:rFonts w:cs="Times New Roman"/>
                <w:sz w:val="20"/>
                <w:szCs w:val="20"/>
              </w:rPr>
            </w:pPr>
            <w:r>
              <w:rPr>
                <w:color w:val="000000"/>
                <w:sz w:val="20"/>
                <w:szCs w:val="20"/>
              </w:rPr>
              <w:t>625</w:t>
            </w:r>
          </w:p>
        </w:tc>
        <w:tc>
          <w:tcPr>
            <w:tcW w:w="1156" w:type="dxa"/>
            <w:shd w:val="clear" w:color="auto" w:fill="auto"/>
            <w:vAlign w:val="center"/>
          </w:tcPr>
          <w:p w:rsidR="00FE79D5" w:rsidRPr="008D1279" w:rsidP="00FE79D5" w14:paraId="4746FF72" w14:textId="0F3768BA">
            <w:pPr>
              <w:jc w:val="right"/>
              <w:rPr>
                <w:rFonts w:cs="Times New Roman"/>
                <w:sz w:val="20"/>
                <w:szCs w:val="20"/>
              </w:rPr>
            </w:pPr>
            <w:r>
              <w:rPr>
                <w:color w:val="000000"/>
                <w:sz w:val="20"/>
                <w:szCs w:val="20"/>
              </w:rPr>
              <w:t>1</w:t>
            </w:r>
          </w:p>
        </w:tc>
        <w:tc>
          <w:tcPr>
            <w:tcW w:w="1236" w:type="dxa"/>
            <w:shd w:val="clear" w:color="auto" w:fill="auto"/>
            <w:vAlign w:val="center"/>
          </w:tcPr>
          <w:p w:rsidR="00FE79D5" w:rsidRPr="008D1279" w:rsidP="00FE79D5" w14:paraId="09C28465" w14:textId="5BB95846">
            <w:pPr>
              <w:jc w:val="right"/>
              <w:rPr>
                <w:rFonts w:cs="Times New Roman"/>
                <w:sz w:val="20"/>
                <w:szCs w:val="20"/>
              </w:rPr>
            </w:pPr>
            <w:r>
              <w:rPr>
                <w:color w:val="000000"/>
                <w:sz w:val="20"/>
                <w:szCs w:val="20"/>
              </w:rPr>
              <w:t>-624</w:t>
            </w:r>
          </w:p>
        </w:tc>
        <w:tc>
          <w:tcPr>
            <w:tcW w:w="1658" w:type="dxa"/>
            <w:shd w:val="clear" w:color="auto" w:fill="auto"/>
            <w:vAlign w:val="center"/>
          </w:tcPr>
          <w:p w:rsidR="00FE79D5" w:rsidRPr="008D1279" w:rsidP="00FE79D5" w14:paraId="065DD137" w14:textId="707C51D0">
            <w:pPr>
              <w:jc w:val="right"/>
              <w:rPr>
                <w:rFonts w:cs="Times New Roman"/>
                <w:sz w:val="20"/>
                <w:szCs w:val="20"/>
              </w:rPr>
            </w:pPr>
            <w:r>
              <w:rPr>
                <w:color w:val="000000"/>
                <w:sz w:val="20"/>
                <w:szCs w:val="20"/>
              </w:rPr>
              <w:t>0</w:t>
            </w:r>
          </w:p>
        </w:tc>
        <w:tc>
          <w:tcPr>
            <w:tcW w:w="1273" w:type="dxa"/>
            <w:shd w:val="clear" w:color="auto" w:fill="auto"/>
            <w:vAlign w:val="center"/>
          </w:tcPr>
          <w:p w:rsidR="00FE79D5" w:rsidRPr="008D1279" w:rsidP="00FE79D5" w14:paraId="582FD923" w14:textId="6C5B9757">
            <w:pPr>
              <w:jc w:val="right"/>
              <w:rPr>
                <w:rFonts w:cs="Times New Roman"/>
                <w:sz w:val="20"/>
                <w:szCs w:val="20"/>
              </w:rPr>
            </w:pPr>
            <w:r>
              <w:rPr>
                <w:color w:val="000000"/>
                <w:sz w:val="20"/>
                <w:szCs w:val="20"/>
              </w:rPr>
              <w:t>0</w:t>
            </w:r>
          </w:p>
        </w:tc>
        <w:tc>
          <w:tcPr>
            <w:tcW w:w="1236" w:type="dxa"/>
            <w:shd w:val="clear" w:color="auto" w:fill="auto"/>
            <w:vAlign w:val="center"/>
          </w:tcPr>
          <w:p w:rsidR="00FE79D5" w:rsidRPr="008D1279" w:rsidP="00FE79D5" w14:paraId="3EA9E95C" w14:textId="10C9CB56">
            <w:pPr>
              <w:jc w:val="right"/>
              <w:rPr>
                <w:rFonts w:cs="Times New Roman"/>
                <w:sz w:val="20"/>
                <w:szCs w:val="20"/>
              </w:rPr>
            </w:pPr>
            <w:r>
              <w:rPr>
                <w:color w:val="000000"/>
                <w:sz w:val="20"/>
                <w:szCs w:val="20"/>
              </w:rPr>
              <w:t>0</w:t>
            </w:r>
          </w:p>
        </w:tc>
      </w:tr>
      <w:tr w14:paraId="5F1A82D9" w14:textId="77777777" w:rsidTr="00FE79D5">
        <w:tblPrEx>
          <w:tblW w:w="10339" w:type="dxa"/>
          <w:tblInd w:w="-545" w:type="dxa"/>
          <w:tblLook w:val="04A0"/>
        </w:tblPrEx>
        <w:tc>
          <w:tcPr>
            <w:tcW w:w="1952" w:type="dxa"/>
          </w:tcPr>
          <w:p w:rsidR="00FE79D5" w:rsidRPr="008D1279" w:rsidP="00FE79D5" w14:paraId="6020AD24" w14:textId="146C3A16">
            <w:pPr>
              <w:rPr>
                <w:rFonts w:cs="Times New Roman"/>
                <w:sz w:val="20"/>
                <w:szCs w:val="20"/>
              </w:rPr>
            </w:pPr>
            <w:r w:rsidRPr="000C1D66">
              <w:rPr>
                <w:color w:val="000000"/>
                <w:sz w:val="18"/>
                <w:szCs w:val="18"/>
              </w:rPr>
              <w:t>National Household Survey on Disaster Preparedness / FEMA Form FF-008-FY-21-104 (web)</w:t>
            </w:r>
          </w:p>
        </w:tc>
        <w:tc>
          <w:tcPr>
            <w:tcW w:w="1828" w:type="dxa"/>
            <w:shd w:val="clear" w:color="auto" w:fill="auto"/>
            <w:vAlign w:val="center"/>
          </w:tcPr>
          <w:p w:rsidR="00FE79D5" w:rsidRPr="008D1279" w:rsidP="00FE79D5" w14:paraId="609F3344" w14:textId="288A56EB">
            <w:pPr>
              <w:jc w:val="right"/>
              <w:rPr>
                <w:rFonts w:cs="Times New Roman"/>
                <w:sz w:val="20"/>
                <w:szCs w:val="20"/>
              </w:rPr>
            </w:pPr>
            <w:r>
              <w:rPr>
                <w:color w:val="000000"/>
                <w:sz w:val="20"/>
                <w:szCs w:val="20"/>
              </w:rPr>
              <w:t>625</w:t>
            </w:r>
          </w:p>
        </w:tc>
        <w:tc>
          <w:tcPr>
            <w:tcW w:w="1156" w:type="dxa"/>
            <w:shd w:val="clear" w:color="auto" w:fill="auto"/>
            <w:vAlign w:val="center"/>
          </w:tcPr>
          <w:p w:rsidR="00FE79D5" w:rsidRPr="008D1279" w:rsidP="00331A92" w14:paraId="567EABD7" w14:textId="2053719A">
            <w:pPr>
              <w:jc w:val="right"/>
              <w:rPr>
                <w:rFonts w:cs="Times New Roman"/>
                <w:sz w:val="20"/>
                <w:szCs w:val="20"/>
              </w:rPr>
            </w:pPr>
            <w:r>
              <w:rPr>
                <w:color w:val="000000"/>
                <w:sz w:val="20"/>
                <w:szCs w:val="20"/>
              </w:rPr>
              <w:t xml:space="preserve">1,281 </w:t>
            </w:r>
          </w:p>
        </w:tc>
        <w:tc>
          <w:tcPr>
            <w:tcW w:w="1236" w:type="dxa"/>
            <w:shd w:val="clear" w:color="auto" w:fill="auto"/>
            <w:vAlign w:val="center"/>
          </w:tcPr>
          <w:p w:rsidR="00FE79D5" w:rsidRPr="008D1279" w:rsidP="00FE79D5" w14:paraId="549345C6" w14:textId="4E257EC0">
            <w:pPr>
              <w:jc w:val="right"/>
              <w:rPr>
                <w:rFonts w:cs="Times New Roman"/>
                <w:sz w:val="20"/>
                <w:szCs w:val="20"/>
              </w:rPr>
            </w:pPr>
            <w:r>
              <w:rPr>
                <w:color w:val="000000"/>
                <w:sz w:val="20"/>
                <w:szCs w:val="20"/>
              </w:rPr>
              <w:t>656</w:t>
            </w:r>
          </w:p>
        </w:tc>
        <w:tc>
          <w:tcPr>
            <w:tcW w:w="1658" w:type="dxa"/>
            <w:shd w:val="clear" w:color="auto" w:fill="auto"/>
            <w:vAlign w:val="center"/>
          </w:tcPr>
          <w:p w:rsidR="00FE79D5" w:rsidRPr="008D1279" w:rsidP="00FE79D5" w14:paraId="30E8A1A2" w14:textId="2F45AB71">
            <w:pPr>
              <w:jc w:val="right"/>
              <w:rPr>
                <w:rFonts w:cs="Times New Roman"/>
                <w:sz w:val="20"/>
                <w:szCs w:val="20"/>
              </w:rPr>
            </w:pPr>
            <w:r>
              <w:rPr>
                <w:color w:val="000000"/>
                <w:sz w:val="20"/>
                <w:szCs w:val="20"/>
              </w:rPr>
              <w:t>0</w:t>
            </w:r>
          </w:p>
        </w:tc>
        <w:tc>
          <w:tcPr>
            <w:tcW w:w="1273" w:type="dxa"/>
            <w:shd w:val="clear" w:color="auto" w:fill="auto"/>
            <w:vAlign w:val="center"/>
          </w:tcPr>
          <w:p w:rsidR="00FE79D5" w:rsidRPr="008D1279" w:rsidP="00FE79D5" w14:paraId="678DA27C" w14:textId="1ECEC7D3">
            <w:pPr>
              <w:jc w:val="right"/>
              <w:rPr>
                <w:rFonts w:cs="Times New Roman"/>
                <w:sz w:val="20"/>
                <w:szCs w:val="20"/>
              </w:rPr>
            </w:pPr>
            <w:r>
              <w:rPr>
                <w:color w:val="000000"/>
                <w:sz w:val="20"/>
                <w:szCs w:val="20"/>
              </w:rPr>
              <w:t>0</w:t>
            </w:r>
          </w:p>
        </w:tc>
        <w:tc>
          <w:tcPr>
            <w:tcW w:w="1236" w:type="dxa"/>
            <w:shd w:val="clear" w:color="auto" w:fill="auto"/>
            <w:vAlign w:val="center"/>
          </w:tcPr>
          <w:p w:rsidR="00FE79D5" w:rsidRPr="008D1279" w:rsidP="00FE79D5" w14:paraId="3F9F58B2" w14:textId="7DD49ED9">
            <w:pPr>
              <w:jc w:val="right"/>
              <w:rPr>
                <w:rFonts w:cs="Times New Roman"/>
                <w:sz w:val="20"/>
                <w:szCs w:val="20"/>
              </w:rPr>
            </w:pPr>
            <w:r>
              <w:rPr>
                <w:color w:val="000000"/>
                <w:sz w:val="20"/>
                <w:szCs w:val="20"/>
              </w:rPr>
              <w:t>0</w:t>
            </w:r>
          </w:p>
        </w:tc>
      </w:tr>
      <w:tr w14:paraId="58419FC9" w14:textId="77777777" w:rsidTr="00FE79D5">
        <w:tblPrEx>
          <w:tblW w:w="10339" w:type="dxa"/>
          <w:tblInd w:w="-545" w:type="dxa"/>
          <w:tblLook w:val="04A0"/>
        </w:tblPrEx>
        <w:tc>
          <w:tcPr>
            <w:tcW w:w="1952" w:type="dxa"/>
            <w:vAlign w:val="center"/>
          </w:tcPr>
          <w:p w:rsidR="00FE79D5" w:rsidRPr="008D1279" w:rsidP="00FE79D5" w14:paraId="612CBD7D" w14:textId="77777777">
            <w:pPr>
              <w:rPr>
                <w:rFonts w:cs="Times New Roman"/>
                <w:b/>
                <w:sz w:val="20"/>
                <w:szCs w:val="20"/>
              </w:rPr>
            </w:pPr>
            <w:r w:rsidRPr="008D1279">
              <w:rPr>
                <w:rFonts w:cs="Times New Roman"/>
                <w:b/>
                <w:sz w:val="20"/>
                <w:szCs w:val="20"/>
              </w:rPr>
              <w:t>Total</w:t>
            </w:r>
          </w:p>
        </w:tc>
        <w:tc>
          <w:tcPr>
            <w:tcW w:w="1828" w:type="dxa"/>
            <w:vAlign w:val="center"/>
          </w:tcPr>
          <w:p w:rsidR="00FE79D5" w:rsidRPr="00331A92" w:rsidP="00FE79D5" w14:paraId="0C6E4406" w14:textId="5D5B7242">
            <w:pPr>
              <w:jc w:val="right"/>
              <w:rPr>
                <w:rFonts w:cs="Times New Roman"/>
                <w:b/>
                <w:bCs/>
                <w:sz w:val="20"/>
                <w:szCs w:val="20"/>
              </w:rPr>
            </w:pPr>
            <w:r w:rsidRPr="00331A92">
              <w:rPr>
                <w:rFonts w:cs="Times New Roman"/>
                <w:b/>
                <w:bCs/>
                <w:sz w:val="20"/>
                <w:szCs w:val="20"/>
              </w:rPr>
              <w:t>1,250</w:t>
            </w:r>
          </w:p>
        </w:tc>
        <w:tc>
          <w:tcPr>
            <w:tcW w:w="1156" w:type="dxa"/>
            <w:vAlign w:val="center"/>
          </w:tcPr>
          <w:p w:rsidR="00FE79D5" w:rsidRPr="00331A92" w:rsidP="00FE79D5" w14:paraId="7D3444F6" w14:textId="773805AE">
            <w:pPr>
              <w:jc w:val="right"/>
              <w:rPr>
                <w:rFonts w:cs="Times New Roman"/>
                <w:b/>
                <w:bCs/>
                <w:sz w:val="20"/>
                <w:szCs w:val="20"/>
              </w:rPr>
            </w:pPr>
            <w:r w:rsidRPr="00331A92">
              <w:rPr>
                <w:rFonts w:cs="Times New Roman"/>
                <w:b/>
                <w:bCs/>
                <w:sz w:val="20"/>
                <w:szCs w:val="20"/>
              </w:rPr>
              <w:t>1,282</w:t>
            </w:r>
          </w:p>
        </w:tc>
        <w:tc>
          <w:tcPr>
            <w:tcW w:w="1236" w:type="dxa"/>
            <w:vAlign w:val="center"/>
          </w:tcPr>
          <w:p w:rsidR="00FE79D5" w:rsidRPr="00331A92" w:rsidP="00FE79D5" w14:paraId="594686B4" w14:textId="0F7C7AF2">
            <w:pPr>
              <w:jc w:val="right"/>
              <w:rPr>
                <w:rFonts w:cs="Times New Roman"/>
                <w:b/>
                <w:bCs/>
                <w:sz w:val="20"/>
                <w:szCs w:val="20"/>
              </w:rPr>
            </w:pPr>
            <w:r w:rsidRPr="00331A92">
              <w:rPr>
                <w:rFonts w:cs="Times New Roman"/>
                <w:b/>
                <w:bCs/>
                <w:sz w:val="20"/>
                <w:szCs w:val="20"/>
              </w:rPr>
              <w:t>32</w:t>
            </w:r>
          </w:p>
        </w:tc>
        <w:tc>
          <w:tcPr>
            <w:tcW w:w="1658" w:type="dxa"/>
            <w:vAlign w:val="center"/>
          </w:tcPr>
          <w:p w:rsidR="00FE79D5" w:rsidRPr="00331A92" w:rsidP="00FE79D5" w14:paraId="01AA929E" w14:textId="77777777">
            <w:pPr>
              <w:jc w:val="right"/>
              <w:rPr>
                <w:rFonts w:cs="Times New Roman"/>
                <w:b/>
                <w:bCs/>
                <w:sz w:val="20"/>
                <w:szCs w:val="20"/>
              </w:rPr>
            </w:pPr>
            <w:r w:rsidRPr="00331A92">
              <w:rPr>
                <w:rFonts w:cs="Times New Roman"/>
                <w:b/>
                <w:bCs/>
                <w:sz w:val="20"/>
                <w:szCs w:val="20"/>
              </w:rPr>
              <w:t>0</w:t>
            </w:r>
          </w:p>
        </w:tc>
        <w:tc>
          <w:tcPr>
            <w:tcW w:w="1273" w:type="dxa"/>
            <w:vAlign w:val="center"/>
          </w:tcPr>
          <w:p w:rsidR="00FE79D5" w:rsidRPr="00331A92" w:rsidP="00FE79D5" w14:paraId="07C7681B" w14:textId="77777777">
            <w:pPr>
              <w:jc w:val="right"/>
              <w:rPr>
                <w:rFonts w:cs="Times New Roman"/>
                <w:b/>
                <w:bCs/>
                <w:sz w:val="20"/>
                <w:szCs w:val="20"/>
              </w:rPr>
            </w:pPr>
            <w:r w:rsidRPr="00331A92">
              <w:rPr>
                <w:rFonts w:cs="Times New Roman"/>
                <w:b/>
                <w:bCs/>
                <w:sz w:val="20"/>
                <w:szCs w:val="20"/>
              </w:rPr>
              <w:t>0</w:t>
            </w:r>
          </w:p>
        </w:tc>
        <w:tc>
          <w:tcPr>
            <w:tcW w:w="1236" w:type="dxa"/>
            <w:vAlign w:val="center"/>
          </w:tcPr>
          <w:p w:rsidR="00FE79D5" w:rsidRPr="00331A92" w:rsidP="00FE79D5" w14:paraId="07F189D7" w14:textId="77777777">
            <w:pPr>
              <w:jc w:val="right"/>
              <w:rPr>
                <w:rFonts w:cs="Times New Roman"/>
                <w:b/>
                <w:bCs/>
                <w:sz w:val="20"/>
                <w:szCs w:val="20"/>
              </w:rPr>
            </w:pPr>
            <w:r w:rsidRPr="00331A92">
              <w:rPr>
                <w:rFonts w:cs="Times New Roman"/>
                <w:b/>
                <w:bCs/>
                <w:sz w:val="20"/>
                <w:szCs w:val="20"/>
              </w:rPr>
              <w:t>0</w:t>
            </w:r>
          </w:p>
        </w:tc>
      </w:tr>
    </w:tbl>
    <w:p w:rsidR="002D3CCF" w:rsidP="00055F6D" w14:paraId="4595ADE5" w14:textId="77777777">
      <w:pPr>
        <w:pStyle w:val="ListParagraph"/>
        <w:spacing w:line="276" w:lineRule="auto"/>
      </w:pPr>
    </w:p>
    <w:p w:rsidR="002D3CCF" w:rsidRPr="001D3D89" w:rsidP="000C1D66" w14:paraId="04CF2E94" w14:textId="1A180687">
      <w:pPr>
        <w:spacing w:line="276" w:lineRule="auto"/>
        <w:contextualSpacing/>
      </w:pPr>
      <w:r w:rsidRPr="00A52E97">
        <w:rPr>
          <w:b/>
          <w:bCs/>
          <w:i/>
          <w:iCs/>
        </w:rPr>
        <w:t>Explain:</w:t>
      </w:r>
      <w:r w:rsidRPr="001D3D89">
        <w:t xml:space="preserve">  </w:t>
      </w:r>
      <w:r w:rsidRPr="00525D07" w:rsidR="00B71454">
        <w:t xml:space="preserve">The total </w:t>
      </w:r>
      <w:r w:rsidRPr="00525D07" w:rsidR="00BF0EC0">
        <w:t xml:space="preserve">annual </w:t>
      </w:r>
      <w:r w:rsidRPr="00525D07" w:rsidR="00B71454">
        <w:t>burden estimate for completion of the data collection represents a</w:t>
      </w:r>
      <w:r w:rsidR="002269B6">
        <w:t>n</w:t>
      </w:r>
      <w:r w:rsidRPr="00525D07" w:rsidR="00B71454">
        <w:t xml:space="preserve"> </w:t>
      </w:r>
      <w:r w:rsidRPr="00525D07" w:rsidR="00EB3BE4">
        <w:t xml:space="preserve">increase </w:t>
      </w:r>
      <w:r w:rsidR="006E4405">
        <w:t>(+3</w:t>
      </w:r>
      <w:r w:rsidR="00EE3C97">
        <w:t>2</w:t>
      </w:r>
      <w:r w:rsidR="006E4405">
        <w:t xml:space="preserve"> hours) </w:t>
      </w:r>
      <w:r w:rsidRPr="00525D07" w:rsidR="00B71454">
        <w:t xml:space="preserve">from the current information collection. </w:t>
      </w:r>
      <w:r w:rsidR="000D2BFB">
        <w:t xml:space="preserve"> </w:t>
      </w:r>
      <w:r w:rsidR="006E4405">
        <w:t>T</w:t>
      </w:r>
      <w:r w:rsidR="00EB3BE4">
        <w:t xml:space="preserve">he total survey sample size </w:t>
      </w:r>
      <w:r w:rsidR="006E4405">
        <w:t>increase</w:t>
      </w:r>
      <w:r w:rsidR="00DF3B04">
        <w:t>d</w:t>
      </w:r>
      <w:r w:rsidR="006E4405">
        <w:t xml:space="preserve"> from 7,000 to </w:t>
      </w:r>
      <w:r w:rsidR="003230D1">
        <w:t>7,500</w:t>
      </w:r>
      <w:r w:rsidR="006E4405">
        <w:t xml:space="preserve"> (+500 respondents</w:t>
      </w:r>
      <w:r w:rsidR="003230D1">
        <w:t>)</w:t>
      </w:r>
      <w:r w:rsidR="0075677F">
        <w:t xml:space="preserve">. </w:t>
      </w:r>
      <w:r w:rsidR="00F36D72">
        <w:t xml:space="preserve"> </w:t>
      </w:r>
      <w:r w:rsidR="00DA723C">
        <w:t>T</w:t>
      </w:r>
      <w:r w:rsidR="003230D1">
        <w:t xml:space="preserve">he </w:t>
      </w:r>
      <w:r w:rsidR="00E12B03">
        <w:t xml:space="preserve">expected data collection modality </w:t>
      </w:r>
      <w:r w:rsidR="00707DF4">
        <w:t>is anticipated to be entirely web and the average time to complete the survey is expected to be 20.5 minutes (0.3417 hours)</w:t>
      </w:r>
      <w:r w:rsidR="00BB63A5">
        <w:t xml:space="preserve"> based on </w:t>
      </w:r>
      <w:r w:rsidR="00E15B83">
        <w:t>real world averages</w:t>
      </w:r>
      <w:r w:rsidR="00707DF4">
        <w:t>.</w:t>
      </w:r>
      <w:r w:rsidR="00141F21">
        <w:t xml:space="preserve"> </w:t>
      </w:r>
      <w:r w:rsidR="00D01E65">
        <w:t xml:space="preserve">This represents a nearly two-fold increase </w:t>
      </w:r>
      <w:r w:rsidR="0014192C">
        <w:t xml:space="preserve">per survey </w:t>
      </w:r>
      <w:r w:rsidR="00D01E65">
        <w:t>from the</w:t>
      </w:r>
      <w:r w:rsidR="00141F21">
        <w:t xml:space="preserve"> weighted average</w:t>
      </w:r>
      <w:r w:rsidR="00DB0591">
        <w:t xml:space="preserve"> </w:t>
      </w:r>
      <w:r w:rsidR="00AB7B21">
        <w:t xml:space="preserve">time to complete the survey </w:t>
      </w:r>
      <w:r w:rsidR="00F2348B">
        <w:t xml:space="preserve">previously </w:t>
      </w:r>
      <w:r w:rsidR="002F100D">
        <w:t xml:space="preserve">in 10.7 minutes </w:t>
      </w:r>
      <w:r w:rsidR="00D01E65">
        <w:t>(0.17</w:t>
      </w:r>
      <w:r w:rsidR="002507FD">
        <w:t>86 hours)</w:t>
      </w:r>
      <w:r w:rsidR="004B30CF">
        <w:t xml:space="preserve"> based on t</w:t>
      </w:r>
      <w:r w:rsidR="00DF0D17">
        <w:t xml:space="preserve">he prior mix of </w:t>
      </w:r>
      <w:r w:rsidR="002B77FF">
        <w:t xml:space="preserve">survey modalities (phone and web) and </w:t>
      </w:r>
      <w:r w:rsidR="00885BD7">
        <w:t>instrument forms (national and hazard/regional)</w:t>
      </w:r>
      <w:r w:rsidR="004B30CF">
        <w:t>.</w:t>
      </w:r>
      <w:r w:rsidR="00AB7B21">
        <w:t xml:space="preserve"> </w:t>
      </w:r>
      <w:r w:rsidR="00A265EB">
        <w:t xml:space="preserve"> </w:t>
      </w:r>
      <w:r w:rsidR="00BC2A70">
        <w:t xml:space="preserve">These changes increase the total estimated burden hours </w:t>
      </w:r>
      <w:r w:rsidRPr="00A52E97" w:rsidR="00BC2A70">
        <w:rPr>
          <w:i/>
          <w:iCs/>
          <w:u w:val="single"/>
        </w:rPr>
        <w:t>per data collection</w:t>
      </w:r>
      <w:r w:rsidR="000141F6">
        <w:t>. However,</w:t>
      </w:r>
      <w:r w:rsidR="00707DF4">
        <w:t xml:space="preserve"> the survey is expected to be fielded every other year, rather than annuall</w:t>
      </w:r>
      <w:r w:rsidR="00BC2A70">
        <w:t>y</w:t>
      </w:r>
      <w:r w:rsidR="000141F6">
        <w:t xml:space="preserve">, which </w:t>
      </w:r>
      <w:r w:rsidR="005F64E9">
        <w:t xml:space="preserve">would </w:t>
      </w:r>
      <w:r w:rsidR="002B1674">
        <w:t xml:space="preserve">cut the total burden estimate in half, resulting in an </w:t>
      </w:r>
      <w:r w:rsidRPr="00A52E97" w:rsidR="002B1674">
        <w:rPr>
          <w:i/>
          <w:iCs/>
          <w:u w:val="single"/>
        </w:rPr>
        <w:t>annual</w:t>
      </w:r>
      <w:r w:rsidR="002B1674">
        <w:t xml:space="preserve"> burden estimate </w:t>
      </w:r>
      <w:r w:rsidR="004170EC">
        <w:t xml:space="preserve">(1,281) </w:t>
      </w:r>
      <w:r w:rsidR="002B1674">
        <w:t>slightly higher than previously</w:t>
      </w:r>
      <w:r w:rsidR="004170EC">
        <w:t xml:space="preserve"> (1,250)</w:t>
      </w:r>
      <w:r w:rsidR="00363678">
        <w:t>.</w:t>
      </w:r>
    </w:p>
    <w:p w:rsidR="002D3CCF" w:rsidP="000C1D66" w14:paraId="29101464" w14:textId="68EB11D9">
      <w:pPr>
        <w:spacing w:line="276" w:lineRule="auto"/>
        <w:contextualSpacing/>
      </w:pPr>
    </w:p>
    <w:tbl>
      <w:tblPr>
        <w:tblStyle w:val="TableGrid"/>
        <w:tblW w:w="10309" w:type="dxa"/>
        <w:tblInd w:w="-545" w:type="dxa"/>
        <w:tblLook w:val="04A0"/>
      </w:tblPr>
      <w:tblGrid>
        <w:gridCol w:w="1952"/>
        <w:gridCol w:w="1738"/>
        <w:gridCol w:w="1156"/>
        <w:gridCol w:w="1236"/>
        <w:gridCol w:w="1748"/>
        <w:gridCol w:w="1243"/>
        <w:gridCol w:w="1236"/>
      </w:tblGrid>
      <w:tr w14:paraId="7258E2C0" w14:textId="77777777" w:rsidTr="00331A92">
        <w:tblPrEx>
          <w:tblW w:w="10309" w:type="dxa"/>
          <w:tblInd w:w="-545" w:type="dxa"/>
          <w:tblLook w:val="04A0"/>
        </w:tblPrEx>
        <w:tc>
          <w:tcPr>
            <w:tcW w:w="10309" w:type="dxa"/>
            <w:gridSpan w:val="7"/>
            <w:shd w:val="clear" w:color="auto" w:fill="B4C6E7" w:themeFill="accent1" w:themeFillTint="66"/>
          </w:tcPr>
          <w:p w:rsidR="00834460" w:rsidRPr="008D1279" w:rsidP="0026188A" w14:paraId="28196C35" w14:textId="77777777">
            <w:pPr>
              <w:jc w:val="center"/>
              <w:rPr>
                <w:rFonts w:cs="Times New Roman"/>
                <w:b/>
                <w:sz w:val="20"/>
                <w:szCs w:val="20"/>
              </w:rPr>
            </w:pPr>
            <w:r w:rsidRPr="008D1279">
              <w:rPr>
                <w:rFonts w:cs="Times New Roman"/>
                <w:b/>
                <w:sz w:val="20"/>
                <w:szCs w:val="20"/>
              </w:rPr>
              <w:t>Itemized Changes in Annual Cost Burden</w:t>
            </w:r>
          </w:p>
        </w:tc>
      </w:tr>
      <w:tr w14:paraId="2871DEBA" w14:textId="77777777" w:rsidTr="00331A92">
        <w:tblPrEx>
          <w:tblW w:w="10309" w:type="dxa"/>
          <w:tblInd w:w="-545" w:type="dxa"/>
          <w:tblLook w:val="04A0"/>
        </w:tblPrEx>
        <w:tc>
          <w:tcPr>
            <w:tcW w:w="1952" w:type="dxa"/>
            <w:shd w:val="clear" w:color="auto" w:fill="B4C6E7" w:themeFill="accent1" w:themeFillTint="66"/>
          </w:tcPr>
          <w:p w:rsidR="00834460" w:rsidRPr="008D1279" w:rsidP="0026188A" w14:paraId="56FFD41D" w14:textId="77777777">
            <w:pPr>
              <w:rPr>
                <w:rFonts w:cs="Times New Roman"/>
                <w:sz w:val="20"/>
                <w:szCs w:val="20"/>
              </w:rPr>
            </w:pPr>
            <w:r w:rsidRPr="008D1279">
              <w:rPr>
                <w:rFonts w:cs="Times New Roman"/>
                <w:sz w:val="20"/>
                <w:szCs w:val="20"/>
              </w:rPr>
              <w:t>Data Collection Activity/Instrument</w:t>
            </w:r>
          </w:p>
        </w:tc>
        <w:tc>
          <w:tcPr>
            <w:tcW w:w="1738" w:type="dxa"/>
            <w:shd w:val="clear" w:color="auto" w:fill="B4C6E7" w:themeFill="accent1" w:themeFillTint="66"/>
          </w:tcPr>
          <w:p w:rsidR="00834460" w:rsidRPr="008D1279" w:rsidP="0026188A" w14:paraId="2F7939D2" w14:textId="77777777">
            <w:pPr>
              <w:rPr>
                <w:rFonts w:cs="Times New Roman"/>
                <w:sz w:val="20"/>
                <w:szCs w:val="20"/>
              </w:rPr>
            </w:pPr>
            <w:r w:rsidRPr="008D1279">
              <w:rPr>
                <w:rFonts w:cs="Times New Roman"/>
                <w:sz w:val="20"/>
                <w:szCs w:val="20"/>
              </w:rPr>
              <w:t>Program Change (cost currently on OMB inventory)</w:t>
            </w:r>
          </w:p>
        </w:tc>
        <w:tc>
          <w:tcPr>
            <w:tcW w:w="1156" w:type="dxa"/>
            <w:shd w:val="clear" w:color="auto" w:fill="B4C6E7" w:themeFill="accent1" w:themeFillTint="66"/>
          </w:tcPr>
          <w:p w:rsidR="00834460" w:rsidRPr="008D1279" w:rsidP="0026188A" w14:paraId="58AC0C99" w14:textId="77777777">
            <w:pPr>
              <w:rPr>
                <w:rFonts w:cs="Times New Roman"/>
                <w:sz w:val="20"/>
                <w:szCs w:val="20"/>
              </w:rPr>
            </w:pPr>
            <w:r w:rsidRPr="008D1279">
              <w:rPr>
                <w:rFonts w:cs="Times New Roman"/>
                <w:sz w:val="20"/>
                <w:szCs w:val="20"/>
              </w:rPr>
              <w:t>Program Change (new)</w:t>
            </w:r>
          </w:p>
        </w:tc>
        <w:tc>
          <w:tcPr>
            <w:tcW w:w="1236" w:type="dxa"/>
            <w:shd w:val="clear" w:color="auto" w:fill="B4C6E7" w:themeFill="accent1" w:themeFillTint="66"/>
          </w:tcPr>
          <w:p w:rsidR="00834460" w:rsidRPr="008D1279" w:rsidP="0026188A" w14:paraId="5B6C2538" w14:textId="77777777">
            <w:pPr>
              <w:rPr>
                <w:rFonts w:cs="Times New Roman"/>
                <w:sz w:val="20"/>
                <w:szCs w:val="20"/>
              </w:rPr>
            </w:pPr>
            <w:r w:rsidRPr="008D1279">
              <w:rPr>
                <w:rFonts w:cs="Times New Roman"/>
                <w:sz w:val="20"/>
                <w:szCs w:val="20"/>
              </w:rPr>
              <w:t>Difference</w:t>
            </w:r>
          </w:p>
        </w:tc>
        <w:tc>
          <w:tcPr>
            <w:tcW w:w="1748" w:type="dxa"/>
            <w:shd w:val="clear" w:color="auto" w:fill="B4C6E7" w:themeFill="accent1" w:themeFillTint="66"/>
          </w:tcPr>
          <w:p w:rsidR="00834460" w:rsidRPr="008D1279" w:rsidP="0026188A" w14:paraId="5EDCB4CD" w14:textId="77777777">
            <w:pPr>
              <w:rPr>
                <w:rFonts w:cs="Times New Roman"/>
                <w:sz w:val="20"/>
                <w:szCs w:val="20"/>
              </w:rPr>
            </w:pPr>
            <w:r w:rsidRPr="008D1279">
              <w:rPr>
                <w:rFonts w:cs="Times New Roman"/>
                <w:sz w:val="20"/>
                <w:szCs w:val="20"/>
              </w:rPr>
              <w:t>Adjustment (cost currently on OMB inventory)</w:t>
            </w:r>
          </w:p>
        </w:tc>
        <w:tc>
          <w:tcPr>
            <w:tcW w:w="1243" w:type="dxa"/>
            <w:shd w:val="clear" w:color="auto" w:fill="B4C6E7" w:themeFill="accent1" w:themeFillTint="66"/>
          </w:tcPr>
          <w:p w:rsidR="00834460" w:rsidRPr="008D1279" w:rsidP="0026188A" w14:paraId="5411060C" w14:textId="77777777">
            <w:pPr>
              <w:rPr>
                <w:rFonts w:cs="Times New Roman"/>
                <w:sz w:val="20"/>
                <w:szCs w:val="20"/>
              </w:rPr>
            </w:pPr>
            <w:r w:rsidRPr="008D1279">
              <w:rPr>
                <w:rFonts w:cs="Times New Roman"/>
                <w:sz w:val="20"/>
                <w:szCs w:val="20"/>
              </w:rPr>
              <w:t>Adjustment (new)</w:t>
            </w:r>
          </w:p>
        </w:tc>
        <w:tc>
          <w:tcPr>
            <w:tcW w:w="1236" w:type="dxa"/>
            <w:shd w:val="clear" w:color="auto" w:fill="B4C6E7" w:themeFill="accent1" w:themeFillTint="66"/>
          </w:tcPr>
          <w:p w:rsidR="00834460" w:rsidRPr="008D1279" w:rsidP="0026188A" w14:paraId="2C21D194" w14:textId="77777777">
            <w:pPr>
              <w:rPr>
                <w:rFonts w:cs="Times New Roman"/>
                <w:sz w:val="20"/>
                <w:szCs w:val="20"/>
              </w:rPr>
            </w:pPr>
            <w:r w:rsidRPr="008D1279">
              <w:rPr>
                <w:rFonts w:cs="Times New Roman"/>
                <w:sz w:val="20"/>
                <w:szCs w:val="20"/>
              </w:rPr>
              <w:t>Difference</w:t>
            </w:r>
          </w:p>
        </w:tc>
      </w:tr>
      <w:tr w14:paraId="090544F1" w14:textId="77777777" w:rsidTr="00D74B62">
        <w:tblPrEx>
          <w:tblW w:w="10309" w:type="dxa"/>
          <w:tblInd w:w="-545" w:type="dxa"/>
          <w:tblLook w:val="04A0"/>
        </w:tblPrEx>
        <w:tc>
          <w:tcPr>
            <w:tcW w:w="1952" w:type="dxa"/>
          </w:tcPr>
          <w:p w:rsidR="00392A01" w:rsidRPr="008D1279" w:rsidP="00392A01" w14:paraId="337A55BF" w14:textId="06D6C329">
            <w:pPr>
              <w:rPr>
                <w:rFonts w:cs="Times New Roman"/>
                <w:sz w:val="20"/>
                <w:szCs w:val="20"/>
              </w:rPr>
            </w:pPr>
            <w:r w:rsidRPr="000C1D66">
              <w:rPr>
                <w:color w:val="000000"/>
                <w:sz w:val="18"/>
                <w:szCs w:val="18"/>
              </w:rPr>
              <w:t>National Household Survey on Disaster Preparedness / FEMA Form FF-008-FY-21-103</w:t>
            </w:r>
            <w:r w:rsidR="00750F88">
              <w:rPr>
                <w:color w:val="000000"/>
                <w:sz w:val="18"/>
                <w:szCs w:val="18"/>
              </w:rPr>
              <w:t xml:space="preserve"> (formerly 008-0-15)</w:t>
            </w:r>
            <w:r w:rsidRPr="000C1D66">
              <w:rPr>
                <w:color w:val="000000"/>
                <w:sz w:val="18"/>
                <w:szCs w:val="18"/>
              </w:rPr>
              <w:t xml:space="preserve"> (phone)</w:t>
            </w:r>
          </w:p>
        </w:tc>
        <w:tc>
          <w:tcPr>
            <w:tcW w:w="1738" w:type="dxa"/>
            <w:shd w:val="clear" w:color="auto" w:fill="auto"/>
            <w:vAlign w:val="center"/>
          </w:tcPr>
          <w:p w:rsidR="00392A01" w:rsidRPr="008D1279" w:rsidP="00D74B62" w14:paraId="7738417F" w14:textId="61B1F5BE">
            <w:pPr>
              <w:jc w:val="center"/>
              <w:rPr>
                <w:rFonts w:cs="Times New Roman"/>
                <w:sz w:val="20"/>
                <w:szCs w:val="20"/>
              </w:rPr>
            </w:pPr>
            <w:r>
              <w:rPr>
                <w:color w:val="000000"/>
                <w:sz w:val="20"/>
                <w:szCs w:val="20"/>
              </w:rPr>
              <w:t>$23,469</w:t>
            </w:r>
          </w:p>
        </w:tc>
        <w:tc>
          <w:tcPr>
            <w:tcW w:w="1156" w:type="dxa"/>
            <w:shd w:val="clear" w:color="auto" w:fill="auto"/>
            <w:vAlign w:val="center"/>
          </w:tcPr>
          <w:p w:rsidR="00392A01" w:rsidRPr="008D1279" w:rsidP="00D74B62" w14:paraId="44359F6B" w14:textId="02329AB2">
            <w:pPr>
              <w:jc w:val="center"/>
              <w:rPr>
                <w:rFonts w:cs="Times New Roman"/>
                <w:sz w:val="20"/>
                <w:szCs w:val="20"/>
              </w:rPr>
            </w:pPr>
            <w:r>
              <w:rPr>
                <w:color w:val="000000"/>
                <w:sz w:val="20"/>
                <w:szCs w:val="20"/>
              </w:rPr>
              <w:t>$46</w:t>
            </w:r>
          </w:p>
        </w:tc>
        <w:tc>
          <w:tcPr>
            <w:tcW w:w="1236" w:type="dxa"/>
            <w:shd w:val="clear" w:color="auto" w:fill="auto"/>
            <w:vAlign w:val="center"/>
          </w:tcPr>
          <w:p w:rsidR="00392A01" w:rsidRPr="008D1279" w:rsidP="00D74B62" w14:paraId="5831B67E" w14:textId="1E822112">
            <w:pPr>
              <w:jc w:val="center"/>
              <w:rPr>
                <w:rFonts w:cs="Times New Roman"/>
                <w:sz w:val="20"/>
                <w:szCs w:val="20"/>
              </w:rPr>
            </w:pPr>
            <w:r>
              <w:rPr>
                <w:color w:val="000000"/>
                <w:sz w:val="20"/>
                <w:szCs w:val="20"/>
              </w:rPr>
              <w:t>-$23,423</w:t>
            </w:r>
          </w:p>
        </w:tc>
        <w:tc>
          <w:tcPr>
            <w:tcW w:w="1748" w:type="dxa"/>
            <w:vAlign w:val="center"/>
          </w:tcPr>
          <w:p w:rsidR="00392A01" w:rsidRPr="008D1279" w:rsidP="00D74B62" w14:paraId="0632EBD3" w14:textId="77777777">
            <w:pPr>
              <w:jc w:val="center"/>
              <w:rPr>
                <w:rFonts w:cs="Times New Roman"/>
                <w:sz w:val="20"/>
                <w:szCs w:val="20"/>
              </w:rPr>
            </w:pPr>
          </w:p>
        </w:tc>
        <w:tc>
          <w:tcPr>
            <w:tcW w:w="1243" w:type="dxa"/>
            <w:vAlign w:val="center"/>
          </w:tcPr>
          <w:p w:rsidR="00392A01" w:rsidRPr="008D1279" w:rsidP="00D74B62" w14:paraId="6A8DAE47" w14:textId="77777777">
            <w:pPr>
              <w:jc w:val="center"/>
              <w:rPr>
                <w:rFonts w:cs="Times New Roman"/>
                <w:sz w:val="20"/>
                <w:szCs w:val="20"/>
              </w:rPr>
            </w:pPr>
          </w:p>
        </w:tc>
        <w:tc>
          <w:tcPr>
            <w:tcW w:w="1236" w:type="dxa"/>
            <w:vAlign w:val="center"/>
          </w:tcPr>
          <w:p w:rsidR="00392A01" w:rsidRPr="008D1279" w:rsidP="00D74B62" w14:paraId="5863D593" w14:textId="77777777">
            <w:pPr>
              <w:jc w:val="center"/>
              <w:rPr>
                <w:rFonts w:cs="Times New Roman"/>
                <w:sz w:val="20"/>
                <w:szCs w:val="20"/>
              </w:rPr>
            </w:pPr>
          </w:p>
        </w:tc>
      </w:tr>
      <w:tr w14:paraId="47416893" w14:textId="77777777" w:rsidTr="00D74B62">
        <w:tblPrEx>
          <w:tblW w:w="10309" w:type="dxa"/>
          <w:tblInd w:w="-545" w:type="dxa"/>
          <w:tblLook w:val="04A0"/>
        </w:tblPrEx>
        <w:tc>
          <w:tcPr>
            <w:tcW w:w="1952" w:type="dxa"/>
          </w:tcPr>
          <w:p w:rsidR="00392A01" w:rsidRPr="008D1279" w:rsidP="00392A01" w14:paraId="1BF0563A" w14:textId="2D941EC0">
            <w:pPr>
              <w:rPr>
                <w:rFonts w:cs="Times New Roman"/>
                <w:sz w:val="20"/>
                <w:szCs w:val="20"/>
              </w:rPr>
            </w:pPr>
            <w:r w:rsidRPr="000C1D66">
              <w:rPr>
                <w:color w:val="000000"/>
                <w:sz w:val="18"/>
                <w:szCs w:val="18"/>
              </w:rPr>
              <w:t>National Household Survey on Disaster Preparedness / FEMA Form FF-008-FY-21-104 (web)</w:t>
            </w:r>
          </w:p>
        </w:tc>
        <w:tc>
          <w:tcPr>
            <w:tcW w:w="1738" w:type="dxa"/>
            <w:shd w:val="clear" w:color="auto" w:fill="auto"/>
            <w:vAlign w:val="center"/>
          </w:tcPr>
          <w:p w:rsidR="00392A01" w:rsidRPr="008D1279" w:rsidP="00D74B62" w14:paraId="6E28AB3C" w14:textId="4BA59C67">
            <w:pPr>
              <w:jc w:val="center"/>
              <w:rPr>
                <w:rFonts w:cs="Times New Roman"/>
                <w:sz w:val="20"/>
                <w:szCs w:val="20"/>
              </w:rPr>
            </w:pPr>
            <w:r>
              <w:rPr>
                <w:color w:val="000000"/>
                <w:sz w:val="20"/>
                <w:szCs w:val="20"/>
              </w:rPr>
              <w:t>$23,469</w:t>
            </w:r>
          </w:p>
        </w:tc>
        <w:tc>
          <w:tcPr>
            <w:tcW w:w="1156" w:type="dxa"/>
            <w:shd w:val="clear" w:color="auto" w:fill="auto"/>
            <w:vAlign w:val="center"/>
          </w:tcPr>
          <w:p w:rsidR="00392A01" w:rsidRPr="008D1279" w:rsidP="00D74B62" w14:paraId="293E1788" w14:textId="2B6E055E">
            <w:pPr>
              <w:jc w:val="center"/>
              <w:rPr>
                <w:rFonts w:cs="Times New Roman"/>
                <w:sz w:val="20"/>
                <w:szCs w:val="20"/>
              </w:rPr>
            </w:pPr>
            <w:r>
              <w:rPr>
                <w:color w:val="000000"/>
                <w:sz w:val="20"/>
                <w:szCs w:val="20"/>
              </w:rPr>
              <w:t>$58,478</w:t>
            </w:r>
          </w:p>
        </w:tc>
        <w:tc>
          <w:tcPr>
            <w:tcW w:w="1236" w:type="dxa"/>
            <w:shd w:val="clear" w:color="auto" w:fill="auto"/>
            <w:vAlign w:val="center"/>
          </w:tcPr>
          <w:p w:rsidR="00392A01" w:rsidRPr="008D1279" w:rsidP="00D74B62" w14:paraId="4E198443" w14:textId="35855EAC">
            <w:pPr>
              <w:jc w:val="center"/>
              <w:rPr>
                <w:rFonts w:cs="Times New Roman"/>
                <w:sz w:val="20"/>
                <w:szCs w:val="20"/>
              </w:rPr>
            </w:pPr>
            <w:r>
              <w:rPr>
                <w:color w:val="000000"/>
                <w:sz w:val="20"/>
                <w:szCs w:val="20"/>
              </w:rPr>
              <w:t>$35,009</w:t>
            </w:r>
          </w:p>
        </w:tc>
        <w:tc>
          <w:tcPr>
            <w:tcW w:w="1748" w:type="dxa"/>
            <w:vAlign w:val="center"/>
          </w:tcPr>
          <w:p w:rsidR="00392A01" w:rsidRPr="008D1279" w:rsidP="00D74B62" w14:paraId="43F3DF99" w14:textId="77777777">
            <w:pPr>
              <w:jc w:val="center"/>
              <w:rPr>
                <w:rFonts w:cs="Times New Roman"/>
                <w:sz w:val="20"/>
                <w:szCs w:val="20"/>
              </w:rPr>
            </w:pPr>
          </w:p>
        </w:tc>
        <w:tc>
          <w:tcPr>
            <w:tcW w:w="1243" w:type="dxa"/>
            <w:vAlign w:val="center"/>
          </w:tcPr>
          <w:p w:rsidR="00392A01" w:rsidRPr="008D1279" w:rsidP="00D74B62" w14:paraId="7DD5C193" w14:textId="77777777">
            <w:pPr>
              <w:jc w:val="center"/>
              <w:rPr>
                <w:rFonts w:cs="Times New Roman"/>
                <w:sz w:val="20"/>
                <w:szCs w:val="20"/>
              </w:rPr>
            </w:pPr>
          </w:p>
        </w:tc>
        <w:tc>
          <w:tcPr>
            <w:tcW w:w="1236" w:type="dxa"/>
            <w:vAlign w:val="center"/>
          </w:tcPr>
          <w:p w:rsidR="00392A01" w:rsidRPr="008D1279" w:rsidP="00D74B62" w14:paraId="0C70322C" w14:textId="77777777">
            <w:pPr>
              <w:jc w:val="center"/>
              <w:rPr>
                <w:rFonts w:cs="Times New Roman"/>
                <w:sz w:val="20"/>
                <w:szCs w:val="20"/>
              </w:rPr>
            </w:pPr>
          </w:p>
        </w:tc>
      </w:tr>
      <w:tr w14:paraId="00DC0E24" w14:textId="77777777" w:rsidTr="00D74B62">
        <w:tblPrEx>
          <w:tblW w:w="10309" w:type="dxa"/>
          <w:tblInd w:w="-545" w:type="dxa"/>
          <w:tblLook w:val="04A0"/>
        </w:tblPrEx>
        <w:tc>
          <w:tcPr>
            <w:tcW w:w="1952" w:type="dxa"/>
          </w:tcPr>
          <w:p w:rsidR="00392A01" w:rsidRPr="00BE6FF8" w:rsidP="00392A01" w14:paraId="2A32918B" w14:textId="77777777">
            <w:pPr>
              <w:rPr>
                <w:rFonts w:cs="Times New Roman"/>
                <w:b/>
                <w:sz w:val="20"/>
                <w:szCs w:val="20"/>
              </w:rPr>
            </w:pPr>
            <w:r w:rsidRPr="00BE6FF8">
              <w:rPr>
                <w:rFonts w:cs="Times New Roman"/>
                <w:b/>
                <w:sz w:val="20"/>
                <w:szCs w:val="20"/>
              </w:rPr>
              <w:t>Total</w:t>
            </w:r>
          </w:p>
        </w:tc>
        <w:tc>
          <w:tcPr>
            <w:tcW w:w="1738" w:type="dxa"/>
            <w:vAlign w:val="center"/>
          </w:tcPr>
          <w:p w:rsidR="00392A01" w:rsidRPr="00331A92" w:rsidP="00D74B62" w14:paraId="7106399D" w14:textId="5409545B">
            <w:pPr>
              <w:jc w:val="center"/>
              <w:rPr>
                <w:rFonts w:cs="Times New Roman"/>
                <w:b/>
                <w:sz w:val="20"/>
                <w:szCs w:val="20"/>
              </w:rPr>
            </w:pPr>
            <w:r w:rsidRPr="00331A92">
              <w:rPr>
                <w:rFonts w:cs="Times New Roman"/>
                <w:b/>
                <w:sz w:val="20"/>
                <w:szCs w:val="20"/>
              </w:rPr>
              <w:t>$46,938</w:t>
            </w:r>
          </w:p>
        </w:tc>
        <w:tc>
          <w:tcPr>
            <w:tcW w:w="1156" w:type="dxa"/>
            <w:vAlign w:val="center"/>
          </w:tcPr>
          <w:p w:rsidR="00392A01" w:rsidRPr="00331A92" w:rsidP="00D74B62" w14:paraId="16DD3E1D" w14:textId="24C5B7E4">
            <w:pPr>
              <w:jc w:val="center"/>
              <w:rPr>
                <w:rFonts w:cs="Times New Roman"/>
                <w:b/>
                <w:sz w:val="20"/>
                <w:szCs w:val="20"/>
              </w:rPr>
            </w:pPr>
            <w:r w:rsidRPr="00331A92">
              <w:rPr>
                <w:rFonts w:cs="Times New Roman"/>
                <w:b/>
                <w:sz w:val="20"/>
                <w:szCs w:val="20"/>
              </w:rPr>
              <w:t>$</w:t>
            </w:r>
            <w:r w:rsidRPr="00331A92" w:rsidR="00D74B62">
              <w:rPr>
                <w:rFonts w:cs="Times New Roman"/>
                <w:b/>
                <w:sz w:val="20"/>
                <w:szCs w:val="20"/>
              </w:rPr>
              <w:t>58,524</w:t>
            </w:r>
          </w:p>
        </w:tc>
        <w:tc>
          <w:tcPr>
            <w:tcW w:w="1236" w:type="dxa"/>
            <w:vAlign w:val="center"/>
          </w:tcPr>
          <w:p w:rsidR="00392A01" w:rsidRPr="00331A92" w:rsidP="00D74B62" w14:paraId="40A49E99" w14:textId="588DAE45">
            <w:pPr>
              <w:jc w:val="center"/>
              <w:rPr>
                <w:rFonts w:cs="Times New Roman"/>
                <w:b/>
                <w:sz w:val="20"/>
                <w:szCs w:val="20"/>
              </w:rPr>
            </w:pPr>
            <w:r w:rsidRPr="00331A92">
              <w:rPr>
                <w:rFonts w:cs="Times New Roman"/>
                <w:b/>
                <w:sz w:val="20"/>
                <w:szCs w:val="20"/>
              </w:rPr>
              <w:t>$</w:t>
            </w:r>
            <w:r w:rsidRPr="00331A92" w:rsidR="00D74B62">
              <w:rPr>
                <w:rFonts w:cs="Times New Roman"/>
                <w:b/>
                <w:sz w:val="20"/>
                <w:szCs w:val="20"/>
              </w:rPr>
              <w:t>11,586</w:t>
            </w:r>
          </w:p>
        </w:tc>
        <w:tc>
          <w:tcPr>
            <w:tcW w:w="1748" w:type="dxa"/>
            <w:vAlign w:val="center"/>
          </w:tcPr>
          <w:p w:rsidR="00392A01" w:rsidRPr="00331A92" w:rsidP="00D74B62" w14:paraId="0665390A" w14:textId="77777777">
            <w:pPr>
              <w:jc w:val="center"/>
              <w:rPr>
                <w:rFonts w:cs="Times New Roman"/>
                <w:b/>
                <w:sz w:val="20"/>
                <w:szCs w:val="20"/>
              </w:rPr>
            </w:pPr>
            <w:r w:rsidRPr="00331A92">
              <w:rPr>
                <w:rFonts w:cs="Times New Roman"/>
                <w:b/>
                <w:sz w:val="20"/>
                <w:szCs w:val="20"/>
              </w:rPr>
              <w:t>$0</w:t>
            </w:r>
          </w:p>
        </w:tc>
        <w:tc>
          <w:tcPr>
            <w:tcW w:w="1243" w:type="dxa"/>
            <w:vAlign w:val="center"/>
          </w:tcPr>
          <w:p w:rsidR="00392A01" w:rsidRPr="00331A92" w:rsidP="00D74B62" w14:paraId="7449E5DC" w14:textId="77777777">
            <w:pPr>
              <w:jc w:val="center"/>
              <w:rPr>
                <w:rFonts w:cs="Times New Roman"/>
                <w:b/>
                <w:sz w:val="20"/>
                <w:szCs w:val="20"/>
              </w:rPr>
            </w:pPr>
            <w:r w:rsidRPr="00331A92">
              <w:rPr>
                <w:rFonts w:cs="Times New Roman"/>
                <w:b/>
                <w:sz w:val="20"/>
                <w:szCs w:val="20"/>
              </w:rPr>
              <w:t>$0</w:t>
            </w:r>
          </w:p>
        </w:tc>
        <w:tc>
          <w:tcPr>
            <w:tcW w:w="1236" w:type="dxa"/>
            <w:vAlign w:val="center"/>
          </w:tcPr>
          <w:p w:rsidR="00392A01" w:rsidRPr="00331A92" w:rsidP="00D74B62" w14:paraId="52040FB9" w14:textId="77777777">
            <w:pPr>
              <w:jc w:val="center"/>
              <w:rPr>
                <w:rFonts w:cs="Times New Roman"/>
                <w:b/>
                <w:sz w:val="20"/>
                <w:szCs w:val="20"/>
              </w:rPr>
            </w:pPr>
            <w:r w:rsidRPr="00331A92">
              <w:rPr>
                <w:rFonts w:cs="Times New Roman"/>
                <w:b/>
                <w:sz w:val="20"/>
                <w:szCs w:val="20"/>
              </w:rPr>
              <w:t>$0</w:t>
            </w:r>
          </w:p>
        </w:tc>
      </w:tr>
    </w:tbl>
    <w:p w:rsidR="00766FA2" w:rsidRPr="00331A92" w:rsidP="000C1D66" w14:paraId="067553CD" w14:textId="77777777">
      <w:pPr>
        <w:spacing w:line="276" w:lineRule="auto"/>
        <w:contextualSpacing/>
        <w:rPr>
          <w:b/>
        </w:rPr>
      </w:pPr>
    </w:p>
    <w:p w:rsidR="00E15B83" w:rsidRPr="001D3D89" w:rsidP="000C1D66" w14:paraId="2F16D0A9" w14:textId="4A798753">
      <w:pPr>
        <w:spacing w:line="276" w:lineRule="auto"/>
        <w:contextualSpacing/>
      </w:pPr>
      <w:r w:rsidRPr="008774BA">
        <w:rPr>
          <w:b/>
          <w:bCs/>
          <w:i/>
          <w:iCs/>
        </w:rPr>
        <w:t>Explain:</w:t>
      </w:r>
      <w:r w:rsidRPr="001D3D89">
        <w:t xml:space="preserve">  </w:t>
      </w:r>
      <w:r w:rsidRPr="00B42AD3">
        <w:t>The total annual burden estimate for completion of the data collection represents a</w:t>
      </w:r>
      <w:r w:rsidR="00C579A3">
        <w:t>n</w:t>
      </w:r>
      <w:r w:rsidRPr="00B42AD3">
        <w:t xml:space="preserve"> increase </w:t>
      </w:r>
      <w:r w:rsidR="00C579A3">
        <w:t xml:space="preserve">of $11,586 </w:t>
      </w:r>
      <w:r w:rsidRPr="00B42AD3">
        <w:t xml:space="preserve">from the current information collection. </w:t>
      </w:r>
      <w:r w:rsidR="00B9526C">
        <w:t xml:space="preserve"> </w:t>
      </w:r>
      <w:r>
        <w:t>The total survey sample size increase</w:t>
      </w:r>
      <w:r w:rsidR="000029C6">
        <w:t>d</w:t>
      </w:r>
      <w:r>
        <w:t xml:space="preserve"> from 7,000 to 7,500 (+500 respondents)</w:t>
      </w:r>
      <w:r w:rsidR="009671ED">
        <w:t xml:space="preserve"> </w:t>
      </w:r>
      <w:r w:rsidR="004732A0">
        <w:t>contributing to increas</w:t>
      </w:r>
      <w:r w:rsidR="005022A6">
        <w:t>ing</w:t>
      </w:r>
      <w:r w:rsidR="004732A0">
        <w:t xml:space="preserve"> burden costs</w:t>
      </w:r>
      <w:r>
        <w:t>.</w:t>
      </w:r>
      <w:r w:rsidR="008A260C">
        <w:t xml:space="preserve">  </w:t>
      </w:r>
      <w:r w:rsidR="005022A6">
        <w:t>B</w:t>
      </w:r>
      <w:r w:rsidR="004C2BAD">
        <w:t>urden cost</w:t>
      </w:r>
      <w:r w:rsidR="00690E1F">
        <w:t xml:space="preserve">s also </w:t>
      </w:r>
      <w:r w:rsidR="003F78AC">
        <w:t>increase</w:t>
      </w:r>
      <w:r w:rsidR="00690E1F">
        <w:t>d</w:t>
      </w:r>
      <w:r w:rsidR="003F78AC">
        <w:t xml:space="preserve"> </w:t>
      </w:r>
      <w:r w:rsidR="00690E1F">
        <w:t xml:space="preserve">because of </w:t>
      </w:r>
      <w:r w:rsidR="00FD6497">
        <w:t xml:space="preserve">an increase in the </w:t>
      </w:r>
      <w:r w:rsidRPr="006625E7" w:rsidR="00FD6497">
        <w:rPr>
          <w:rFonts w:cs="Times New Roman"/>
          <w:szCs w:val="24"/>
        </w:rPr>
        <w:t>Bureau of Labor Statistics</w:t>
      </w:r>
      <w:r w:rsidR="00FD6497">
        <w:rPr>
          <w:rFonts w:cs="Times New Roman"/>
          <w:szCs w:val="24"/>
        </w:rPr>
        <w:t xml:space="preserve"> 2023 o</w:t>
      </w:r>
      <w:r w:rsidRPr="00AD6EF4" w:rsidR="00FD6497">
        <w:t>ccupational wage rate</w:t>
      </w:r>
      <w:r w:rsidR="00BC35FC">
        <w:t>.</w:t>
      </w:r>
      <w:r w:rsidR="00A51198">
        <w:t xml:space="preserve">  </w:t>
      </w:r>
    </w:p>
    <w:p w:rsidR="002D3CCF" w:rsidP="00151B72" w14:paraId="101B2C02" w14:textId="77777777">
      <w:pPr>
        <w:pStyle w:val="ListParagraph"/>
        <w:spacing w:line="276" w:lineRule="auto"/>
      </w:pPr>
    </w:p>
    <w:p w:rsidR="00AC49FB" w:rsidRPr="001D3D89" w:rsidP="00151B72" w14:paraId="5C4D76E8" w14:textId="3B84E18C">
      <w:pPr>
        <w:pStyle w:val="ListParagraph"/>
        <w:numPr>
          <w:ilvl w:val="0"/>
          <w:numId w:val="6"/>
        </w:numPr>
        <w:spacing w:line="276" w:lineRule="auto"/>
        <w:rPr>
          <w:b/>
          <w:bCs/>
        </w:rPr>
      </w:pPr>
      <w:r w:rsidRPr="001D3D89">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4277B" w:rsidP="000C1D66" w14:paraId="2952E680" w14:textId="22F3FEDE">
      <w:pPr>
        <w:pStyle w:val="PlainText"/>
        <w:spacing w:line="276" w:lineRule="auto"/>
        <w:contextualSpacing/>
        <w:rPr>
          <w:rFonts w:ascii="Times New Roman" w:hAnsi="Times New Roman"/>
          <w:sz w:val="24"/>
          <w:szCs w:val="24"/>
        </w:rPr>
      </w:pPr>
    </w:p>
    <w:p w:rsidR="00890148" w:rsidP="000C1D66" w14:paraId="1E3B78B8" w14:textId="527ACBF3">
      <w:pPr>
        <w:pStyle w:val="PlainText"/>
        <w:spacing w:line="276" w:lineRule="auto"/>
        <w:contextualSpacing/>
        <w:rPr>
          <w:rFonts w:ascii="Times New Roman" w:hAnsi="Times New Roman"/>
          <w:sz w:val="24"/>
          <w:szCs w:val="24"/>
        </w:rPr>
      </w:pPr>
      <w:r>
        <w:rPr>
          <w:rFonts w:ascii="Times New Roman" w:hAnsi="Times New Roman"/>
          <w:sz w:val="24"/>
          <w:szCs w:val="24"/>
        </w:rPr>
        <w:t xml:space="preserve">Survey fielding </w:t>
      </w:r>
      <w:r w:rsidR="00444963">
        <w:rPr>
          <w:rFonts w:ascii="Times New Roman" w:hAnsi="Times New Roman"/>
          <w:sz w:val="24"/>
          <w:szCs w:val="24"/>
        </w:rPr>
        <w:t xml:space="preserve">will generally take place for a period of about six weeks </w:t>
      </w:r>
      <w:r w:rsidR="00431F8E">
        <w:rPr>
          <w:rFonts w:ascii="Times New Roman" w:hAnsi="Times New Roman"/>
          <w:sz w:val="24"/>
          <w:szCs w:val="24"/>
        </w:rPr>
        <w:t xml:space="preserve">sometime </w:t>
      </w:r>
      <w:r w:rsidR="00444963">
        <w:rPr>
          <w:rFonts w:ascii="Times New Roman" w:hAnsi="Times New Roman"/>
          <w:sz w:val="24"/>
          <w:szCs w:val="24"/>
        </w:rPr>
        <w:t>in the spring (February – May)</w:t>
      </w:r>
      <w:r w:rsidR="002D131F">
        <w:rPr>
          <w:rFonts w:ascii="Times New Roman" w:hAnsi="Times New Roman"/>
          <w:sz w:val="24"/>
          <w:szCs w:val="24"/>
        </w:rPr>
        <w:t xml:space="preserve"> of a given </w:t>
      </w:r>
      <w:r w:rsidR="00431F8E">
        <w:rPr>
          <w:rFonts w:ascii="Times New Roman" w:hAnsi="Times New Roman"/>
          <w:sz w:val="24"/>
          <w:szCs w:val="24"/>
        </w:rPr>
        <w:t>year.</w:t>
      </w:r>
      <w:r w:rsidR="004427CC">
        <w:rPr>
          <w:rFonts w:ascii="Times New Roman" w:hAnsi="Times New Roman"/>
          <w:sz w:val="24"/>
          <w:szCs w:val="24"/>
        </w:rPr>
        <w:t xml:space="preserve"> Analysis of the </w:t>
      </w:r>
      <w:r w:rsidR="00AB3704">
        <w:rPr>
          <w:rFonts w:ascii="Times New Roman" w:hAnsi="Times New Roman"/>
          <w:sz w:val="24"/>
          <w:szCs w:val="24"/>
        </w:rPr>
        <w:t xml:space="preserve">survey responses will occur immediately following data collection, generally lasting through the </w:t>
      </w:r>
      <w:r w:rsidR="00B32A52">
        <w:rPr>
          <w:rFonts w:ascii="Times New Roman" w:hAnsi="Times New Roman"/>
          <w:sz w:val="24"/>
          <w:szCs w:val="24"/>
        </w:rPr>
        <w:t>summer, followed by completion of the report</w:t>
      </w:r>
      <w:r w:rsidR="00D360D0">
        <w:rPr>
          <w:rFonts w:ascii="Times New Roman" w:hAnsi="Times New Roman"/>
          <w:sz w:val="24"/>
          <w:szCs w:val="24"/>
        </w:rPr>
        <w:t xml:space="preserve"> (summary of findings)</w:t>
      </w:r>
      <w:r w:rsidR="002177D7">
        <w:rPr>
          <w:rFonts w:ascii="Times New Roman" w:hAnsi="Times New Roman"/>
          <w:sz w:val="24"/>
          <w:szCs w:val="24"/>
        </w:rPr>
        <w:t>, which is typically publishe</w:t>
      </w:r>
      <w:r w:rsidR="00882E66">
        <w:rPr>
          <w:rFonts w:ascii="Times New Roman" w:hAnsi="Times New Roman"/>
          <w:sz w:val="24"/>
          <w:szCs w:val="24"/>
        </w:rPr>
        <w:t xml:space="preserve">d in the fall or winter. </w:t>
      </w:r>
      <w:r w:rsidR="0025719F">
        <w:rPr>
          <w:rFonts w:ascii="Times New Roman" w:hAnsi="Times New Roman"/>
          <w:sz w:val="24"/>
          <w:szCs w:val="24"/>
        </w:rPr>
        <w:t>The data/survey results will be published and made available to the public using FEMA’s data management system and online library, OpenFEMA, following the completion of the report</w:t>
      </w:r>
      <w:r w:rsidR="000D55AA">
        <w:rPr>
          <w:rFonts w:ascii="Times New Roman" w:hAnsi="Times New Roman"/>
          <w:sz w:val="24"/>
          <w:szCs w:val="24"/>
        </w:rPr>
        <w:t xml:space="preserve"> (the data produced and published contain no personally identifiable information)</w:t>
      </w:r>
      <w:r w:rsidR="0025719F">
        <w:rPr>
          <w:rFonts w:ascii="Times New Roman" w:hAnsi="Times New Roman"/>
          <w:sz w:val="24"/>
          <w:szCs w:val="24"/>
        </w:rPr>
        <w:t xml:space="preserve">. </w:t>
      </w:r>
      <w:r w:rsidR="00882E66">
        <w:rPr>
          <w:rFonts w:ascii="Times New Roman" w:hAnsi="Times New Roman"/>
          <w:sz w:val="24"/>
          <w:szCs w:val="24"/>
        </w:rPr>
        <w:t xml:space="preserve">The </w:t>
      </w:r>
      <w:r w:rsidR="0025719F">
        <w:rPr>
          <w:rFonts w:ascii="Times New Roman" w:hAnsi="Times New Roman"/>
          <w:sz w:val="24"/>
          <w:szCs w:val="24"/>
        </w:rPr>
        <w:t xml:space="preserve">survey </w:t>
      </w:r>
      <w:r w:rsidR="00A316B9">
        <w:rPr>
          <w:rFonts w:ascii="Times New Roman" w:hAnsi="Times New Roman"/>
          <w:sz w:val="24"/>
          <w:szCs w:val="24"/>
        </w:rPr>
        <w:t>findings</w:t>
      </w:r>
      <w:r w:rsidR="00D360D0">
        <w:rPr>
          <w:rFonts w:ascii="Times New Roman" w:hAnsi="Times New Roman"/>
          <w:sz w:val="24"/>
          <w:szCs w:val="24"/>
        </w:rPr>
        <w:t xml:space="preserve"> </w:t>
      </w:r>
      <w:r w:rsidR="00DD6B4C">
        <w:rPr>
          <w:rFonts w:ascii="Times New Roman" w:hAnsi="Times New Roman"/>
          <w:sz w:val="24"/>
          <w:szCs w:val="24"/>
        </w:rPr>
        <w:t>will be presented</w:t>
      </w:r>
      <w:r w:rsidR="00D360D0">
        <w:rPr>
          <w:rFonts w:ascii="Times New Roman" w:hAnsi="Times New Roman"/>
          <w:sz w:val="24"/>
          <w:szCs w:val="24"/>
        </w:rPr>
        <w:t xml:space="preserve"> internally to FEMA l</w:t>
      </w:r>
      <w:r w:rsidR="00DD6B4C">
        <w:rPr>
          <w:rFonts w:ascii="Times New Roman" w:hAnsi="Times New Roman"/>
          <w:sz w:val="24"/>
          <w:szCs w:val="24"/>
        </w:rPr>
        <w:t>eaders and may be presented to the public</w:t>
      </w:r>
      <w:r w:rsidR="0078006F">
        <w:rPr>
          <w:rFonts w:ascii="Times New Roman" w:hAnsi="Times New Roman"/>
          <w:sz w:val="24"/>
          <w:szCs w:val="24"/>
        </w:rPr>
        <w:t>, published in relevant journals, or shared with other appropriate audiences</w:t>
      </w:r>
      <w:r w:rsidR="00A316B9">
        <w:rPr>
          <w:rFonts w:ascii="Times New Roman" w:hAnsi="Times New Roman"/>
          <w:sz w:val="24"/>
          <w:szCs w:val="24"/>
        </w:rPr>
        <w:t xml:space="preserve">. </w:t>
      </w:r>
    </w:p>
    <w:p w:rsidR="00890148" w:rsidP="000C1D66" w14:paraId="5347FBA8" w14:textId="77777777">
      <w:pPr>
        <w:pStyle w:val="PlainText"/>
        <w:spacing w:line="276" w:lineRule="auto"/>
        <w:contextualSpacing/>
        <w:rPr>
          <w:rFonts w:ascii="Times New Roman" w:hAnsi="Times New Roman"/>
          <w:sz w:val="24"/>
          <w:szCs w:val="24"/>
        </w:rPr>
      </w:pPr>
    </w:p>
    <w:p w:rsidR="0074277B" w:rsidRPr="00264730" w:rsidP="000C1D66" w14:paraId="2E89D27E" w14:textId="19645F97">
      <w:pPr>
        <w:pStyle w:val="PlainText"/>
        <w:spacing w:line="276" w:lineRule="auto"/>
        <w:contextualSpacing/>
        <w:rPr>
          <w:rFonts w:ascii="Times New Roman" w:hAnsi="Times New Roman"/>
          <w:sz w:val="24"/>
          <w:szCs w:val="24"/>
        </w:rPr>
      </w:pPr>
      <w:r>
        <w:rPr>
          <w:rFonts w:ascii="Times New Roman" w:hAnsi="Times New Roman"/>
          <w:sz w:val="24"/>
          <w:szCs w:val="24"/>
        </w:rPr>
        <w:t>The sur</w:t>
      </w:r>
      <w:r w:rsidR="00C522BD">
        <w:rPr>
          <w:rFonts w:ascii="Times New Roman" w:hAnsi="Times New Roman"/>
          <w:sz w:val="24"/>
          <w:szCs w:val="24"/>
        </w:rPr>
        <w:t xml:space="preserve">vey results will be examined for data quality, which will include consistency checks to examine skip </w:t>
      </w:r>
      <w:r w:rsidR="001E7EB3">
        <w:rPr>
          <w:rFonts w:ascii="Times New Roman" w:hAnsi="Times New Roman"/>
          <w:sz w:val="24"/>
          <w:szCs w:val="24"/>
        </w:rPr>
        <w:t>patterns</w:t>
      </w:r>
      <w:r w:rsidR="00C522BD">
        <w:rPr>
          <w:rFonts w:ascii="Times New Roman" w:hAnsi="Times New Roman"/>
          <w:sz w:val="24"/>
          <w:szCs w:val="24"/>
        </w:rPr>
        <w:t>, data dependencies, and missingness across variables</w:t>
      </w:r>
      <w:r w:rsidR="001E7EB3">
        <w:rPr>
          <w:rFonts w:ascii="Times New Roman" w:hAnsi="Times New Roman"/>
          <w:sz w:val="24"/>
          <w:szCs w:val="24"/>
        </w:rPr>
        <w:t xml:space="preserve">. </w:t>
      </w:r>
      <w:r w:rsidR="00946EBD">
        <w:rPr>
          <w:rFonts w:ascii="Times New Roman" w:hAnsi="Times New Roman"/>
          <w:sz w:val="24"/>
          <w:szCs w:val="24"/>
        </w:rPr>
        <w:t>S</w:t>
      </w:r>
      <w:r w:rsidR="001462F3">
        <w:rPr>
          <w:rFonts w:ascii="Times New Roman" w:hAnsi="Times New Roman"/>
          <w:sz w:val="24"/>
          <w:szCs w:val="24"/>
        </w:rPr>
        <w:t>tatistical rak</w:t>
      </w:r>
      <w:r w:rsidR="00946EBD">
        <w:rPr>
          <w:rFonts w:ascii="Times New Roman" w:hAnsi="Times New Roman"/>
          <w:sz w:val="24"/>
          <w:szCs w:val="24"/>
        </w:rPr>
        <w:t>ing</w:t>
      </w:r>
      <w:r w:rsidR="001462F3">
        <w:rPr>
          <w:rFonts w:ascii="Times New Roman" w:hAnsi="Times New Roman"/>
          <w:sz w:val="24"/>
          <w:szCs w:val="24"/>
        </w:rPr>
        <w:t xml:space="preserve"> will be used to weight the data based on </w:t>
      </w:r>
      <w:r w:rsidR="005173DF">
        <w:rPr>
          <w:rFonts w:ascii="Times New Roman" w:hAnsi="Times New Roman"/>
          <w:sz w:val="24"/>
          <w:szCs w:val="24"/>
        </w:rPr>
        <w:t xml:space="preserve">U.S. population metrics for </w:t>
      </w:r>
      <w:r w:rsidR="001462F3">
        <w:rPr>
          <w:rFonts w:ascii="Times New Roman" w:hAnsi="Times New Roman"/>
          <w:sz w:val="24"/>
          <w:szCs w:val="24"/>
        </w:rPr>
        <w:t xml:space="preserve">the following variables: age, </w:t>
      </w:r>
      <w:r w:rsidR="00D1109B">
        <w:rPr>
          <w:rFonts w:ascii="Times New Roman" w:hAnsi="Times New Roman"/>
          <w:sz w:val="24"/>
          <w:szCs w:val="24"/>
        </w:rPr>
        <w:t xml:space="preserve">geographic division, </w:t>
      </w:r>
      <w:r w:rsidR="0083220A">
        <w:rPr>
          <w:rFonts w:ascii="Times New Roman" w:hAnsi="Times New Roman"/>
          <w:sz w:val="24"/>
          <w:szCs w:val="24"/>
        </w:rPr>
        <w:t xml:space="preserve">disability, </w:t>
      </w:r>
      <w:r w:rsidR="001462F3">
        <w:rPr>
          <w:rFonts w:ascii="Times New Roman" w:hAnsi="Times New Roman"/>
          <w:sz w:val="24"/>
          <w:szCs w:val="24"/>
        </w:rPr>
        <w:t xml:space="preserve">education, </w:t>
      </w:r>
      <w:r w:rsidR="0083220A">
        <w:rPr>
          <w:rFonts w:ascii="Times New Roman" w:hAnsi="Times New Roman"/>
          <w:sz w:val="24"/>
          <w:szCs w:val="24"/>
        </w:rPr>
        <w:t xml:space="preserve">ethnicity, homeownership, income, </w:t>
      </w:r>
      <w:r w:rsidR="00D1109B">
        <w:rPr>
          <w:rFonts w:ascii="Times New Roman" w:hAnsi="Times New Roman"/>
          <w:sz w:val="24"/>
          <w:szCs w:val="24"/>
        </w:rPr>
        <w:t>race, and sex</w:t>
      </w:r>
      <w:r w:rsidR="00675D1C">
        <w:rPr>
          <w:rFonts w:ascii="Times New Roman" w:hAnsi="Times New Roman"/>
          <w:sz w:val="24"/>
          <w:szCs w:val="24"/>
        </w:rPr>
        <w:t>/gender</w:t>
      </w:r>
      <w:r w:rsidR="00D1109B">
        <w:rPr>
          <w:rFonts w:ascii="Times New Roman" w:hAnsi="Times New Roman"/>
          <w:sz w:val="24"/>
          <w:szCs w:val="24"/>
        </w:rPr>
        <w:t>.</w:t>
      </w:r>
      <w:r w:rsidR="001462F3">
        <w:rPr>
          <w:rFonts w:ascii="Times New Roman" w:hAnsi="Times New Roman"/>
          <w:sz w:val="24"/>
          <w:szCs w:val="24"/>
        </w:rPr>
        <w:t xml:space="preserve"> </w:t>
      </w:r>
      <w:r w:rsidR="00D34156">
        <w:rPr>
          <w:rFonts w:ascii="Times New Roman" w:hAnsi="Times New Roman"/>
          <w:sz w:val="24"/>
          <w:szCs w:val="24"/>
        </w:rPr>
        <w:t>Data imputation will be conducted on variables needed for sample weighting</w:t>
      </w:r>
      <w:r w:rsidR="00772C63">
        <w:rPr>
          <w:rFonts w:ascii="Times New Roman" w:hAnsi="Times New Roman"/>
          <w:sz w:val="24"/>
          <w:szCs w:val="24"/>
        </w:rPr>
        <w:t xml:space="preserve"> in instances where values are missing or cannot be aligned to U.S. Census Bureau</w:t>
      </w:r>
      <w:r w:rsidR="00717251">
        <w:rPr>
          <w:rFonts w:ascii="Times New Roman" w:hAnsi="Times New Roman"/>
          <w:sz w:val="24"/>
          <w:szCs w:val="24"/>
        </w:rPr>
        <w:t xml:space="preserve"> data on population metrics</w:t>
      </w:r>
      <w:r w:rsidR="000A0AD8">
        <w:rPr>
          <w:rFonts w:ascii="Times New Roman" w:hAnsi="Times New Roman"/>
          <w:sz w:val="24"/>
          <w:szCs w:val="24"/>
        </w:rPr>
        <w:t>.</w:t>
      </w:r>
      <w:r w:rsidR="00D34156">
        <w:rPr>
          <w:rFonts w:ascii="Times New Roman" w:hAnsi="Times New Roman"/>
          <w:sz w:val="24"/>
          <w:szCs w:val="24"/>
        </w:rPr>
        <w:t xml:space="preserve"> </w:t>
      </w:r>
      <w:r w:rsidR="00E758AD">
        <w:rPr>
          <w:rFonts w:ascii="Times New Roman" w:hAnsi="Times New Roman"/>
          <w:sz w:val="24"/>
          <w:szCs w:val="24"/>
        </w:rPr>
        <w:t>Univariate analys</w:t>
      </w:r>
      <w:r w:rsidR="000A7FCE">
        <w:rPr>
          <w:rFonts w:ascii="Times New Roman" w:hAnsi="Times New Roman"/>
          <w:sz w:val="24"/>
          <w:szCs w:val="24"/>
        </w:rPr>
        <w:t>es</w:t>
      </w:r>
      <w:r w:rsidR="00E758AD">
        <w:rPr>
          <w:rFonts w:ascii="Times New Roman" w:hAnsi="Times New Roman"/>
          <w:sz w:val="24"/>
          <w:szCs w:val="24"/>
        </w:rPr>
        <w:t xml:space="preserve"> (e.g., number of responses, proportions, frequencies, and crosstabs) </w:t>
      </w:r>
      <w:r w:rsidR="000A7FCE">
        <w:rPr>
          <w:rFonts w:ascii="Times New Roman" w:hAnsi="Times New Roman"/>
          <w:sz w:val="24"/>
          <w:szCs w:val="24"/>
        </w:rPr>
        <w:t xml:space="preserve">of weighted response data </w:t>
      </w:r>
      <w:r w:rsidR="00E758AD">
        <w:rPr>
          <w:rFonts w:ascii="Times New Roman" w:hAnsi="Times New Roman"/>
          <w:sz w:val="24"/>
          <w:szCs w:val="24"/>
        </w:rPr>
        <w:t xml:space="preserve">will </w:t>
      </w:r>
      <w:r w:rsidR="00BE1D60">
        <w:rPr>
          <w:rFonts w:ascii="Times New Roman" w:hAnsi="Times New Roman"/>
          <w:sz w:val="24"/>
          <w:szCs w:val="24"/>
        </w:rPr>
        <w:t xml:space="preserve">primarily </w:t>
      </w:r>
      <w:r w:rsidR="00E758AD">
        <w:rPr>
          <w:rFonts w:ascii="Times New Roman" w:hAnsi="Times New Roman"/>
          <w:sz w:val="24"/>
          <w:szCs w:val="24"/>
        </w:rPr>
        <w:t xml:space="preserve">be used to </w:t>
      </w:r>
      <w:r w:rsidR="000569EA">
        <w:rPr>
          <w:rFonts w:ascii="Times New Roman" w:hAnsi="Times New Roman"/>
          <w:sz w:val="24"/>
          <w:szCs w:val="24"/>
        </w:rPr>
        <w:t xml:space="preserve">analyze findings for the total sample and to investigate differences across subsets of the sample. </w:t>
      </w:r>
    </w:p>
    <w:p w:rsidR="001D3D89" w:rsidP="000C1D66" w14:paraId="389723BE" w14:textId="77777777">
      <w:pPr>
        <w:spacing w:line="276" w:lineRule="auto"/>
        <w:contextualSpacing/>
      </w:pPr>
    </w:p>
    <w:p w:rsidR="00AC49FB" w:rsidRPr="001D3D89" w:rsidP="00151B72" w14:paraId="55569312" w14:textId="1943133B">
      <w:pPr>
        <w:pStyle w:val="ListParagraph"/>
        <w:numPr>
          <w:ilvl w:val="0"/>
          <w:numId w:val="6"/>
        </w:numPr>
        <w:spacing w:line="276" w:lineRule="auto"/>
        <w:rPr>
          <w:b/>
          <w:bCs/>
        </w:rPr>
      </w:pPr>
      <w:r w:rsidRPr="001D3D89">
        <w:rPr>
          <w:b/>
          <w:bCs/>
        </w:rPr>
        <w:t>If seeking approval no to display the expiration date for OMB approval of the information collection, explain reasons that display would be inappropriate.</w:t>
      </w:r>
    </w:p>
    <w:p w:rsidR="001D3D89" w:rsidP="000C1D66" w14:paraId="3D4584CB" w14:textId="16A29EED">
      <w:pPr>
        <w:spacing w:line="276" w:lineRule="auto"/>
        <w:contextualSpacing/>
      </w:pPr>
    </w:p>
    <w:p w:rsidR="001D3D89" w:rsidRPr="00CA583B" w:rsidP="000C1D66" w14:paraId="77B7A537" w14:textId="7B00A102">
      <w:pPr>
        <w:spacing w:line="276" w:lineRule="auto"/>
        <w:contextualSpacing/>
        <w:rPr>
          <w:b/>
          <w:bCs/>
          <w:color w:val="000000"/>
        </w:rPr>
      </w:pPr>
      <w:r w:rsidRPr="003F11BF">
        <w:rPr>
          <w:color w:val="000000"/>
        </w:rPr>
        <w:t xml:space="preserve">FEMA </w:t>
      </w:r>
      <w:r w:rsidRPr="003F11BF">
        <w:t>will display the expiration date for OMB approval of this information collection.</w:t>
      </w:r>
      <w:r w:rsidRPr="003F11BF">
        <w:rPr>
          <w:b/>
          <w:bCs/>
          <w:color w:val="000000"/>
        </w:rPr>
        <w:fldChar w:fldCharType="begin"/>
      </w:r>
      <w:r w:rsidRPr="003F11BF">
        <w:rPr>
          <w:b/>
          <w:bCs/>
          <w:color w:val="000000"/>
        </w:rPr>
        <w:instrText>ADVANCE \R 0.95</w:instrText>
      </w:r>
      <w:r w:rsidRPr="003F11BF">
        <w:rPr>
          <w:b/>
          <w:bCs/>
          <w:color w:val="000000"/>
        </w:rPr>
        <w:fldChar w:fldCharType="end"/>
      </w:r>
    </w:p>
    <w:p w:rsidR="001D3D89" w:rsidP="000C1D66" w14:paraId="440FFD24" w14:textId="77777777">
      <w:pPr>
        <w:spacing w:line="276" w:lineRule="auto"/>
        <w:contextualSpacing/>
      </w:pPr>
    </w:p>
    <w:p w:rsidR="00AC49FB" w:rsidRPr="001D3D89" w:rsidP="00151B72" w14:paraId="60CA7593" w14:textId="346F1C28">
      <w:pPr>
        <w:pStyle w:val="ListParagraph"/>
        <w:numPr>
          <w:ilvl w:val="0"/>
          <w:numId w:val="6"/>
        </w:numPr>
        <w:spacing w:line="276" w:lineRule="auto"/>
        <w:rPr>
          <w:b/>
          <w:bCs/>
        </w:rPr>
      </w:pPr>
      <w:r w:rsidRPr="001D3D89">
        <w:rPr>
          <w:b/>
          <w:bCs/>
        </w:rPr>
        <w:t xml:space="preserve">Explain each </w:t>
      </w:r>
      <w:r w:rsidRPr="001D3D89" w:rsidR="00055F6D">
        <w:rPr>
          <w:b/>
          <w:bCs/>
        </w:rPr>
        <w:t>exception to the certification state identified in Item 19 “Certification for Paperwork Reduction Act Submission,” of OMB Form 83-I.</w:t>
      </w:r>
    </w:p>
    <w:p w:rsidR="001D3D89" w:rsidP="000C1D66" w14:paraId="2597E859" w14:textId="6EDC456C">
      <w:pPr>
        <w:spacing w:line="276" w:lineRule="auto"/>
        <w:contextualSpacing/>
      </w:pPr>
    </w:p>
    <w:p w:rsidR="003E09DF" w:rsidP="000C1D66" w14:paraId="3122C9CC" w14:textId="3B9B4713">
      <w:pPr>
        <w:spacing w:line="276" w:lineRule="auto"/>
        <w:contextualSpacing/>
      </w:pPr>
      <w:r w:rsidRPr="001C5CBB">
        <w:t>This collection does not seek exception to “Certification for Paperwork Reduction Act Submissions”.</w:t>
      </w:r>
    </w:p>
    <w:p w:rsidR="001D3D89" w:rsidP="000C1D66" w14:paraId="272DBBC3" w14:textId="77777777">
      <w:pPr>
        <w:spacing w:line="276" w:lineRule="auto"/>
        <w:contextualSpacing/>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57176" w14:paraId="0C563A1B" w14:textId="71E20ED0">
            <w:pPr>
              <w:pStyle w:val="Footer"/>
              <w:jc w:val="center"/>
            </w:pPr>
            <w:r w:rsidRPr="00054513">
              <w:t xml:space="preserve">Page </w:t>
            </w:r>
            <w:r w:rsidRPr="00054513">
              <w:rPr>
                <w:color w:val="2B579A"/>
                <w:szCs w:val="24"/>
              </w:rPr>
              <w:fldChar w:fldCharType="begin"/>
            </w:r>
            <w:r w:rsidRPr="00054513">
              <w:instrText xml:space="preserve"> PAGE </w:instrText>
            </w:r>
            <w:r w:rsidRPr="00054513">
              <w:rPr>
                <w:color w:val="2B579A"/>
                <w:szCs w:val="24"/>
              </w:rPr>
              <w:fldChar w:fldCharType="separate"/>
            </w:r>
            <w:r w:rsidRPr="00054513">
              <w:rPr>
                <w:noProof/>
              </w:rPr>
              <w:t>2</w:t>
            </w:r>
            <w:r w:rsidRPr="00054513">
              <w:rPr>
                <w:color w:val="2B579A"/>
                <w:szCs w:val="24"/>
              </w:rPr>
              <w:fldChar w:fldCharType="end"/>
            </w:r>
            <w:r w:rsidRPr="00054513">
              <w:t xml:space="preserve"> of </w:t>
            </w:r>
            <w:r w:rsidRPr="00054513" w:rsidR="008B7DA9">
              <w:rPr>
                <w:color w:val="2B579A"/>
              </w:rPr>
              <w:fldChar w:fldCharType="begin"/>
            </w:r>
            <w:r w:rsidRPr="00054513" w:rsidR="008B7DA9">
              <w:instrText>NUMPAGES</w:instrText>
            </w:r>
            <w:r w:rsidRPr="00054513" w:rsidR="008B7DA9">
              <w:rPr>
                <w:color w:val="2B579A"/>
              </w:rPr>
              <w:fldChar w:fldCharType="separate"/>
            </w:r>
            <w:r w:rsidRPr="00054513">
              <w:rPr>
                <w:noProof/>
              </w:rPr>
              <w:t>2</w:t>
            </w:r>
            <w:r w:rsidRPr="00054513" w:rsidR="008B7DA9">
              <w:rPr>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444D" w:rsidP="00E655F0" w14:paraId="1137709A" w14:textId="77777777">
      <w:r>
        <w:separator/>
      </w:r>
    </w:p>
  </w:footnote>
  <w:footnote w:type="continuationSeparator" w:id="1">
    <w:p w:rsidR="002E444D" w:rsidP="00E655F0" w14:paraId="4986D447" w14:textId="77777777">
      <w:r>
        <w:continuationSeparator/>
      </w:r>
    </w:p>
  </w:footnote>
  <w:footnote w:type="continuationNotice" w:id="2">
    <w:p w:rsidR="002E444D" w14:paraId="5E996CAC" w14:textId="77777777"/>
  </w:footnote>
  <w:footnote w:id="3">
    <w:p w:rsidR="00C02A50" w:rsidRPr="000C1D66" w14:paraId="61A65423" w14:textId="167D0795">
      <w:pPr>
        <w:pStyle w:val="FootnoteText"/>
        <w:rPr>
          <w:sz w:val="18"/>
          <w:szCs w:val="18"/>
        </w:rPr>
      </w:pPr>
      <w:r w:rsidRPr="000C1D66">
        <w:rPr>
          <w:rStyle w:val="FootnoteReference"/>
          <w:sz w:val="18"/>
          <w:szCs w:val="18"/>
        </w:rPr>
        <w:footnoteRef/>
      </w:r>
      <w:r w:rsidRPr="000C1D66">
        <w:rPr>
          <w:sz w:val="18"/>
          <w:szCs w:val="18"/>
        </w:rPr>
        <w:t xml:space="preserve"> </w:t>
      </w:r>
      <w:r w:rsidRPr="000C1D66" w:rsidR="00CB584F">
        <w:rPr>
          <w:rFonts w:cs="Times New Roman"/>
          <w:sz w:val="18"/>
          <w:szCs w:val="18"/>
        </w:rPr>
        <w:t>National Academies of Sciences</w:t>
      </w:r>
      <w:r w:rsidRPr="000C1D66" w:rsidR="007D598D">
        <w:rPr>
          <w:rFonts w:cs="Times New Roman"/>
          <w:sz w:val="18"/>
          <w:szCs w:val="18"/>
        </w:rPr>
        <w:t>, Measuring Sex, Gender Identity, and Sexual Orientation for the National Institutes of Health</w:t>
      </w:r>
      <w:r w:rsidRPr="000C1D66">
        <w:rPr>
          <w:sz w:val="18"/>
          <w:szCs w:val="18"/>
        </w:rPr>
        <w:t xml:space="preserve">: </w:t>
      </w:r>
      <w:hyperlink r:id="rId1" w:history="1">
        <w:r w:rsidRPr="000C1D66">
          <w:rPr>
            <w:rStyle w:val="Hyperlink"/>
            <w:sz w:val="18"/>
            <w:szCs w:val="18"/>
          </w:rPr>
          <w:t>https://www.nationalacademies.org/our-work/measuring-sex-gender-identity-and-sexual-orientation-for-the-national-institutes-of-health</w:t>
        </w:r>
      </w:hyperlink>
      <w:r w:rsidRPr="000C1D66">
        <w:rPr>
          <w:sz w:val="18"/>
          <w:szCs w:val="18"/>
        </w:rPr>
        <w:t xml:space="preserve"> </w:t>
      </w:r>
      <w:r w:rsidRPr="000C1D66" w:rsidR="00CB584F">
        <w:rPr>
          <w:sz w:val="18"/>
          <w:szCs w:val="18"/>
        </w:rPr>
        <w:t>(</w:t>
      </w:r>
      <w:r w:rsidRPr="000C1D66" w:rsidR="006D1EA8">
        <w:rPr>
          <w:sz w:val="18"/>
          <w:szCs w:val="18"/>
        </w:rPr>
        <w:t xml:space="preserve">last accessed </w:t>
      </w:r>
      <w:r w:rsidRPr="000C1D66" w:rsidR="007D598D">
        <w:rPr>
          <w:sz w:val="18"/>
          <w:szCs w:val="18"/>
        </w:rPr>
        <w:t>7/17/2024).</w:t>
      </w:r>
    </w:p>
  </w:footnote>
  <w:footnote w:id="4">
    <w:p w:rsidR="00C02A50" w14:paraId="60B1C18D" w14:textId="47A37DC2">
      <w:pPr>
        <w:pStyle w:val="FootnoteText"/>
      </w:pPr>
      <w:r w:rsidRPr="000C1D66">
        <w:rPr>
          <w:rStyle w:val="FootnoteReference"/>
          <w:sz w:val="18"/>
          <w:szCs w:val="18"/>
        </w:rPr>
        <w:footnoteRef/>
      </w:r>
      <w:r w:rsidRPr="000C1D66">
        <w:rPr>
          <w:sz w:val="18"/>
          <w:szCs w:val="18"/>
        </w:rPr>
        <w:t xml:space="preserve"> </w:t>
      </w:r>
      <w:r w:rsidRPr="000C1D66" w:rsidR="00684044">
        <w:rPr>
          <w:rFonts w:cs="Times New Roman"/>
          <w:sz w:val="18"/>
          <w:szCs w:val="18"/>
        </w:rPr>
        <w:t>Office of Management and Budget,</w:t>
      </w:r>
      <w:r w:rsidRPr="000C1D66" w:rsidR="00B9271B">
        <w:rPr>
          <w:rFonts w:cs="Times New Roman"/>
          <w:sz w:val="18"/>
          <w:szCs w:val="18"/>
        </w:rPr>
        <w:t xml:space="preserve"> Recommendations on the Best Practices for the Collection of Sexual Orientation and Gender Identity Data on Federal Statistical Surveys</w:t>
      </w:r>
      <w:r w:rsidRPr="000C1D66" w:rsidR="006E0611">
        <w:rPr>
          <w:sz w:val="18"/>
          <w:szCs w:val="18"/>
        </w:rPr>
        <w:t xml:space="preserve">: </w:t>
      </w:r>
      <w:hyperlink r:id="rId2" w:history="1">
        <w:r w:rsidRPr="000C1D66" w:rsidR="006E0611">
          <w:rPr>
            <w:rStyle w:val="Hyperlink"/>
            <w:sz w:val="18"/>
            <w:szCs w:val="18"/>
          </w:rPr>
          <w:t>https://www.whitehouse.gov/wp-content/uploads/2023/01/SOGI-Best-Practices.pdf</w:t>
        </w:r>
      </w:hyperlink>
      <w:r w:rsidRPr="000C1D66" w:rsidR="006E0611">
        <w:rPr>
          <w:sz w:val="18"/>
          <w:szCs w:val="18"/>
        </w:rPr>
        <w:t xml:space="preserve"> </w:t>
      </w:r>
      <w:r w:rsidRPr="000C1D66" w:rsidR="00B9271B">
        <w:rPr>
          <w:sz w:val="18"/>
          <w:szCs w:val="18"/>
        </w:rPr>
        <w:t xml:space="preserve">(last accessed </w:t>
      </w:r>
      <w:r w:rsidRPr="000C1D66" w:rsidR="00CB584F">
        <w:rPr>
          <w:sz w:val="18"/>
          <w:szCs w:val="18"/>
        </w:rPr>
        <w:t>7/17/2024).</w:t>
      </w:r>
    </w:p>
  </w:footnote>
  <w:footnote w:id="5">
    <w:p w:rsidR="00394AE5" w:rsidRPr="004B1A11" w:rsidP="00394AE5" w14:paraId="2871A7AB" w14:textId="3D2BDA8A">
      <w:pPr>
        <w:pStyle w:val="FootnoteText"/>
        <w:rPr>
          <w:sz w:val="18"/>
          <w:szCs w:val="18"/>
        </w:rPr>
      </w:pPr>
      <w:r w:rsidRPr="004B1A11">
        <w:rPr>
          <w:rStyle w:val="FootnoteReference"/>
          <w:sz w:val="18"/>
          <w:szCs w:val="18"/>
        </w:rPr>
        <w:footnoteRef/>
      </w:r>
      <w:r w:rsidRPr="004B1A11">
        <w:rPr>
          <w:sz w:val="18"/>
          <w:szCs w:val="18"/>
        </w:rPr>
        <w:t xml:space="preserve"> </w:t>
      </w:r>
      <w:r w:rsidRPr="004B1A11">
        <w:rPr>
          <w:rFonts w:cs="Times New Roman"/>
          <w:sz w:val="18"/>
          <w:szCs w:val="18"/>
        </w:rPr>
        <w:t xml:space="preserve">Bureau of Labor Statistics, Employer Costs for Employee Compensation, Table 1.  Available at </w:t>
      </w:r>
      <w:hyperlink r:id="rId3" w:history="1">
        <w:r>
          <w:rPr>
            <w:rStyle w:val="Hyperlink"/>
            <w:rFonts w:cs="Times New Roman"/>
            <w:sz w:val="18"/>
            <w:szCs w:val="18"/>
          </w:rPr>
          <w:t>https://www.bls.gov/news.release/archives/ecec_03132024.pdf</w:t>
        </w:r>
      </w:hyperlink>
      <w:r w:rsidRPr="004B1A11">
        <w:rPr>
          <w:rFonts w:cs="Times New Roman"/>
          <w:sz w:val="18"/>
          <w:szCs w:val="18"/>
        </w:rPr>
        <w:t xml:space="preserve">.  Accessed March </w:t>
      </w:r>
      <w:r>
        <w:rPr>
          <w:rFonts w:cs="Times New Roman"/>
          <w:sz w:val="18"/>
          <w:szCs w:val="18"/>
        </w:rPr>
        <w:t>13</w:t>
      </w:r>
      <w:r w:rsidRPr="004B1A11">
        <w:rPr>
          <w:rFonts w:cs="Times New Roman"/>
          <w:sz w:val="18"/>
          <w:szCs w:val="18"/>
        </w:rPr>
        <w:t>, 202</w:t>
      </w:r>
      <w:r>
        <w:rPr>
          <w:rFonts w:cs="Times New Roman"/>
          <w:sz w:val="18"/>
          <w:szCs w:val="18"/>
        </w:rPr>
        <w:t>4</w:t>
      </w:r>
      <w:r w:rsidRPr="004B1A11">
        <w:rPr>
          <w:rFonts w:cs="Times New Roman"/>
          <w:sz w:val="18"/>
          <w:szCs w:val="18"/>
        </w:rPr>
        <w:t>.  The national wage multiplier is calculated by dividing total compensation for all workers of $</w:t>
      </w:r>
      <w:r>
        <w:rPr>
          <w:rFonts w:cs="Times New Roman"/>
          <w:sz w:val="18"/>
          <w:szCs w:val="18"/>
        </w:rPr>
        <w:t>45.</w:t>
      </w:r>
      <w:r w:rsidRPr="004B1A11">
        <w:rPr>
          <w:rFonts w:cs="Times New Roman"/>
          <w:sz w:val="18"/>
          <w:szCs w:val="18"/>
        </w:rPr>
        <w:t>42 by wages and salaries for all workers of $</w:t>
      </w:r>
      <w:r>
        <w:rPr>
          <w:rFonts w:cs="Times New Roman"/>
          <w:sz w:val="18"/>
          <w:szCs w:val="18"/>
        </w:rPr>
        <w:t>31.</w:t>
      </w:r>
      <w:r w:rsidRPr="004B1A11">
        <w:rPr>
          <w:rFonts w:cs="Times New Roman"/>
          <w:sz w:val="18"/>
          <w:szCs w:val="18"/>
        </w:rPr>
        <w:t>29 per hour yielding a benefits multiplier of approximately 1.45. For State and local government employees the wage multiplier is calculated by dividing total compensation for State and local government workers of $60</w:t>
      </w:r>
      <w:r>
        <w:rPr>
          <w:rFonts w:cs="Times New Roman"/>
          <w:sz w:val="18"/>
          <w:szCs w:val="18"/>
        </w:rPr>
        <w:t>.56</w:t>
      </w:r>
      <w:r w:rsidRPr="004B1A11">
        <w:rPr>
          <w:rFonts w:cs="Times New Roman"/>
          <w:sz w:val="18"/>
          <w:szCs w:val="18"/>
        </w:rPr>
        <w:t xml:space="preserve"> by Wages and salaries for State and local government workers of $</w:t>
      </w:r>
      <w:r>
        <w:rPr>
          <w:rFonts w:cs="Times New Roman"/>
          <w:sz w:val="18"/>
          <w:szCs w:val="18"/>
        </w:rPr>
        <w:t>37.53</w:t>
      </w:r>
      <w:r w:rsidRPr="004B1A11">
        <w:rPr>
          <w:rFonts w:cs="Times New Roman"/>
          <w:sz w:val="18"/>
          <w:szCs w:val="18"/>
        </w:rPr>
        <w:t xml:space="preserve"> per hour yielding a benefits multiplier of approximately 1.61.</w:t>
      </w:r>
    </w:p>
  </w:footnote>
  <w:footnote w:id="6">
    <w:p w:rsidR="00B71DC9" w:rsidRPr="004B1A11" w:rsidP="00B71DC9" w14:paraId="6BB62955" w14:textId="77777777">
      <w:pPr>
        <w:pStyle w:val="FootnoteText"/>
        <w:rPr>
          <w:rFonts w:cs="Times New Roman"/>
          <w:sz w:val="18"/>
          <w:szCs w:val="18"/>
        </w:rPr>
      </w:pPr>
      <w:r w:rsidRPr="004B1A11">
        <w:rPr>
          <w:rStyle w:val="FootnoteReference"/>
          <w:rFonts w:cs="Times New Roman"/>
          <w:sz w:val="18"/>
          <w:szCs w:val="18"/>
        </w:rPr>
        <w:footnoteRef/>
      </w:r>
      <w:r w:rsidRPr="004B1A11">
        <w:rPr>
          <w:rFonts w:cs="Times New Roman"/>
          <w:sz w:val="18"/>
          <w:szCs w:val="18"/>
        </w:rPr>
        <w:t xml:space="preserve"> Information on the mean wage rate from the U.S. Department of Labor, Bureau of Labor Statistics is available online at: </w:t>
      </w:r>
      <w:hyperlink r:id="rId4" w:history="1">
        <w:r>
          <w:rPr>
            <w:rStyle w:val="Hyperlink"/>
            <w:rFonts w:cs="Times New Roman"/>
            <w:sz w:val="18"/>
            <w:szCs w:val="18"/>
          </w:rPr>
          <w:t>https://www.bls.gov/oes/2023/may/oes_nat.htm</w:t>
        </w:r>
      </w:hyperlink>
    </w:p>
    <w:p w:rsidR="00B71DC9" w:rsidRPr="002F0868" w:rsidP="00B71DC9" w14:paraId="465C9C9D" w14:textId="77777777">
      <w:pPr>
        <w:pStyle w:val="FootnoteText"/>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E655F0" w14:paraId="72790203" w14:textId="15D222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3043AF"/>
    <w:multiLevelType w:val="hybridMultilevel"/>
    <w:tmpl w:val="C9706492"/>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216364"/>
    <w:multiLevelType w:val="hybridMultilevel"/>
    <w:tmpl w:val="D464C0E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Franklin Gothic Book" w:hAnsi="Franklin Gothic Book"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B12828"/>
    <w:multiLevelType w:val="hybridMultilevel"/>
    <w:tmpl w:val="65E8E202"/>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ind w:left="1470" w:hanging="39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0F22A60"/>
    <w:multiLevelType w:val="hybridMultilevel"/>
    <w:tmpl w:val="D334FE6E"/>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abstractNum w:abstractNumId="9">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0">
    <w:nsid w:val="354D05BF"/>
    <w:multiLevelType w:val="hybridMultilevel"/>
    <w:tmpl w:val="292264DE"/>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C1544DD"/>
    <w:multiLevelType w:val="hybridMultilevel"/>
    <w:tmpl w:val="2C3A1F98"/>
    <w:lvl w:ilvl="0">
      <w:start w:val="1"/>
      <w:numFmt w:val="bullet"/>
      <w:lvlText w:val="—"/>
      <w:lvlJc w:val="left"/>
      <w:pPr>
        <w:ind w:left="1800" w:hanging="360"/>
      </w:pPr>
      <w:rPr>
        <w:rFonts w:ascii="Franklin Gothic Book" w:hAnsi="Franklin Gothic Book"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4A75503"/>
    <w:multiLevelType w:val="hybridMultilevel"/>
    <w:tmpl w:val="588A019E"/>
    <w:lvl w:ilvl="0">
      <w:start w:val="1"/>
      <w:numFmt w:val="bullet"/>
      <w:lvlText w:val="—"/>
      <w:lvlJc w:val="left"/>
      <w:pPr>
        <w:ind w:left="1800" w:hanging="360"/>
      </w:pPr>
      <w:rPr>
        <w:rFonts w:ascii="Franklin Gothic Book" w:hAnsi="Franklin Gothic Book"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2110481">
    <w:abstractNumId w:val="12"/>
  </w:num>
  <w:num w:numId="2" w16cid:durableId="805046188">
    <w:abstractNumId w:val="14"/>
  </w:num>
  <w:num w:numId="3" w16cid:durableId="1049378710">
    <w:abstractNumId w:val="4"/>
  </w:num>
  <w:num w:numId="4" w16cid:durableId="2020617816">
    <w:abstractNumId w:val="9"/>
  </w:num>
  <w:num w:numId="5" w16cid:durableId="791049124">
    <w:abstractNumId w:val="5"/>
  </w:num>
  <w:num w:numId="6" w16cid:durableId="1360353002">
    <w:abstractNumId w:val="6"/>
  </w:num>
  <w:num w:numId="7" w16cid:durableId="1449622006">
    <w:abstractNumId w:val="2"/>
  </w:num>
  <w:num w:numId="8" w16cid:durableId="541863332">
    <w:abstractNumId w:val="0"/>
  </w:num>
  <w:num w:numId="9" w16cid:durableId="1440024551">
    <w:abstractNumId w:val="8"/>
  </w:num>
  <w:num w:numId="10" w16cid:durableId="1022129081">
    <w:abstractNumId w:val="7"/>
  </w:num>
  <w:num w:numId="11" w16cid:durableId="1031413547">
    <w:abstractNumId w:val="3"/>
  </w:num>
  <w:num w:numId="12" w16cid:durableId="1676222060">
    <w:abstractNumId w:val="13"/>
  </w:num>
  <w:num w:numId="13" w16cid:durableId="1919709903">
    <w:abstractNumId w:val="11"/>
  </w:num>
  <w:num w:numId="14" w16cid:durableId="1693266399">
    <w:abstractNumId w:val="1"/>
  </w:num>
  <w:num w:numId="15" w16cid:durableId="6867158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029B4"/>
    <w:rsid w:val="000029C6"/>
    <w:rsid w:val="000038DF"/>
    <w:rsid w:val="000066B2"/>
    <w:rsid w:val="00010201"/>
    <w:rsid w:val="00011B18"/>
    <w:rsid w:val="000141F6"/>
    <w:rsid w:val="00015630"/>
    <w:rsid w:val="000170EF"/>
    <w:rsid w:val="00021D08"/>
    <w:rsid w:val="00022356"/>
    <w:rsid w:val="00025D69"/>
    <w:rsid w:val="000267B1"/>
    <w:rsid w:val="00027EDC"/>
    <w:rsid w:val="00030899"/>
    <w:rsid w:val="00031A99"/>
    <w:rsid w:val="0003449D"/>
    <w:rsid w:val="00034720"/>
    <w:rsid w:val="0003651A"/>
    <w:rsid w:val="00036991"/>
    <w:rsid w:val="000400F6"/>
    <w:rsid w:val="000410AD"/>
    <w:rsid w:val="00041C7C"/>
    <w:rsid w:val="0005262B"/>
    <w:rsid w:val="00054513"/>
    <w:rsid w:val="00055F6D"/>
    <w:rsid w:val="00055F6E"/>
    <w:rsid w:val="000561CF"/>
    <w:rsid w:val="000569EA"/>
    <w:rsid w:val="00056B51"/>
    <w:rsid w:val="00060D58"/>
    <w:rsid w:val="000667EC"/>
    <w:rsid w:val="00067D64"/>
    <w:rsid w:val="00071B16"/>
    <w:rsid w:val="00073B63"/>
    <w:rsid w:val="00074EC0"/>
    <w:rsid w:val="00076BBA"/>
    <w:rsid w:val="000779A6"/>
    <w:rsid w:val="00083D0C"/>
    <w:rsid w:val="000854B1"/>
    <w:rsid w:val="00085B96"/>
    <w:rsid w:val="00090539"/>
    <w:rsid w:val="00091686"/>
    <w:rsid w:val="0009191E"/>
    <w:rsid w:val="000A0AD8"/>
    <w:rsid w:val="000A7FCE"/>
    <w:rsid w:val="000B629B"/>
    <w:rsid w:val="000B6F6E"/>
    <w:rsid w:val="000B7FED"/>
    <w:rsid w:val="000C1D66"/>
    <w:rsid w:val="000C33A1"/>
    <w:rsid w:val="000C4224"/>
    <w:rsid w:val="000C5779"/>
    <w:rsid w:val="000D2BFB"/>
    <w:rsid w:val="000D34F9"/>
    <w:rsid w:val="000D3D61"/>
    <w:rsid w:val="000D4472"/>
    <w:rsid w:val="000D55AA"/>
    <w:rsid w:val="000D59B0"/>
    <w:rsid w:val="000D60D3"/>
    <w:rsid w:val="000E09B2"/>
    <w:rsid w:val="000E2678"/>
    <w:rsid w:val="000E349B"/>
    <w:rsid w:val="000E35F6"/>
    <w:rsid w:val="000F490D"/>
    <w:rsid w:val="000F4B5A"/>
    <w:rsid w:val="00100D61"/>
    <w:rsid w:val="0010203D"/>
    <w:rsid w:val="00102946"/>
    <w:rsid w:val="001029E9"/>
    <w:rsid w:val="00104514"/>
    <w:rsid w:val="0010528F"/>
    <w:rsid w:val="00106D72"/>
    <w:rsid w:val="00112B70"/>
    <w:rsid w:val="00114241"/>
    <w:rsid w:val="001152C3"/>
    <w:rsid w:val="00116642"/>
    <w:rsid w:val="001246F2"/>
    <w:rsid w:val="00125739"/>
    <w:rsid w:val="00126426"/>
    <w:rsid w:val="001266AA"/>
    <w:rsid w:val="001271A9"/>
    <w:rsid w:val="001352B2"/>
    <w:rsid w:val="0014192C"/>
    <w:rsid w:val="00141F21"/>
    <w:rsid w:val="0014265F"/>
    <w:rsid w:val="00143406"/>
    <w:rsid w:val="00143D6F"/>
    <w:rsid w:val="001462F3"/>
    <w:rsid w:val="0015090C"/>
    <w:rsid w:val="00150FC9"/>
    <w:rsid w:val="00151AA0"/>
    <w:rsid w:val="00151B72"/>
    <w:rsid w:val="00152839"/>
    <w:rsid w:val="00160BA4"/>
    <w:rsid w:val="00161DFC"/>
    <w:rsid w:val="001644D4"/>
    <w:rsid w:val="0016576D"/>
    <w:rsid w:val="0017082D"/>
    <w:rsid w:val="00172E31"/>
    <w:rsid w:val="00174B16"/>
    <w:rsid w:val="00174C1E"/>
    <w:rsid w:val="001757C3"/>
    <w:rsid w:val="0017607D"/>
    <w:rsid w:val="001762CF"/>
    <w:rsid w:val="00176DCD"/>
    <w:rsid w:val="00184547"/>
    <w:rsid w:val="00185CCD"/>
    <w:rsid w:val="001928CB"/>
    <w:rsid w:val="00194111"/>
    <w:rsid w:val="00197251"/>
    <w:rsid w:val="001A0434"/>
    <w:rsid w:val="001A2DD0"/>
    <w:rsid w:val="001A7D1E"/>
    <w:rsid w:val="001B019D"/>
    <w:rsid w:val="001B3887"/>
    <w:rsid w:val="001B645F"/>
    <w:rsid w:val="001C35E5"/>
    <w:rsid w:val="001C53A6"/>
    <w:rsid w:val="001C57CA"/>
    <w:rsid w:val="001C5CBB"/>
    <w:rsid w:val="001C73EE"/>
    <w:rsid w:val="001D3BF2"/>
    <w:rsid w:val="001D3D89"/>
    <w:rsid w:val="001D49CE"/>
    <w:rsid w:val="001E1300"/>
    <w:rsid w:val="001E7EB3"/>
    <w:rsid w:val="001E7F55"/>
    <w:rsid w:val="001F21D0"/>
    <w:rsid w:val="001F2C47"/>
    <w:rsid w:val="001F477C"/>
    <w:rsid w:val="001F51EA"/>
    <w:rsid w:val="001F65D0"/>
    <w:rsid w:val="0020015A"/>
    <w:rsid w:val="002011A2"/>
    <w:rsid w:val="00206253"/>
    <w:rsid w:val="002125E6"/>
    <w:rsid w:val="00214C33"/>
    <w:rsid w:val="00214FBF"/>
    <w:rsid w:val="002177D7"/>
    <w:rsid w:val="002177E8"/>
    <w:rsid w:val="00220ADE"/>
    <w:rsid w:val="00220FE5"/>
    <w:rsid w:val="00224FAA"/>
    <w:rsid w:val="002269B6"/>
    <w:rsid w:val="002301BE"/>
    <w:rsid w:val="00231E94"/>
    <w:rsid w:val="00233BF1"/>
    <w:rsid w:val="002340E2"/>
    <w:rsid w:val="00237CE6"/>
    <w:rsid w:val="00240B4A"/>
    <w:rsid w:val="002432E5"/>
    <w:rsid w:val="00243551"/>
    <w:rsid w:val="0024534A"/>
    <w:rsid w:val="0024686B"/>
    <w:rsid w:val="002503A1"/>
    <w:rsid w:val="002507FD"/>
    <w:rsid w:val="00251308"/>
    <w:rsid w:val="00251B5C"/>
    <w:rsid w:val="0025283C"/>
    <w:rsid w:val="0025719F"/>
    <w:rsid w:val="00257D2A"/>
    <w:rsid w:val="0026188A"/>
    <w:rsid w:val="002634C5"/>
    <w:rsid w:val="002641AF"/>
    <w:rsid w:val="00264730"/>
    <w:rsid w:val="002766DC"/>
    <w:rsid w:val="002773BD"/>
    <w:rsid w:val="00277C32"/>
    <w:rsid w:val="00281158"/>
    <w:rsid w:val="00281999"/>
    <w:rsid w:val="00282FFB"/>
    <w:rsid w:val="00284DE4"/>
    <w:rsid w:val="00286A3B"/>
    <w:rsid w:val="00297A64"/>
    <w:rsid w:val="002A0570"/>
    <w:rsid w:val="002A2783"/>
    <w:rsid w:val="002A6107"/>
    <w:rsid w:val="002B1674"/>
    <w:rsid w:val="002B1A24"/>
    <w:rsid w:val="002B63E8"/>
    <w:rsid w:val="002B71B0"/>
    <w:rsid w:val="002B77FF"/>
    <w:rsid w:val="002B7A04"/>
    <w:rsid w:val="002C3652"/>
    <w:rsid w:val="002C4F16"/>
    <w:rsid w:val="002C5B17"/>
    <w:rsid w:val="002D131F"/>
    <w:rsid w:val="002D3CCF"/>
    <w:rsid w:val="002D650D"/>
    <w:rsid w:val="002D7D55"/>
    <w:rsid w:val="002E444D"/>
    <w:rsid w:val="002E7F6A"/>
    <w:rsid w:val="002F0868"/>
    <w:rsid w:val="002F100D"/>
    <w:rsid w:val="002F1EE7"/>
    <w:rsid w:val="002F391E"/>
    <w:rsid w:val="002F3FAA"/>
    <w:rsid w:val="002F421F"/>
    <w:rsid w:val="002F6FBE"/>
    <w:rsid w:val="002F7CF7"/>
    <w:rsid w:val="00302E90"/>
    <w:rsid w:val="0030405F"/>
    <w:rsid w:val="003128A9"/>
    <w:rsid w:val="003165CC"/>
    <w:rsid w:val="00317500"/>
    <w:rsid w:val="00322AE2"/>
    <w:rsid w:val="003230D1"/>
    <w:rsid w:val="0032373C"/>
    <w:rsid w:val="0032389A"/>
    <w:rsid w:val="00325E3B"/>
    <w:rsid w:val="003275D0"/>
    <w:rsid w:val="00330B87"/>
    <w:rsid w:val="003318E6"/>
    <w:rsid w:val="00331A92"/>
    <w:rsid w:val="00332F01"/>
    <w:rsid w:val="00333F46"/>
    <w:rsid w:val="00336A9E"/>
    <w:rsid w:val="00342C6A"/>
    <w:rsid w:val="00342F14"/>
    <w:rsid w:val="003433A4"/>
    <w:rsid w:val="003444D6"/>
    <w:rsid w:val="00347429"/>
    <w:rsid w:val="0035251D"/>
    <w:rsid w:val="00352DEE"/>
    <w:rsid w:val="00363678"/>
    <w:rsid w:val="00373428"/>
    <w:rsid w:val="003748A3"/>
    <w:rsid w:val="00384D4C"/>
    <w:rsid w:val="00384D74"/>
    <w:rsid w:val="00391343"/>
    <w:rsid w:val="003917BE"/>
    <w:rsid w:val="00392A01"/>
    <w:rsid w:val="00394AE5"/>
    <w:rsid w:val="00394E7E"/>
    <w:rsid w:val="003955BB"/>
    <w:rsid w:val="003A014E"/>
    <w:rsid w:val="003A77E5"/>
    <w:rsid w:val="003A7E63"/>
    <w:rsid w:val="003B4CEA"/>
    <w:rsid w:val="003B6964"/>
    <w:rsid w:val="003C403A"/>
    <w:rsid w:val="003D0BA7"/>
    <w:rsid w:val="003D3AEE"/>
    <w:rsid w:val="003D5BC2"/>
    <w:rsid w:val="003D7CB1"/>
    <w:rsid w:val="003E09DF"/>
    <w:rsid w:val="003E3146"/>
    <w:rsid w:val="003E33A0"/>
    <w:rsid w:val="003E78A0"/>
    <w:rsid w:val="003E79E8"/>
    <w:rsid w:val="003F11BF"/>
    <w:rsid w:val="003F43E8"/>
    <w:rsid w:val="003F78AC"/>
    <w:rsid w:val="0040597F"/>
    <w:rsid w:val="004064C1"/>
    <w:rsid w:val="00407FE7"/>
    <w:rsid w:val="00415098"/>
    <w:rsid w:val="004170EC"/>
    <w:rsid w:val="00422BC3"/>
    <w:rsid w:val="00424F8A"/>
    <w:rsid w:val="00425D0D"/>
    <w:rsid w:val="00426AAA"/>
    <w:rsid w:val="004272DA"/>
    <w:rsid w:val="00427B92"/>
    <w:rsid w:val="00430514"/>
    <w:rsid w:val="00431F8E"/>
    <w:rsid w:val="00433129"/>
    <w:rsid w:val="0043438D"/>
    <w:rsid w:val="00434474"/>
    <w:rsid w:val="00435614"/>
    <w:rsid w:val="004359E7"/>
    <w:rsid w:val="004409D9"/>
    <w:rsid w:val="004427CC"/>
    <w:rsid w:val="00444963"/>
    <w:rsid w:val="004614B1"/>
    <w:rsid w:val="00462CC7"/>
    <w:rsid w:val="00464AFB"/>
    <w:rsid w:val="00464D56"/>
    <w:rsid w:val="00464EE4"/>
    <w:rsid w:val="004658B8"/>
    <w:rsid w:val="004672FE"/>
    <w:rsid w:val="00470A62"/>
    <w:rsid w:val="004731A6"/>
    <w:rsid w:val="004732A0"/>
    <w:rsid w:val="00473DBA"/>
    <w:rsid w:val="00474B59"/>
    <w:rsid w:val="00475EF9"/>
    <w:rsid w:val="00480552"/>
    <w:rsid w:val="00481721"/>
    <w:rsid w:val="0048232D"/>
    <w:rsid w:val="00484FF1"/>
    <w:rsid w:val="004935B6"/>
    <w:rsid w:val="0049546C"/>
    <w:rsid w:val="0049603B"/>
    <w:rsid w:val="004A3330"/>
    <w:rsid w:val="004A6D73"/>
    <w:rsid w:val="004B0139"/>
    <w:rsid w:val="004B08EE"/>
    <w:rsid w:val="004B0F31"/>
    <w:rsid w:val="004B1A11"/>
    <w:rsid w:val="004B30CF"/>
    <w:rsid w:val="004B3931"/>
    <w:rsid w:val="004B4EE1"/>
    <w:rsid w:val="004B5B07"/>
    <w:rsid w:val="004C2BAD"/>
    <w:rsid w:val="004C2E5B"/>
    <w:rsid w:val="004C47F6"/>
    <w:rsid w:val="004D7031"/>
    <w:rsid w:val="004D7E80"/>
    <w:rsid w:val="004E0820"/>
    <w:rsid w:val="004E1DB8"/>
    <w:rsid w:val="004F266B"/>
    <w:rsid w:val="004F3187"/>
    <w:rsid w:val="004F3379"/>
    <w:rsid w:val="004F469A"/>
    <w:rsid w:val="004F5C35"/>
    <w:rsid w:val="004F7A8D"/>
    <w:rsid w:val="0050153D"/>
    <w:rsid w:val="00502103"/>
    <w:rsid w:val="005022A6"/>
    <w:rsid w:val="005106C6"/>
    <w:rsid w:val="00510B51"/>
    <w:rsid w:val="005124BB"/>
    <w:rsid w:val="005173DF"/>
    <w:rsid w:val="00521685"/>
    <w:rsid w:val="00521714"/>
    <w:rsid w:val="00523784"/>
    <w:rsid w:val="0052492C"/>
    <w:rsid w:val="00525D07"/>
    <w:rsid w:val="00527A15"/>
    <w:rsid w:val="00533CD3"/>
    <w:rsid w:val="00536EEB"/>
    <w:rsid w:val="0054066F"/>
    <w:rsid w:val="00540F95"/>
    <w:rsid w:val="005413CD"/>
    <w:rsid w:val="005421D9"/>
    <w:rsid w:val="0054401B"/>
    <w:rsid w:val="00544C0D"/>
    <w:rsid w:val="00544CF4"/>
    <w:rsid w:val="0055051D"/>
    <w:rsid w:val="0055128F"/>
    <w:rsid w:val="0055218E"/>
    <w:rsid w:val="00553560"/>
    <w:rsid w:val="00553CD2"/>
    <w:rsid w:val="00560A06"/>
    <w:rsid w:val="00560ECD"/>
    <w:rsid w:val="005634CE"/>
    <w:rsid w:val="00565508"/>
    <w:rsid w:val="00565FD4"/>
    <w:rsid w:val="00567793"/>
    <w:rsid w:val="00570251"/>
    <w:rsid w:val="005710C1"/>
    <w:rsid w:val="0057138C"/>
    <w:rsid w:val="00571DF2"/>
    <w:rsid w:val="00572369"/>
    <w:rsid w:val="00573864"/>
    <w:rsid w:val="00573941"/>
    <w:rsid w:val="0057695E"/>
    <w:rsid w:val="00580199"/>
    <w:rsid w:val="005802F1"/>
    <w:rsid w:val="00581433"/>
    <w:rsid w:val="005817F9"/>
    <w:rsid w:val="00587CC3"/>
    <w:rsid w:val="00596A55"/>
    <w:rsid w:val="00597FC3"/>
    <w:rsid w:val="005A1E9C"/>
    <w:rsid w:val="005A2C78"/>
    <w:rsid w:val="005B0476"/>
    <w:rsid w:val="005B29CC"/>
    <w:rsid w:val="005B2F9B"/>
    <w:rsid w:val="005B49B1"/>
    <w:rsid w:val="005B516E"/>
    <w:rsid w:val="005C1C0C"/>
    <w:rsid w:val="005C242B"/>
    <w:rsid w:val="005C447B"/>
    <w:rsid w:val="005C5D53"/>
    <w:rsid w:val="005D033F"/>
    <w:rsid w:val="005D3880"/>
    <w:rsid w:val="005E22EC"/>
    <w:rsid w:val="005E2BB2"/>
    <w:rsid w:val="005E35BB"/>
    <w:rsid w:val="005E4C67"/>
    <w:rsid w:val="005E54DD"/>
    <w:rsid w:val="005E6C4B"/>
    <w:rsid w:val="005E7976"/>
    <w:rsid w:val="005F09E9"/>
    <w:rsid w:val="005F5019"/>
    <w:rsid w:val="005F64E9"/>
    <w:rsid w:val="005F7D02"/>
    <w:rsid w:val="00603D97"/>
    <w:rsid w:val="00604A60"/>
    <w:rsid w:val="0061082C"/>
    <w:rsid w:val="006114F8"/>
    <w:rsid w:val="006131FC"/>
    <w:rsid w:val="00614A11"/>
    <w:rsid w:val="0061608B"/>
    <w:rsid w:val="00616CA2"/>
    <w:rsid w:val="006172DA"/>
    <w:rsid w:val="00627EAC"/>
    <w:rsid w:val="0063058F"/>
    <w:rsid w:val="0063202E"/>
    <w:rsid w:val="00633AD6"/>
    <w:rsid w:val="00635E63"/>
    <w:rsid w:val="00640B9D"/>
    <w:rsid w:val="00641E2E"/>
    <w:rsid w:val="006450BC"/>
    <w:rsid w:val="006455C7"/>
    <w:rsid w:val="0065013E"/>
    <w:rsid w:val="00657C2D"/>
    <w:rsid w:val="0066195C"/>
    <w:rsid w:val="00662375"/>
    <w:rsid w:val="00662390"/>
    <w:rsid w:val="006625E7"/>
    <w:rsid w:val="006710B9"/>
    <w:rsid w:val="00675D1C"/>
    <w:rsid w:val="00677F10"/>
    <w:rsid w:val="00680142"/>
    <w:rsid w:val="00684044"/>
    <w:rsid w:val="00685578"/>
    <w:rsid w:val="006859EA"/>
    <w:rsid w:val="00690E1F"/>
    <w:rsid w:val="0069542D"/>
    <w:rsid w:val="00695F11"/>
    <w:rsid w:val="006A1C69"/>
    <w:rsid w:val="006A3659"/>
    <w:rsid w:val="006A3735"/>
    <w:rsid w:val="006A42E7"/>
    <w:rsid w:val="006A4D10"/>
    <w:rsid w:val="006A6C48"/>
    <w:rsid w:val="006A7298"/>
    <w:rsid w:val="006B14CB"/>
    <w:rsid w:val="006B5A7B"/>
    <w:rsid w:val="006C33B7"/>
    <w:rsid w:val="006D1EA8"/>
    <w:rsid w:val="006D6E2F"/>
    <w:rsid w:val="006D7E41"/>
    <w:rsid w:val="006E0611"/>
    <w:rsid w:val="006E1EB7"/>
    <w:rsid w:val="006E4405"/>
    <w:rsid w:val="006E779A"/>
    <w:rsid w:val="006E77C3"/>
    <w:rsid w:val="006E7E36"/>
    <w:rsid w:val="006F0407"/>
    <w:rsid w:val="006F060A"/>
    <w:rsid w:val="006F070E"/>
    <w:rsid w:val="006F125D"/>
    <w:rsid w:val="006F1581"/>
    <w:rsid w:val="006F390C"/>
    <w:rsid w:val="006F4198"/>
    <w:rsid w:val="00700467"/>
    <w:rsid w:val="00701242"/>
    <w:rsid w:val="00704C40"/>
    <w:rsid w:val="007059FC"/>
    <w:rsid w:val="00707DF4"/>
    <w:rsid w:val="0071105B"/>
    <w:rsid w:val="00714DDC"/>
    <w:rsid w:val="0071635B"/>
    <w:rsid w:val="00716E1B"/>
    <w:rsid w:val="00717251"/>
    <w:rsid w:val="00721D5A"/>
    <w:rsid w:val="00722EA1"/>
    <w:rsid w:val="007257AF"/>
    <w:rsid w:val="00727841"/>
    <w:rsid w:val="00727B85"/>
    <w:rsid w:val="00731F76"/>
    <w:rsid w:val="00732192"/>
    <w:rsid w:val="00732450"/>
    <w:rsid w:val="00735545"/>
    <w:rsid w:val="00740373"/>
    <w:rsid w:val="0074277B"/>
    <w:rsid w:val="007456F2"/>
    <w:rsid w:val="00745717"/>
    <w:rsid w:val="007469C4"/>
    <w:rsid w:val="00750F88"/>
    <w:rsid w:val="007555D8"/>
    <w:rsid w:val="0075677F"/>
    <w:rsid w:val="00766FA2"/>
    <w:rsid w:val="00772C63"/>
    <w:rsid w:val="007750B8"/>
    <w:rsid w:val="00776453"/>
    <w:rsid w:val="0078006F"/>
    <w:rsid w:val="00781C89"/>
    <w:rsid w:val="0078433F"/>
    <w:rsid w:val="0078533E"/>
    <w:rsid w:val="00785F36"/>
    <w:rsid w:val="0079225B"/>
    <w:rsid w:val="00794596"/>
    <w:rsid w:val="00796843"/>
    <w:rsid w:val="00797993"/>
    <w:rsid w:val="007A2686"/>
    <w:rsid w:val="007A335C"/>
    <w:rsid w:val="007A456F"/>
    <w:rsid w:val="007A487B"/>
    <w:rsid w:val="007A5DC1"/>
    <w:rsid w:val="007B332C"/>
    <w:rsid w:val="007B3B71"/>
    <w:rsid w:val="007B5461"/>
    <w:rsid w:val="007B6FA2"/>
    <w:rsid w:val="007C0FBD"/>
    <w:rsid w:val="007C1C6A"/>
    <w:rsid w:val="007C221D"/>
    <w:rsid w:val="007C260D"/>
    <w:rsid w:val="007C2AEC"/>
    <w:rsid w:val="007C5D22"/>
    <w:rsid w:val="007D2C06"/>
    <w:rsid w:val="007D3596"/>
    <w:rsid w:val="007D598D"/>
    <w:rsid w:val="007D65B6"/>
    <w:rsid w:val="007D7F2D"/>
    <w:rsid w:val="007E55DE"/>
    <w:rsid w:val="007E7C97"/>
    <w:rsid w:val="007E7CBA"/>
    <w:rsid w:val="007F0272"/>
    <w:rsid w:val="007F279E"/>
    <w:rsid w:val="007F2969"/>
    <w:rsid w:val="007F416A"/>
    <w:rsid w:val="007F4E98"/>
    <w:rsid w:val="00803734"/>
    <w:rsid w:val="00804CDD"/>
    <w:rsid w:val="00812C3B"/>
    <w:rsid w:val="00813875"/>
    <w:rsid w:val="0081718D"/>
    <w:rsid w:val="00821F01"/>
    <w:rsid w:val="00823C60"/>
    <w:rsid w:val="0082520B"/>
    <w:rsid w:val="00825483"/>
    <w:rsid w:val="008258E2"/>
    <w:rsid w:val="0083172A"/>
    <w:rsid w:val="00831B9B"/>
    <w:rsid w:val="0083220A"/>
    <w:rsid w:val="00832443"/>
    <w:rsid w:val="00832B87"/>
    <w:rsid w:val="00832E7A"/>
    <w:rsid w:val="008330E0"/>
    <w:rsid w:val="00834460"/>
    <w:rsid w:val="00834828"/>
    <w:rsid w:val="008354EF"/>
    <w:rsid w:val="008356AE"/>
    <w:rsid w:val="008367CC"/>
    <w:rsid w:val="0085009A"/>
    <w:rsid w:val="0085246E"/>
    <w:rsid w:val="0086228A"/>
    <w:rsid w:val="0086249A"/>
    <w:rsid w:val="008630D4"/>
    <w:rsid w:val="00863E12"/>
    <w:rsid w:val="00864CBC"/>
    <w:rsid w:val="00864F0C"/>
    <w:rsid w:val="00866F97"/>
    <w:rsid w:val="0087191A"/>
    <w:rsid w:val="00877390"/>
    <w:rsid w:val="008774BA"/>
    <w:rsid w:val="00880E27"/>
    <w:rsid w:val="0088108B"/>
    <w:rsid w:val="0088206E"/>
    <w:rsid w:val="00882E66"/>
    <w:rsid w:val="0088585A"/>
    <w:rsid w:val="00885BD7"/>
    <w:rsid w:val="00885CCD"/>
    <w:rsid w:val="008871E2"/>
    <w:rsid w:val="00890148"/>
    <w:rsid w:val="00890972"/>
    <w:rsid w:val="00896521"/>
    <w:rsid w:val="00896EFE"/>
    <w:rsid w:val="00896FD5"/>
    <w:rsid w:val="008A260C"/>
    <w:rsid w:val="008B198F"/>
    <w:rsid w:val="008B19B1"/>
    <w:rsid w:val="008B48B4"/>
    <w:rsid w:val="008B5C2F"/>
    <w:rsid w:val="008B7DA9"/>
    <w:rsid w:val="008C355D"/>
    <w:rsid w:val="008D0A24"/>
    <w:rsid w:val="008D0D1B"/>
    <w:rsid w:val="008D1279"/>
    <w:rsid w:val="008D1D90"/>
    <w:rsid w:val="008D3124"/>
    <w:rsid w:val="008F0C98"/>
    <w:rsid w:val="008F4474"/>
    <w:rsid w:val="008F5067"/>
    <w:rsid w:val="008F67CB"/>
    <w:rsid w:val="00901094"/>
    <w:rsid w:val="00902AEC"/>
    <w:rsid w:val="0090301E"/>
    <w:rsid w:val="00903113"/>
    <w:rsid w:val="009108D7"/>
    <w:rsid w:val="009130EC"/>
    <w:rsid w:val="009139F3"/>
    <w:rsid w:val="00913DED"/>
    <w:rsid w:val="00914DFC"/>
    <w:rsid w:val="00917F18"/>
    <w:rsid w:val="00920C37"/>
    <w:rsid w:val="00922107"/>
    <w:rsid w:val="00926575"/>
    <w:rsid w:val="00926982"/>
    <w:rsid w:val="009307F8"/>
    <w:rsid w:val="00937924"/>
    <w:rsid w:val="00941339"/>
    <w:rsid w:val="00943EF6"/>
    <w:rsid w:val="00943FD8"/>
    <w:rsid w:val="00946EBD"/>
    <w:rsid w:val="00947631"/>
    <w:rsid w:val="00950E53"/>
    <w:rsid w:val="009515F3"/>
    <w:rsid w:val="00956FC8"/>
    <w:rsid w:val="009572DA"/>
    <w:rsid w:val="00957A0D"/>
    <w:rsid w:val="0096186D"/>
    <w:rsid w:val="00963435"/>
    <w:rsid w:val="00963BFB"/>
    <w:rsid w:val="00964E9D"/>
    <w:rsid w:val="00964F22"/>
    <w:rsid w:val="009671ED"/>
    <w:rsid w:val="00976540"/>
    <w:rsid w:val="00981E5D"/>
    <w:rsid w:val="00985492"/>
    <w:rsid w:val="00987362"/>
    <w:rsid w:val="00993269"/>
    <w:rsid w:val="009945AD"/>
    <w:rsid w:val="00997651"/>
    <w:rsid w:val="009A4214"/>
    <w:rsid w:val="009B2B7F"/>
    <w:rsid w:val="009B36F1"/>
    <w:rsid w:val="009B4E3F"/>
    <w:rsid w:val="009B7E96"/>
    <w:rsid w:val="009C0240"/>
    <w:rsid w:val="009C4D1D"/>
    <w:rsid w:val="009C6355"/>
    <w:rsid w:val="009C6D21"/>
    <w:rsid w:val="009C764D"/>
    <w:rsid w:val="009D01FD"/>
    <w:rsid w:val="009D3B68"/>
    <w:rsid w:val="009D7E91"/>
    <w:rsid w:val="009E058B"/>
    <w:rsid w:val="009E1C90"/>
    <w:rsid w:val="009E510D"/>
    <w:rsid w:val="009E5683"/>
    <w:rsid w:val="009E5707"/>
    <w:rsid w:val="009E7A78"/>
    <w:rsid w:val="009F0A1D"/>
    <w:rsid w:val="00A008A9"/>
    <w:rsid w:val="00A035CD"/>
    <w:rsid w:val="00A06E92"/>
    <w:rsid w:val="00A073E0"/>
    <w:rsid w:val="00A130DF"/>
    <w:rsid w:val="00A14D86"/>
    <w:rsid w:val="00A223AD"/>
    <w:rsid w:val="00A23F2E"/>
    <w:rsid w:val="00A25153"/>
    <w:rsid w:val="00A264EC"/>
    <w:rsid w:val="00A265EB"/>
    <w:rsid w:val="00A30271"/>
    <w:rsid w:val="00A30E93"/>
    <w:rsid w:val="00A30F5A"/>
    <w:rsid w:val="00A316B9"/>
    <w:rsid w:val="00A323B8"/>
    <w:rsid w:val="00A338D9"/>
    <w:rsid w:val="00A35480"/>
    <w:rsid w:val="00A356FE"/>
    <w:rsid w:val="00A40B23"/>
    <w:rsid w:val="00A41E90"/>
    <w:rsid w:val="00A43425"/>
    <w:rsid w:val="00A44E57"/>
    <w:rsid w:val="00A466A2"/>
    <w:rsid w:val="00A51198"/>
    <w:rsid w:val="00A519BC"/>
    <w:rsid w:val="00A52E97"/>
    <w:rsid w:val="00A558C9"/>
    <w:rsid w:val="00A62AC5"/>
    <w:rsid w:val="00A7026C"/>
    <w:rsid w:val="00A72675"/>
    <w:rsid w:val="00A73CD7"/>
    <w:rsid w:val="00A770C4"/>
    <w:rsid w:val="00A8237C"/>
    <w:rsid w:val="00A83FB9"/>
    <w:rsid w:val="00AA0AEF"/>
    <w:rsid w:val="00AA1051"/>
    <w:rsid w:val="00AA213E"/>
    <w:rsid w:val="00AA4DCC"/>
    <w:rsid w:val="00AA7B23"/>
    <w:rsid w:val="00AB242A"/>
    <w:rsid w:val="00AB3704"/>
    <w:rsid w:val="00AB7B21"/>
    <w:rsid w:val="00AC2F5E"/>
    <w:rsid w:val="00AC49FB"/>
    <w:rsid w:val="00AC7125"/>
    <w:rsid w:val="00AD2A51"/>
    <w:rsid w:val="00AD6929"/>
    <w:rsid w:val="00AD6A5E"/>
    <w:rsid w:val="00AD6EF4"/>
    <w:rsid w:val="00AD70D7"/>
    <w:rsid w:val="00AE13AD"/>
    <w:rsid w:val="00AE188B"/>
    <w:rsid w:val="00AE3239"/>
    <w:rsid w:val="00AE510D"/>
    <w:rsid w:val="00AE6C97"/>
    <w:rsid w:val="00AF067A"/>
    <w:rsid w:val="00AF1900"/>
    <w:rsid w:val="00AF2FC5"/>
    <w:rsid w:val="00B007A3"/>
    <w:rsid w:val="00B007FA"/>
    <w:rsid w:val="00B00B9B"/>
    <w:rsid w:val="00B04CAD"/>
    <w:rsid w:val="00B06357"/>
    <w:rsid w:val="00B10614"/>
    <w:rsid w:val="00B14589"/>
    <w:rsid w:val="00B1524E"/>
    <w:rsid w:val="00B1538B"/>
    <w:rsid w:val="00B17787"/>
    <w:rsid w:val="00B17A38"/>
    <w:rsid w:val="00B21FA9"/>
    <w:rsid w:val="00B22696"/>
    <w:rsid w:val="00B2401D"/>
    <w:rsid w:val="00B24EB2"/>
    <w:rsid w:val="00B25543"/>
    <w:rsid w:val="00B25E00"/>
    <w:rsid w:val="00B26929"/>
    <w:rsid w:val="00B27F0F"/>
    <w:rsid w:val="00B30972"/>
    <w:rsid w:val="00B32A52"/>
    <w:rsid w:val="00B3312A"/>
    <w:rsid w:val="00B37021"/>
    <w:rsid w:val="00B42AD3"/>
    <w:rsid w:val="00B42E3D"/>
    <w:rsid w:val="00B45828"/>
    <w:rsid w:val="00B522D4"/>
    <w:rsid w:val="00B5397D"/>
    <w:rsid w:val="00B54C82"/>
    <w:rsid w:val="00B55BCC"/>
    <w:rsid w:val="00B56918"/>
    <w:rsid w:val="00B6499E"/>
    <w:rsid w:val="00B671BA"/>
    <w:rsid w:val="00B709FD"/>
    <w:rsid w:val="00B70B38"/>
    <w:rsid w:val="00B71454"/>
    <w:rsid w:val="00B71DC9"/>
    <w:rsid w:val="00B73307"/>
    <w:rsid w:val="00B7598B"/>
    <w:rsid w:val="00B85107"/>
    <w:rsid w:val="00B86A37"/>
    <w:rsid w:val="00B9271B"/>
    <w:rsid w:val="00B92D44"/>
    <w:rsid w:val="00B93A93"/>
    <w:rsid w:val="00B9451B"/>
    <w:rsid w:val="00B94603"/>
    <w:rsid w:val="00B94C5C"/>
    <w:rsid w:val="00B9526C"/>
    <w:rsid w:val="00BA0817"/>
    <w:rsid w:val="00BB1AE5"/>
    <w:rsid w:val="00BB4945"/>
    <w:rsid w:val="00BB63A5"/>
    <w:rsid w:val="00BB6CEF"/>
    <w:rsid w:val="00BB7965"/>
    <w:rsid w:val="00BC221E"/>
    <w:rsid w:val="00BC2A70"/>
    <w:rsid w:val="00BC35FC"/>
    <w:rsid w:val="00BC7C17"/>
    <w:rsid w:val="00BD1040"/>
    <w:rsid w:val="00BD4F21"/>
    <w:rsid w:val="00BD634A"/>
    <w:rsid w:val="00BD6B21"/>
    <w:rsid w:val="00BE0112"/>
    <w:rsid w:val="00BE1D60"/>
    <w:rsid w:val="00BE238B"/>
    <w:rsid w:val="00BE2EF2"/>
    <w:rsid w:val="00BE6F71"/>
    <w:rsid w:val="00BE6FF8"/>
    <w:rsid w:val="00BE7F25"/>
    <w:rsid w:val="00BF0EC0"/>
    <w:rsid w:val="00BF1A34"/>
    <w:rsid w:val="00BF2458"/>
    <w:rsid w:val="00BF6747"/>
    <w:rsid w:val="00BF6BF7"/>
    <w:rsid w:val="00BF733E"/>
    <w:rsid w:val="00BF7617"/>
    <w:rsid w:val="00C010C0"/>
    <w:rsid w:val="00C02A50"/>
    <w:rsid w:val="00C067AF"/>
    <w:rsid w:val="00C067B7"/>
    <w:rsid w:val="00C12606"/>
    <w:rsid w:val="00C14F02"/>
    <w:rsid w:val="00C151FA"/>
    <w:rsid w:val="00C16829"/>
    <w:rsid w:val="00C172FB"/>
    <w:rsid w:val="00C21808"/>
    <w:rsid w:val="00C2284E"/>
    <w:rsid w:val="00C22A83"/>
    <w:rsid w:val="00C24C53"/>
    <w:rsid w:val="00C32465"/>
    <w:rsid w:val="00C32C8B"/>
    <w:rsid w:val="00C33BEC"/>
    <w:rsid w:val="00C341C9"/>
    <w:rsid w:val="00C34DFC"/>
    <w:rsid w:val="00C3705E"/>
    <w:rsid w:val="00C406C4"/>
    <w:rsid w:val="00C40E2F"/>
    <w:rsid w:val="00C413B2"/>
    <w:rsid w:val="00C41BAE"/>
    <w:rsid w:val="00C45868"/>
    <w:rsid w:val="00C466FE"/>
    <w:rsid w:val="00C50469"/>
    <w:rsid w:val="00C50C7B"/>
    <w:rsid w:val="00C51468"/>
    <w:rsid w:val="00C518E4"/>
    <w:rsid w:val="00C522BD"/>
    <w:rsid w:val="00C54100"/>
    <w:rsid w:val="00C573FF"/>
    <w:rsid w:val="00C579A3"/>
    <w:rsid w:val="00C61236"/>
    <w:rsid w:val="00C67AD1"/>
    <w:rsid w:val="00C7045E"/>
    <w:rsid w:val="00C71C4B"/>
    <w:rsid w:val="00C73B6F"/>
    <w:rsid w:val="00C764DB"/>
    <w:rsid w:val="00C815CD"/>
    <w:rsid w:val="00C868FF"/>
    <w:rsid w:val="00C9058D"/>
    <w:rsid w:val="00C92901"/>
    <w:rsid w:val="00C9488A"/>
    <w:rsid w:val="00CA583B"/>
    <w:rsid w:val="00CA5D02"/>
    <w:rsid w:val="00CA6BB5"/>
    <w:rsid w:val="00CA6CC8"/>
    <w:rsid w:val="00CB3216"/>
    <w:rsid w:val="00CB584F"/>
    <w:rsid w:val="00CB6292"/>
    <w:rsid w:val="00CC01A6"/>
    <w:rsid w:val="00CC0842"/>
    <w:rsid w:val="00CC0DD7"/>
    <w:rsid w:val="00CC1523"/>
    <w:rsid w:val="00CC2FCE"/>
    <w:rsid w:val="00CC527B"/>
    <w:rsid w:val="00CC6342"/>
    <w:rsid w:val="00CC7247"/>
    <w:rsid w:val="00CC79B9"/>
    <w:rsid w:val="00CC7B71"/>
    <w:rsid w:val="00CD53F9"/>
    <w:rsid w:val="00CD6843"/>
    <w:rsid w:val="00CD75EB"/>
    <w:rsid w:val="00CE391F"/>
    <w:rsid w:val="00CE50B3"/>
    <w:rsid w:val="00CE5511"/>
    <w:rsid w:val="00CF5036"/>
    <w:rsid w:val="00CF5325"/>
    <w:rsid w:val="00CF72BE"/>
    <w:rsid w:val="00D0160A"/>
    <w:rsid w:val="00D0185C"/>
    <w:rsid w:val="00D01E65"/>
    <w:rsid w:val="00D0220C"/>
    <w:rsid w:val="00D04B9C"/>
    <w:rsid w:val="00D058FF"/>
    <w:rsid w:val="00D073A2"/>
    <w:rsid w:val="00D1083E"/>
    <w:rsid w:val="00D1109B"/>
    <w:rsid w:val="00D11E42"/>
    <w:rsid w:val="00D21D28"/>
    <w:rsid w:val="00D25362"/>
    <w:rsid w:val="00D2636E"/>
    <w:rsid w:val="00D2689D"/>
    <w:rsid w:val="00D271B3"/>
    <w:rsid w:val="00D27633"/>
    <w:rsid w:val="00D27B88"/>
    <w:rsid w:val="00D30EF6"/>
    <w:rsid w:val="00D32B50"/>
    <w:rsid w:val="00D337C4"/>
    <w:rsid w:val="00D34156"/>
    <w:rsid w:val="00D3463C"/>
    <w:rsid w:val="00D360D0"/>
    <w:rsid w:val="00D40171"/>
    <w:rsid w:val="00D40967"/>
    <w:rsid w:val="00D40F47"/>
    <w:rsid w:val="00D41041"/>
    <w:rsid w:val="00D41954"/>
    <w:rsid w:val="00D4232D"/>
    <w:rsid w:val="00D44E11"/>
    <w:rsid w:val="00D46DAC"/>
    <w:rsid w:val="00D5089C"/>
    <w:rsid w:val="00D5193B"/>
    <w:rsid w:val="00D55B9D"/>
    <w:rsid w:val="00D56963"/>
    <w:rsid w:val="00D56DC7"/>
    <w:rsid w:val="00D57020"/>
    <w:rsid w:val="00D57C5B"/>
    <w:rsid w:val="00D60B30"/>
    <w:rsid w:val="00D60D0C"/>
    <w:rsid w:val="00D619E5"/>
    <w:rsid w:val="00D629FD"/>
    <w:rsid w:val="00D660EB"/>
    <w:rsid w:val="00D66B76"/>
    <w:rsid w:val="00D6781F"/>
    <w:rsid w:val="00D710D9"/>
    <w:rsid w:val="00D733A8"/>
    <w:rsid w:val="00D74B62"/>
    <w:rsid w:val="00D764DA"/>
    <w:rsid w:val="00D76A76"/>
    <w:rsid w:val="00D80249"/>
    <w:rsid w:val="00D80F33"/>
    <w:rsid w:val="00D85E36"/>
    <w:rsid w:val="00D85ED9"/>
    <w:rsid w:val="00D86DD6"/>
    <w:rsid w:val="00D874A8"/>
    <w:rsid w:val="00D91D07"/>
    <w:rsid w:val="00D91D7C"/>
    <w:rsid w:val="00D93A43"/>
    <w:rsid w:val="00D94A9C"/>
    <w:rsid w:val="00D94CE5"/>
    <w:rsid w:val="00D95535"/>
    <w:rsid w:val="00DA0E13"/>
    <w:rsid w:val="00DA102A"/>
    <w:rsid w:val="00DA15F5"/>
    <w:rsid w:val="00DA51A1"/>
    <w:rsid w:val="00DA66A2"/>
    <w:rsid w:val="00DA723C"/>
    <w:rsid w:val="00DB0591"/>
    <w:rsid w:val="00DB0730"/>
    <w:rsid w:val="00DB2C96"/>
    <w:rsid w:val="00DB2E6C"/>
    <w:rsid w:val="00DB3E6E"/>
    <w:rsid w:val="00DB448D"/>
    <w:rsid w:val="00DB7249"/>
    <w:rsid w:val="00DC32C7"/>
    <w:rsid w:val="00DC331E"/>
    <w:rsid w:val="00DC78EF"/>
    <w:rsid w:val="00DC7C6E"/>
    <w:rsid w:val="00DD030B"/>
    <w:rsid w:val="00DD3A09"/>
    <w:rsid w:val="00DD56B5"/>
    <w:rsid w:val="00DD580E"/>
    <w:rsid w:val="00DD5D2F"/>
    <w:rsid w:val="00DD6B4C"/>
    <w:rsid w:val="00DD6FBC"/>
    <w:rsid w:val="00DE66FF"/>
    <w:rsid w:val="00DE7994"/>
    <w:rsid w:val="00DF0CBD"/>
    <w:rsid w:val="00DF0D17"/>
    <w:rsid w:val="00DF2983"/>
    <w:rsid w:val="00DF3115"/>
    <w:rsid w:val="00DF3547"/>
    <w:rsid w:val="00DF3B04"/>
    <w:rsid w:val="00DF4824"/>
    <w:rsid w:val="00DF73D5"/>
    <w:rsid w:val="00E01F14"/>
    <w:rsid w:val="00E03384"/>
    <w:rsid w:val="00E039C2"/>
    <w:rsid w:val="00E0556B"/>
    <w:rsid w:val="00E12B03"/>
    <w:rsid w:val="00E15B83"/>
    <w:rsid w:val="00E22C1F"/>
    <w:rsid w:val="00E23CC7"/>
    <w:rsid w:val="00E26ABF"/>
    <w:rsid w:val="00E26BCB"/>
    <w:rsid w:val="00E27FE7"/>
    <w:rsid w:val="00E30F68"/>
    <w:rsid w:val="00E31EAE"/>
    <w:rsid w:val="00E32EB0"/>
    <w:rsid w:val="00E347E8"/>
    <w:rsid w:val="00E36302"/>
    <w:rsid w:val="00E37529"/>
    <w:rsid w:val="00E475E5"/>
    <w:rsid w:val="00E50772"/>
    <w:rsid w:val="00E51AE2"/>
    <w:rsid w:val="00E51D50"/>
    <w:rsid w:val="00E537EA"/>
    <w:rsid w:val="00E540A8"/>
    <w:rsid w:val="00E574B1"/>
    <w:rsid w:val="00E579F7"/>
    <w:rsid w:val="00E61C02"/>
    <w:rsid w:val="00E62AF7"/>
    <w:rsid w:val="00E63395"/>
    <w:rsid w:val="00E65189"/>
    <w:rsid w:val="00E655F0"/>
    <w:rsid w:val="00E65762"/>
    <w:rsid w:val="00E711BF"/>
    <w:rsid w:val="00E73C39"/>
    <w:rsid w:val="00E758AD"/>
    <w:rsid w:val="00E76D43"/>
    <w:rsid w:val="00E83094"/>
    <w:rsid w:val="00E90A0B"/>
    <w:rsid w:val="00E92E11"/>
    <w:rsid w:val="00E9356C"/>
    <w:rsid w:val="00E937AF"/>
    <w:rsid w:val="00E94D8A"/>
    <w:rsid w:val="00E95580"/>
    <w:rsid w:val="00E969B6"/>
    <w:rsid w:val="00EA21C6"/>
    <w:rsid w:val="00EA23F5"/>
    <w:rsid w:val="00EA34EF"/>
    <w:rsid w:val="00EA5683"/>
    <w:rsid w:val="00EA7001"/>
    <w:rsid w:val="00EB1AD0"/>
    <w:rsid w:val="00EB1F36"/>
    <w:rsid w:val="00EB21C0"/>
    <w:rsid w:val="00EB3BE4"/>
    <w:rsid w:val="00EB4A30"/>
    <w:rsid w:val="00EB4E0D"/>
    <w:rsid w:val="00EB564F"/>
    <w:rsid w:val="00EB6528"/>
    <w:rsid w:val="00EC09DF"/>
    <w:rsid w:val="00EC0F33"/>
    <w:rsid w:val="00ED13CC"/>
    <w:rsid w:val="00ED2BC4"/>
    <w:rsid w:val="00EE0283"/>
    <w:rsid w:val="00EE0EFD"/>
    <w:rsid w:val="00EE3917"/>
    <w:rsid w:val="00EE3C97"/>
    <w:rsid w:val="00EF0FF6"/>
    <w:rsid w:val="00EF136C"/>
    <w:rsid w:val="00EF2721"/>
    <w:rsid w:val="00EF355A"/>
    <w:rsid w:val="00EF475D"/>
    <w:rsid w:val="00EF4FA4"/>
    <w:rsid w:val="00EF5A22"/>
    <w:rsid w:val="00EF7B7D"/>
    <w:rsid w:val="00F00C98"/>
    <w:rsid w:val="00F00E44"/>
    <w:rsid w:val="00F02DCD"/>
    <w:rsid w:val="00F103F6"/>
    <w:rsid w:val="00F108AF"/>
    <w:rsid w:val="00F1153B"/>
    <w:rsid w:val="00F14F30"/>
    <w:rsid w:val="00F15FE4"/>
    <w:rsid w:val="00F2348B"/>
    <w:rsid w:val="00F24A72"/>
    <w:rsid w:val="00F327C3"/>
    <w:rsid w:val="00F32B95"/>
    <w:rsid w:val="00F34A2C"/>
    <w:rsid w:val="00F369C8"/>
    <w:rsid w:val="00F36D72"/>
    <w:rsid w:val="00F40511"/>
    <w:rsid w:val="00F52D8F"/>
    <w:rsid w:val="00F53282"/>
    <w:rsid w:val="00F56D60"/>
    <w:rsid w:val="00F57176"/>
    <w:rsid w:val="00F6083E"/>
    <w:rsid w:val="00F6278A"/>
    <w:rsid w:val="00F664EE"/>
    <w:rsid w:val="00F731F4"/>
    <w:rsid w:val="00F73D16"/>
    <w:rsid w:val="00F76733"/>
    <w:rsid w:val="00F76BAA"/>
    <w:rsid w:val="00F80633"/>
    <w:rsid w:val="00F83763"/>
    <w:rsid w:val="00F84665"/>
    <w:rsid w:val="00F846BE"/>
    <w:rsid w:val="00F84A82"/>
    <w:rsid w:val="00F87C1B"/>
    <w:rsid w:val="00F92B6B"/>
    <w:rsid w:val="00F92C3F"/>
    <w:rsid w:val="00F937C1"/>
    <w:rsid w:val="00F949B1"/>
    <w:rsid w:val="00F96E42"/>
    <w:rsid w:val="00F97A7B"/>
    <w:rsid w:val="00F97F29"/>
    <w:rsid w:val="00FA0CAE"/>
    <w:rsid w:val="00FA0D32"/>
    <w:rsid w:val="00FA2043"/>
    <w:rsid w:val="00FA2D0D"/>
    <w:rsid w:val="00FB11FE"/>
    <w:rsid w:val="00FB4D86"/>
    <w:rsid w:val="00FB501F"/>
    <w:rsid w:val="00FB73B7"/>
    <w:rsid w:val="00FC51AE"/>
    <w:rsid w:val="00FC5B4B"/>
    <w:rsid w:val="00FD1D3B"/>
    <w:rsid w:val="00FD253C"/>
    <w:rsid w:val="00FD25E8"/>
    <w:rsid w:val="00FD2AD8"/>
    <w:rsid w:val="00FD307C"/>
    <w:rsid w:val="00FD5180"/>
    <w:rsid w:val="00FD59EB"/>
    <w:rsid w:val="00FD6497"/>
    <w:rsid w:val="00FD7763"/>
    <w:rsid w:val="00FE19CB"/>
    <w:rsid w:val="00FE62AB"/>
    <w:rsid w:val="00FE79D5"/>
    <w:rsid w:val="00FF039B"/>
    <w:rsid w:val="00FF0F00"/>
    <w:rsid w:val="00FF61E8"/>
    <w:rsid w:val="03832CE9"/>
    <w:rsid w:val="0D0287AB"/>
    <w:rsid w:val="1043B449"/>
    <w:rsid w:val="124C4EFB"/>
    <w:rsid w:val="1634D370"/>
    <w:rsid w:val="1AF0CDDE"/>
    <w:rsid w:val="1CE67DEF"/>
    <w:rsid w:val="20BFD857"/>
    <w:rsid w:val="20D49459"/>
    <w:rsid w:val="224E6B6F"/>
    <w:rsid w:val="28045D82"/>
    <w:rsid w:val="2C3B4728"/>
    <w:rsid w:val="2C91EEF9"/>
    <w:rsid w:val="2E6B2008"/>
    <w:rsid w:val="2FC48A60"/>
    <w:rsid w:val="361280C8"/>
    <w:rsid w:val="37E569DD"/>
    <w:rsid w:val="39F6706D"/>
    <w:rsid w:val="39FD544D"/>
    <w:rsid w:val="3ABEF2AA"/>
    <w:rsid w:val="3CDF8FA8"/>
    <w:rsid w:val="3F2200A6"/>
    <w:rsid w:val="3F7019BB"/>
    <w:rsid w:val="40F79F99"/>
    <w:rsid w:val="4282B31E"/>
    <w:rsid w:val="45EA97C1"/>
    <w:rsid w:val="48DB0D44"/>
    <w:rsid w:val="4B9FB495"/>
    <w:rsid w:val="51427A7A"/>
    <w:rsid w:val="576E571D"/>
    <w:rsid w:val="58F3E9A6"/>
    <w:rsid w:val="5C358836"/>
    <w:rsid w:val="5C928861"/>
    <w:rsid w:val="5CB07612"/>
    <w:rsid w:val="5F0B5050"/>
    <w:rsid w:val="5FD71A13"/>
    <w:rsid w:val="6545665D"/>
    <w:rsid w:val="660C2AD8"/>
    <w:rsid w:val="66DC6D79"/>
    <w:rsid w:val="674A8A94"/>
    <w:rsid w:val="6BBD58CD"/>
    <w:rsid w:val="727432D6"/>
    <w:rsid w:val="747699E0"/>
    <w:rsid w:val="77631921"/>
    <w:rsid w:val="796ED116"/>
    <w:rsid w:val="7C5DF037"/>
    <w:rsid w:val="7DE6A72C"/>
    <w:rsid w:val="7EEA80E2"/>
    <w:rsid w:val="7EF69C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chartTrackingRefBased/>
  <w15:docId w15:val="{2D958EEC-9543-489D-8990-591C40ED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nhideWhenUsed/>
    <w:rsid w:val="00E655F0"/>
    <w:pPr>
      <w:tabs>
        <w:tab w:val="center" w:pos="4680"/>
        <w:tab w:val="right" w:pos="9360"/>
      </w:tabs>
    </w:pPr>
  </w:style>
  <w:style w:type="character" w:customStyle="1" w:styleId="FooterChar">
    <w:name w:val="Footer Char"/>
    <w:basedOn w:val="DefaultParagraphFont"/>
    <w:link w:val="Footer"/>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iPriority w:val="99"/>
    <w:unhideWhenUsed/>
    <w:rsid w:val="009A4214"/>
    <w:rPr>
      <w:sz w:val="20"/>
      <w:szCs w:val="20"/>
    </w:rPr>
  </w:style>
  <w:style w:type="character" w:customStyle="1" w:styleId="CommentTextChar">
    <w:name w:val="Comment Text Char"/>
    <w:basedOn w:val="DefaultParagraphFont"/>
    <w:link w:val="CommentText"/>
    <w:uiPriority w:val="99"/>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B2C96"/>
  </w:style>
  <w:style w:type="character" w:styleId="UnresolvedMention">
    <w:name w:val="Unresolved Mention"/>
    <w:basedOn w:val="DefaultParagraphFont"/>
    <w:uiPriority w:val="99"/>
    <w:semiHidden/>
    <w:unhideWhenUsed/>
    <w:rsid w:val="0055128F"/>
    <w:rPr>
      <w:color w:val="605E5C"/>
      <w:shd w:val="clear" w:color="auto" w:fill="E1DFDD"/>
    </w:rPr>
  </w:style>
  <w:style w:type="paragraph" w:customStyle="1" w:styleId="Pa14">
    <w:name w:val="Pa14"/>
    <w:basedOn w:val="Normal"/>
    <w:next w:val="Normal"/>
    <w:uiPriority w:val="99"/>
    <w:rsid w:val="00F664EE"/>
    <w:pPr>
      <w:autoSpaceDE w:val="0"/>
      <w:autoSpaceDN w:val="0"/>
      <w:adjustRightInd w:val="0"/>
      <w:spacing w:line="241" w:lineRule="atLeast"/>
    </w:pPr>
    <w:rPr>
      <w:rFonts w:eastAsia="Times New Roman" w:cs="Times New Roman"/>
      <w:szCs w:val="24"/>
    </w:rPr>
  </w:style>
  <w:style w:type="character" w:customStyle="1" w:styleId="A2">
    <w:name w:val="A2"/>
    <w:uiPriority w:val="99"/>
    <w:rsid w:val="00F664EE"/>
    <w:rPr>
      <w:color w:val="221E1F"/>
      <w:sz w:val="18"/>
      <w:szCs w:val="18"/>
    </w:rPr>
  </w:style>
  <w:style w:type="paragraph" w:styleId="NormalWeb">
    <w:name w:val="Normal (Web)"/>
    <w:basedOn w:val="Normal"/>
    <w:rsid w:val="00041C7C"/>
    <w:pPr>
      <w:spacing w:before="100" w:beforeAutospacing="1" w:after="100" w:afterAutospacing="1"/>
    </w:pPr>
    <w:rPr>
      <w:rFonts w:eastAsia="Times New Roman" w:cs="Times New Roman"/>
      <w:szCs w:val="24"/>
    </w:rPr>
  </w:style>
  <w:style w:type="paragraph" w:styleId="PlainText">
    <w:name w:val="Plain Text"/>
    <w:basedOn w:val="Normal"/>
    <w:link w:val="PlainTextChar"/>
    <w:uiPriority w:val="99"/>
    <w:unhideWhenUsed/>
    <w:rsid w:val="00264730"/>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64730"/>
    <w:rPr>
      <w:rFonts w:ascii="Consolas" w:eastAsia="Calibri" w:hAnsi="Consolas" w:cs="Times New Roman"/>
      <w:sz w:val="21"/>
      <w:szCs w:val="21"/>
    </w:rPr>
  </w:style>
  <w:style w:type="table" w:customStyle="1" w:styleId="TableGrid1">
    <w:name w:val="Table Grid1"/>
    <w:basedOn w:val="TableNormal"/>
    <w:next w:val="TableGrid"/>
    <w:uiPriority w:val="39"/>
    <w:rsid w:val="00DC32C7"/>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C0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4/DCB.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ma.gov/about/openfema/data-sets/national-household-survey"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ationalacademies.org/our-work/measuring-sex-gender-identity-and-sexual-orientation-for-the-national-institutes-of-health" TargetMode="External" /><Relationship Id="rId2" Type="http://schemas.openxmlformats.org/officeDocument/2006/relationships/hyperlink" Target="https://www.whitehouse.gov/wp-content/uploads/2023/01/SOGI-Best-Practices.pdf" TargetMode="External" /><Relationship Id="rId3" Type="http://schemas.openxmlformats.org/officeDocument/2006/relationships/hyperlink" Target="https://www.bls.gov/news.release/archives/ecec_03132024.pdf" TargetMode="External" /><Relationship Id="rId4" Type="http://schemas.openxmlformats.org/officeDocument/2006/relationships/hyperlink" Target="https://www.bls.gov/oes/2023/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7" ma:contentTypeDescription="Create a new document." ma:contentTypeScope="" ma:versionID="54675f1871f27c7f7b0f67f99ff65cd1">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df9d3e059ac6aaff6d79125b7047845e"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FileCodeorSchedule xmlns="1402c38d-516f-4d43-acca-cab79edca7a6" xsi:nil="true"/>
    <Action_x0020_Branch xmlns="1402c38d-516f-4d43-acca-cab79edca7a6" xsi:nil="true"/>
    <Comments xmlns="1402c38d-516f-4d43-acca-cab79edca7a6" xsi:nil="true"/>
    <Status xmlns="1402c38d-516f-4d43-acca-cab79edca7a6" xsi:nil="true"/>
    <Due_x0020_Date xmlns="1402c38d-516f-4d43-acca-cab79edca7a6" xsi:nil="true"/>
    <Purpose xmlns="1402c38d-516f-4d43-acca-cab79edca7a6" xsi:nil="true"/>
    <Target_x0020_Clean_x0020_Folder_x0020_Identified_x003f_ xmlns="1402c38d-516f-4d43-acca-cab79edca7a6">true</Target_x0020_Clean_x0020_Folder_x0020_Identified_x003f_>
    <ActiveorInactive xmlns="1402c38d-516f-4d43-acca-cab79edca7a6" xsi:nil="true"/>
    <eRMCleanUpNotes xmlns="1402c38d-516f-4d43-acca-cab79edca7a6" xsi:nil="true"/>
    <Document_x0020_Type xmlns="1402c38d-516f-4d43-acca-cab79edca7a6" xsi:nil="true"/>
    <AgencyFunction xmlns="1402c38d-516f-4d43-acca-cab79edca7a6" xsi:nil="true"/>
    <Clean_x0020_Up_x0020_Status xmlns="1402c38d-516f-4d43-acca-cab79edca7a6" xsi:nil="true"/>
    <AllEmptyFoldersRemoved_x003f_ xmlns="1402c38d-516f-4d43-acca-cab79edca7a6" xsi:nil="true"/>
    <Fiscal_x0020_Year xmlns="1402c38d-516f-4d43-acca-cab79edca7a6" xsi:nil="true"/>
    <New_x0020_Clean_x0020_Up_x0020_Status xmlns="1402c38d-516f-4d43-acca-cab79edca7a6">Not Started</New_x0020_Clean_x0020_Up_x0020_Status>
    <FunctionWorkstream xmlns="1402c38d-516f-4d43-acca-cab79edca7a6" xsi:nil="true"/>
    <Clean_x0020_Up_x0020_Action xmlns="1402c38d-516f-4d43-acca-cab79edca7a6">TBD</Clean_x0020_Up_x0020_Action>
    <DatePublished xmlns="1402c38d-516f-4d43-acca-cab79edca7a6" xsi:nil="true"/>
    <ProgramFunction xmlns="1402c38d-516f-4d43-acca-cab79edca7a6" xsi:nil="true"/>
  </documentManagement>
</p:properties>
</file>

<file path=customXml/itemProps1.xml><?xml version="1.0" encoding="utf-8"?>
<ds:datastoreItem xmlns:ds="http://schemas.openxmlformats.org/officeDocument/2006/customXml" ds:itemID="{027C0D3A-9CE9-4CDD-9952-FDA8D67A95BA}">
  <ds:schemaRefs>
    <ds:schemaRef ds:uri="http://schemas.microsoft.com/sharepoint/v3/contenttype/forms"/>
  </ds:schemaRefs>
</ds:datastoreItem>
</file>

<file path=customXml/itemProps2.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customXml/itemProps3.xml><?xml version="1.0" encoding="utf-8"?>
<ds:datastoreItem xmlns:ds="http://schemas.openxmlformats.org/officeDocument/2006/customXml" ds:itemID="{91B01EA7-107D-43B9-9AFE-5A5AF46E5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C227D-F04B-485F-8821-6AAC4323B817}">
  <ds:schemaRefs>
    <ds:schemaRef ds:uri="http://www.w3.org/XML/1998/namespace"/>
    <ds:schemaRef ds:uri="http://schemas.openxmlformats.org/package/2006/metadata/core-properties"/>
    <ds:schemaRef ds:uri="http://purl.org/dc/elements/1.1/"/>
    <ds:schemaRef ds:uri="6eb55b38-6b90-44f1-82fa-b685e93e7cb3"/>
    <ds:schemaRef ds:uri="http://schemas.microsoft.com/office/2006/documentManagement/types"/>
    <ds:schemaRef ds:uri="http://purl.org/dc/dcmitype/"/>
    <ds:schemaRef ds:uri="5583a38e-5bd1-4cf9-b4f2-d9b49c295657"/>
    <ds:schemaRef ds:uri="http://schemas.microsoft.com/office/infopath/2007/PartnerControls"/>
    <ds:schemaRef ds:uri="http://schemas.microsoft.com/office/2006/metadata/properties"/>
    <ds:schemaRef ds:uri="http://purl.org/dc/terms/"/>
    <ds:schemaRef ds:uri="be695bbe-29cc-414d-9631-cd9a5eb5086c"/>
    <ds:schemaRef ds:uri="1402c38d-516f-4d43-acca-cab79edca7a6"/>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4804</Words>
  <Characters>27388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Crosby, Kevin</cp:lastModifiedBy>
  <cp:revision>3</cp:revision>
  <dcterms:created xsi:type="dcterms:W3CDTF">2025-04-22T16:13:00Z</dcterms:created>
  <dcterms:modified xsi:type="dcterms:W3CDTF">2025-04-22T16:13:00Z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ies>
</file>