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535B" w:rsidP="00AC535B" w14:paraId="424B0022" w14:textId="0AD77BBD">
      <w:pPr>
        <w:jc w:val="right"/>
      </w:pPr>
      <w:r w:rsidRPr="00F4129F">
        <w:tab/>
      </w:r>
      <w:r w:rsidR="000A7E29">
        <w:t>November 2</w:t>
      </w:r>
      <w:r w:rsidR="00C8191E">
        <w:t>5</w:t>
      </w:r>
      <w:r w:rsidRPr="0021403D" w:rsidR="00A95B52">
        <w:t>, 2024</w:t>
      </w:r>
    </w:p>
    <w:p w:rsidR="00AC535B" w:rsidP="00AC535B" w14:paraId="5250DF9C" w14:textId="77777777"/>
    <w:p w:rsidR="00AC535B" w:rsidRPr="00047F0A" w:rsidP="00AC535B" w14:paraId="039F338D" w14:textId="77777777">
      <w:pPr>
        <w:spacing w:after="240"/>
        <w:rPr>
          <w:b/>
          <w:bCs/>
        </w:rPr>
      </w:pPr>
      <w:r w:rsidRPr="00047F0A">
        <w:rPr>
          <w:b/>
          <w:bCs/>
        </w:rPr>
        <w:t>MEMORANDUM</w:t>
      </w:r>
    </w:p>
    <w:p w:rsidR="00AC535B" w:rsidRPr="00047F0A" w:rsidP="00AC535B" w14:paraId="0D894D77" w14:textId="77B20201">
      <w:pPr>
        <w:spacing w:after="120"/>
      </w:pPr>
      <w:r w:rsidRPr="00047F0A">
        <w:rPr>
          <w:rStyle w:val="MessageHeaderLabel"/>
          <w:spacing w:val="-20"/>
        </w:rPr>
        <w:t>T</w:t>
      </w:r>
      <w:r w:rsidRPr="00047F0A">
        <w:rPr>
          <w:rStyle w:val="MessageHeaderLabel"/>
        </w:rPr>
        <w:t xml:space="preserve">o: </w:t>
      </w:r>
      <w:r w:rsidRPr="00047F0A">
        <w:tab/>
      </w:r>
      <w:r w:rsidRPr="00047F0A">
        <w:tab/>
      </w:r>
      <w:r w:rsidRPr="00047F0A" w:rsidR="00A94FF2">
        <w:t>Bev Pratt</w:t>
      </w:r>
      <w:r w:rsidRPr="00047F0A">
        <w:t>, OMB</w:t>
      </w:r>
    </w:p>
    <w:p w:rsidR="00AC535B" w:rsidRPr="00047F0A" w:rsidP="00AC535B" w14:paraId="676D8C45" w14:textId="0D4C9E7F">
      <w:pPr>
        <w:spacing w:after="120"/>
      </w:pPr>
      <w:r w:rsidRPr="00047F0A">
        <w:rPr>
          <w:rStyle w:val="MessageHeaderLabel"/>
        </w:rPr>
        <w:t xml:space="preserve">From: </w:t>
      </w:r>
      <w:r w:rsidRPr="00047F0A">
        <w:tab/>
      </w:r>
      <w:r w:rsidRPr="00047F0A">
        <w:tab/>
      </w:r>
      <w:r w:rsidR="00A95B52">
        <w:t>Erin Tanenbaum</w:t>
      </w:r>
      <w:r w:rsidR="00D12AAE">
        <w:t xml:space="preserve">, Ryan Iaconelli, </w:t>
      </w:r>
      <w:r>
        <w:t xml:space="preserve">Kerri Vasold, </w:t>
      </w:r>
      <w:r w:rsidR="00D12AAE">
        <w:t>and Andrew Zukerberg</w:t>
      </w:r>
      <w:r w:rsidRPr="00047F0A">
        <w:t>, NCES</w:t>
      </w:r>
    </w:p>
    <w:p w:rsidR="00AC535B" w:rsidRPr="00047F0A" w:rsidP="00AC535B" w14:paraId="70AB1C30" w14:textId="77777777">
      <w:pPr>
        <w:spacing w:after="120"/>
      </w:pPr>
      <w:r w:rsidRPr="00047F0A">
        <w:rPr>
          <w:rStyle w:val="MessageHeaderLabel"/>
        </w:rPr>
        <w:t xml:space="preserve">Through: </w:t>
      </w:r>
      <w:r w:rsidRPr="00047F0A">
        <w:tab/>
        <w:t>Carrie Clarady, NCES</w:t>
      </w:r>
    </w:p>
    <w:p w:rsidR="00AC535B" w:rsidRPr="00047F0A" w:rsidP="00AC535B" w14:paraId="6F655791" w14:textId="32EBEA8A">
      <w:pPr>
        <w:pBdr>
          <w:bottom w:val="single" w:sz="12" w:space="1" w:color="auto"/>
        </w:pBdr>
        <w:spacing w:after="120"/>
        <w:ind w:left="1440" w:hanging="1440"/>
      </w:pPr>
      <w:r w:rsidRPr="00047F0A">
        <w:rPr>
          <w:rStyle w:val="MessageHeaderLabel"/>
        </w:rPr>
        <w:t xml:space="preserve">Re: </w:t>
      </w:r>
      <w:r w:rsidRPr="00047F0A">
        <w:tab/>
        <w:t>School Pulse Panel 202</w:t>
      </w:r>
      <w:r w:rsidR="00A95B52">
        <w:t>4</w:t>
      </w:r>
      <w:r w:rsidRPr="00047F0A" w:rsidR="00A94FF2">
        <w:t>-2</w:t>
      </w:r>
      <w:r w:rsidR="00A95B52">
        <w:t>5</w:t>
      </w:r>
      <w:r w:rsidRPr="00047F0A">
        <w:t xml:space="preserve"> </w:t>
      </w:r>
      <w:r w:rsidR="00405F56">
        <w:t xml:space="preserve">Third </w:t>
      </w:r>
      <w:r w:rsidRPr="00047F0A">
        <w:t>Quarter Revision (OM</w:t>
      </w:r>
      <w:r w:rsidRPr="00C11A8B">
        <w:t>B# 1850-</w:t>
      </w:r>
      <w:r w:rsidRPr="00C11A8B" w:rsidR="00A95B52">
        <w:t>0969</w:t>
      </w:r>
      <w:r w:rsidRPr="00C11A8B">
        <w:t xml:space="preserve"> v.</w:t>
      </w:r>
      <w:r w:rsidR="00E5264E">
        <w:t>18</w:t>
      </w:r>
      <w:r w:rsidRPr="00C11A8B">
        <w:t>)</w:t>
      </w:r>
    </w:p>
    <w:p w:rsidR="0003170F" w:rsidRPr="0086443D" w:rsidP="0003170F" w14:paraId="4B1FEF84" w14:textId="77777777">
      <w:pPr>
        <w:rPr>
          <w:rFonts w:eastAsia="Times New Roman"/>
          <w:color w:val="000000" w:themeColor="text1"/>
        </w:rPr>
      </w:pPr>
      <w:r w:rsidRPr="67D60F6E">
        <w:rPr>
          <w:rFonts w:eastAsia="Times New Roman"/>
          <w:color w:val="000000" w:themeColor="text1"/>
        </w:rPr>
        <w:t xml:space="preserve">The School Pulse Panel is </w:t>
      </w:r>
      <w:r>
        <w:rPr>
          <w:rFonts w:eastAsia="Times New Roman"/>
          <w:color w:val="000000" w:themeColor="text1"/>
        </w:rPr>
        <w:t>an ongoing</w:t>
      </w:r>
      <w:r w:rsidRPr="67D60F6E">
        <w:rPr>
          <w:rFonts w:eastAsia="Times New Roman"/>
          <w:color w:val="000000" w:themeColor="text1"/>
        </w:rPr>
        <w:t xml:space="preserve"> study conducted by the National Center for Education Statistics (NCES), part of the Institute of Education Sciences (IES), within the United States Department of Education, to collect extensive data on </w:t>
      </w:r>
      <w:r>
        <w:rPr>
          <w:rFonts w:eastAsia="Times New Roman"/>
          <w:color w:val="000000" w:themeColor="text1"/>
        </w:rPr>
        <w:t xml:space="preserve">current and emerging </w:t>
      </w:r>
      <w:r w:rsidRPr="67D60F6E">
        <w:rPr>
          <w:rFonts w:eastAsia="Times New Roman"/>
          <w:color w:val="000000" w:themeColor="text1"/>
        </w:rPr>
        <w:t xml:space="preserve">issues concerning students and staff in U.S. public primary, middle, high, and combined-grade schools. </w:t>
      </w:r>
      <w:r>
        <w:rPr>
          <w:rFonts w:eastAsia="Times New Roman"/>
          <w:color w:val="000000" w:themeColor="text1"/>
        </w:rPr>
        <w:t xml:space="preserve">Specifically, the </w:t>
      </w:r>
      <w:r w:rsidRPr="67D60F6E">
        <w:rPr>
          <w:rFonts w:eastAsia="Times New Roman"/>
          <w:color w:val="000000" w:themeColor="text1"/>
        </w:rPr>
        <w:t xml:space="preserve">survey will ask school </w:t>
      </w:r>
      <w:r>
        <w:rPr>
          <w:rFonts w:eastAsia="Times New Roman"/>
          <w:color w:val="000000" w:themeColor="text1"/>
        </w:rPr>
        <w:t>leaders</w:t>
      </w:r>
      <w:r w:rsidRPr="67D60F6E">
        <w:rPr>
          <w:rFonts w:eastAsia="Times New Roman"/>
          <w:color w:val="000000" w:themeColor="text1"/>
        </w:rPr>
        <w:t xml:space="preserve"> about topics such as </w:t>
      </w:r>
      <w:r>
        <w:rPr>
          <w:rFonts w:eastAsia="Times New Roman"/>
          <w:color w:val="000000" w:themeColor="text1"/>
        </w:rPr>
        <w:t>staffing, college and career readiness, artificial intelligence, tutoring, summer and after-school programs, facilities, and learning strategies and recovery, among other topics. The SPP has become</w:t>
      </w:r>
      <w:r w:rsidRPr="67D60F6E">
        <w:rPr>
          <w:rFonts w:eastAsia="Times New Roman"/>
          <w:color w:val="000000" w:themeColor="text1"/>
        </w:rPr>
        <w:t xml:space="preserve"> one of the nation’s </w:t>
      </w:r>
      <w:r>
        <w:rPr>
          <w:rFonts w:eastAsia="Times New Roman"/>
          <w:color w:val="000000" w:themeColor="text1"/>
        </w:rPr>
        <w:t>main</w:t>
      </w:r>
      <w:r w:rsidRPr="67D60F6E">
        <w:rPr>
          <w:rFonts w:eastAsia="Times New Roman"/>
          <w:color w:val="000000" w:themeColor="text1"/>
        </w:rPr>
        <w:t xml:space="preserve"> sources of </w:t>
      </w:r>
      <w:r>
        <w:rPr>
          <w:rFonts w:eastAsia="Times New Roman"/>
          <w:color w:val="000000" w:themeColor="text1"/>
        </w:rPr>
        <w:t xml:space="preserve">timely and </w:t>
      </w:r>
      <w:r w:rsidRPr="67D60F6E">
        <w:rPr>
          <w:rFonts w:eastAsia="Times New Roman"/>
          <w:color w:val="000000" w:themeColor="text1"/>
        </w:rPr>
        <w:t xml:space="preserve">reliable data </w:t>
      </w:r>
      <w:r>
        <w:rPr>
          <w:rFonts w:eastAsia="Times New Roman"/>
          <w:color w:val="000000" w:themeColor="text1"/>
        </w:rPr>
        <w:t>on issues concerning the education environment</w:t>
      </w:r>
      <w:r w:rsidRPr="67D60F6E">
        <w:rPr>
          <w:rFonts w:eastAsia="Times New Roman"/>
          <w:color w:val="000000" w:themeColor="text1"/>
        </w:rPr>
        <w:t xml:space="preserve">, as reported by principals in U.S. public schools. </w:t>
      </w:r>
    </w:p>
    <w:p w:rsidR="0003170F" w:rsidP="0003170F" w14:paraId="23347B2A" w14:textId="77777777">
      <w:pPr>
        <w:rPr>
          <w:rFonts w:eastAsia="Times New Roman"/>
          <w:color w:val="000000" w:themeColor="text1"/>
        </w:rPr>
      </w:pPr>
    </w:p>
    <w:p w:rsidR="0003170F" w:rsidP="0003170F" w14:paraId="3CA93D48" w14:textId="4B80EB9B">
      <w:pPr>
        <w:rPr>
          <w:lang w:bidi="en-US"/>
        </w:rPr>
      </w:pPr>
      <w:r w:rsidRPr="00472260">
        <w:rPr>
          <w:rFonts w:eastAsia="Times New Roman"/>
          <w:color w:val="000000" w:themeColor="text1"/>
        </w:rPr>
        <w:t xml:space="preserve">The SPP monthly data collection went through a 60-day public comment period, followed by a 30-day public comment period (OMB# 1850-0969 v.13), and was formally cleared on July 1, 2024. </w:t>
      </w:r>
      <w:r w:rsidRPr="006C3911">
        <w:rPr>
          <w:lang w:bidi="en-US"/>
        </w:rPr>
        <w:t>A change request (v.1</w:t>
      </w:r>
      <w:r>
        <w:rPr>
          <w:lang w:bidi="en-US"/>
        </w:rPr>
        <w:t>5</w:t>
      </w:r>
      <w:r w:rsidRPr="006C3911">
        <w:rPr>
          <w:lang w:bidi="en-US"/>
        </w:rPr>
        <w:t>) was cleared in August 2024 to make changes to</w:t>
      </w:r>
      <w:r>
        <w:rPr>
          <w:lang w:bidi="en-US"/>
        </w:rPr>
        <w:t xml:space="preserve"> the</w:t>
      </w:r>
      <w:r w:rsidRPr="006C3911">
        <w:rPr>
          <w:lang w:bidi="en-US"/>
        </w:rPr>
        <w:t xml:space="preserve"> August 2024, September 2024, and October 2024 instruments, informed by cognitive testing results with school staff.</w:t>
      </w:r>
      <w:r>
        <w:rPr>
          <w:lang w:bidi="en-US"/>
        </w:rPr>
        <w:t xml:space="preserve"> A 30-day public comment period package (v.16) was cleared in October 2024 that included</w:t>
      </w:r>
      <w:r w:rsidRPr="006C3911">
        <w:rPr>
          <w:lang w:bidi="en-US"/>
        </w:rPr>
        <w:t xml:space="preserve"> new items (within the scope of the research domains previously established) to be collected on the November 2024, December 2024, and January 202</w:t>
      </w:r>
      <w:r>
        <w:rPr>
          <w:lang w:bidi="en-US"/>
        </w:rPr>
        <w:t>5</w:t>
      </w:r>
      <w:r w:rsidRPr="006C3911">
        <w:rPr>
          <w:lang w:bidi="en-US"/>
        </w:rPr>
        <w:t xml:space="preserve"> instruments</w:t>
      </w:r>
      <w:r>
        <w:rPr>
          <w:lang w:bidi="en-US"/>
        </w:rPr>
        <w:t>, as well as planned items for the rest of the study year, through June 2025. A change request (v.17) was cleared in November 2024 to make changes to the December 2024, January 2025, and February 2025 instruments, informed by cognitive testing results with school staff.</w:t>
      </w:r>
    </w:p>
    <w:p w:rsidR="0003170F" w:rsidP="0003170F" w14:paraId="405725CD" w14:textId="77777777">
      <w:pPr>
        <w:rPr>
          <w:lang w:bidi="en-US"/>
        </w:rPr>
      </w:pPr>
    </w:p>
    <w:p w:rsidR="001415F3" w:rsidRPr="006C3911" w:rsidP="001415F3" w14:paraId="7E71730B" w14:textId="43E975B3">
      <w:pPr>
        <w:spacing w:after="120"/>
        <w:rPr>
          <w:lang w:bidi="en-US"/>
        </w:rPr>
      </w:pPr>
      <w:r w:rsidRPr="000A7E29">
        <w:rPr>
          <w:lang w:bidi="en-US"/>
        </w:rPr>
        <w:t>The purpose of this memo is to accompany a revision (v.</w:t>
      </w:r>
      <w:r w:rsidRPr="000A7E29" w:rsidR="000A7E29">
        <w:rPr>
          <w:lang w:bidi="en-US"/>
        </w:rPr>
        <w:t>18</w:t>
      </w:r>
      <w:r w:rsidRPr="000A7E29">
        <w:rPr>
          <w:lang w:bidi="en-US"/>
        </w:rPr>
        <w:t xml:space="preserve">) and to describe the changes to the research materials contained in that revision. The new revision is focused on a 30-day public comment period on new items (within the scope of the research domains previously established) to be collected on the </w:t>
      </w:r>
      <w:r w:rsidR="00026181">
        <w:rPr>
          <w:lang w:bidi="en-US"/>
        </w:rPr>
        <w:t>March 2025-</w:t>
      </w:r>
      <w:r w:rsidRPr="000A7E29" w:rsidR="000A7E29">
        <w:rPr>
          <w:lang w:bidi="en-US"/>
        </w:rPr>
        <w:t>June 2025 instruments</w:t>
      </w:r>
      <w:r w:rsidRPr="000A7E29">
        <w:rPr>
          <w:lang w:bidi="en-US"/>
        </w:rPr>
        <w:t xml:space="preserve"> (Appendix C2). </w:t>
      </w:r>
      <w:r w:rsidRPr="000A7E29">
        <w:rPr>
          <w:color w:val="000000"/>
        </w:rPr>
        <w:t xml:space="preserve">These items are considered very close to final and will go through minimal testing with school personnel to examine any comprehension concerns with item wording. This testing will occur simultaneously with when the package is out for the 30-day public comment period. Feedback from this testing, as well as additional input from SPP stakeholders, will result in modifications and additions that will be reflected in </w:t>
      </w:r>
      <w:r w:rsidRPr="000A7E29" w:rsidR="000A7E29">
        <w:rPr>
          <w:color w:val="000000"/>
        </w:rPr>
        <w:t xml:space="preserve">a </w:t>
      </w:r>
      <w:r w:rsidRPr="000A7E29">
        <w:rPr>
          <w:color w:val="000000"/>
        </w:rPr>
        <w:t xml:space="preserve">future change request. </w:t>
      </w:r>
      <w:r w:rsidRPr="000A7E29" w:rsidR="000A7E29">
        <w:rPr>
          <w:color w:val="000000"/>
        </w:rPr>
        <w:t xml:space="preserve">The costs to the government have not changed </w:t>
      </w:r>
      <w:r w:rsidRPr="000A7E29" w:rsidR="000A7E29">
        <w:rPr>
          <w:color w:val="000000"/>
        </w:rPr>
        <w:t>as a result of</w:t>
      </w:r>
      <w:r w:rsidRPr="000A7E29" w:rsidR="000A7E29">
        <w:rPr>
          <w:color w:val="000000"/>
        </w:rPr>
        <w:t xml:space="preserve"> this amendment, nor has the projected respondent burden. Below, for each </w:t>
      </w:r>
      <w:r w:rsidR="000A7E29">
        <w:rPr>
          <w:color w:val="000000"/>
        </w:rPr>
        <w:t>document</w:t>
      </w:r>
      <w:r w:rsidRPr="000A7E29" w:rsidR="000A7E29">
        <w:rPr>
          <w:color w:val="000000"/>
        </w:rPr>
        <w:t>, we provide explanations for our changes.</w:t>
      </w:r>
    </w:p>
    <w:p w:rsidR="001415F3" w:rsidRPr="005D1F08" w:rsidP="0003170F" w14:paraId="148CBCB4" w14:textId="08D41A12">
      <w:pPr>
        <w:rPr>
          <w:rFonts w:eastAsia="Times New Roman"/>
          <w:color w:val="000000" w:themeColor="text1"/>
        </w:rPr>
        <w:sectPr w:rsidSect="0003170F">
          <w:headerReference w:type="first" r:id="rId4"/>
          <w:pgSz w:w="12240" w:h="15840"/>
          <w:pgMar w:top="1440" w:right="1440" w:bottom="1440" w:left="1440" w:header="720" w:footer="720" w:gutter="0"/>
          <w:cols w:space="720"/>
          <w:titlePg/>
          <w:docGrid w:linePitch="360"/>
        </w:sectPr>
      </w:pPr>
    </w:p>
    <w:p w:rsidR="00C274A0" w:rsidRPr="00E5264E" w:rsidP="007F03B4" w14:paraId="03C2F101" w14:textId="26D4FB28">
      <w:pPr>
        <w:pStyle w:val="Heading1"/>
      </w:pPr>
      <w:r w:rsidRPr="00E5264E">
        <w:t>Changes to Part A</w:t>
      </w:r>
    </w:p>
    <w:p w:rsidR="007F03B4" w:rsidRPr="00E5264E" w:rsidP="007F03B4" w14:paraId="62950370" w14:textId="431995BE">
      <w:pPr>
        <w:rPr>
          <w:b/>
          <w:bCs/>
        </w:rPr>
      </w:pPr>
      <w:r w:rsidRPr="00E5264E">
        <w:rPr>
          <w:b/>
          <w:bCs/>
        </w:rPr>
        <w:t>A.1.1 Purpose of This Submission</w:t>
      </w:r>
    </w:p>
    <w:p w:rsidR="007F03B4" w:rsidP="00854BF2" w14:paraId="50F5224C" w14:textId="2A18254F">
      <w:pPr>
        <w:pStyle w:val="ListParagraph"/>
        <w:numPr>
          <w:ilvl w:val="0"/>
          <w:numId w:val="33"/>
        </w:numPr>
        <w:rPr>
          <w:rFonts w:ascii="Times New Roman" w:hAnsi="Times New Roman" w:cs="Times New Roman"/>
          <w:sz w:val="24"/>
          <w:szCs w:val="24"/>
        </w:rPr>
      </w:pPr>
      <w:r w:rsidRPr="00E5264E">
        <w:rPr>
          <w:rFonts w:ascii="Times New Roman" w:hAnsi="Times New Roman" w:cs="Times New Roman"/>
          <w:sz w:val="24"/>
          <w:szCs w:val="24"/>
        </w:rPr>
        <w:t>The second-to-last paragraph in section A.1.1 was updated to describe the purpose of this 30-day revision.</w:t>
      </w:r>
    </w:p>
    <w:p w:rsidR="00026181" w:rsidP="00026181" w14:paraId="7C1CF45D" w14:textId="06A764D9">
      <w:pPr>
        <w:pStyle w:val="Heading1"/>
        <w:rPr>
          <w:sz w:val="24"/>
          <w:szCs w:val="24"/>
          <w:u w:val="none"/>
        </w:rPr>
      </w:pPr>
      <w:r w:rsidRPr="00026181">
        <w:rPr>
          <w:color w:val="000000" w:themeColor="text1"/>
          <w:sz w:val="24"/>
          <w:szCs w:val="24"/>
          <w:u w:val="none"/>
        </w:rPr>
        <w:t>A.16</w:t>
      </w:r>
      <w:r>
        <w:rPr>
          <w:color w:val="000000" w:themeColor="text1"/>
          <w:sz w:val="24"/>
          <w:szCs w:val="24"/>
          <w:u w:val="none"/>
        </w:rPr>
        <w:t xml:space="preserve"> </w:t>
      </w:r>
      <w:r w:rsidRPr="00026181">
        <w:rPr>
          <w:sz w:val="24"/>
          <w:szCs w:val="24"/>
          <w:u w:val="none"/>
        </w:rPr>
        <w:t>Publication Plans and Time Schedule</w:t>
      </w:r>
    </w:p>
    <w:p w:rsidR="00026181" w:rsidRPr="00026181" w:rsidP="00026181" w14:paraId="16960BDE" w14:textId="55BAB3AB">
      <w:pPr>
        <w:pStyle w:val="ListParagraph"/>
        <w:numPr>
          <w:ilvl w:val="0"/>
          <w:numId w:val="35"/>
        </w:numPr>
        <w:rPr>
          <w:rFonts w:ascii="Times New Roman" w:hAnsi="Times New Roman" w:cs="Times New Roman"/>
          <w:sz w:val="24"/>
          <w:szCs w:val="24"/>
        </w:rPr>
      </w:pPr>
      <w:r w:rsidRPr="00026181">
        <w:rPr>
          <w:rFonts w:ascii="Times New Roman" w:hAnsi="Times New Roman" w:cs="Times New Roman"/>
          <w:sz w:val="24"/>
          <w:szCs w:val="24"/>
        </w:rPr>
        <w:t>The timeline table was updated to reflect the current release schedule</w:t>
      </w:r>
      <w:r w:rsidR="007178A0">
        <w:rPr>
          <w:rFonts w:ascii="Times New Roman" w:hAnsi="Times New Roman" w:cs="Times New Roman"/>
          <w:sz w:val="24"/>
          <w:szCs w:val="24"/>
        </w:rPr>
        <w:t>, shifting all releases to a month later</w:t>
      </w:r>
      <w:r w:rsidR="00097E62">
        <w:rPr>
          <w:rFonts w:ascii="Times New Roman" w:hAnsi="Times New Roman" w:cs="Times New Roman"/>
          <w:sz w:val="24"/>
          <w:szCs w:val="24"/>
        </w:rPr>
        <w:t xml:space="preserve"> than originally planned</w:t>
      </w:r>
      <w:r w:rsidRPr="00026181">
        <w:rPr>
          <w:rFonts w:ascii="Times New Roman" w:hAnsi="Times New Roman" w:cs="Times New Roman"/>
          <w:sz w:val="24"/>
          <w:szCs w:val="24"/>
        </w:rPr>
        <w:t>.</w:t>
      </w:r>
    </w:p>
    <w:p w:rsidR="00B67ADA" w:rsidRPr="00347150" w:rsidP="00B67ADA" w14:paraId="390F1BAB" w14:textId="14A7649E">
      <w:pPr>
        <w:pStyle w:val="Heading1"/>
      </w:pPr>
      <w:r w:rsidRPr="00347150">
        <w:t>Changes to Part B</w:t>
      </w:r>
    </w:p>
    <w:p w:rsidR="00347150" w:rsidRPr="00347150" w:rsidP="000F64F5" w14:paraId="4FD104DB" w14:textId="72D9498A">
      <w:pPr>
        <w:rPr>
          <w:b/>
          <w:bCs/>
        </w:rPr>
      </w:pPr>
      <w:r w:rsidRPr="00347150">
        <w:rPr>
          <w:b/>
          <w:bCs/>
        </w:rPr>
        <w:t>B1. Respondent Universe and Sample Design and Estimation</w:t>
      </w:r>
    </w:p>
    <w:p w:rsidR="00347150" w:rsidRPr="00347150" w:rsidP="00347150" w14:paraId="7721B463" w14:textId="39225C7D">
      <w:pPr>
        <w:pStyle w:val="ListParagraph"/>
        <w:numPr>
          <w:ilvl w:val="0"/>
          <w:numId w:val="34"/>
        </w:numPr>
        <w:rPr>
          <w:rFonts w:ascii="Times New Roman" w:hAnsi="Times New Roman" w:cs="Times New Roman"/>
          <w:b/>
          <w:bCs/>
          <w:sz w:val="24"/>
          <w:szCs w:val="24"/>
        </w:rPr>
      </w:pPr>
      <w:r w:rsidRPr="00345250">
        <w:rPr>
          <w:rFonts w:ascii="Times New Roman" w:hAnsi="Times New Roman" w:cs="Times New Roman"/>
          <w:sz w:val="24"/>
          <w:szCs w:val="24"/>
        </w:rPr>
        <w:t>Changes were made to the</w:t>
      </w:r>
      <w:r>
        <w:rPr>
          <w:rFonts w:ascii="Times New Roman" w:hAnsi="Times New Roman" w:cs="Times New Roman"/>
          <w:b/>
          <w:bCs/>
          <w:sz w:val="24"/>
          <w:szCs w:val="24"/>
        </w:rPr>
        <w:t xml:space="preserve"> </w:t>
      </w:r>
      <w:r w:rsidRPr="00347150">
        <w:rPr>
          <w:rFonts w:ascii="Times New Roman" w:hAnsi="Times New Roman" w:cs="Times New Roman"/>
          <w:b/>
          <w:bCs/>
          <w:sz w:val="24"/>
          <w:szCs w:val="24"/>
        </w:rPr>
        <w:t>Calculation of Weights</w:t>
      </w:r>
      <w:r>
        <w:rPr>
          <w:rFonts w:ascii="Times New Roman" w:hAnsi="Times New Roman" w:cs="Times New Roman"/>
          <w:b/>
          <w:bCs/>
          <w:sz w:val="24"/>
          <w:szCs w:val="24"/>
        </w:rPr>
        <w:t xml:space="preserve"> </w:t>
      </w:r>
      <w:r w:rsidRPr="00345250">
        <w:rPr>
          <w:rFonts w:ascii="Times New Roman" w:hAnsi="Times New Roman" w:cs="Times New Roman"/>
          <w:sz w:val="24"/>
          <w:szCs w:val="24"/>
        </w:rPr>
        <w:t>and</w:t>
      </w:r>
      <w:r>
        <w:rPr>
          <w:rFonts w:ascii="Times New Roman" w:hAnsi="Times New Roman" w:cs="Times New Roman"/>
          <w:b/>
          <w:bCs/>
          <w:sz w:val="24"/>
          <w:szCs w:val="24"/>
        </w:rPr>
        <w:t xml:space="preserve"> Methods for Variance Estimation </w:t>
      </w:r>
      <w:r w:rsidRPr="00A535A2">
        <w:rPr>
          <w:rFonts w:ascii="Times New Roman" w:hAnsi="Times New Roman" w:cs="Times New Roman"/>
          <w:sz w:val="24"/>
          <w:szCs w:val="24"/>
        </w:rPr>
        <w:t>sections to</w:t>
      </w:r>
      <w:r>
        <w:rPr>
          <w:rFonts w:ascii="Times New Roman" w:hAnsi="Times New Roman" w:cs="Times New Roman"/>
          <w:b/>
          <w:bCs/>
          <w:sz w:val="24"/>
          <w:szCs w:val="24"/>
        </w:rPr>
        <w:t xml:space="preserve"> </w:t>
      </w:r>
      <w:r w:rsidRPr="00347150">
        <w:rPr>
          <w:rFonts w:ascii="Times New Roman" w:hAnsi="Times New Roman" w:cs="Times New Roman"/>
          <w:sz w:val="24"/>
          <w:szCs w:val="24"/>
        </w:rPr>
        <w:t xml:space="preserve">provide </w:t>
      </w:r>
      <w:r>
        <w:rPr>
          <w:rFonts w:ascii="Times New Roman" w:hAnsi="Times New Roman" w:cs="Times New Roman"/>
          <w:sz w:val="24"/>
          <w:szCs w:val="24"/>
        </w:rPr>
        <w:t xml:space="preserve">more </w:t>
      </w:r>
      <w:r w:rsidRPr="00347150">
        <w:rPr>
          <w:rFonts w:ascii="Times New Roman" w:hAnsi="Times New Roman" w:cs="Times New Roman"/>
          <w:sz w:val="24"/>
          <w:szCs w:val="24"/>
        </w:rPr>
        <w:t>clarity</w:t>
      </w:r>
      <w:r>
        <w:rPr>
          <w:rFonts w:ascii="Times New Roman" w:hAnsi="Times New Roman" w:cs="Times New Roman"/>
          <w:sz w:val="24"/>
          <w:szCs w:val="24"/>
        </w:rPr>
        <w:t xml:space="preserve"> on differences in approaches between data representative of the 50 states and District of Columbia and Outlying Areas data.</w:t>
      </w:r>
    </w:p>
    <w:p w:rsidR="000F64F5" w:rsidRPr="00347150" w:rsidP="000F64F5" w14:paraId="4F35A61D" w14:textId="572F620A">
      <w:pPr>
        <w:rPr>
          <w:b/>
          <w:bCs/>
        </w:rPr>
      </w:pPr>
      <w:r w:rsidRPr="00347150">
        <w:rPr>
          <w:b/>
          <w:bCs/>
        </w:rPr>
        <w:t>B5. Individuals Responsible for Study Design and Performance</w:t>
      </w:r>
    </w:p>
    <w:p w:rsidR="000F64F5" w:rsidRPr="00347150" w:rsidP="007F03B4" w14:paraId="2F6A2A76" w14:textId="16911040">
      <w:pPr>
        <w:pStyle w:val="ListParagraph"/>
        <w:numPr>
          <w:ilvl w:val="0"/>
          <w:numId w:val="33"/>
        </w:numPr>
        <w:rPr>
          <w:rFonts w:ascii="Times New Roman" w:hAnsi="Times New Roman" w:cs="Times New Roman"/>
          <w:sz w:val="24"/>
          <w:szCs w:val="24"/>
        </w:rPr>
      </w:pPr>
      <w:r w:rsidRPr="00347150">
        <w:rPr>
          <w:rFonts w:ascii="Times New Roman" w:hAnsi="Times New Roman" w:cs="Times New Roman"/>
          <w:sz w:val="24"/>
          <w:szCs w:val="24"/>
        </w:rPr>
        <w:t>Project staff was updated.</w:t>
      </w:r>
    </w:p>
    <w:p w:rsidR="007F03B4" w:rsidP="007F03B4" w14:paraId="4977B0C4" w14:textId="5038D5AD">
      <w:pPr>
        <w:pStyle w:val="Heading1"/>
      </w:pPr>
      <w:r>
        <w:t>Changes to Appendix A</w:t>
      </w:r>
      <w:r w:rsidR="00776C6B">
        <w:t xml:space="preserve"> – Communication Materials</w:t>
      </w:r>
    </w:p>
    <w:p w:rsidR="00695487" w:rsidRPr="006C3911" w:rsidP="00047F0A" w14:paraId="0A1087EC" w14:textId="4E4B047B">
      <w:pPr>
        <w:pStyle w:val="ListParagraph"/>
        <w:numPr>
          <w:ilvl w:val="0"/>
          <w:numId w:val="33"/>
        </w:numPr>
        <w:rPr>
          <w:rFonts w:ascii="Times New Roman" w:hAnsi="Times New Roman" w:cs="Times New Roman"/>
          <w:sz w:val="24"/>
          <w:szCs w:val="24"/>
        </w:rPr>
      </w:pPr>
      <w:r w:rsidRPr="00196818">
        <w:rPr>
          <w:rFonts w:ascii="Times New Roman" w:hAnsi="Times New Roman" w:cs="Times New Roman"/>
          <w:b/>
          <w:bCs/>
          <w:sz w:val="24"/>
          <w:szCs w:val="24"/>
        </w:rPr>
        <w:t>No changes to Appendix A</w:t>
      </w:r>
      <w:r w:rsidR="00FE7141">
        <w:rPr>
          <w:rFonts w:ascii="Times New Roman" w:hAnsi="Times New Roman" w:cs="Times New Roman"/>
          <w:sz w:val="24"/>
          <w:szCs w:val="24"/>
        </w:rPr>
        <w:t xml:space="preserve">; </w:t>
      </w:r>
      <w:r w:rsidR="003B3EBE">
        <w:rPr>
          <w:rFonts w:ascii="Times New Roman" w:hAnsi="Times New Roman" w:cs="Times New Roman"/>
          <w:sz w:val="24"/>
          <w:szCs w:val="24"/>
        </w:rPr>
        <w:t>it is included for reference only</w:t>
      </w:r>
      <w:r w:rsidR="00FE7141">
        <w:rPr>
          <w:rFonts w:ascii="Times New Roman" w:hAnsi="Times New Roman" w:cs="Times New Roman"/>
          <w:sz w:val="24"/>
          <w:szCs w:val="24"/>
        </w:rPr>
        <w:t>.</w:t>
      </w:r>
    </w:p>
    <w:p w:rsidR="00695487" w:rsidRPr="00345250" w:rsidP="00695487" w14:paraId="5BFBAC21" w14:textId="71BA1CFD">
      <w:pPr>
        <w:pStyle w:val="Heading1"/>
      </w:pPr>
      <w:r w:rsidRPr="00345250">
        <w:t xml:space="preserve">Changes to Appendix B1 – </w:t>
      </w:r>
      <w:r w:rsidRPr="00345250" w:rsidR="00C26CAB">
        <w:t>2024-25 SPP Item Bank</w:t>
      </w:r>
    </w:p>
    <w:p w:rsidR="00695487" w:rsidRPr="00345250" w:rsidP="00695487" w14:paraId="610751B7" w14:textId="77777777">
      <w:pPr>
        <w:rPr>
          <w:i/>
          <w:iCs/>
        </w:rPr>
      </w:pPr>
      <w:r w:rsidRPr="00345250">
        <w:rPr>
          <w:i/>
          <w:iCs/>
        </w:rPr>
        <w:t xml:space="preserve">Recall that all items are kept in the complete Item Bank for continuity across collections and increased flexibility in rapid response to stakeholder needs, but the C Appendices contain collections of items for each month of the SPP data collection. </w:t>
      </w:r>
    </w:p>
    <w:p w:rsidR="00695487" w:rsidRPr="00345250" w:rsidP="00B12A65" w14:paraId="72376F77" w14:textId="7FD95F83">
      <w:pPr>
        <w:pStyle w:val="ListParagraph"/>
        <w:numPr>
          <w:ilvl w:val="0"/>
          <w:numId w:val="33"/>
        </w:numPr>
        <w:rPr>
          <w:rFonts w:ascii="Times New Roman" w:hAnsi="Times New Roman" w:cs="Times New Roman"/>
          <w:sz w:val="24"/>
          <w:szCs w:val="24"/>
        </w:rPr>
      </w:pPr>
      <w:r w:rsidRPr="00345250">
        <w:rPr>
          <w:rFonts w:ascii="Times New Roman" w:hAnsi="Times New Roman" w:cs="Times New Roman"/>
          <w:sz w:val="24"/>
          <w:szCs w:val="24"/>
        </w:rPr>
        <w:t>Final</w:t>
      </w:r>
      <w:r w:rsidRPr="00345250" w:rsidR="004E2AB5">
        <w:rPr>
          <w:rFonts w:ascii="Times New Roman" w:hAnsi="Times New Roman" w:cs="Times New Roman"/>
          <w:sz w:val="24"/>
          <w:szCs w:val="24"/>
        </w:rPr>
        <w:t xml:space="preserve"> versions of the </w:t>
      </w:r>
      <w:r w:rsidRPr="00345250" w:rsidR="00680F73">
        <w:rPr>
          <w:rFonts w:ascii="Times New Roman" w:hAnsi="Times New Roman" w:cs="Times New Roman"/>
          <w:sz w:val="24"/>
          <w:szCs w:val="24"/>
        </w:rPr>
        <w:t>December 2024, January 2025, and February 2025</w:t>
      </w:r>
      <w:r w:rsidRPr="00345250" w:rsidR="004E2AB5">
        <w:rPr>
          <w:rFonts w:ascii="Times New Roman" w:hAnsi="Times New Roman" w:cs="Times New Roman"/>
          <w:sz w:val="24"/>
          <w:szCs w:val="24"/>
        </w:rPr>
        <w:t xml:space="preserve"> </w:t>
      </w:r>
      <w:r w:rsidRPr="00345250">
        <w:rPr>
          <w:rFonts w:ascii="Times New Roman" w:hAnsi="Times New Roman" w:cs="Times New Roman"/>
          <w:sz w:val="24"/>
          <w:szCs w:val="24"/>
        </w:rPr>
        <w:t>instruments that were cleared via a change request (OMB# 1850-0969 v.</w:t>
      </w:r>
      <w:r w:rsidRPr="00345250" w:rsidR="00680F73">
        <w:rPr>
          <w:rFonts w:ascii="Times New Roman" w:hAnsi="Times New Roman" w:cs="Times New Roman"/>
          <w:sz w:val="24"/>
          <w:szCs w:val="24"/>
        </w:rPr>
        <w:t>17</w:t>
      </w:r>
      <w:r w:rsidRPr="00345250">
        <w:rPr>
          <w:rFonts w:ascii="Times New Roman" w:hAnsi="Times New Roman" w:cs="Times New Roman"/>
          <w:sz w:val="24"/>
          <w:szCs w:val="24"/>
        </w:rPr>
        <w:t xml:space="preserve">) have been included in revised Appendix B1. </w:t>
      </w:r>
    </w:p>
    <w:p w:rsidR="00B12A65" w:rsidRPr="00345250" w:rsidP="00B12A65" w14:paraId="396C6814" w14:textId="268D8D24">
      <w:pPr>
        <w:pStyle w:val="ListParagraph"/>
        <w:numPr>
          <w:ilvl w:val="0"/>
          <w:numId w:val="33"/>
        </w:numPr>
        <w:rPr>
          <w:rFonts w:ascii="Times New Roman" w:hAnsi="Times New Roman" w:cs="Times New Roman"/>
          <w:sz w:val="24"/>
          <w:szCs w:val="24"/>
        </w:rPr>
      </w:pPr>
      <w:r w:rsidRPr="00345250">
        <w:rPr>
          <w:rFonts w:ascii="Times New Roman" w:hAnsi="Times New Roman" w:cs="Times New Roman"/>
          <w:sz w:val="24"/>
          <w:szCs w:val="24"/>
        </w:rPr>
        <w:t>Updates and additions to the modules in the</w:t>
      </w:r>
      <w:r w:rsidR="00A535A2">
        <w:rPr>
          <w:rFonts w:ascii="Times New Roman" w:hAnsi="Times New Roman" w:cs="Times New Roman"/>
          <w:sz w:val="24"/>
          <w:szCs w:val="24"/>
        </w:rPr>
        <w:t xml:space="preserve"> March 2025-June 2025</w:t>
      </w:r>
      <w:r w:rsidRPr="00345250" w:rsidR="008317A7">
        <w:rPr>
          <w:rFonts w:ascii="Times New Roman" w:hAnsi="Times New Roman" w:cs="Times New Roman"/>
          <w:sz w:val="24"/>
          <w:szCs w:val="24"/>
        </w:rPr>
        <w:t xml:space="preserve"> </w:t>
      </w:r>
      <w:r w:rsidRPr="00345250" w:rsidR="00667673">
        <w:rPr>
          <w:rFonts w:ascii="Times New Roman" w:hAnsi="Times New Roman" w:cs="Times New Roman"/>
          <w:sz w:val="24"/>
          <w:szCs w:val="24"/>
        </w:rPr>
        <w:t xml:space="preserve">instruments (which are also contained in Appendix C2) have been added to Appendix B1. </w:t>
      </w:r>
    </w:p>
    <w:p w:rsidR="007F03B4" w:rsidP="00047F0A" w14:paraId="46D058F7" w14:textId="373B1F95">
      <w:pPr>
        <w:pStyle w:val="Heading1"/>
      </w:pPr>
      <w:r>
        <w:t>Changes to Appendix B</w:t>
      </w:r>
      <w:r w:rsidR="00695487">
        <w:t>2</w:t>
      </w:r>
      <w:r w:rsidR="00C0632F">
        <w:t xml:space="preserve"> – Item Bank</w:t>
      </w:r>
      <w:r w:rsidR="00695487">
        <w:t xml:space="preserve"> – Completed Collections</w:t>
      </w:r>
    </w:p>
    <w:p w:rsidR="005D3AA6" w:rsidRPr="00695487" w:rsidP="007F03B4" w14:paraId="12D588DA" w14:textId="42849D95">
      <w:pPr>
        <w:rPr>
          <w:i/>
          <w:iCs/>
        </w:rPr>
      </w:pPr>
      <w:r w:rsidRPr="00C0632F">
        <w:rPr>
          <w:i/>
          <w:iCs/>
        </w:rPr>
        <w:t xml:space="preserve">Recall that all items are kept in </w:t>
      </w:r>
      <w:r w:rsidR="006B529A">
        <w:rPr>
          <w:i/>
          <w:iCs/>
        </w:rPr>
        <w:t>the complete</w:t>
      </w:r>
      <w:r w:rsidRPr="00C0632F">
        <w:rPr>
          <w:i/>
          <w:iCs/>
        </w:rPr>
        <w:t xml:space="preserve"> Item Bank for continuity</w:t>
      </w:r>
      <w:r w:rsidR="006B529A">
        <w:rPr>
          <w:i/>
          <w:iCs/>
        </w:rPr>
        <w:t xml:space="preserve"> across collections</w:t>
      </w:r>
      <w:r w:rsidRPr="00C0632F">
        <w:rPr>
          <w:i/>
          <w:iCs/>
        </w:rPr>
        <w:t xml:space="preserve"> and increased</w:t>
      </w:r>
      <w:r w:rsidR="006B529A">
        <w:rPr>
          <w:i/>
          <w:iCs/>
        </w:rPr>
        <w:t xml:space="preserve"> </w:t>
      </w:r>
      <w:r w:rsidRPr="00C0632F">
        <w:rPr>
          <w:i/>
          <w:iCs/>
        </w:rPr>
        <w:t>flexibility</w:t>
      </w:r>
      <w:r w:rsidR="006B529A">
        <w:rPr>
          <w:i/>
          <w:iCs/>
        </w:rPr>
        <w:t xml:space="preserve"> in rapid response to stakeholder needs</w:t>
      </w:r>
      <w:r w:rsidRPr="00C0632F">
        <w:rPr>
          <w:i/>
          <w:iCs/>
        </w:rPr>
        <w:t xml:space="preserve">, but the C Appendices contain collections of items for each month of the SPP data collection. </w:t>
      </w:r>
    </w:p>
    <w:p w:rsidR="00EE50C6" w:rsidRPr="00C26CAB" w:rsidP="00695487" w14:paraId="76E2DCD8" w14:textId="25C54BF5">
      <w:pPr>
        <w:pStyle w:val="ListParagraph"/>
        <w:numPr>
          <w:ilvl w:val="0"/>
          <w:numId w:val="33"/>
        </w:numPr>
        <w:rPr>
          <w:rFonts w:ascii="Times New Roman" w:hAnsi="Times New Roman" w:cs="Times New Roman"/>
          <w:sz w:val="24"/>
          <w:szCs w:val="24"/>
        </w:rPr>
      </w:pPr>
      <w:r w:rsidRPr="00196818">
        <w:rPr>
          <w:rFonts w:ascii="Times New Roman" w:hAnsi="Times New Roman" w:cs="Times New Roman"/>
          <w:b/>
          <w:bCs/>
          <w:sz w:val="24"/>
          <w:szCs w:val="24"/>
        </w:rPr>
        <w:t>No changes to Appendix B2</w:t>
      </w:r>
      <w:r w:rsidR="003739A1">
        <w:rPr>
          <w:rFonts w:ascii="Times New Roman" w:hAnsi="Times New Roman" w:cs="Times New Roman"/>
          <w:sz w:val="24"/>
          <w:szCs w:val="24"/>
        </w:rPr>
        <w:t xml:space="preserve">; </w:t>
      </w:r>
      <w:r w:rsidR="006E7A15">
        <w:rPr>
          <w:rFonts w:ascii="Times New Roman" w:hAnsi="Times New Roman" w:cs="Times New Roman"/>
          <w:sz w:val="24"/>
          <w:szCs w:val="24"/>
        </w:rPr>
        <w:t xml:space="preserve">it is </w:t>
      </w:r>
      <w:r w:rsidR="003739A1">
        <w:rPr>
          <w:rFonts w:ascii="Times New Roman" w:hAnsi="Times New Roman" w:cs="Times New Roman"/>
          <w:sz w:val="24"/>
          <w:szCs w:val="24"/>
        </w:rPr>
        <w:t>included for reference only.</w:t>
      </w:r>
    </w:p>
    <w:p w:rsidR="007F03B4" w:rsidP="00BC1CA5" w14:paraId="04835C61" w14:textId="1E9365C9">
      <w:pPr>
        <w:pStyle w:val="Heading1"/>
      </w:pPr>
      <w:r>
        <w:t>Changes to Appendix C</w:t>
      </w:r>
      <w:r w:rsidR="00203067">
        <w:t xml:space="preserve"> – Instrument Appendices</w:t>
      </w:r>
    </w:p>
    <w:p w:rsidR="007311BC" w:rsidP="00C11A8B" w14:paraId="3D889409" w14:textId="058F21BD">
      <w:pPr>
        <w:pStyle w:val="ListParagraph"/>
        <w:numPr>
          <w:ilvl w:val="0"/>
          <w:numId w:val="33"/>
        </w:numPr>
        <w:rPr>
          <w:rFonts w:ascii="Times New Roman" w:hAnsi="Times New Roman" w:cs="Times New Roman"/>
          <w:sz w:val="24"/>
          <w:szCs w:val="24"/>
        </w:rPr>
      </w:pPr>
      <w:r w:rsidRPr="00C11A8B">
        <w:rPr>
          <w:rFonts w:ascii="Times New Roman" w:hAnsi="Times New Roman" w:cs="Times New Roman"/>
          <w:sz w:val="24"/>
          <w:szCs w:val="24"/>
        </w:rPr>
        <w:t>This submission includes the August 2024-October 2024 instruments (Appendix C1) that were cleared as part of our change request (OMB# 1850-0969 v.</w:t>
      </w:r>
      <w:r>
        <w:rPr>
          <w:rFonts w:ascii="Times New Roman" w:hAnsi="Times New Roman" w:cs="Times New Roman"/>
          <w:sz w:val="24"/>
          <w:szCs w:val="24"/>
        </w:rPr>
        <w:t>15</w:t>
      </w:r>
      <w:r w:rsidRPr="00C11A8B">
        <w:rPr>
          <w:rFonts w:ascii="Times New Roman" w:hAnsi="Times New Roman" w:cs="Times New Roman"/>
          <w:sz w:val="24"/>
          <w:szCs w:val="24"/>
        </w:rPr>
        <w:t>) in August 2024.</w:t>
      </w:r>
      <w:r w:rsidR="006E7A15">
        <w:rPr>
          <w:rFonts w:ascii="Times New Roman" w:hAnsi="Times New Roman" w:cs="Times New Roman"/>
          <w:sz w:val="24"/>
          <w:szCs w:val="24"/>
        </w:rPr>
        <w:t xml:space="preserve"> There have been no changes to this document since v.15; it is included for reference only.</w:t>
      </w:r>
    </w:p>
    <w:p w:rsidR="00BC1CA5" w:rsidRPr="00680F73" w:rsidP="00C11A8B" w14:paraId="0599C678" w14:textId="7B4C0242">
      <w:pPr>
        <w:pStyle w:val="ListParagraph"/>
        <w:numPr>
          <w:ilvl w:val="0"/>
          <w:numId w:val="33"/>
        </w:numPr>
        <w:rPr>
          <w:rFonts w:ascii="Times New Roman" w:hAnsi="Times New Roman" w:cs="Times New Roman"/>
          <w:sz w:val="24"/>
          <w:szCs w:val="24"/>
        </w:rPr>
      </w:pPr>
      <w:r w:rsidRPr="00680F73">
        <w:rPr>
          <w:rFonts w:ascii="Times New Roman" w:hAnsi="Times New Roman" w:cs="Times New Roman"/>
          <w:sz w:val="24"/>
          <w:szCs w:val="24"/>
        </w:rPr>
        <w:t xml:space="preserve">This submission </w:t>
      </w:r>
      <w:r w:rsidRPr="00680F73" w:rsidR="006E7A15">
        <w:rPr>
          <w:rFonts w:ascii="Times New Roman" w:hAnsi="Times New Roman" w:cs="Times New Roman"/>
          <w:sz w:val="24"/>
          <w:szCs w:val="24"/>
        </w:rPr>
        <w:t xml:space="preserve">also </w:t>
      </w:r>
      <w:r w:rsidRPr="00680F73">
        <w:rPr>
          <w:rFonts w:ascii="Times New Roman" w:hAnsi="Times New Roman" w:cs="Times New Roman"/>
          <w:sz w:val="24"/>
          <w:szCs w:val="24"/>
        </w:rPr>
        <w:t>includes the November 202</w:t>
      </w:r>
      <w:r w:rsidRPr="00680F73" w:rsidR="006C3911">
        <w:rPr>
          <w:rFonts w:ascii="Times New Roman" w:hAnsi="Times New Roman" w:cs="Times New Roman"/>
          <w:sz w:val="24"/>
          <w:szCs w:val="24"/>
        </w:rPr>
        <w:t>4</w:t>
      </w:r>
      <w:r w:rsidRPr="00680F73">
        <w:rPr>
          <w:rFonts w:ascii="Times New Roman" w:hAnsi="Times New Roman" w:cs="Times New Roman"/>
          <w:sz w:val="24"/>
          <w:szCs w:val="24"/>
        </w:rPr>
        <w:t>-</w:t>
      </w:r>
      <w:r w:rsidRPr="00680F73" w:rsidR="008317A7">
        <w:rPr>
          <w:rFonts w:ascii="Times New Roman" w:hAnsi="Times New Roman" w:cs="Times New Roman"/>
          <w:sz w:val="24"/>
          <w:szCs w:val="24"/>
        </w:rPr>
        <w:t xml:space="preserve">June </w:t>
      </w:r>
      <w:r w:rsidRPr="00680F73">
        <w:rPr>
          <w:rFonts w:ascii="Times New Roman" w:hAnsi="Times New Roman" w:cs="Times New Roman"/>
          <w:sz w:val="24"/>
          <w:szCs w:val="24"/>
        </w:rPr>
        <w:t>202</w:t>
      </w:r>
      <w:r w:rsidRPr="00680F73" w:rsidR="006C3911">
        <w:rPr>
          <w:rFonts w:ascii="Times New Roman" w:hAnsi="Times New Roman" w:cs="Times New Roman"/>
          <w:sz w:val="24"/>
          <w:szCs w:val="24"/>
        </w:rPr>
        <w:t>5</w:t>
      </w:r>
      <w:r w:rsidRPr="00680F73">
        <w:rPr>
          <w:rFonts w:ascii="Times New Roman" w:hAnsi="Times New Roman" w:cs="Times New Roman"/>
          <w:sz w:val="24"/>
          <w:szCs w:val="24"/>
        </w:rPr>
        <w:t xml:space="preserve"> instruments (Appendix C2).</w:t>
      </w:r>
      <w:r w:rsidRPr="00680F73" w:rsidR="006C3911">
        <w:rPr>
          <w:rFonts w:ascii="Times New Roman" w:hAnsi="Times New Roman" w:cs="Times New Roman"/>
          <w:sz w:val="24"/>
          <w:szCs w:val="24"/>
        </w:rPr>
        <w:t xml:space="preserve"> </w:t>
      </w:r>
      <w:r w:rsidRPr="00680F73">
        <w:rPr>
          <w:rFonts w:ascii="Times New Roman" w:hAnsi="Times New Roman" w:cs="Times New Roman"/>
          <w:sz w:val="24"/>
          <w:szCs w:val="24"/>
        </w:rPr>
        <w:t>The</w:t>
      </w:r>
      <w:r w:rsidRPr="00680F73" w:rsidR="000A7E29">
        <w:rPr>
          <w:rFonts w:ascii="Times New Roman" w:hAnsi="Times New Roman" w:cs="Times New Roman"/>
          <w:sz w:val="24"/>
          <w:szCs w:val="24"/>
        </w:rPr>
        <w:t xml:space="preserve"> </w:t>
      </w:r>
      <w:r w:rsidRPr="00680F73" w:rsidR="008317A7">
        <w:rPr>
          <w:rFonts w:ascii="Times New Roman" w:hAnsi="Times New Roman" w:cs="Times New Roman"/>
          <w:sz w:val="24"/>
          <w:szCs w:val="24"/>
        </w:rPr>
        <w:t>March 2025</w:t>
      </w:r>
      <w:r w:rsidR="00A535A2">
        <w:rPr>
          <w:rFonts w:ascii="Times New Roman" w:hAnsi="Times New Roman" w:cs="Times New Roman"/>
          <w:sz w:val="24"/>
          <w:szCs w:val="24"/>
        </w:rPr>
        <w:t>-</w:t>
      </w:r>
      <w:r w:rsidRPr="00680F73" w:rsidR="008317A7">
        <w:rPr>
          <w:rFonts w:ascii="Times New Roman" w:hAnsi="Times New Roman" w:cs="Times New Roman"/>
          <w:sz w:val="24"/>
          <w:szCs w:val="24"/>
        </w:rPr>
        <w:t xml:space="preserve">June 2025 </w:t>
      </w:r>
      <w:r w:rsidR="00A535A2">
        <w:rPr>
          <w:rFonts w:ascii="Times New Roman" w:hAnsi="Times New Roman" w:cs="Times New Roman"/>
          <w:sz w:val="24"/>
          <w:szCs w:val="24"/>
        </w:rPr>
        <w:t>instruments were updated</w:t>
      </w:r>
      <w:r w:rsidR="002A1932">
        <w:rPr>
          <w:rFonts w:ascii="Times New Roman" w:hAnsi="Times New Roman" w:cs="Times New Roman"/>
          <w:sz w:val="24"/>
          <w:szCs w:val="24"/>
        </w:rPr>
        <w:t xml:space="preserve"> (see the attached document tracking those changes)</w:t>
      </w:r>
      <w:r w:rsidR="00A535A2">
        <w:rPr>
          <w:rFonts w:ascii="Times New Roman" w:hAnsi="Times New Roman" w:cs="Times New Roman"/>
          <w:sz w:val="24"/>
          <w:szCs w:val="24"/>
        </w:rPr>
        <w:t>, however may</w:t>
      </w:r>
      <w:r w:rsidRPr="00680F73">
        <w:rPr>
          <w:rFonts w:ascii="Times New Roman" w:hAnsi="Times New Roman" w:cs="Times New Roman"/>
          <w:sz w:val="24"/>
          <w:szCs w:val="24"/>
        </w:rPr>
        <w:t xml:space="preserve"> be updated </w:t>
      </w:r>
      <w:r w:rsidRPr="00680F73">
        <w:rPr>
          <w:rFonts w:ascii="Times New Roman" w:hAnsi="Times New Roman" w:cs="Times New Roman"/>
          <w:sz w:val="24"/>
          <w:szCs w:val="24"/>
        </w:rPr>
        <w:t>at a later time</w:t>
      </w:r>
      <w:r w:rsidRPr="00680F73">
        <w:rPr>
          <w:rFonts w:ascii="Times New Roman" w:hAnsi="Times New Roman" w:cs="Times New Roman"/>
          <w:sz w:val="24"/>
          <w:szCs w:val="24"/>
        </w:rPr>
        <w:t xml:space="preserve"> through </w:t>
      </w:r>
      <w:r w:rsidRPr="00680F73" w:rsidR="00C44CF4">
        <w:rPr>
          <w:rFonts w:ascii="Times New Roman" w:hAnsi="Times New Roman" w:cs="Times New Roman"/>
          <w:sz w:val="24"/>
          <w:szCs w:val="24"/>
        </w:rPr>
        <w:t>one or more</w:t>
      </w:r>
      <w:r w:rsidRPr="00680F73">
        <w:rPr>
          <w:rFonts w:ascii="Times New Roman" w:hAnsi="Times New Roman" w:cs="Times New Roman"/>
          <w:sz w:val="24"/>
          <w:szCs w:val="24"/>
        </w:rPr>
        <w:t xml:space="preserve"> </w:t>
      </w:r>
      <w:r w:rsidRPr="00680F73">
        <w:rPr>
          <w:rFonts w:ascii="Times New Roman" w:hAnsi="Times New Roman" w:cs="Times New Roman"/>
          <w:sz w:val="24"/>
          <w:szCs w:val="24"/>
        </w:rPr>
        <w:t>change request</w:t>
      </w:r>
      <w:r w:rsidRPr="00680F73" w:rsidR="00C44CF4">
        <w:rPr>
          <w:rFonts w:ascii="Times New Roman" w:hAnsi="Times New Roman" w:cs="Times New Roman"/>
          <w:sz w:val="24"/>
          <w:szCs w:val="24"/>
        </w:rPr>
        <w:t>s</w:t>
      </w:r>
      <w:r w:rsidRPr="00680F73">
        <w:rPr>
          <w:rFonts w:ascii="Times New Roman" w:hAnsi="Times New Roman" w:cs="Times New Roman"/>
          <w:sz w:val="24"/>
          <w:szCs w:val="24"/>
        </w:rPr>
        <w:t xml:space="preserve"> once the SPP team receives </w:t>
      </w:r>
      <w:r w:rsidRPr="00680F73" w:rsidR="000A7E29">
        <w:rPr>
          <w:rFonts w:ascii="Times New Roman" w:hAnsi="Times New Roman" w:cs="Times New Roman"/>
          <w:sz w:val="24"/>
          <w:szCs w:val="24"/>
        </w:rPr>
        <w:t xml:space="preserve">review and </w:t>
      </w:r>
      <w:r w:rsidRPr="00680F73">
        <w:rPr>
          <w:rFonts w:ascii="Times New Roman" w:hAnsi="Times New Roman" w:cs="Times New Roman"/>
          <w:sz w:val="24"/>
          <w:szCs w:val="24"/>
        </w:rPr>
        <w:t>cognitive interview</w:t>
      </w:r>
      <w:r w:rsidRPr="00680F73" w:rsidR="008317A7">
        <w:rPr>
          <w:rFonts w:ascii="Times New Roman" w:hAnsi="Times New Roman" w:cs="Times New Roman"/>
          <w:sz w:val="24"/>
          <w:szCs w:val="24"/>
        </w:rPr>
        <w:t xml:space="preserve"> result</w:t>
      </w:r>
      <w:r w:rsidRPr="00680F73">
        <w:rPr>
          <w:rFonts w:ascii="Times New Roman" w:hAnsi="Times New Roman" w:cs="Times New Roman"/>
          <w:sz w:val="24"/>
          <w:szCs w:val="24"/>
        </w:rPr>
        <w:t>s from the Census Bureau</w:t>
      </w:r>
      <w:r w:rsidR="00A535A2">
        <w:rPr>
          <w:rFonts w:ascii="Times New Roman" w:hAnsi="Times New Roman" w:cs="Times New Roman"/>
          <w:sz w:val="24"/>
          <w:szCs w:val="24"/>
        </w:rPr>
        <w:t xml:space="preserve"> (currently happening now)</w:t>
      </w:r>
      <w:r w:rsidRPr="00680F73">
        <w:rPr>
          <w:rFonts w:ascii="Times New Roman" w:hAnsi="Times New Roman" w:cs="Times New Roman"/>
          <w:sz w:val="24"/>
          <w:szCs w:val="24"/>
        </w:rPr>
        <w:t>.</w:t>
      </w:r>
      <w:r w:rsidRPr="00680F73" w:rsidR="008317A7">
        <w:rPr>
          <w:rFonts w:ascii="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15F3" w:rsidRPr="00502D44" w:rsidP="00353FEB" w14:paraId="2D08C4AE" w14:textId="77777777">
    <w:pPr>
      <w:ind w:left="1440" w:firstLine="720"/>
    </w:pPr>
    <w:r>
      <w:rPr>
        <w:noProof/>
        <w:color w:val="2B579A"/>
        <w:shd w:val="clear" w:color="auto" w:fill="E6E6E6"/>
      </w:rPr>
      <w:drawing>
        <wp:anchor distT="0" distB="0" distL="114300" distR="114300" simplePos="0" relativeHeight="251658240" behindDoc="0" locked="0" layoutInCell="0" allowOverlap="1">
          <wp:simplePos x="0" y="0"/>
          <wp:positionH relativeFrom="column">
            <wp:posOffset>0</wp:posOffset>
          </wp:positionH>
          <wp:positionV relativeFrom="paragraph">
            <wp:posOffset>-321869</wp:posOffset>
          </wp:positionV>
          <wp:extent cx="1021806" cy="10160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stretch>
                    <a:fillRect/>
                  </a:stretch>
                </pic:blipFill>
                <pic:spPr bwMode="auto">
                  <a:xfrm>
                    <a:off x="0" y="0"/>
                    <a:ext cx="1021806" cy="10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t>UNITED STATES DEPARTMENT OF EDUCATION</w:t>
    </w:r>
  </w:p>
  <w:p w:rsidR="001415F3" w:rsidRPr="00502D44" w:rsidP="00353FEB" w14:paraId="446E09F9" w14:textId="77777777">
    <w:pPr>
      <w:ind w:left="1440" w:firstLine="720"/>
    </w:pPr>
    <w:r w:rsidRPr="00502D44">
      <w:t>National Center for Education Statistics</w:t>
    </w:r>
  </w:p>
  <w:p w:rsidR="001415F3" w14:paraId="4C8169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7A9"/>
    <w:multiLevelType w:val="hybridMultilevel"/>
    <w:tmpl w:val="1D9C47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6E7B1E"/>
    <w:multiLevelType w:val="hybridMultilevel"/>
    <w:tmpl w:val="9648D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236701"/>
    <w:multiLevelType w:val="hybridMultilevel"/>
    <w:tmpl w:val="B8A08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8E7DD2"/>
    <w:multiLevelType w:val="hybridMultilevel"/>
    <w:tmpl w:val="8758D1F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CA7B65"/>
    <w:multiLevelType w:val="hybridMultilevel"/>
    <w:tmpl w:val="43AEF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AA3737"/>
    <w:multiLevelType w:val="hybridMultilevel"/>
    <w:tmpl w:val="EF0E81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8D1531"/>
    <w:multiLevelType w:val="hybridMultilevel"/>
    <w:tmpl w:val="3F5870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3A17A7"/>
    <w:multiLevelType w:val="hybridMultilevel"/>
    <w:tmpl w:val="540CA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821D35"/>
    <w:multiLevelType w:val="hybridMultilevel"/>
    <w:tmpl w:val="0FEC4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1F4569"/>
    <w:multiLevelType w:val="hybridMultilevel"/>
    <w:tmpl w:val="2F4CCF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5A5E4D"/>
    <w:multiLevelType w:val="hybridMultilevel"/>
    <w:tmpl w:val="069AB0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2972596"/>
    <w:multiLevelType w:val="hybridMultilevel"/>
    <w:tmpl w:val="0B3C4C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B15087E"/>
    <w:multiLevelType w:val="hybridMultilevel"/>
    <w:tmpl w:val="E87457F6"/>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ED7D94"/>
    <w:multiLevelType w:val="hybridMultilevel"/>
    <w:tmpl w:val="3E6283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07649C"/>
    <w:multiLevelType w:val="hybridMultilevel"/>
    <w:tmpl w:val="E81C21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021BE6"/>
    <w:multiLevelType w:val="hybridMultilevel"/>
    <w:tmpl w:val="1F08DB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3C512D"/>
    <w:multiLevelType w:val="hybridMultilevel"/>
    <w:tmpl w:val="B2F871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801F7F"/>
    <w:multiLevelType w:val="hybridMultilevel"/>
    <w:tmpl w:val="5F2448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838EA"/>
    <w:multiLevelType w:val="hybridMultilevel"/>
    <w:tmpl w:val="75D87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DB8315B"/>
    <w:multiLevelType w:val="hybridMultilevel"/>
    <w:tmpl w:val="3B3845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0E7B33"/>
    <w:multiLevelType w:val="hybridMultilevel"/>
    <w:tmpl w:val="5E626C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3562100"/>
    <w:multiLevelType w:val="hybridMultilevel"/>
    <w:tmpl w:val="8DE297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3AA2F5B"/>
    <w:multiLevelType w:val="hybridMultilevel"/>
    <w:tmpl w:val="0A9085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F978E5"/>
    <w:multiLevelType w:val="hybridMultilevel"/>
    <w:tmpl w:val="5CA0CC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6686431">
    <w:abstractNumId w:val="15"/>
  </w:num>
  <w:num w:numId="2" w16cid:durableId="751701356">
    <w:abstractNumId w:val="24"/>
  </w:num>
  <w:num w:numId="3" w16cid:durableId="1585800825">
    <w:abstractNumId w:val="8"/>
  </w:num>
  <w:num w:numId="4" w16cid:durableId="800272219">
    <w:abstractNumId w:val="13"/>
  </w:num>
  <w:num w:numId="5" w16cid:durableId="255335684">
    <w:abstractNumId w:val="20"/>
  </w:num>
  <w:num w:numId="6" w16cid:durableId="105588675">
    <w:abstractNumId w:val="9"/>
  </w:num>
  <w:num w:numId="7" w16cid:durableId="941305664">
    <w:abstractNumId w:val="21"/>
  </w:num>
  <w:num w:numId="8" w16cid:durableId="1423801578">
    <w:abstractNumId w:val="5"/>
  </w:num>
  <w:num w:numId="9" w16cid:durableId="7409936">
    <w:abstractNumId w:val="16"/>
  </w:num>
  <w:num w:numId="10" w16cid:durableId="1320769224">
    <w:abstractNumId w:val="10"/>
  </w:num>
  <w:num w:numId="11" w16cid:durableId="1601059910">
    <w:abstractNumId w:val="6"/>
  </w:num>
  <w:num w:numId="12" w16cid:durableId="256639241">
    <w:abstractNumId w:val="4"/>
  </w:num>
  <w:num w:numId="13" w16cid:durableId="370687351">
    <w:abstractNumId w:val="12"/>
  </w:num>
  <w:num w:numId="14" w16cid:durableId="1314094303">
    <w:abstractNumId w:val="17"/>
  </w:num>
  <w:num w:numId="15" w16cid:durableId="1157380065">
    <w:abstractNumId w:val="23"/>
  </w:num>
  <w:num w:numId="16" w16cid:durableId="1859007020">
    <w:abstractNumId w:val="30"/>
  </w:num>
  <w:num w:numId="17" w16cid:durableId="1974749386">
    <w:abstractNumId w:val="28"/>
  </w:num>
  <w:num w:numId="18" w16cid:durableId="1037395006">
    <w:abstractNumId w:val="26"/>
  </w:num>
  <w:num w:numId="19" w16cid:durableId="1854487367">
    <w:abstractNumId w:val="32"/>
  </w:num>
  <w:num w:numId="20" w16cid:durableId="1585144167">
    <w:abstractNumId w:val="2"/>
  </w:num>
  <w:num w:numId="21" w16cid:durableId="1849326146">
    <w:abstractNumId w:val="22"/>
  </w:num>
  <w:num w:numId="22" w16cid:durableId="184750334">
    <w:abstractNumId w:val="18"/>
  </w:num>
  <w:num w:numId="23" w16cid:durableId="92360018">
    <w:abstractNumId w:val="3"/>
  </w:num>
  <w:num w:numId="24" w16cid:durableId="1598754403">
    <w:abstractNumId w:val="29"/>
  </w:num>
  <w:num w:numId="25" w16cid:durableId="575359637">
    <w:abstractNumId w:val="19"/>
  </w:num>
  <w:num w:numId="26" w16cid:durableId="103118466">
    <w:abstractNumId w:val="25"/>
  </w:num>
  <w:num w:numId="27" w16cid:durableId="1847397620">
    <w:abstractNumId w:val="14"/>
  </w:num>
  <w:num w:numId="28" w16cid:durableId="1828670943">
    <w:abstractNumId w:val="34"/>
  </w:num>
  <w:num w:numId="29" w16cid:durableId="1724060571">
    <w:abstractNumId w:val="0"/>
  </w:num>
  <w:num w:numId="30" w16cid:durableId="1148279585">
    <w:abstractNumId w:val="7"/>
  </w:num>
  <w:num w:numId="31" w16cid:durableId="1695767027">
    <w:abstractNumId w:val="33"/>
  </w:num>
  <w:num w:numId="32" w16cid:durableId="1100639350">
    <w:abstractNumId w:val="31"/>
  </w:num>
  <w:num w:numId="33" w16cid:durableId="1603221570">
    <w:abstractNumId w:val="1"/>
  </w:num>
  <w:num w:numId="34" w16cid:durableId="203492145">
    <w:abstractNumId w:val="11"/>
  </w:num>
  <w:num w:numId="35" w16cid:durableId="4488618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5B"/>
    <w:rsid w:val="00021B2D"/>
    <w:rsid w:val="00026181"/>
    <w:rsid w:val="0003170F"/>
    <w:rsid w:val="00047F0A"/>
    <w:rsid w:val="00097E62"/>
    <w:rsid w:val="000A7E29"/>
    <w:rsid w:val="000F64F5"/>
    <w:rsid w:val="00124ACC"/>
    <w:rsid w:val="001415F3"/>
    <w:rsid w:val="00196818"/>
    <w:rsid w:val="001A7925"/>
    <w:rsid w:val="001D1B8D"/>
    <w:rsid w:val="00203067"/>
    <w:rsid w:val="0021403D"/>
    <w:rsid w:val="002A1932"/>
    <w:rsid w:val="002E5195"/>
    <w:rsid w:val="002F0303"/>
    <w:rsid w:val="002F7BB7"/>
    <w:rsid w:val="00345250"/>
    <w:rsid w:val="00347150"/>
    <w:rsid w:val="00353FEB"/>
    <w:rsid w:val="003572F3"/>
    <w:rsid w:val="003667FD"/>
    <w:rsid w:val="003739A1"/>
    <w:rsid w:val="00375BAE"/>
    <w:rsid w:val="003859BC"/>
    <w:rsid w:val="003A0626"/>
    <w:rsid w:val="003B3EBE"/>
    <w:rsid w:val="003E5134"/>
    <w:rsid w:val="00405F56"/>
    <w:rsid w:val="004169A0"/>
    <w:rsid w:val="00426769"/>
    <w:rsid w:val="00472260"/>
    <w:rsid w:val="004E2AB5"/>
    <w:rsid w:val="00502D44"/>
    <w:rsid w:val="005D1F08"/>
    <w:rsid w:val="005D3AA6"/>
    <w:rsid w:val="00667673"/>
    <w:rsid w:val="00680F73"/>
    <w:rsid w:val="0069421E"/>
    <w:rsid w:val="00695487"/>
    <w:rsid w:val="006B529A"/>
    <w:rsid w:val="006C3911"/>
    <w:rsid w:val="006E7A15"/>
    <w:rsid w:val="007128E3"/>
    <w:rsid w:val="007178A0"/>
    <w:rsid w:val="007311BC"/>
    <w:rsid w:val="00741F07"/>
    <w:rsid w:val="00776C6B"/>
    <w:rsid w:val="0078031A"/>
    <w:rsid w:val="007C2898"/>
    <w:rsid w:val="007F03B4"/>
    <w:rsid w:val="0082436E"/>
    <w:rsid w:val="008317A7"/>
    <w:rsid w:val="0084335D"/>
    <w:rsid w:val="00854BF2"/>
    <w:rsid w:val="0086443D"/>
    <w:rsid w:val="00867509"/>
    <w:rsid w:val="00867E36"/>
    <w:rsid w:val="00912CD7"/>
    <w:rsid w:val="00935827"/>
    <w:rsid w:val="00936A3D"/>
    <w:rsid w:val="00991624"/>
    <w:rsid w:val="009C721D"/>
    <w:rsid w:val="009E1A6D"/>
    <w:rsid w:val="009F1E10"/>
    <w:rsid w:val="00A1138A"/>
    <w:rsid w:val="00A16972"/>
    <w:rsid w:val="00A36EE9"/>
    <w:rsid w:val="00A535A2"/>
    <w:rsid w:val="00A62C48"/>
    <w:rsid w:val="00A94FF2"/>
    <w:rsid w:val="00A95B52"/>
    <w:rsid w:val="00AC535B"/>
    <w:rsid w:val="00B01DA0"/>
    <w:rsid w:val="00B12A65"/>
    <w:rsid w:val="00B40EAE"/>
    <w:rsid w:val="00B67ADA"/>
    <w:rsid w:val="00B8062D"/>
    <w:rsid w:val="00BC1B14"/>
    <w:rsid w:val="00BC1CA5"/>
    <w:rsid w:val="00C0632F"/>
    <w:rsid w:val="00C11A8B"/>
    <w:rsid w:val="00C22044"/>
    <w:rsid w:val="00C26CAB"/>
    <w:rsid w:val="00C274A0"/>
    <w:rsid w:val="00C44CF4"/>
    <w:rsid w:val="00C8191E"/>
    <w:rsid w:val="00C87217"/>
    <w:rsid w:val="00D12AAE"/>
    <w:rsid w:val="00DA34C6"/>
    <w:rsid w:val="00DA4E45"/>
    <w:rsid w:val="00DC5222"/>
    <w:rsid w:val="00DF4FCC"/>
    <w:rsid w:val="00E25C85"/>
    <w:rsid w:val="00E5264E"/>
    <w:rsid w:val="00EC6E5E"/>
    <w:rsid w:val="00EE50C6"/>
    <w:rsid w:val="00EE6766"/>
    <w:rsid w:val="00F25D43"/>
    <w:rsid w:val="00F4129F"/>
    <w:rsid w:val="00F42CC8"/>
    <w:rsid w:val="00F4519B"/>
    <w:rsid w:val="00FE7141"/>
    <w:rsid w:val="67D60F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3E57FC"/>
  <w15:docId w15:val="{D65D1FD0-32FE-4C5A-9D82-B14D5B6B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35B"/>
    <w:pPr>
      <w:widowControl w:val="0"/>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7F03B4"/>
    <w:pPr>
      <w:keepNext/>
      <w:keepLines/>
      <w:spacing w:before="240"/>
      <w:outlineLvl w:val="0"/>
    </w:pPr>
    <w:rPr>
      <w:rFonts w:eastAsiaTheme="majorEastAsia" w:cstheme="majorBidi"/>
      <w:b/>
      <w:sz w:val="28"/>
      <w:szCs w:val="32"/>
      <w:u w:val="single"/>
    </w:rPr>
  </w:style>
  <w:style w:type="paragraph" w:styleId="Heading2">
    <w:name w:val="heading 2"/>
    <w:basedOn w:val="Normal"/>
    <w:next w:val="Normal"/>
    <w:link w:val="Heading2Char"/>
    <w:uiPriority w:val="9"/>
    <w:semiHidden/>
    <w:unhideWhenUsed/>
    <w:qFormat/>
    <w:rsid w:val="00EE50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sid w:val="00AC535B"/>
    <w:rPr>
      <w:rFonts w:ascii="Arial" w:hAnsi="Arial" w:cs="Arial"/>
      <w:b/>
      <w:bCs/>
      <w:spacing w:val="-4"/>
      <w:sz w:val="18"/>
      <w:szCs w:val="18"/>
      <w:vertAlign w:val="baseline"/>
    </w:rPr>
  </w:style>
  <w:style w:type="character" w:customStyle="1" w:styleId="Heading1Char">
    <w:name w:val="Heading 1 Char"/>
    <w:basedOn w:val="DefaultParagraphFont"/>
    <w:link w:val="Heading1"/>
    <w:uiPriority w:val="9"/>
    <w:rsid w:val="007F03B4"/>
    <w:rPr>
      <w:rFonts w:ascii="Times New Roman" w:hAnsi="Times New Roman" w:eastAsiaTheme="majorEastAsia" w:cstheme="majorBidi"/>
      <w:b/>
      <w:sz w:val="28"/>
      <w:szCs w:val="32"/>
      <w:u w:val="single"/>
    </w:rPr>
  </w:style>
  <w:style w:type="paragraph" w:customStyle="1" w:styleId="L1-FlLSp12">
    <w:name w:val="L1-FlL Sp&amp;1/2"/>
    <w:basedOn w:val="Normal"/>
    <w:link w:val="L1-FlLSp12Char"/>
    <w:uiPriority w:val="99"/>
    <w:rsid w:val="005D3AA6"/>
    <w:pPr>
      <w:widowControl/>
      <w:tabs>
        <w:tab w:val="left" w:pos="1152"/>
      </w:tabs>
      <w:spacing w:line="360" w:lineRule="atLeast"/>
    </w:pPr>
    <w:rPr>
      <w:rFonts w:ascii="Garamond" w:eastAsia="Times New Roman" w:hAnsi="Garamond"/>
      <w:szCs w:val="20"/>
    </w:rPr>
  </w:style>
  <w:style w:type="character" w:customStyle="1" w:styleId="L1-FlLSp12Char">
    <w:name w:val="L1-FlL Sp&amp;1/2 Char"/>
    <w:link w:val="L1-FlLSp12"/>
    <w:uiPriority w:val="99"/>
    <w:locked/>
    <w:rsid w:val="005D3AA6"/>
    <w:rPr>
      <w:rFonts w:ascii="Garamond" w:eastAsia="Times New Roman" w:hAnsi="Garamond" w:cs="Times New Roman"/>
      <w:sz w:val="24"/>
      <w:szCs w:val="20"/>
    </w:rPr>
  </w:style>
  <w:style w:type="paragraph" w:styleId="ListParagraph">
    <w:name w:val="List Paragraph"/>
    <w:basedOn w:val="Normal"/>
    <w:link w:val="ListParagraphChar"/>
    <w:uiPriority w:val="34"/>
    <w:qFormat/>
    <w:rsid w:val="00C87217"/>
    <w:pPr>
      <w:widowControl/>
      <w:spacing w:after="160" w:line="259"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87217"/>
    <w:pPr>
      <w:spacing w:after="0" w:line="240" w:lineRule="auto"/>
    </w:pPr>
  </w:style>
  <w:style w:type="character" w:customStyle="1" w:styleId="ListParagraphChar">
    <w:name w:val="List Paragraph Char"/>
    <w:basedOn w:val="DefaultParagraphFont"/>
    <w:link w:val="ListParagraph"/>
    <w:uiPriority w:val="34"/>
    <w:locked/>
    <w:rsid w:val="00C87217"/>
  </w:style>
  <w:style w:type="character" w:customStyle="1" w:styleId="NoSpacingChar">
    <w:name w:val="No Spacing Char"/>
    <w:basedOn w:val="DefaultParagraphFont"/>
    <w:link w:val="NoSpacing"/>
    <w:uiPriority w:val="1"/>
    <w:rsid w:val="00C87217"/>
  </w:style>
  <w:style w:type="paragraph" w:styleId="CommentText">
    <w:name w:val="annotation text"/>
    <w:basedOn w:val="Normal"/>
    <w:link w:val="CommentTextChar"/>
    <w:uiPriority w:val="99"/>
    <w:unhideWhenUsed/>
    <w:rsid w:val="00B8062D"/>
    <w:pPr>
      <w:widowControl/>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8062D"/>
    <w:rPr>
      <w:sz w:val="20"/>
      <w:szCs w:val="20"/>
    </w:rPr>
  </w:style>
  <w:style w:type="table" w:styleId="TableGrid">
    <w:name w:val="Table Grid"/>
    <w:basedOn w:val="TableNormal"/>
    <w:uiPriority w:val="39"/>
    <w:rsid w:val="00B80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50C6"/>
    <w:rPr>
      <w:rFonts w:asciiTheme="majorHAnsi" w:eastAsiaTheme="majorEastAsia" w:hAnsiTheme="majorHAnsi" w:cstheme="majorBidi"/>
      <w:color w:val="2F5496" w:themeColor="accent1" w:themeShade="BF"/>
      <w:sz w:val="26"/>
      <w:szCs w:val="26"/>
    </w:rPr>
  </w:style>
  <w:style w:type="paragraph" w:customStyle="1" w:styleId="xmsolistparagraph">
    <w:name w:val="x_msolistparagraph"/>
    <w:basedOn w:val="Normal"/>
    <w:rsid w:val="00EE50C6"/>
    <w:pPr>
      <w:widowControl/>
      <w:ind w:left="720"/>
    </w:pPr>
    <w:rPr>
      <w:rFonts w:ascii="Calibri" w:hAnsi="Calibri" w:eastAsiaTheme="minorHAnsi" w:cs="Calibri"/>
      <w:sz w:val="22"/>
      <w:szCs w:val="22"/>
    </w:rPr>
  </w:style>
  <w:style w:type="character" w:customStyle="1" w:styleId="cf01">
    <w:name w:val="cf01"/>
    <w:basedOn w:val="DefaultParagraphFont"/>
    <w:rsid w:val="00EE50C6"/>
    <w:rPr>
      <w:rFonts w:ascii="Segoe UI" w:hAnsi="Segoe UI" w:cs="Segoe UI" w:hint="default"/>
      <w:i/>
      <w:iCs/>
      <w:sz w:val="18"/>
      <w:szCs w:val="18"/>
    </w:rPr>
  </w:style>
  <w:style w:type="character" w:styleId="CommentReference">
    <w:name w:val="annotation reference"/>
    <w:basedOn w:val="DefaultParagraphFont"/>
    <w:uiPriority w:val="99"/>
    <w:semiHidden/>
    <w:unhideWhenUsed/>
    <w:rsid w:val="00776C6B"/>
    <w:rPr>
      <w:sz w:val="16"/>
      <w:szCs w:val="16"/>
    </w:rPr>
  </w:style>
  <w:style w:type="paragraph" w:styleId="CommentSubject">
    <w:name w:val="annotation subject"/>
    <w:basedOn w:val="CommentText"/>
    <w:next w:val="CommentText"/>
    <w:link w:val="CommentSubjectChar"/>
    <w:uiPriority w:val="99"/>
    <w:semiHidden/>
    <w:unhideWhenUsed/>
    <w:rsid w:val="00776C6B"/>
    <w:pPr>
      <w:widowControl w:val="0"/>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776C6B"/>
    <w:rPr>
      <w:rFonts w:ascii="Times New Roman" w:eastAsia="Calibri" w:hAnsi="Times New Roman" w:cs="Times New Roman"/>
      <w:b/>
      <w:bCs/>
      <w:sz w:val="20"/>
      <w:szCs w:val="20"/>
    </w:rPr>
  </w:style>
  <w:style w:type="paragraph" w:styleId="Revision">
    <w:name w:val="Revision"/>
    <w:hidden/>
    <w:uiPriority w:val="99"/>
    <w:semiHidden/>
    <w:rsid w:val="00B67ADA"/>
    <w:pPr>
      <w:spacing w:after="0" w:line="240" w:lineRule="auto"/>
    </w:pPr>
    <w:rPr>
      <w:rFonts w:ascii="Times New Roman" w:eastAsia="Calibri" w:hAnsi="Times New Roman" w:cs="Times New Roman"/>
      <w:sz w:val="24"/>
      <w:szCs w:val="24"/>
    </w:rPr>
  </w:style>
  <w:style w:type="paragraph" w:styleId="Header">
    <w:name w:val="header"/>
    <w:link w:val="HeaderChar"/>
    <w:uiPriority w:val="99"/>
    <w:unhideWhenUsed/>
    <w:rsid w:val="0003170F"/>
    <w:pPr>
      <w:tabs>
        <w:tab w:val="center" w:pos="4680"/>
        <w:tab w:val="right" w:pos="9360"/>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uiPriority w:val="99"/>
    <w:rsid w:val="0003170F"/>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Pearson, Juliana</cp:lastModifiedBy>
  <cp:revision>2</cp:revision>
  <dcterms:created xsi:type="dcterms:W3CDTF">2024-12-09T19:43:00Z</dcterms:created>
  <dcterms:modified xsi:type="dcterms:W3CDTF">2024-12-09T19:43:00Z</dcterms:modified>
</cp:coreProperties>
</file>