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4CD4664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FB7CBF" w:rsidR="00FB7CBF">
        <w:rPr>
          <w:rFonts w:asciiTheme="minorHAnsi" w:hAnsiTheme="minorHAnsi" w:cstheme="minorHAnsi"/>
          <w:b/>
          <w:color w:val="000000" w:themeColor="text1"/>
          <w:sz w:val="22"/>
          <w:szCs w:val="22"/>
        </w:rPr>
        <w:t>NSPS for Calciners and Dryers in Mineral Industries (40 CFR Part 60, Subpart UUU) (Renewal)</w:t>
      </w:r>
    </w:p>
    <w:p w:rsidR="00EE2403" w:rsidRPr="008B3B3E" w:rsidP="00940939" w14:paraId="71D5121E" w14:textId="636FE91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OMB CONTROL NUMBER:</w:t>
      </w:r>
      <w:r w:rsidR="00FB7CBF">
        <w:rPr>
          <w:rFonts w:asciiTheme="minorHAnsi" w:hAnsiTheme="minorHAnsi" w:cstheme="minorHAnsi"/>
          <w:b/>
          <w:bCs/>
          <w:color w:val="000000" w:themeColor="text1"/>
          <w:sz w:val="22"/>
          <w:szCs w:val="22"/>
        </w:rPr>
        <w:t xml:space="preserve"> </w:t>
      </w:r>
      <w:r w:rsidRPr="00FB7CBF" w:rsidR="00FB7CBF">
        <w:rPr>
          <w:rFonts w:asciiTheme="minorHAnsi" w:hAnsiTheme="minorHAnsi" w:cstheme="minorHAnsi"/>
          <w:b/>
          <w:bCs/>
          <w:color w:val="000000" w:themeColor="text1"/>
          <w:sz w:val="22"/>
          <w:szCs w:val="22"/>
        </w:rPr>
        <w:t>2060-0251</w:t>
      </w:r>
    </w:p>
    <w:p w:rsidR="00EE2403" w:rsidRPr="008B3B3E" w:rsidP="00940939" w14:paraId="4FB77BCA" w14:textId="2D671102">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EPA ICR NUMBER</w:t>
      </w:r>
      <w:r w:rsidRPr="00FB7CBF">
        <w:rPr>
          <w:rFonts w:asciiTheme="minorHAnsi" w:hAnsiTheme="minorHAnsi" w:cstheme="minorHAnsi"/>
          <w:b/>
          <w:bCs/>
          <w:color w:val="000000" w:themeColor="text1"/>
          <w:sz w:val="22"/>
          <w:szCs w:val="22"/>
        </w:rPr>
        <w:t xml:space="preserve">: </w:t>
      </w:r>
      <w:r w:rsidRPr="00FB7CBF" w:rsidR="00FB7CBF">
        <w:rPr>
          <w:rFonts w:asciiTheme="minorHAnsi" w:hAnsiTheme="minorHAnsi" w:cstheme="minorHAnsi"/>
          <w:b/>
          <w:bCs/>
          <w:color w:val="000000" w:themeColor="text1"/>
          <w:sz w:val="22"/>
          <w:szCs w:val="22"/>
        </w:rPr>
        <w:t>0746.12</w:t>
      </w:r>
    </w:p>
    <w:p w:rsidR="0011244C" w:rsidP="007D0912" w14:paraId="671E1787" w14:textId="39BB6BB1">
      <w:pPr>
        <w:pStyle w:val="Heading1"/>
        <w:keepNext w:val="0"/>
        <w:keepLines w:val="0"/>
        <w:widowControl w:val="0"/>
        <w:pBdr>
          <w:top w:val="single" w:sz="6" w:space="0" w:color="FFFFFF"/>
          <w:left w:val="single" w:sz="6" w:space="0" w:color="FFFFFF"/>
          <w:bottom w:val="single" w:sz="6" w:space="0" w:color="FFFFFF"/>
          <w:right w:val="single" w:sz="6" w:space="0" w:color="FFFFFF"/>
        </w:pBdr>
        <w:autoSpaceDE w:val="0"/>
        <w:autoSpaceDN w:val="0"/>
        <w:adjustRightInd w:val="0"/>
        <w:spacing w:before="0" w:after="160" w:line="259" w:lineRule="auto"/>
        <w:ind w:left="0" w:firstLine="0"/>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FB7CBF" w:rsidRPr="00FB7CBF" w:rsidP="00FB7CBF" w14:paraId="144DC152" w14:textId="77777777">
      <w:pPr>
        <w:spacing w:line="259" w:lineRule="auto"/>
        <w:ind w:left="0" w:firstLine="0"/>
        <w:rPr>
          <w:rFonts w:eastAsiaTheme="majorEastAsia" w:cstheme="minorHAnsi"/>
          <w:color w:val="000000" w:themeColor="text1"/>
        </w:rPr>
      </w:pPr>
      <w:r w:rsidRPr="00FB7CBF">
        <w:rPr>
          <w:rFonts w:eastAsiaTheme="majorEastAsia" w:cstheme="minorHAnsi"/>
          <w:color w:val="000000" w:themeColor="text1"/>
        </w:rPr>
        <w:t xml:space="preserve">The New Source Performance Standards (NSPS) for Calciners and Dryers in Mineral Industries (40 CFR Part 60, Subpart UUU) were proposed on April 23, 1986; promulgated on September 28, 1992; and amended on July 29, 1993. These regulations apply only to new calciners and dryers at mineral processing plants that either process or produce either any of the following minerals and their concentrates or any mixture of which the majority is any of the following minerals or a combination of these minerals: alumina, ball clay, bentonite, diatomite, feldspar, fire clay, fuller’s earth, gypsum, industrial sand, kaolin, lightweight aggregate, magnesium compounds, perlite, roofing granules, talc, titanium dioxide, and vermiculite. Particulate matter (PM) is the pollutant regulated under this subpart. Feed and product conveyors are not considered part of the affected facility. Facilities subject to NSPS Subpart LL, Metallic Mineral Processing Plants are not subject to these </w:t>
      </w:r>
      <w:r w:rsidRPr="00FB7CBF">
        <w:rPr>
          <w:rFonts w:eastAsiaTheme="majorEastAsia" w:cstheme="minorHAnsi"/>
          <w:color w:val="000000" w:themeColor="text1"/>
        </w:rPr>
        <w:t>particular standards</w:t>
      </w:r>
      <w:r w:rsidRPr="00FB7CBF">
        <w:rPr>
          <w:rFonts w:eastAsiaTheme="majorEastAsia" w:cstheme="minorHAnsi"/>
          <w:color w:val="000000" w:themeColor="text1"/>
        </w:rPr>
        <w:t xml:space="preserve">. There are additional processes and process units at mineral processing plants listed at Section 60.730(b), which are not subject to the provisions of this Subpart. New facilities include those that commenced construction, </w:t>
      </w:r>
      <w:r w:rsidRPr="00FB7CBF">
        <w:rPr>
          <w:rFonts w:eastAsiaTheme="majorEastAsia" w:cstheme="minorHAnsi"/>
          <w:color w:val="000000" w:themeColor="text1"/>
        </w:rPr>
        <w:t>modification</w:t>
      </w:r>
      <w:r w:rsidRPr="00FB7CBF">
        <w:rPr>
          <w:rFonts w:eastAsiaTheme="majorEastAsia" w:cstheme="minorHAnsi"/>
          <w:color w:val="000000" w:themeColor="text1"/>
        </w:rPr>
        <w:t xml:space="preserve"> or reconstruction after the date of proposal. This information is being collected to assure compliance with 40 CFR Part 60, Subpart UUU.</w:t>
      </w:r>
    </w:p>
    <w:p w:rsidR="00FB7CBF" w:rsidRPr="00FB7CBF" w:rsidP="00FB7CBF" w14:paraId="03F149F6" w14:textId="77777777">
      <w:pPr>
        <w:spacing w:line="259" w:lineRule="auto"/>
        <w:ind w:left="0" w:firstLine="0"/>
        <w:rPr>
          <w:rFonts w:eastAsiaTheme="majorEastAsia" w:cstheme="minorHAnsi"/>
          <w:color w:val="000000" w:themeColor="text1"/>
        </w:rPr>
      </w:pPr>
      <w:r w:rsidRPr="00FB7CBF">
        <w:rPr>
          <w:rFonts w:eastAsiaTheme="majorEastAsia" w:cstheme="minorHAnsi"/>
          <w:color w:val="000000" w:themeColor="text1"/>
        </w:rPr>
        <w:t xml:space="preserve">In general, all NSPS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in any period during which the monitoring system is inoperative. These notifications, reports, and records are essential in determining compliance, and are required of all affected facilities subject to NSPS. </w:t>
      </w:r>
    </w:p>
    <w:p w:rsidR="00FB7CBF" w:rsidRPr="00FB7CBF" w:rsidP="00FB7CBF" w14:paraId="087BA170" w14:textId="77777777">
      <w:pPr>
        <w:spacing w:line="259" w:lineRule="auto"/>
        <w:ind w:left="0" w:firstLine="0"/>
        <w:rPr>
          <w:rFonts w:eastAsiaTheme="majorEastAsia" w:cstheme="minorHAnsi"/>
          <w:color w:val="000000" w:themeColor="text1"/>
        </w:rPr>
      </w:pPr>
      <w:r w:rsidRPr="00FB7CBF">
        <w:rPr>
          <w:rFonts w:eastAsiaTheme="majorEastAsia" w:cstheme="minorHAnsi"/>
          <w:color w:val="000000" w:themeColor="text1"/>
        </w:rPr>
        <w:t xml:space="preserve">Any owner/operator subject to the provisions of this part shall maintain a file of these measurements and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w:t>
      </w:r>
      <w:r w:rsidRPr="00FB7CBF">
        <w:rPr>
          <w:rFonts w:eastAsiaTheme="majorEastAsia" w:cstheme="minorHAnsi"/>
          <w:color w:val="000000" w:themeColor="text1"/>
        </w:rPr>
        <w:t>In the event that</w:t>
      </w:r>
      <w:r w:rsidRPr="00FB7CBF">
        <w:rPr>
          <w:rFonts w:eastAsiaTheme="majorEastAsia" w:cstheme="minorHAnsi"/>
          <w:color w:val="000000" w:themeColor="text1"/>
        </w:rPr>
        <w:t xml:space="preserve"> there is no such delegated authority, the EPA regional office can review them. All other reports are sent to the delegated state or local authority. </w:t>
      </w:r>
      <w:r w:rsidRPr="00FB7CBF">
        <w:rPr>
          <w:rFonts w:eastAsiaTheme="majorEastAsia" w:cstheme="minorHAnsi"/>
          <w:color w:val="000000" w:themeColor="text1"/>
        </w:rPr>
        <w:t>In the event that</w:t>
      </w:r>
      <w:r w:rsidRPr="00FB7CBF">
        <w:rPr>
          <w:rFonts w:eastAsiaTheme="majorEastAsia" w:cstheme="minorHAnsi"/>
          <w:color w:val="000000" w:themeColor="text1"/>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FB7CBF" w:rsidRPr="00FB7CBF" w:rsidP="00FB7CBF" w14:paraId="6621EF45" w14:textId="77777777">
      <w:pPr>
        <w:spacing w:line="259" w:lineRule="auto"/>
        <w:ind w:left="0" w:firstLine="0"/>
        <w:rPr>
          <w:rFonts w:eastAsiaTheme="majorEastAsia" w:cstheme="minorHAnsi"/>
          <w:color w:val="000000" w:themeColor="text1"/>
        </w:rPr>
      </w:pPr>
      <w:r w:rsidRPr="00FB7CBF">
        <w:rPr>
          <w:rFonts w:eastAsiaTheme="majorEastAsia" w:cstheme="minorHAnsi"/>
          <w:color w:val="000000" w:themeColor="text1"/>
        </w:rPr>
        <w:t>The “Affected Public” are owners or operators of mineral processing plants that use calciners and dryers. The “burden” to the “Affected Public” may be found in Table 1: Annual Respondent Burden and Cost – NSPS for Calciners and Dryers in Mineral Industries (40 CFR Part 60, Subpart UUU) (Renewal). The “burden” to the Federal Government is attributed entirely to work performed by either Federal employees or government contractors and may be found in Table 2: Average Annual EPA Burden and Cost – NSPS for Calciners and Dryers in Mineral Industries (40 CFR Part 60, Subpart UUU) (Renewal). There are approximately 167 calciners and dryers in mineral facilities. None of the facilities in the United States are owned by state, local, tribal or the Federal government. They are all owned and operated by privately-owned, for-profit businesses. We assume that they will all respond.</w:t>
      </w:r>
    </w:p>
    <w:p w:rsidR="00FB7CBF" w:rsidRPr="00FB7CBF" w:rsidP="00FB7CBF" w14:paraId="73F8DFC2" w14:textId="77777777">
      <w:pPr>
        <w:spacing w:line="259" w:lineRule="auto"/>
        <w:ind w:left="0" w:firstLine="0"/>
        <w:rPr>
          <w:rFonts w:eastAsiaTheme="majorEastAsia" w:cstheme="minorHAnsi"/>
          <w:color w:val="000000" w:themeColor="text1"/>
        </w:rPr>
      </w:pPr>
      <w:r w:rsidRPr="00FB7CBF">
        <w:rPr>
          <w:rFonts w:eastAsiaTheme="majorEastAsia" w:cstheme="minorHAnsi"/>
          <w:color w:val="000000" w:themeColor="text1"/>
        </w:rPr>
        <w:t xml:space="preserve">Based on our consultations with industry representatives, there is an average of one affected </w:t>
      </w:r>
      <w:r w:rsidRPr="00FB7CBF">
        <w:rPr>
          <w:rFonts w:eastAsiaTheme="majorEastAsia" w:cstheme="minorHAnsi"/>
          <w:color w:val="000000" w:themeColor="text1"/>
        </w:rPr>
        <w:t>facilities</w:t>
      </w:r>
      <w:r w:rsidRPr="00FB7CBF">
        <w:rPr>
          <w:rFonts w:eastAsiaTheme="majorEastAsia" w:cstheme="minorHAnsi"/>
          <w:color w:val="000000" w:themeColor="text1"/>
        </w:rPr>
        <w:t xml:space="preserve"> at each plant site and each plant site has only one respondent (i.e., the owner/operator of the plant site).</w:t>
      </w:r>
    </w:p>
    <w:p w:rsidR="001A1EA6" w:rsidP="00FB7CBF" w14:paraId="5F0F82EE" w14:textId="645383E3">
      <w:pPr>
        <w:spacing w:line="259" w:lineRule="auto"/>
        <w:ind w:left="0" w:firstLine="0"/>
        <w:rPr>
          <w:rFonts w:eastAsiaTheme="majorEastAsia" w:cstheme="minorHAnsi"/>
          <w:color w:val="000000" w:themeColor="text1"/>
        </w:rPr>
      </w:pPr>
      <w:r w:rsidRPr="00FB7CBF">
        <w:rPr>
          <w:rFonts w:eastAsiaTheme="majorEastAsia" w:cstheme="minorHAnsi"/>
          <w:color w:val="000000" w:themeColor="text1"/>
        </w:rPr>
        <w:t>Over the next three years, approximately 167 respondents per year will be subject to the standard, and no additional respondents per year will become subject to the standard.</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395842" w:rsidRPr="00395842" w:rsidP="00395842" w14:paraId="6BAF779E" w14:textId="77777777">
      <w:pPr>
        <w:spacing w:line="259" w:lineRule="auto"/>
        <w:ind w:left="0" w:firstLine="0"/>
        <w:rPr>
          <w:rFonts w:cstheme="minorHAnsi"/>
        </w:rPr>
      </w:pPr>
      <w:r w:rsidRPr="00395842">
        <w:rPr>
          <w:rFonts w:cstheme="minorHAnsi"/>
        </w:rPr>
        <w:t xml:space="preserve">The EPA is charged under Section 111 of the Clean Air Act (CAA), as amended, to establish standards of performance for new stationary sources that reflect: </w:t>
      </w:r>
    </w:p>
    <w:p w:rsidR="00395842" w:rsidRPr="00395842" w:rsidP="00395842" w14:paraId="4826405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cstheme="minorHAnsi"/>
        </w:rPr>
      </w:pPr>
      <w:r w:rsidRPr="00395842">
        <w:rPr>
          <w:rFonts w:cstheme="minorHAnsi"/>
          <w:b/>
          <w:bCs/>
        </w:rPr>
        <w:t>. . .</w:t>
      </w:r>
      <w:r w:rsidRPr="00395842">
        <w:rPr>
          <w:rFonts w:cstheme="minorHAnsi"/>
        </w:rP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w:t>
      </w:r>
      <w:r w:rsidRPr="00395842">
        <w:rPr>
          <w:rFonts w:eastAsia="Times New Roman" w:cstheme="minorHAnsi"/>
        </w:rPr>
        <w:t>111</w:t>
      </w:r>
      <w:r w:rsidRPr="00395842">
        <w:rPr>
          <w:rFonts w:cstheme="minorHAnsi"/>
        </w:rPr>
        <w:t>(a)(l).</w:t>
      </w:r>
    </w:p>
    <w:p w:rsidR="00395842" w:rsidRPr="00395842" w:rsidP="00395842" w14:paraId="49ED634D" w14:textId="77777777">
      <w:pPr>
        <w:spacing w:line="259" w:lineRule="auto"/>
        <w:ind w:left="0" w:firstLine="0"/>
        <w:rPr>
          <w:rFonts w:cstheme="minorHAnsi"/>
        </w:rPr>
      </w:pPr>
      <w:r w:rsidRPr="00395842">
        <w:rPr>
          <w:rFonts w:cstheme="minorHAnsi"/>
        </w:rPr>
        <w:t>The Agency refers to this charge as selecting the best demonstrated technology (BDT). Section 111 also requires that the Administrator review and, if appropriate, revise such standards every eight years.</w:t>
      </w:r>
    </w:p>
    <w:p w:rsidR="00395842" w:rsidRPr="00395842" w:rsidP="00395842" w14:paraId="3B6A784A" w14:textId="77777777">
      <w:pPr>
        <w:spacing w:line="259" w:lineRule="auto"/>
        <w:ind w:left="0" w:firstLine="0"/>
        <w:rPr>
          <w:rFonts w:cstheme="minorHAnsi"/>
        </w:rPr>
      </w:pPr>
      <w:r w:rsidRPr="00395842">
        <w:rPr>
          <w:rFonts w:cstheme="minorHAnsi"/>
        </w:rPr>
        <w:t xml:space="preserve">In addition, section 114(a) states that the Administrator may require any owner/operator subject to any requirement of this Act to: </w:t>
      </w:r>
    </w:p>
    <w:p w:rsidR="00395842" w:rsidRPr="00395842" w:rsidP="00395842" w14:paraId="46D69378"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cstheme="minorHAnsi"/>
        </w:rPr>
      </w:pPr>
      <w:r w:rsidRPr="00395842">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570FB1" w:rsidRPr="008B3B3E" w:rsidP="00395842" w14:paraId="6DAFBEF2" w14:textId="3F4B3BDC">
      <w:pPr>
        <w:spacing w:line="259" w:lineRule="auto"/>
        <w:ind w:left="0" w:firstLine="0"/>
        <w:rPr>
          <w:rFonts w:cstheme="minorHAnsi"/>
        </w:rPr>
      </w:pPr>
      <w:r w:rsidRPr="00395842">
        <w:rPr>
          <w:rFonts w:cstheme="minorHAnsi"/>
        </w:rPr>
        <w:t>In the Administrator's judgment, PM emissions from calciners and dryers in the mineral industries either cause or contribute to air pollution that may reasonably be anticipated to endanger public health and/or welfare. Therefore, the NSPS were promulgated for this source category at 40 CFR Part 60, Subpart UUU.</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91EA2" w:rsidRPr="00E91EA2" w:rsidP="00E91EA2" w14:paraId="05B316D6" w14:textId="77777777">
      <w:pPr>
        <w:spacing w:line="259" w:lineRule="auto"/>
        <w:ind w:left="0" w:firstLine="0"/>
        <w:rPr>
          <w:rFonts w:cstheme="minorHAnsi"/>
        </w:rPr>
      </w:pPr>
      <w:r w:rsidRPr="00E91EA2">
        <w:rPr>
          <w:rFonts w:cstheme="minorHAnsi"/>
        </w:rPr>
        <w:t>The recordkeeping and reporting requirements in the standard ensure compliance with the applicable regulations which were promulgated in accordance with the Clean Air Act. The collected information is also used for targeting inspections and as evidence in legal proceedings.</w:t>
      </w:r>
    </w:p>
    <w:p w:rsidR="00E91EA2" w:rsidRPr="00E91EA2" w:rsidP="00E91EA2" w14:paraId="385EB4E1" w14:textId="77777777">
      <w:pPr>
        <w:spacing w:line="259" w:lineRule="auto"/>
        <w:ind w:left="0" w:firstLine="0"/>
        <w:rPr>
          <w:rFonts w:cstheme="minorHAnsi"/>
        </w:rPr>
      </w:pPr>
      <w:r w:rsidRPr="00E91EA2">
        <w:rPr>
          <w:rFonts w:cstheme="minorHAnsi"/>
        </w:rPr>
        <w:t xml:space="preserve">Performance tests are required </w:t>
      </w:r>
      <w:r w:rsidRPr="00E91EA2">
        <w:rPr>
          <w:rFonts w:cstheme="minorHAnsi"/>
        </w:rPr>
        <w:t>in order to</w:t>
      </w:r>
      <w:r w:rsidRPr="00E91EA2">
        <w:rPr>
          <w:rFonts w:cstheme="minorHAnsi"/>
        </w:rPr>
        <w:t xml:space="preserve"> determine an affected facility’s initial capability to comply with the emission standard. Continuous emission monitors are used to </w:t>
      </w:r>
      <w:r w:rsidRPr="00E91EA2">
        <w:rPr>
          <w:rFonts w:cstheme="minorHAnsi"/>
        </w:rPr>
        <w:t>ensure compliance with the standard at all times</w:t>
      </w:r>
      <w:r w:rsidRPr="00E91EA2">
        <w:rPr>
          <w:rFonts w:cstheme="minorHAnsi"/>
        </w:rPr>
        <w:t>. During the performance test a record of the operating parameters under which compliance was achieved may be recorded and used to determine compliance in place of a continuous emission monitor.</w:t>
      </w:r>
    </w:p>
    <w:p w:rsidR="00E91EA2" w:rsidRPr="00E91EA2" w:rsidP="00E91EA2" w14:paraId="59D68E59" w14:textId="77777777">
      <w:pPr>
        <w:spacing w:line="259" w:lineRule="auto"/>
        <w:ind w:left="0" w:firstLine="0"/>
        <w:rPr>
          <w:rFonts w:cstheme="minorHAnsi"/>
        </w:rPr>
      </w:pPr>
      <w:r w:rsidRPr="00E91EA2">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and that the standards are being met. The performance test may also be observed.</w:t>
      </w:r>
    </w:p>
    <w:p w:rsidR="00BB432F" w:rsidP="00E91EA2" w14:paraId="1E879A61" w14:textId="39B76F82">
      <w:pPr>
        <w:spacing w:line="259" w:lineRule="auto"/>
        <w:ind w:left="0" w:firstLine="0"/>
        <w:rPr>
          <w:rFonts w:cstheme="minorHAnsi"/>
        </w:rPr>
      </w:pPr>
      <w:r w:rsidRPr="00E91EA2">
        <w:rPr>
          <w:rFonts w:cstheme="minorHAnsi"/>
        </w:rPr>
        <w:t>The required semiannual reports are used to determine periods of excess emissions, identify problems at the facility, verify operation/maintenance procedures and for compliance determinations.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2225D" w:rsidRPr="00E2225D" w:rsidP="00E2225D" w14:paraId="2C78BF27" w14:textId="77777777">
      <w:pPr>
        <w:spacing w:line="259" w:lineRule="auto"/>
        <w:ind w:left="0" w:firstLine="0"/>
        <w:rPr>
          <w:rFonts w:cstheme="minorHAnsi"/>
        </w:rPr>
      </w:pPr>
      <w:r w:rsidRPr="00E2225D">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F1E00" w:rsidP="00E2225D" w14:paraId="7B30150C" w14:textId="4534E081">
      <w:pPr>
        <w:spacing w:line="259" w:lineRule="auto"/>
        <w:ind w:left="0" w:firstLine="0"/>
        <w:rPr>
          <w:rFonts w:cstheme="minorHAnsi"/>
        </w:rPr>
      </w:pPr>
      <w:r w:rsidRPr="00E2225D">
        <w:rPr>
          <w:rFonts w:cstheme="minorHAnsi"/>
        </w:rPr>
        <w:t xml:space="preserve">Electronic copies of records may also be maintained </w:t>
      </w:r>
      <w:r w:rsidRPr="00E2225D">
        <w:rPr>
          <w:rFonts w:cstheme="minorHAnsi"/>
        </w:rPr>
        <w:t>in order to</w:t>
      </w:r>
      <w:r w:rsidRPr="00E2225D">
        <w:rPr>
          <w:rFonts w:cstheme="minorHAnsi"/>
        </w:rPr>
        <w:t xml:space="preserve"> satisfy federal recordkeeping requirements. For additional information on the Paperwork Reduction Act requirements for CEDRI and ERT for this rule, see: </w:t>
      </w:r>
      <w:r w:rsidRPr="00E2225D">
        <w:rPr>
          <w:rStyle w:val="Hyperlink"/>
          <w:rFonts w:ascii="Times New Roman" w:eastAsia="Times New Roman" w:hAnsi="Times New Roman" w:cs="Times New Roman"/>
          <w:i/>
          <w:iCs/>
          <w:sz w:val="24"/>
          <w:szCs w:val="24"/>
          <w:bdr w:val="none" w:sz="0" w:space="0" w:color="auto" w:frame="1"/>
          <w:shd w:val="clear" w:color="auto" w:fill="FFFFFF"/>
        </w:rPr>
        <w:t>https://www.epa.gov/electronic-reporting-air-emissions/paperwork-reduction-act-pra-cedri-and-ert.</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5D53D3" w:rsidRPr="005D53D3" w:rsidP="005D53D3" w14:paraId="6EC369FD" w14:textId="77777777">
      <w:pPr>
        <w:spacing w:line="259" w:lineRule="auto"/>
        <w:ind w:left="0" w:firstLine="0"/>
        <w:rPr>
          <w:rFonts w:cstheme="minorHAnsi"/>
        </w:rPr>
      </w:pPr>
      <w:r w:rsidRPr="005D53D3">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5D53D3" w:rsidRPr="002943D2" w:rsidP="005D53D3" w14:paraId="0548FDA0" w14:textId="726DB7FA">
      <w:pPr>
        <w:spacing w:line="259" w:lineRule="auto"/>
        <w:ind w:left="0" w:firstLine="0"/>
        <w:rPr>
          <w:rFonts w:cstheme="minorHAnsi"/>
        </w:rPr>
      </w:pPr>
      <w:r w:rsidRPr="005D53D3">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8B3B3E" w:rsidP="00940939" w14:paraId="79D36B3F" w14:textId="6A8E8AA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6B41C5" w:rsidRPr="006B41C5" w:rsidP="006B41C5" w14:paraId="49DB81A3" w14:textId="77777777">
      <w:pPr>
        <w:spacing w:line="259" w:lineRule="auto"/>
        <w:ind w:left="0" w:firstLine="0"/>
        <w:rPr>
          <w:rFonts w:cstheme="minorHAnsi"/>
        </w:rPr>
      </w:pPr>
      <w:r w:rsidRPr="006B41C5">
        <w:rPr>
          <w:rFonts w:cstheme="minorHAnsi"/>
        </w:rPr>
        <w:t xml:space="preserve">Based on review of the following sources, the actual number of small entities affected by this rule could not be determined: the promulgated rule notice in the </w:t>
      </w:r>
      <w:r w:rsidRPr="003A4AA4">
        <w:rPr>
          <w:rFonts w:cstheme="minorHAnsi"/>
          <w:i/>
          <w:iCs/>
        </w:rPr>
        <w:t>Federal Register</w:t>
      </w:r>
      <w:r w:rsidRPr="006B41C5">
        <w:rPr>
          <w:rFonts w:cstheme="minorHAnsi"/>
        </w:rPr>
        <w:t xml:space="preserve"> (57 FR 44496) on Monday, September 28, 1992; the Calciners and Dryers in Mineral Industries Background Information for Proposed Standards (1985); and a search of publicly available current data sources (i.e., ECHO). Based on the Background Information document, most of the mineral dryer and calciner industries do include small businesses.</w:t>
      </w:r>
    </w:p>
    <w:p w:rsidR="00ED57A4" w:rsidP="006B41C5" w14:paraId="518B46AB" w14:textId="78F4B1E1">
      <w:pPr>
        <w:spacing w:line="259" w:lineRule="auto"/>
        <w:ind w:left="0" w:firstLine="0"/>
        <w:rPr>
          <w:rFonts w:cstheme="minorHAnsi"/>
        </w:rPr>
      </w:pPr>
      <w:r w:rsidRPr="006B41C5">
        <w:rPr>
          <w:rFonts w:cstheme="minorHAnsi"/>
        </w:rPr>
        <w:t>The impact on small entities (i.e., small businesses) was taken into consideration during the development of these regulations.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C13E61" w:rsidRPr="002943D2" w:rsidP="002943D2" w14:paraId="1243696C" w14:textId="129A73BF">
      <w:pPr>
        <w:spacing w:line="259" w:lineRule="auto"/>
        <w:ind w:left="0" w:firstLine="0"/>
        <w:rPr>
          <w:rFonts w:cstheme="minorHAnsi"/>
        </w:rPr>
      </w:pPr>
      <w:r w:rsidRPr="00C13E61">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C13E61">
        <w:rPr>
          <w:rFonts w:cstheme="minorHAnsi"/>
        </w:rPr>
        <w:t>applied</w:t>
      </w:r>
      <w:r w:rsidRPr="00C13E61">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CD5A3C" w:rsidRPr="002943D2" w:rsidP="002943D2" w14:paraId="41BE60DF" w14:textId="38E8090F">
      <w:pPr>
        <w:spacing w:line="259" w:lineRule="auto"/>
        <w:ind w:left="0" w:firstLine="0"/>
        <w:rPr>
          <w:rFonts w:cstheme="minorHAnsi"/>
        </w:rPr>
      </w:pPr>
      <w:r>
        <w:rPr>
          <w:rFonts w:cstheme="minorHAnsi"/>
        </w:rPr>
        <w:t>W</w:t>
      </w:r>
      <w:r w:rsidRPr="003C309F">
        <w:rPr>
          <w:rFonts w:cstheme="minorHAnsi"/>
        </w:rPr>
        <w:t>ith the following exception,</w:t>
      </w:r>
      <w:r>
        <w:rPr>
          <w:rFonts w:cstheme="minorHAnsi"/>
        </w:rPr>
        <w:t xml:space="preserve"> t</w:t>
      </w:r>
      <w:r w:rsidRPr="00CD5A3C">
        <w:rPr>
          <w:rFonts w:cstheme="minorHAnsi"/>
        </w:rPr>
        <w:t>hese reporting or recordkeeping requirements do not violate any of the regulations promulgated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6EE2E8C7">
      <w:pPr>
        <w:spacing w:line="259" w:lineRule="auto"/>
        <w:ind w:left="0" w:firstLine="0"/>
        <w:rPr>
          <w:rFonts w:cstheme="minorHAnsi"/>
        </w:rPr>
      </w:pPr>
      <w:r w:rsidRPr="00075D14">
        <w:rPr>
          <w:rFonts w:cstheme="minorHAnsi"/>
        </w:rPr>
        <w:t xml:space="preserve">An announcement of a public comment period for the renewal of this ICR was published in the </w:t>
      </w:r>
      <w:r w:rsidRPr="00075D14">
        <w:rPr>
          <w:rFonts w:cstheme="minorHAnsi"/>
          <w:i/>
        </w:rPr>
        <w:t>Federal Register</w:t>
      </w:r>
      <w:r w:rsidRPr="00075D14">
        <w:rPr>
          <w:rFonts w:cstheme="minorHAnsi"/>
        </w:rPr>
        <w:t xml:space="preserve"> (88 FR 31748) on May 18, 2023. No comments were received on the burden published in the </w:t>
      </w:r>
      <w:r w:rsidRPr="00075D14">
        <w:rPr>
          <w:rFonts w:cstheme="minorHAnsi"/>
          <w:i/>
        </w:rPr>
        <w:t xml:space="preserve">Federal Register </w:t>
      </w:r>
      <w:r w:rsidRPr="00075D14">
        <w:rPr>
          <w:rFonts w:cstheme="minorHAnsi"/>
        </w:rPr>
        <w:t>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A1F3E" w:rsidRPr="005A1F3E" w:rsidP="005A1F3E" w14:paraId="2CEAEE24" w14:textId="77777777">
      <w:pPr>
        <w:spacing w:line="259" w:lineRule="auto"/>
        <w:ind w:left="0" w:firstLine="0"/>
        <w:rPr>
          <w:rFonts w:cstheme="minorHAnsi"/>
        </w:rPr>
      </w:pPr>
      <w:r w:rsidRPr="005A1F3E">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167 respondents will be subject to the standard over the three-year period covered by this ICR.</w:t>
      </w:r>
    </w:p>
    <w:p w:rsidR="005A1F3E" w:rsidRPr="005A1F3E" w:rsidP="005A1F3E" w14:paraId="6BDDD7BF" w14:textId="77777777">
      <w:pPr>
        <w:spacing w:line="259" w:lineRule="auto"/>
        <w:ind w:left="0" w:firstLine="0"/>
        <w:rPr>
          <w:rFonts w:cstheme="minorHAnsi"/>
        </w:rPr>
      </w:pPr>
      <w:r w:rsidRPr="005A1F3E">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National Stone, Sand &amp; Gravel Association at (703) 525-8788 and the Natural Stone Institute at (440) 250-9222. In this case, no comments were received.</w:t>
      </w:r>
    </w:p>
    <w:p w:rsidR="00940939" w:rsidRPr="00940939" w:rsidP="005A1F3E" w14:paraId="09E7F150" w14:textId="06DF3A89">
      <w:pPr>
        <w:spacing w:line="259" w:lineRule="auto"/>
        <w:ind w:left="0" w:firstLine="0"/>
        <w:rPr>
          <w:rFonts w:cstheme="minorHAnsi"/>
        </w:rPr>
      </w:pPr>
      <w:r w:rsidRPr="005A1F3E">
        <w:rPr>
          <w:rFonts w:cstheme="minorHAnsi"/>
        </w:rPr>
        <w:t xml:space="preserve">It is our policy to respond after a thorough review of comments received since the last ICR renewal as well as those submitted in response to the first </w:t>
      </w:r>
      <w:r w:rsidRPr="005A1F3E">
        <w:rPr>
          <w:rFonts w:cstheme="minorHAnsi"/>
          <w:i/>
          <w:iCs/>
        </w:rPr>
        <w:t>Federal Register</w:t>
      </w:r>
      <w:r w:rsidRPr="005A1F3E">
        <w:rPr>
          <w:rFonts w:cstheme="minorHAnsi"/>
        </w:rPr>
        <w:t xml:space="preserve"> notice. 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36D7E0C8">
      <w:pPr>
        <w:spacing w:line="259" w:lineRule="auto"/>
        <w:ind w:left="0" w:firstLine="0"/>
        <w:rPr>
          <w:rFonts w:cstheme="minorHAnsi"/>
        </w:rPr>
      </w:pPr>
      <w:r w:rsidRPr="005E6E31">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DA0EB5" w:rsidRPr="002943D2" w:rsidP="002943D2" w14:paraId="555C4CCE" w14:textId="58CBF5E7">
      <w:pPr>
        <w:spacing w:line="259" w:lineRule="auto"/>
        <w:ind w:left="0" w:firstLine="0"/>
        <w:rPr>
          <w:rFonts w:cstheme="minorHAnsi"/>
        </w:rPr>
      </w:pPr>
      <w:r w:rsidRPr="00DA0EB5">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432CD" w:rsidRPr="002943D2" w:rsidP="002943D2" w14:paraId="40030902" w14:textId="1D054A95">
      <w:pPr>
        <w:spacing w:line="259" w:lineRule="auto"/>
        <w:ind w:left="0" w:firstLine="0"/>
        <w:rPr>
          <w:rFonts w:cstheme="minorHAnsi"/>
        </w:rPr>
      </w:pPr>
      <w:r w:rsidRPr="007F178E">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6" w:name="_Toc156593383"/>
      <w:bookmarkEnd w:id="15"/>
    </w:p>
    <w:p w:rsidR="00BB3410" w:rsidP="002943D2" w14:paraId="0DA69975" w14:textId="45D76903">
      <w:pPr>
        <w:spacing w:line="259" w:lineRule="auto"/>
        <w:ind w:left="0" w:firstLine="0"/>
        <w:rPr>
          <w:rFonts w:cstheme="minorHAnsi"/>
        </w:rPr>
      </w:pPr>
      <w:r w:rsidRPr="005D7508">
        <w:rPr>
          <w:rFonts w:cstheme="minorHAnsi"/>
        </w:rPr>
        <w:t>The respondents to the recordkeeping and reporting requirements are mineral processing plants with calciners and dryers. The United States Standard Industrial Classification (SIC) codes and the corresponding North American Industry Classification System (NAICS) codes for the respondents affected by these standards are given in the table below</w:t>
      </w:r>
      <w:r>
        <w:rPr>
          <w:rFonts w:cstheme="minorHAnsi"/>
        </w:rPr>
        <w:t>:</w:t>
      </w:r>
    </w:p>
    <w:tbl>
      <w:tblPr>
        <w:tblW w:w="9360" w:type="dxa"/>
        <w:tblInd w:w="112" w:type="dxa"/>
        <w:tblLayout w:type="fixed"/>
        <w:tblCellMar>
          <w:left w:w="112" w:type="dxa"/>
          <w:right w:w="112" w:type="dxa"/>
        </w:tblCellMar>
        <w:tblLook w:val="0000"/>
      </w:tblPr>
      <w:tblGrid>
        <w:gridCol w:w="5549"/>
        <w:gridCol w:w="1890"/>
        <w:gridCol w:w="1921"/>
      </w:tblGrid>
      <w:tr w14:paraId="12317A76" w14:textId="77777777" w:rsidTr="00BD3B52">
        <w:tblPrEx>
          <w:tblW w:w="9360" w:type="dxa"/>
          <w:tblInd w:w="112" w:type="dxa"/>
          <w:tblLayout w:type="fixed"/>
          <w:tblCellMar>
            <w:left w:w="112" w:type="dxa"/>
            <w:right w:w="112" w:type="dxa"/>
          </w:tblCellMar>
          <w:tblLook w:val="0000"/>
        </w:tblPrEx>
        <w:tc>
          <w:tcPr>
            <w:tcW w:w="5549" w:type="dxa"/>
            <w:tcBorders>
              <w:top w:val="single" w:sz="7" w:space="0" w:color="000000"/>
              <w:left w:val="single" w:sz="7" w:space="0" w:color="000000"/>
              <w:bottom w:val="single" w:sz="6" w:space="0" w:color="FFFFFF"/>
              <w:right w:val="single" w:sz="6" w:space="0" w:color="FFFFFF"/>
            </w:tcBorders>
          </w:tcPr>
          <w:p w:rsidR="005D7508" w:rsidRPr="005D7508" w:rsidP="005D7508" w14:paraId="631061B4" w14:textId="77777777">
            <w:pPr>
              <w:spacing w:line="259" w:lineRule="auto"/>
              <w:ind w:left="0" w:firstLine="0"/>
              <w:contextualSpacing/>
              <w:rPr>
                <w:rFonts w:cstheme="minorHAnsi"/>
                <w:b/>
                <w:bCs/>
                <w:sz w:val="20"/>
                <w:szCs w:val="20"/>
              </w:rPr>
            </w:pPr>
            <w:r w:rsidRPr="005D7508">
              <w:rPr>
                <w:rFonts w:cstheme="minorHAnsi"/>
                <w:b/>
                <w:bCs/>
                <w:sz w:val="20"/>
                <w:szCs w:val="20"/>
              </w:rPr>
              <w:t>(40 CFR Part 60, Subpart UUU)</w:t>
            </w:r>
          </w:p>
        </w:tc>
        <w:tc>
          <w:tcPr>
            <w:tcW w:w="1890" w:type="dxa"/>
            <w:tcBorders>
              <w:top w:val="single" w:sz="7" w:space="0" w:color="000000"/>
              <w:left w:val="single" w:sz="7" w:space="0" w:color="000000"/>
              <w:bottom w:val="single" w:sz="6" w:space="0" w:color="FFFFFF"/>
              <w:right w:val="single" w:sz="6" w:space="0" w:color="FFFFFF"/>
            </w:tcBorders>
          </w:tcPr>
          <w:p w:rsidR="005D7508" w:rsidRPr="005D7508" w:rsidP="005D7508" w14:paraId="25C7BA83" w14:textId="77777777">
            <w:pPr>
              <w:spacing w:line="259" w:lineRule="auto"/>
              <w:ind w:left="0" w:firstLine="0"/>
              <w:contextualSpacing/>
              <w:rPr>
                <w:rFonts w:cstheme="minorHAnsi"/>
                <w:b/>
                <w:bCs/>
                <w:sz w:val="20"/>
                <w:szCs w:val="20"/>
              </w:rPr>
            </w:pPr>
            <w:r w:rsidRPr="005D7508">
              <w:rPr>
                <w:rFonts w:cstheme="minorHAnsi"/>
                <w:b/>
                <w:bCs/>
                <w:sz w:val="20"/>
                <w:szCs w:val="20"/>
              </w:rPr>
              <w:t>SIC Codes</w:t>
            </w:r>
          </w:p>
        </w:tc>
        <w:tc>
          <w:tcPr>
            <w:tcW w:w="1921" w:type="dxa"/>
            <w:tcBorders>
              <w:top w:val="single" w:sz="7" w:space="0" w:color="000000"/>
              <w:left w:val="single" w:sz="7" w:space="0" w:color="000000"/>
              <w:bottom w:val="single" w:sz="6" w:space="0" w:color="FFFFFF"/>
              <w:right w:val="single" w:sz="7" w:space="0" w:color="000000"/>
            </w:tcBorders>
          </w:tcPr>
          <w:p w:rsidR="005D7508" w:rsidRPr="005D7508" w:rsidP="005D7508" w14:paraId="2C4946E5" w14:textId="77777777">
            <w:pPr>
              <w:spacing w:line="259" w:lineRule="auto"/>
              <w:ind w:left="0" w:firstLine="0"/>
              <w:contextualSpacing/>
              <w:rPr>
                <w:rFonts w:cstheme="minorHAnsi"/>
                <w:b/>
                <w:bCs/>
                <w:sz w:val="20"/>
                <w:szCs w:val="20"/>
              </w:rPr>
            </w:pPr>
            <w:r w:rsidRPr="005D7508">
              <w:rPr>
                <w:rFonts w:cstheme="minorHAnsi"/>
                <w:b/>
                <w:bCs/>
                <w:sz w:val="20"/>
                <w:szCs w:val="20"/>
              </w:rPr>
              <w:t>NAICS Codes</w:t>
            </w:r>
          </w:p>
        </w:tc>
      </w:tr>
      <w:tr w14:paraId="440D37AE" w14:textId="77777777" w:rsidTr="00BD3B52">
        <w:tblPrEx>
          <w:tblW w:w="9360" w:type="dxa"/>
          <w:tblInd w:w="112" w:type="dxa"/>
          <w:tblLayout w:type="fixed"/>
          <w:tblCellMar>
            <w:left w:w="112" w:type="dxa"/>
            <w:right w:w="112" w:type="dxa"/>
          </w:tblCellMar>
          <w:tblLook w:val="0000"/>
        </w:tblPrEx>
        <w:tc>
          <w:tcPr>
            <w:tcW w:w="5549" w:type="dxa"/>
            <w:tcBorders>
              <w:top w:val="single" w:sz="7" w:space="0" w:color="000000"/>
              <w:left w:val="single" w:sz="7" w:space="0" w:color="000000"/>
              <w:bottom w:val="single" w:sz="6" w:space="0" w:color="FFFFFF"/>
              <w:right w:val="single" w:sz="6" w:space="0" w:color="FFFFFF"/>
            </w:tcBorders>
            <w:vAlign w:val="center"/>
          </w:tcPr>
          <w:p w:rsidR="005D7508" w:rsidRPr="005D7508" w:rsidP="005D7508" w14:paraId="0F33CE59" w14:textId="77777777">
            <w:pPr>
              <w:spacing w:line="259" w:lineRule="auto"/>
              <w:ind w:left="0" w:firstLine="0"/>
              <w:contextualSpacing/>
              <w:rPr>
                <w:rFonts w:cstheme="minorHAnsi"/>
                <w:sz w:val="20"/>
                <w:szCs w:val="20"/>
              </w:rPr>
            </w:pPr>
            <w:r w:rsidRPr="005D7508">
              <w:rPr>
                <w:rFonts w:cstheme="minorHAnsi"/>
                <w:sz w:val="20"/>
                <w:szCs w:val="20"/>
              </w:rPr>
              <w:t>Industrial Sand Mining</w:t>
            </w:r>
          </w:p>
        </w:tc>
        <w:tc>
          <w:tcPr>
            <w:tcW w:w="1890" w:type="dxa"/>
            <w:tcBorders>
              <w:top w:val="single" w:sz="7" w:space="0" w:color="000000"/>
              <w:left w:val="single" w:sz="7" w:space="0" w:color="000000"/>
              <w:bottom w:val="single" w:sz="6" w:space="0" w:color="FFFFFF"/>
              <w:right w:val="single" w:sz="6" w:space="0" w:color="FFFFFF"/>
            </w:tcBorders>
            <w:vAlign w:val="center"/>
          </w:tcPr>
          <w:p w:rsidR="005D7508" w:rsidRPr="005D7508" w:rsidP="005D7508" w14:paraId="517FD8C4" w14:textId="77777777">
            <w:pPr>
              <w:spacing w:line="259" w:lineRule="auto"/>
              <w:ind w:left="0" w:firstLine="0"/>
              <w:contextualSpacing/>
              <w:rPr>
                <w:rFonts w:cstheme="minorHAnsi"/>
                <w:sz w:val="20"/>
                <w:szCs w:val="20"/>
              </w:rPr>
            </w:pPr>
            <w:r w:rsidRPr="005D7508">
              <w:rPr>
                <w:rFonts w:cstheme="minorHAnsi"/>
                <w:sz w:val="20"/>
                <w:szCs w:val="20"/>
              </w:rPr>
              <w:t>1446</w:t>
            </w:r>
          </w:p>
        </w:tc>
        <w:tc>
          <w:tcPr>
            <w:tcW w:w="1921" w:type="dxa"/>
            <w:tcBorders>
              <w:top w:val="single" w:sz="7" w:space="0" w:color="000000"/>
              <w:left w:val="single" w:sz="7" w:space="0" w:color="000000"/>
              <w:bottom w:val="single" w:sz="6" w:space="0" w:color="FFFFFF"/>
              <w:right w:val="single" w:sz="7" w:space="0" w:color="000000"/>
            </w:tcBorders>
            <w:vAlign w:val="center"/>
          </w:tcPr>
          <w:p w:rsidR="005D7508" w:rsidRPr="005D7508" w:rsidP="005D7508" w14:paraId="30ABA607" w14:textId="77777777">
            <w:pPr>
              <w:spacing w:line="259" w:lineRule="auto"/>
              <w:ind w:left="0" w:firstLine="0"/>
              <w:contextualSpacing/>
              <w:rPr>
                <w:rFonts w:cstheme="minorHAnsi"/>
                <w:sz w:val="20"/>
                <w:szCs w:val="20"/>
              </w:rPr>
            </w:pPr>
            <w:r w:rsidRPr="005D7508">
              <w:rPr>
                <w:rFonts w:cstheme="minorHAnsi"/>
                <w:sz w:val="20"/>
                <w:szCs w:val="20"/>
              </w:rPr>
              <w:t>212322</w:t>
            </w:r>
          </w:p>
        </w:tc>
      </w:tr>
      <w:tr w14:paraId="101484F2" w14:textId="77777777" w:rsidTr="00BD3B52">
        <w:tblPrEx>
          <w:tblW w:w="9360" w:type="dxa"/>
          <w:tblInd w:w="112" w:type="dxa"/>
          <w:tblLayout w:type="fixed"/>
          <w:tblCellMar>
            <w:left w:w="112" w:type="dxa"/>
            <w:right w:w="112" w:type="dxa"/>
          </w:tblCellMar>
          <w:tblLook w:val="0000"/>
        </w:tblPrEx>
        <w:tc>
          <w:tcPr>
            <w:tcW w:w="5549" w:type="dxa"/>
            <w:tcBorders>
              <w:top w:val="single" w:sz="7" w:space="0" w:color="000000"/>
              <w:left w:val="single" w:sz="7" w:space="0" w:color="000000"/>
              <w:bottom w:val="single" w:sz="6" w:space="0" w:color="FFFFFF"/>
              <w:right w:val="single" w:sz="6" w:space="0" w:color="FFFFFF"/>
            </w:tcBorders>
            <w:vAlign w:val="center"/>
          </w:tcPr>
          <w:p w:rsidR="005D7508" w:rsidRPr="005D7508" w:rsidP="005D7508" w14:paraId="4A1DDF95" w14:textId="77777777">
            <w:pPr>
              <w:spacing w:line="259" w:lineRule="auto"/>
              <w:ind w:left="0" w:firstLine="0"/>
              <w:contextualSpacing/>
              <w:rPr>
                <w:rFonts w:cstheme="minorHAnsi"/>
                <w:sz w:val="20"/>
                <w:szCs w:val="20"/>
              </w:rPr>
            </w:pPr>
            <w:r w:rsidRPr="005D7508">
              <w:rPr>
                <w:rFonts w:cstheme="minorHAnsi"/>
                <w:sz w:val="20"/>
                <w:szCs w:val="20"/>
              </w:rPr>
              <w:t>Kaolin and Ball Clay Mining</w:t>
            </w:r>
          </w:p>
        </w:tc>
        <w:tc>
          <w:tcPr>
            <w:tcW w:w="1890" w:type="dxa"/>
            <w:tcBorders>
              <w:top w:val="single" w:sz="7" w:space="0" w:color="000000"/>
              <w:left w:val="single" w:sz="7" w:space="0" w:color="000000"/>
              <w:bottom w:val="single" w:sz="6" w:space="0" w:color="FFFFFF"/>
              <w:right w:val="single" w:sz="6" w:space="0" w:color="FFFFFF"/>
            </w:tcBorders>
            <w:vAlign w:val="center"/>
          </w:tcPr>
          <w:p w:rsidR="005D7508" w:rsidRPr="005D7508" w:rsidP="005D7508" w14:paraId="77173B01" w14:textId="77777777">
            <w:pPr>
              <w:spacing w:line="259" w:lineRule="auto"/>
              <w:ind w:left="0" w:firstLine="0"/>
              <w:contextualSpacing/>
              <w:rPr>
                <w:rFonts w:cstheme="minorHAnsi"/>
                <w:sz w:val="20"/>
                <w:szCs w:val="20"/>
              </w:rPr>
            </w:pPr>
            <w:r w:rsidRPr="005D7508">
              <w:rPr>
                <w:rFonts w:cstheme="minorHAnsi"/>
                <w:sz w:val="20"/>
                <w:szCs w:val="20"/>
              </w:rPr>
              <w:t>1455</w:t>
            </w:r>
          </w:p>
        </w:tc>
        <w:tc>
          <w:tcPr>
            <w:tcW w:w="1921" w:type="dxa"/>
            <w:tcBorders>
              <w:top w:val="single" w:sz="7" w:space="0" w:color="000000"/>
              <w:left w:val="single" w:sz="7" w:space="0" w:color="000000"/>
              <w:bottom w:val="single" w:sz="6" w:space="0" w:color="FFFFFF"/>
              <w:right w:val="single" w:sz="7" w:space="0" w:color="000000"/>
            </w:tcBorders>
            <w:vAlign w:val="center"/>
          </w:tcPr>
          <w:p w:rsidR="005D7508" w:rsidRPr="005D7508" w:rsidP="005D7508" w14:paraId="513F9A6F" w14:textId="77777777">
            <w:pPr>
              <w:spacing w:line="259" w:lineRule="auto"/>
              <w:ind w:left="0" w:firstLine="0"/>
              <w:contextualSpacing/>
              <w:rPr>
                <w:rFonts w:cstheme="minorHAnsi"/>
                <w:sz w:val="20"/>
                <w:szCs w:val="20"/>
              </w:rPr>
            </w:pPr>
            <w:r w:rsidRPr="005D7508">
              <w:rPr>
                <w:rFonts w:cstheme="minorHAnsi"/>
                <w:sz w:val="20"/>
                <w:szCs w:val="20"/>
              </w:rPr>
              <w:t>212324</w:t>
            </w:r>
          </w:p>
        </w:tc>
      </w:tr>
      <w:tr w14:paraId="2297C509" w14:textId="77777777" w:rsidTr="00BD3B52">
        <w:tblPrEx>
          <w:tblW w:w="9360" w:type="dxa"/>
          <w:tblInd w:w="112" w:type="dxa"/>
          <w:tblLayout w:type="fixed"/>
          <w:tblCellMar>
            <w:left w:w="112" w:type="dxa"/>
            <w:right w:w="112" w:type="dxa"/>
          </w:tblCellMar>
          <w:tblLook w:val="0000"/>
        </w:tblPrEx>
        <w:tc>
          <w:tcPr>
            <w:tcW w:w="5549" w:type="dxa"/>
            <w:tcBorders>
              <w:top w:val="single" w:sz="7" w:space="0" w:color="000000"/>
              <w:left w:val="single" w:sz="7" w:space="0" w:color="000000"/>
              <w:bottom w:val="single" w:sz="6" w:space="0" w:color="FFFFFF"/>
              <w:right w:val="single" w:sz="6" w:space="0" w:color="FFFFFF"/>
            </w:tcBorders>
            <w:vAlign w:val="center"/>
          </w:tcPr>
          <w:p w:rsidR="005D7508" w:rsidRPr="005D7508" w:rsidP="005D7508" w14:paraId="7E3CEB9C" w14:textId="77777777">
            <w:pPr>
              <w:spacing w:line="259" w:lineRule="auto"/>
              <w:ind w:left="0" w:firstLine="0"/>
              <w:contextualSpacing/>
              <w:rPr>
                <w:rFonts w:cstheme="minorHAnsi"/>
                <w:sz w:val="20"/>
                <w:szCs w:val="20"/>
              </w:rPr>
            </w:pPr>
            <w:r w:rsidRPr="005D7508">
              <w:rPr>
                <w:rFonts w:cstheme="minorHAnsi"/>
                <w:sz w:val="20"/>
                <w:szCs w:val="20"/>
              </w:rPr>
              <w:t>Other Crushed and Broken Stone Mining and Quarrying</w:t>
            </w:r>
          </w:p>
        </w:tc>
        <w:tc>
          <w:tcPr>
            <w:tcW w:w="1890" w:type="dxa"/>
            <w:tcBorders>
              <w:top w:val="single" w:sz="7" w:space="0" w:color="000000"/>
              <w:left w:val="single" w:sz="7" w:space="0" w:color="000000"/>
              <w:bottom w:val="single" w:sz="6" w:space="0" w:color="FFFFFF"/>
              <w:right w:val="single" w:sz="6" w:space="0" w:color="FFFFFF"/>
            </w:tcBorders>
            <w:vAlign w:val="center"/>
          </w:tcPr>
          <w:p w:rsidR="005D7508" w:rsidRPr="005D7508" w:rsidP="005D7508" w14:paraId="0227CC9E" w14:textId="77777777">
            <w:pPr>
              <w:spacing w:line="259" w:lineRule="auto"/>
              <w:ind w:left="0" w:firstLine="0"/>
              <w:contextualSpacing/>
              <w:rPr>
                <w:rFonts w:cstheme="minorHAnsi"/>
                <w:sz w:val="20"/>
                <w:szCs w:val="20"/>
              </w:rPr>
            </w:pPr>
            <w:r w:rsidRPr="005D7508">
              <w:rPr>
                <w:rFonts w:cstheme="minorHAnsi"/>
                <w:sz w:val="20"/>
                <w:szCs w:val="20"/>
              </w:rPr>
              <w:t>1499</w:t>
            </w:r>
          </w:p>
        </w:tc>
        <w:tc>
          <w:tcPr>
            <w:tcW w:w="1921" w:type="dxa"/>
            <w:tcBorders>
              <w:top w:val="single" w:sz="7" w:space="0" w:color="000000"/>
              <w:left w:val="single" w:sz="7" w:space="0" w:color="000000"/>
              <w:bottom w:val="single" w:sz="6" w:space="0" w:color="FFFFFF"/>
              <w:right w:val="single" w:sz="7" w:space="0" w:color="000000"/>
            </w:tcBorders>
            <w:vAlign w:val="center"/>
          </w:tcPr>
          <w:p w:rsidR="005D7508" w:rsidRPr="005D7508" w:rsidP="005D7508" w14:paraId="4BE17023" w14:textId="77777777">
            <w:pPr>
              <w:spacing w:line="259" w:lineRule="auto"/>
              <w:ind w:left="0" w:firstLine="0"/>
              <w:contextualSpacing/>
              <w:rPr>
                <w:rFonts w:cstheme="minorHAnsi"/>
                <w:sz w:val="20"/>
                <w:szCs w:val="20"/>
              </w:rPr>
            </w:pPr>
            <w:r w:rsidRPr="005D7508">
              <w:rPr>
                <w:rFonts w:cstheme="minorHAnsi"/>
                <w:sz w:val="20"/>
                <w:szCs w:val="20"/>
              </w:rPr>
              <w:t>212319</w:t>
            </w:r>
          </w:p>
        </w:tc>
      </w:tr>
      <w:tr w14:paraId="55ACD088" w14:textId="77777777" w:rsidTr="00BD3B52">
        <w:tblPrEx>
          <w:tblW w:w="9360" w:type="dxa"/>
          <w:tblInd w:w="112" w:type="dxa"/>
          <w:tblLayout w:type="fixed"/>
          <w:tblCellMar>
            <w:left w:w="112" w:type="dxa"/>
            <w:right w:w="112" w:type="dxa"/>
          </w:tblCellMar>
          <w:tblLook w:val="0000"/>
        </w:tblPrEx>
        <w:tc>
          <w:tcPr>
            <w:tcW w:w="5549" w:type="dxa"/>
            <w:tcBorders>
              <w:top w:val="single" w:sz="7" w:space="0" w:color="000000"/>
              <w:left w:val="single" w:sz="7" w:space="0" w:color="000000"/>
              <w:bottom w:val="single" w:sz="6" w:space="0" w:color="FFFFFF"/>
              <w:right w:val="single" w:sz="6" w:space="0" w:color="FFFFFF"/>
            </w:tcBorders>
            <w:vAlign w:val="center"/>
          </w:tcPr>
          <w:p w:rsidR="005D7508" w:rsidRPr="005D7508" w:rsidP="005D7508" w14:paraId="336EBE57" w14:textId="77777777">
            <w:pPr>
              <w:spacing w:line="259" w:lineRule="auto"/>
              <w:ind w:left="0" w:firstLine="0"/>
              <w:contextualSpacing/>
              <w:rPr>
                <w:rFonts w:cstheme="minorHAnsi"/>
                <w:sz w:val="20"/>
                <w:szCs w:val="20"/>
              </w:rPr>
            </w:pPr>
            <w:r w:rsidRPr="005D7508">
              <w:rPr>
                <w:rFonts w:cstheme="minorHAnsi"/>
                <w:sz w:val="20"/>
                <w:szCs w:val="20"/>
              </w:rPr>
              <w:t>All Other Nonmetallic Mineral Mining</w:t>
            </w:r>
          </w:p>
        </w:tc>
        <w:tc>
          <w:tcPr>
            <w:tcW w:w="1890" w:type="dxa"/>
            <w:tcBorders>
              <w:top w:val="single" w:sz="7" w:space="0" w:color="000000"/>
              <w:left w:val="single" w:sz="7" w:space="0" w:color="000000"/>
              <w:bottom w:val="single" w:sz="6" w:space="0" w:color="FFFFFF"/>
              <w:right w:val="single" w:sz="6" w:space="0" w:color="FFFFFF"/>
            </w:tcBorders>
            <w:vAlign w:val="center"/>
          </w:tcPr>
          <w:p w:rsidR="005D7508" w:rsidRPr="005D7508" w:rsidP="005D7508" w14:paraId="3A88E1CD" w14:textId="77777777">
            <w:pPr>
              <w:spacing w:line="259" w:lineRule="auto"/>
              <w:ind w:left="0" w:firstLine="0"/>
              <w:contextualSpacing/>
              <w:rPr>
                <w:rFonts w:cstheme="minorHAnsi"/>
                <w:sz w:val="20"/>
                <w:szCs w:val="20"/>
              </w:rPr>
            </w:pPr>
            <w:r w:rsidRPr="005D7508">
              <w:rPr>
                <w:rFonts w:cstheme="minorHAnsi"/>
                <w:sz w:val="20"/>
                <w:szCs w:val="20"/>
              </w:rPr>
              <w:t>1499</w:t>
            </w:r>
          </w:p>
        </w:tc>
        <w:tc>
          <w:tcPr>
            <w:tcW w:w="1921" w:type="dxa"/>
            <w:tcBorders>
              <w:top w:val="single" w:sz="7" w:space="0" w:color="000000"/>
              <w:left w:val="single" w:sz="7" w:space="0" w:color="000000"/>
              <w:bottom w:val="single" w:sz="6" w:space="0" w:color="FFFFFF"/>
              <w:right w:val="single" w:sz="7" w:space="0" w:color="000000"/>
            </w:tcBorders>
            <w:vAlign w:val="center"/>
          </w:tcPr>
          <w:p w:rsidR="005D7508" w:rsidRPr="005D7508" w:rsidP="005D7508" w14:paraId="304B5947" w14:textId="77777777">
            <w:pPr>
              <w:spacing w:line="259" w:lineRule="auto"/>
              <w:ind w:left="0" w:firstLine="0"/>
              <w:contextualSpacing/>
              <w:rPr>
                <w:rFonts w:cstheme="minorHAnsi"/>
                <w:sz w:val="20"/>
                <w:szCs w:val="20"/>
              </w:rPr>
            </w:pPr>
            <w:r w:rsidRPr="005D7508">
              <w:rPr>
                <w:rFonts w:cstheme="minorHAnsi"/>
                <w:sz w:val="20"/>
                <w:szCs w:val="20"/>
              </w:rPr>
              <w:t>212399</w:t>
            </w:r>
          </w:p>
        </w:tc>
      </w:tr>
      <w:tr w14:paraId="36D3E4A0" w14:textId="77777777" w:rsidTr="00BD3B52">
        <w:tblPrEx>
          <w:tblW w:w="9360" w:type="dxa"/>
          <w:tblInd w:w="112" w:type="dxa"/>
          <w:tblLayout w:type="fixed"/>
          <w:tblCellMar>
            <w:left w:w="112" w:type="dxa"/>
            <w:right w:w="112" w:type="dxa"/>
          </w:tblCellMar>
          <w:tblLook w:val="0000"/>
        </w:tblPrEx>
        <w:tc>
          <w:tcPr>
            <w:tcW w:w="5549" w:type="dxa"/>
            <w:tcBorders>
              <w:top w:val="single" w:sz="7" w:space="0" w:color="000000"/>
              <w:left w:val="single" w:sz="7" w:space="0" w:color="000000"/>
              <w:bottom w:val="single" w:sz="7" w:space="0" w:color="000000"/>
              <w:right w:val="single" w:sz="6" w:space="0" w:color="FFFFFF"/>
            </w:tcBorders>
            <w:vAlign w:val="center"/>
          </w:tcPr>
          <w:p w:rsidR="005D7508" w:rsidRPr="005D7508" w:rsidP="005D7508" w14:paraId="61C8E625" w14:textId="77777777">
            <w:pPr>
              <w:spacing w:line="259" w:lineRule="auto"/>
              <w:ind w:left="0" w:firstLine="0"/>
              <w:contextualSpacing/>
              <w:rPr>
                <w:rFonts w:cstheme="minorHAnsi"/>
                <w:sz w:val="20"/>
                <w:szCs w:val="20"/>
              </w:rPr>
            </w:pPr>
            <w:r w:rsidRPr="005D7508">
              <w:rPr>
                <w:rFonts w:cstheme="minorHAnsi"/>
                <w:sz w:val="20"/>
                <w:szCs w:val="20"/>
              </w:rPr>
              <w:t xml:space="preserve">Synthetic dye and Pigment Manufacturing </w:t>
            </w:r>
          </w:p>
        </w:tc>
        <w:tc>
          <w:tcPr>
            <w:tcW w:w="1890" w:type="dxa"/>
            <w:tcBorders>
              <w:top w:val="single" w:sz="7" w:space="0" w:color="000000"/>
              <w:left w:val="single" w:sz="7" w:space="0" w:color="000000"/>
              <w:bottom w:val="single" w:sz="7" w:space="0" w:color="000000"/>
              <w:right w:val="single" w:sz="6" w:space="0" w:color="FFFFFF"/>
            </w:tcBorders>
            <w:vAlign w:val="center"/>
          </w:tcPr>
          <w:p w:rsidR="005D7508" w:rsidRPr="005D7508" w:rsidP="005D7508" w14:paraId="7331F321" w14:textId="77777777">
            <w:pPr>
              <w:spacing w:line="259" w:lineRule="auto"/>
              <w:ind w:left="0" w:firstLine="0"/>
              <w:contextualSpacing/>
              <w:rPr>
                <w:rFonts w:cstheme="minorHAnsi"/>
                <w:sz w:val="20"/>
                <w:szCs w:val="20"/>
              </w:rPr>
            </w:pPr>
            <w:r w:rsidRPr="005D7508">
              <w:rPr>
                <w:rFonts w:cstheme="minorHAnsi"/>
                <w:sz w:val="20"/>
                <w:szCs w:val="20"/>
              </w:rPr>
              <w:t>2816</w:t>
            </w:r>
          </w:p>
        </w:tc>
        <w:tc>
          <w:tcPr>
            <w:tcW w:w="1921" w:type="dxa"/>
            <w:tcBorders>
              <w:top w:val="single" w:sz="7" w:space="0" w:color="000000"/>
              <w:left w:val="single" w:sz="7" w:space="0" w:color="000000"/>
              <w:bottom w:val="single" w:sz="7" w:space="0" w:color="000000"/>
              <w:right w:val="single" w:sz="7" w:space="0" w:color="000000"/>
            </w:tcBorders>
            <w:vAlign w:val="center"/>
          </w:tcPr>
          <w:p w:rsidR="005D7508" w:rsidRPr="005D7508" w:rsidP="005D7508" w14:paraId="5E492316" w14:textId="77777777">
            <w:pPr>
              <w:spacing w:line="259" w:lineRule="auto"/>
              <w:ind w:left="0" w:firstLine="0"/>
              <w:contextualSpacing/>
              <w:rPr>
                <w:rFonts w:cstheme="minorHAnsi"/>
                <w:sz w:val="20"/>
                <w:szCs w:val="20"/>
              </w:rPr>
            </w:pPr>
            <w:r w:rsidRPr="005D7508">
              <w:rPr>
                <w:rFonts w:cstheme="minorHAnsi"/>
                <w:sz w:val="20"/>
                <w:szCs w:val="20"/>
              </w:rPr>
              <w:t>325130</w:t>
            </w:r>
          </w:p>
        </w:tc>
      </w:tr>
      <w:tr w14:paraId="4F9FA9D7" w14:textId="77777777" w:rsidTr="00BD3B52">
        <w:tblPrEx>
          <w:tblW w:w="9360" w:type="dxa"/>
          <w:tblInd w:w="112" w:type="dxa"/>
          <w:tblLayout w:type="fixed"/>
          <w:tblCellMar>
            <w:left w:w="112" w:type="dxa"/>
            <w:right w:w="112" w:type="dxa"/>
          </w:tblCellMar>
          <w:tblLook w:val="0000"/>
        </w:tblPrEx>
        <w:tc>
          <w:tcPr>
            <w:tcW w:w="5549" w:type="dxa"/>
            <w:tcBorders>
              <w:top w:val="single" w:sz="7" w:space="0" w:color="000000"/>
              <w:left w:val="single" w:sz="7" w:space="0" w:color="000000"/>
              <w:bottom w:val="single" w:sz="7" w:space="0" w:color="000000"/>
              <w:right w:val="single" w:sz="6" w:space="0" w:color="FFFFFF"/>
            </w:tcBorders>
            <w:vAlign w:val="center"/>
          </w:tcPr>
          <w:p w:rsidR="005D7508" w:rsidRPr="005D7508" w:rsidP="005D7508" w14:paraId="79F69B99" w14:textId="77777777">
            <w:pPr>
              <w:spacing w:line="259" w:lineRule="auto"/>
              <w:ind w:left="0" w:firstLine="0"/>
              <w:contextualSpacing/>
              <w:rPr>
                <w:rFonts w:cstheme="minorHAnsi"/>
                <w:sz w:val="20"/>
                <w:szCs w:val="20"/>
              </w:rPr>
            </w:pPr>
            <w:r w:rsidRPr="005D7508">
              <w:rPr>
                <w:rFonts w:cstheme="minorHAnsi"/>
                <w:sz w:val="20"/>
                <w:szCs w:val="20"/>
              </w:rPr>
              <w:t>Clay and Ceramic and Refractory Minerals Mining, Kaolin and Ball Clay Mining, and All Other Nonmetallic Mineral Mining</w:t>
            </w:r>
          </w:p>
        </w:tc>
        <w:tc>
          <w:tcPr>
            <w:tcW w:w="1890" w:type="dxa"/>
            <w:tcBorders>
              <w:top w:val="single" w:sz="7" w:space="0" w:color="000000"/>
              <w:left w:val="single" w:sz="7" w:space="0" w:color="000000"/>
              <w:bottom w:val="single" w:sz="7" w:space="0" w:color="000000"/>
              <w:right w:val="single" w:sz="6" w:space="0" w:color="FFFFFF"/>
            </w:tcBorders>
            <w:vAlign w:val="center"/>
          </w:tcPr>
          <w:p w:rsidR="005D7508" w:rsidRPr="005D7508" w:rsidP="005D7508" w14:paraId="04BC35BF" w14:textId="77777777">
            <w:pPr>
              <w:spacing w:line="259" w:lineRule="auto"/>
              <w:ind w:left="0" w:firstLine="0"/>
              <w:contextualSpacing/>
              <w:rPr>
                <w:rFonts w:cstheme="minorHAnsi"/>
                <w:sz w:val="20"/>
                <w:szCs w:val="20"/>
              </w:rPr>
            </w:pPr>
            <w:r w:rsidRPr="005D7508">
              <w:rPr>
                <w:rFonts w:cstheme="minorHAnsi"/>
                <w:sz w:val="20"/>
                <w:szCs w:val="20"/>
              </w:rPr>
              <w:t>3295</w:t>
            </w:r>
          </w:p>
        </w:tc>
        <w:tc>
          <w:tcPr>
            <w:tcW w:w="1921" w:type="dxa"/>
            <w:tcBorders>
              <w:top w:val="single" w:sz="7" w:space="0" w:color="000000"/>
              <w:left w:val="single" w:sz="7" w:space="0" w:color="000000"/>
              <w:bottom w:val="single" w:sz="7" w:space="0" w:color="000000"/>
              <w:right w:val="single" w:sz="7" w:space="0" w:color="000000"/>
            </w:tcBorders>
            <w:vAlign w:val="center"/>
          </w:tcPr>
          <w:p w:rsidR="005D7508" w:rsidRPr="005D7508" w:rsidP="005D7508" w14:paraId="436688EC" w14:textId="77777777">
            <w:pPr>
              <w:spacing w:line="259" w:lineRule="auto"/>
              <w:ind w:left="0" w:firstLine="0"/>
              <w:contextualSpacing/>
              <w:rPr>
                <w:rFonts w:cstheme="minorHAnsi"/>
                <w:sz w:val="20"/>
                <w:szCs w:val="20"/>
              </w:rPr>
            </w:pPr>
            <w:r w:rsidRPr="005D7508">
              <w:rPr>
                <w:rFonts w:cstheme="minorHAnsi"/>
                <w:sz w:val="20"/>
                <w:szCs w:val="20"/>
              </w:rPr>
              <w:t>212324, 212325, 212399</w:t>
            </w:r>
          </w:p>
        </w:tc>
      </w:tr>
    </w:tbl>
    <w:p w:rsidR="005D7508" w:rsidP="002943D2" w14:paraId="2085CB85" w14:textId="77777777">
      <w:pPr>
        <w:spacing w:line="259" w:lineRule="auto"/>
        <w:ind w:left="0" w:firstLine="0"/>
        <w:rPr>
          <w:rFonts w:cstheme="minorHAnsi"/>
        </w:rPr>
      </w:pPr>
    </w:p>
    <w:p w:rsidR="00036618" w:rsidRPr="00036618" w:rsidP="00036618" w14:paraId="11E10EFD" w14:textId="77777777">
      <w:pPr>
        <w:spacing w:line="259" w:lineRule="auto"/>
        <w:ind w:left="0" w:firstLine="0"/>
        <w:rPr>
          <w:rFonts w:cstheme="minorHAnsi"/>
        </w:rPr>
      </w:pPr>
      <w:r w:rsidRPr="00036618">
        <w:rPr>
          <w:rFonts w:cstheme="minorHAnsi"/>
        </w:rPr>
        <w:t>Based on our research for this ICR, on average over the next three years, approximately 167 existing respondents will be subject to the standard. It is estimated that no additional respondents per year will become subject. The overall average number of respondents, as shown in the table below, is 167 per year.</w:t>
      </w:r>
    </w:p>
    <w:p w:rsidR="00036618" w:rsidP="00036618" w14:paraId="1B28FF50" w14:textId="25381339">
      <w:pPr>
        <w:spacing w:line="259" w:lineRule="auto"/>
        <w:ind w:left="0" w:firstLine="0"/>
        <w:rPr>
          <w:rFonts w:cstheme="minorHAnsi"/>
        </w:rPr>
      </w:pPr>
      <w:r w:rsidRPr="00036618">
        <w:rPr>
          <w:rFonts w:cstheme="minorHAnsi"/>
        </w:rPr>
        <w:t>The number of respondents is calculated using the following table that addresses the three years covered by this ICR.</w:t>
      </w:r>
    </w:p>
    <w:tbl>
      <w:tblPr>
        <w:tblW w:w="9359" w:type="dxa"/>
        <w:tblInd w:w="110" w:type="dxa"/>
        <w:tblLayout w:type="fixed"/>
        <w:tblCellMar>
          <w:left w:w="110" w:type="dxa"/>
          <w:right w:w="110" w:type="dxa"/>
        </w:tblCellMar>
        <w:tblLook w:val="0000"/>
      </w:tblPr>
      <w:tblGrid>
        <w:gridCol w:w="1231"/>
        <w:gridCol w:w="1266"/>
        <w:gridCol w:w="1614"/>
        <w:gridCol w:w="1980"/>
        <w:gridCol w:w="1890"/>
        <w:gridCol w:w="1378"/>
      </w:tblGrid>
      <w:tr w14:paraId="216B0509" w14:textId="77777777" w:rsidTr="00BD3B52">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BB6C98" w:rsidRPr="00BB6C98" w:rsidP="00BB6C98" w14:paraId="677F8054" w14:textId="77777777">
            <w:pPr>
              <w:spacing w:line="259" w:lineRule="auto"/>
              <w:ind w:left="0" w:firstLine="0"/>
              <w:contextualSpacing/>
              <w:rPr>
                <w:rFonts w:cstheme="minorHAnsi"/>
                <w:b/>
                <w:bCs/>
                <w:sz w:val="20"/>
                <w:szCs w:val="20"/>
              </w:rPr>
            </w:pPr>
            <w:r w:rsidRPr="00BB6C98">
              <w:rPr>
                <w:rFonts w:cstheme="minorHAnsi"/>
                <w:b/>
                <w:bCs/>
                <w:sz w:val="20"/>
                <w:szCs w:val="20"/>
              </w:rPr>
              <w:t>Number of Respondents</w:t>
            </w:r>
          </w:p>
        </w:tc>
      </w:tr>
      <w:tr w14:paraId="08CE03B2" w14:textId="77777777" w:rsidTr="00F55831">
        <w:tblPrEx>
          <w:tblW w:w="9359" w:type="dxa"/>
          <w:tblInd w:w="110" w:type="dxa"/>
          <w:tblLayout w:type="fixed"/>
          <w:tblCellMar>
            <w:left w:w="110" w:type="dxa"/>
            <w:right w:w="110" w:type="dxa"/>
          </w:tblCellMar>
          <w:tblLook w:val="0000"/>
        </w:tblPrEx>
        <w:tc>
          <w:tcPr>
            <w:tcW w:w="1231" w:type="dxa"/>
            <w:tcBorders>
              <w:top w:val="single" w:sz="7" w:space="0" w:color="000000"/>
              <w:left w:val="single" w:sz="7" w:space="0" w:color="000000"/>
              <w:bottom w:val="single" w:sz="6" w:space="0" w:color="FFFFFF"/>
              <w:right w:val="single" w:sz="6" w:space="0" w:color="FFFFFF"/>
            </w:tcBorders>
          </w:tcPr>
          <w:p w:rsidR="00BB6C98" w:rsidRPr="00BB6C98" w:rsidP="00BB6C98" w14:paraId="21AD010A" w14:textId="77777777">
            <w:pPr>
              <w:spacing w:line="259" w:lineRule="auto"/>
              <w:ind w:left="0" w:firstLine="0"/>
              <w:contextualSpacing/>
              <w:rPr>
                <w:rFonts w:cstheme="minorHAnsi"/>
                <w:b/>
                <w:bCs/>
                <w:sz w:val="20"/>
                <w:szCs w:val="20"/>
              </w:rPr>
            </w:pPr>
          </w:p>
          <w:p w:rsidR="00BB6C98" w:rsidRPr="00BB6C98" w:rsidP="00BB6C98" w14:paraId="050D9D26" w14:textId="77777777">
            <w:pPr>
              <w:spacing w:line="259" w:lineRule="auto"/>
              <w:ind w:left="0" w:firstLine="0"/>
              <w:contextualSpacing/>
              <w:rPr>
                <w:rFonts w:cstheme="minorHAnsi"/>
                <w:sz w:val="20"/>
                <w:szCs w:val="20"/>
              </w:rPr>
            </w:pPr>
          </w:p>
        </w:tc>
        <w:tc>
          <w:tcPr>
            <w:tcW w:w="2880" w:type="dxa"/>
            <w:gridSpan w:val="2"/>
            <w:tcBorders>
              <w:top w:val="single" w:sz="7" w:space="0" w:color="000000"/>
              <w:left w:val="single" w:sz="7" w:space="0" w:color="000000"/>
              <w:bottom w:val="single" w:sz="6" w:space="0" w:color="FFFFFF"/>
              <w:right w:val="single" w:sz="6" w:space="0" w:color="FFFFFF"/>
            </w:tcBorders>
          </w:tcPr>
          <w:p w:rsidR="00BB6C98" w:rsidRPr="00BB6C98" w:rsidP="00BB6C98" w14:paraId="559F57D5" w14:textId="77777777">
            <w:pPr>
              <w:spacing w:line="259" w:lineRule="auto"/>
              <w:ind w:left="0" w:firstLine="0"/>
              <w:contextualSpacing/>
              <w:rPr>
                <w:rFonts w:cstheme="minorHAnsi"/>
                <w:sz w:val="20"/>
                <w:szCs w:val="20"/>
              </w:rPr>
            </w:pPr>
            <w:r w:rsidRPr="00BB6C98">
              <w:rPr>
                <w:rFonts w:cstheme="minorHAnsi"/>
                <w:sz w:val="20"/>
                <w:szCs w:val="20"/>
              </w:rPr>
              <w:t>Respondents That Submit Reports</w:t>
            </w:r>
          </w:p>
        </w:tc>
        <w:tc>
          <w:tcPr>
            <w:tcW w:w="1980" w:type="dxa"/>
            <w:tcBorders>
              <w:top w:val="single" w:sz="7" w:space="0" w:color="000000"/>
              <w:left w:val="single" w:sz="7" w:space="0" w:color="000000"/>
              <w:bottom w:val="single" w:sz="6" w:space="0" w:color="FFFFFF"/>
              <w:right w:val="single" w:sz="6" w:space="0" w:color="FFFFFF"/>
            </w:tcBorders>
          </w:tcPr>
          <w:p w:rsidR="00BB6C98" w:rsidRPr="00BB6C98" w:rsidP="00BB6C98" w14:paraId="68377BA2" w14:textId="77777777">
            <w:pPr>
              <w:spacing w:line="259" w:lineRule="auto"/>
              <w:ind w:left="0" w:firstLine="0"/>
              <w:contextualSpacing/>
              <w:rPr>
                <w:rFonts w:cstheme="minorHAnsi"/>
                <w:sz w:val="20"/>
                <w:szCs w:val="20"/>
              </w:rPr>
            </w:pPr>
            <w:r w:rsidRPr="00BB6C98">
              <w:rPr>
                <w:rFonts w:cstheme="minorHAnsi"/>
                <w:sz w:val="20"/>
                <w:szCs w:val="20"/>
              </w:rPr>
              <w:t>Respondents That Do Not Submit Any Reports</w:t>
            </w:r>
          </w:p>
        </w:tc>
        <w:tc>
          <w:tcPr>
            <w:tcW w:w="3268" w:type="dxa"/>
            <w:gridSpan w:val="2"/>
            <w:tcBorders>
              <w:top w:val="single" w:sz="7" w:space="0" w:color="000000"/>
              <w:left w:val="single" w:sz="7" w:space="0" w:color="000000"/>
              <w:bottom w:val="single" w:sz="6" w:space="0" w:color="FFFFFF"/>
              <w:right w:val="single" w:sz="7" w:space="0" w:color="000000"/>
            </w:tcBorders>
          </w:tcPr>
          <w:p w:rsidR="00BB6C98" w:rsidRPr="00BB6C98" w:rsidP="00BB6C98" w14:paraId="338ED28A" w14:textId="77777777">
            <w:pPr>
              <w:spacing w:line="259" w:lineRule="auto"/>
              <w:ind w:left="0" w:firstLine="0"/>
              <w:contextualSpacing/>
              <w:rPr>
                <w:rFonts w:cstheme="minorHAnsi"/>
                <w:sz w:val="20"/>
                <w:szCs w:val="20"/>
              </w:rPr>
            </w:pPr>
          </w:p>
          <w:p w:rsidR="00BB6C98" w:rsidRPr="00BB6C98" w:rsidP="00BB6C98" w14:paraId="092FC610" w14:textId="77777777">
            <w:pPr>
              <w:spacing w:line="259" w:lineRule="auto"/>
              <w:ind w:left="0" w:firstLine="0"/>
              <w:contextualSpacing/>
              <w:rPr>
                <w:rFonts w:cstheme="minorHAnsi"/>
                <w:sz w:val="20"/>
                <w:szCs w:val="20"/>
              </w:rPr>
            </w:pPr>
          </w:p>
        </w:tc>
      </w:tr>
      <w:tr w14:paraId="43B20355" w14:textId="77777777" w:rsidTr="00F55831">
        <w:tblPrEx>
          <w:tblW w:w="9359" w:type="dxa"/>
          <w:tblInd w:w="110" w:type="dxa"/>
          <w:tblLayout w:type="fixed"/>
          <w:tblCellMar>
            <w:left w:w="110" w:type="dxa"/>
            <w:right w:w="110" w:type="dxa"/>
          </w:tblCellMar>
          <w:tblLook w:val="0000"/>
        </w:tblPrEx>
        <w:tc>
          <w:tcPr>
            <w:tcW w:w="1231" w:type="dxa"/>
            <w:tcBorders>
              <w:top w:val="single" w:sz="7" w:space="0" w:color="000000"/>
              <w:left w:val="single" w:sz="7" w:space="0" w:color="000000"/>
              <w:bottom w:val="single" w:sz="8" w:space="0" w:color="000000"/>
              <w:right w:val="single" w:sz="6" w:space="0" w:color="FFFFFF"/>
            </w:tcBorders>
          </w:tcPr>
          <w:p w:rsidR="00BB6C98" w:rsidRPr="00BB6C98" w:rsidP="00BB6C98" w14:paraId="0FFC0D3A" w14:textId="77777777">
            <w:pPr>
              <w:spacing w:line="259" w:lineRule="auto"/>
              <w:ind w:left="0" w:firstLine="0"/>
              <w:contextualSpacing/>
              <w:rPr>
                <w:rFonts w:cstheme="minorHAnsi"/>
                <w:sz w:val="20"/>
                <w:szCs w:val="20"/>
              </w:rPr>
            </w:pPr>
          </w:p>
          <w:p w:rsidR="00BB6C98" w:rsidRPr="00BB6C98" w:rsidP="00BB6C98" w14:paraId="53942650" w14:textId="77777777">
            <w:pPr>
              <w:spacing w:line="259" w:lineRule="auto"/>
              <w:ind w:left="0" w:firstLine="0"/>
              <w:contextualSpacing/>
              <w:rPr>
                <w:rFonts w:cstheme="minorHAnsi"/>
                <w:sz w:val="20"/>
                <w:szCs w:val="20"/>
              </w:rPr>
            </w:pPr>
            <w:r w:rsidRPr="00BB6C98">
              <w:rPr>
                <w:rFonts w:cstheme="minorHAnsi"/>
                <w:sz w:val="20"/>
                <w:szCs w:val="20"/>
              </w:rPr>
              <w:t>Year</w:t>
            </w:r>
          </w:p>
        </w:tc>
        <w:tc>
          <w:tcPr>
            <w:tcW w:w="1266" w:type="dxa"/>
            <w:tcBorders>
              <w:top w:val="single" w:sz="7" w:space="0" w:color="000000"/>
              <w:left w:val="single" w:sz="7" w:space="0" w:color="000000"/>
              <w:bottom w:val="single" w:sz="8" w:space="0" w:color="000000"/>
              <w:right w:val="single" w:sz="6" w:space="0" w:color="FFFFFF"/>
            </w:tcBorders>
          </w:tcPr>
          <w:p w:rsidR="00BB6C98" w:rsidRPr="00BB6C98" w:rsidP="00BB6C98" w14:paraId="7C928100" w14:textId="77777777">
            <w:pPr>
              <w:spacing w:line="259" w:lineRule="auto"/>
              <w:ind w:left="0" w:firstLine="0"/>
              <w:contextualSpacing/>
              <w:rPr>
                <w:rFonts w:cstheme="minorHAnsi"/>
                <w:sz w:val="20"/>
                <w:szCs w:val="20"/>
              </w:rPr>
            </w:pPr>
            <w:r w:rsidRPr="00BB6C98">
              <w:rPr>
                <w:rFonts w:cstheme="minorHAnsi"/>
                <w:sz w:val="20"/>
                <w:szCs w:val="20"/>
              </w:rPr>
              <w:t>(A)</w:t>
            </w:r>
          </w:p>
          <w:p w:rsidR="00BB6C98" w:rsidRPr="00BB6C98" w:rsidP="00BB6C98" w14:paraId="1B6BD736" w14:textId="77777777">
            <w:pPr>
              <w:spacing w:line="259" w:lineRule="auto"/>
              <w:ind w:left="0" w:firstLine="0"/>
              <w:contextualSpacing/>
              <w:rPr>
                <w:rFonts w:cstheme="minorHAnsi"/>
                <w:sz w:val="20"/>
                <w:szCs w:val="20"/>
              </w:rPr>
            </w:pPr>
            <w:r w:rsidRPr="00BB6C98">
              <w:rPr>
                <w:rFonts w:cstheme="minorHAnsi"/>
                <w:sz w:val="20"/>
                <w:szCs w:val="20"/>
              </w:rPr>
              <w:t xml:space="preserve">Number of New Respondents </w:t>
            </w:r>
            <w:r w:rsidRPr="00BB6C98">
              <w:rPr>
                <w:rFonts w:cstheme="minorHAnsi"/>
                <w:sz w:val="20"/>
                <w:szCs w:val="20"/>
                <w:vertAlign w:val="superscript"/>
              </w:rPr>
              <w:t>1</w:t>
            </w:r>
          </w:p>
        </w:tc>
        <w:tc>
          <w:tcPr>
            <w:tcW w:w="1614" w:type="dxa"/>
            <w:tcBorders>
              <w:top w:val="single" w:sz="7" w:space="0" w:color="000000"/>
              <w:left w:val="single" w:sz="7" w:space="0" w:color="000000"/>
              <w:bottom w:val="single" w:sz="8" w:space="0" w:color="000000"/>
              <w:right w:val="single" w:sz="6" w:space="0" w:color="FFFFFF"/>
            </w:tcBorders>
          </w:tcPr>
          <w:p w:rsidR="00BB6C98" w:rsidRPr="00BB6C98" w:rsidP="00BB6C98" w14:paraId="17A26753" w14:textId="77777777">
            <w:pPr>
              <w:spacing w:line="259" w:lineRule="auto"/>
              <w:ind w:left="0" w:firstLine="0"/>
              <w:contextualSpacing/>
              <w:rPr>
                <w:rFonts w:cstheme="minorHAnsi"/>
                <w:sz w:val="20"/>
                <w:szCs w:val="20"/>
              </w:rPr>
            </w:pPr>
            <w:r w:rsidRPr="00BB6C98">
              <w:rPr>
                <w:rFonts w:cstheme="minorHAnsi"/>
                <w:sz w:val="20"/>
                <w:szCs w:val="20"/>
              </w:rPr>
              <w:t>(B)</w:t>
            </w:r>
          </w:p>
          <w:p w:rsidR="00BB6C98" w:rsidRPr="00BB6C98" w:rsidP="00BB6C98" w14:paraId="4C628749" w14:textId="77777777">
            <w:pPr>
              <w:spacing w:line="259" w:lineRule="auto"/>
              <w:ind w:left="0" w:firstLine="0"/>
              <w:contextualSpacing/>
              <w:rPr>
                <w:rFonts w:cstheme="minorHAnsi"/>
                <w:sz w:val="20"/>
                <w:szCs w:val="20"/>
              </w:rPr>
            </w:pPr>
            <w:r w:rsidRPr="00BB6C98">
              <w:rPr>
                <w:rFonts w:cstheme="minorHAnsi"/>
                <w:sz w:val="20"/>
                <w:szCs w:val="20"/>
              </w:rPr>
              <w:t>Number of Existing Respondents</w:t>
            </w:r>
          </w:p>
        </w:tc>
        <w:tc>
          <w:tcPr>
            <w:tcW w:w="1980" w:type="dxa"/>
            <w:tcBorders>
              <w:top w:val="single" w:sz="7" w:space="0" w:color="000000"/>
              <w:left w:val="single" w:sz="7" w:space="0" w:color="000000"/>
              <w:bottom w:val="single" w:sz="8" w:space="0" w:color="000000"/>
              <w:right w:val="single" w:sz="8" w:space="0" w:color="000000"/>
            </w:tcBorders>
          </w:tcPr>
          <w:p w:rsidR="00BB6C98" w:rsidRPr="00BB6C98" w:rsidP="00BB6C98" w14:paraId="6AADDCFF" w14:textId="77777777">
            <w:pPr>
              <w:spacing w:line="259" w:lineRule="auto"/>
              <w:ind w:left="0" w:firstLine="0"/>
              <w:contextualSpacing/>
              <w:rPr>
                <w:rFonts w:cstheme="minorHAnsi"/>
                <w:sz w:val="20"/>
                <w:szCs w:val="20"/>
              </w:rPr>
            </w:pPr>
            <w:r w:rsidRPr="00BB6C98">
              <w:rPr>
                <w:rFonts w:cstheme="minorHAnsi"/>
                <w:sz w:val="20"/>
                <w:szCs w:val="20"/>
              </w:rPr>
              <w:t>(C)</w:t>
            </w:r>
          </w:p>
          <w:p w:rsidR="00BB6C98" w:rsidRPr="00BB6C98" w:rsidP="00BB6C98" w14:paraId="2B0418F3" w14:textId="77777777">
            <w:pPr>
              <w:spacing w:line="259" w:lineRule="auto"/>
              <w:ind w:left="0" w:firstLine="0"/>
              <w:contextualSpacing/>
              <w:rPr>
                <w:rFonts w:cstheme="minorHAnsi"/>
                <w:sz w:val="20"/>
                <w:szCs w:val="20"/>
              </w:rPr>
            </w:pPr>
            <w:r w:rsidRPr="00BB6C98">
              <w:rPr>
                <w:rFonts w:cstheme="minorHAnsi"/>
                <w:sz w:val="20"/>
                <w:szCs w:val="20"/>
              </w:rPr>
              <w:t>Number of Existing Respondents that keep records but do not submit reports</w:t>
            </w:r>
          </w:p>
        </w:tc>
        <w:tc>
          <w:tcPr>
            <w:tcW w:w="1890" w:type="dxa"/>
            <w:tcBorders>
              <w:top w:val="single" w:sz="8" w:space="0" w:color="000000"/>
              <w:left w:val="single" w:sz="8" w:space="0" w:color="000000"/>
              <w:bottom w:val="single" w:sz="8" w:space="0" w:color="000000"/>
              <w:right w:val="single" w:sz="4" w:space="0" w:color="auto"/>
            </w:tcBorders>
          </w:tcPr>
          <w:p w:rsidR="00BB6C98" w:rsidRPr="00BB6C98" w:rsidP="00BB6C98" w14:paraId="7EE7091D" w14:textId="77777777">
            <w:pPr>
              <w:spacing w:line="259" w:lineRule="auto"/>
              <w:ind w:left="0" w:firstLine="0"/>
              <w:contextualSpacing/>
              <w:rPr>
                <w:rFonts w:cstheme="minorHAnsi"/>
                <w:sz w:val="20"/>
                <w:szCs w:val="20"/>
              </w:rPr>
            </w:pPr>
            <w:r w:rsidRPr="00BB6C98">
              <w:rPr>
                <w:rFonts w:cstheme="minorHAnsi"/>
                <w:sz w:val="20"/>
                <w:szCs w:val="20"/>
              </w:rPr>
              <w:t>(D)</w:t>
            </w:r>
          </w:p>
          <w:p w:rsidR="00BB6C98" w:rsidRPr="00BB6C98" w:rsidP="00BB6C98" w14:paraId="0055870A" w14:textId="77777777">
            <w:pPr>
              <w:spacing w:line="259" w:lineRule="auto"/>
              <w:ind w:left="0" w:firstLine="0"/>
              <w:contextualSpacing/>
              <w:rPr>
                <w:rFonts w:cstheme="minorHAnsi"/>
                <w:sz w:val="20"/>
                <w:szCs w:val="20"/>
              </w:rPr>
            </w:pPr>
            <w:r w:rsidRPr="00BB6C98">
              <w:rPr>
                <w:rFonts w:cstheme="minorHAnsi"/>
                <w:sz w:val="20"/>
                <w:szCs w:val="20"/>
              </w:rPr>
              <w:t>Number of Existing Respondents That Are Also New Respondents</w:t>
            </w:r>
          </w:p>
        </w:tc>
        <w:tc>
          <w:tcPr>
            <w:tcW w:w="1378" w:type="dxa"/>
            <w:tcBorders>
              <w:top w:val="single" w:sz="7" w:space="0" w:color="000000"/>
              <w:left w:val="single" w:sz="4" w:space="0" w:color="auto"/>
              <w:bottom w:val="single" w:sz="8" w:space="0" w:color="000000"/>
              <w:right w:val="single" w:sz="7" w:space="0" w:color="000000"/>
            </w:tcBorders>
          </w:tcPr>
          <w:p w:rsidR="00BB6C98" w:rsidRPr="00BB6C98" w:rsidP="00BB6C98" w14:paraId="2A2D9A67" w14:textId="77777777">
            <w:pPr>
              <w:spacing w:line="259" w:lineRule="auto"/>
              <w:ind w:left="0" w:firstLine="0"/>
              <w:contextualSpacing/>
              <w:rPr>
                <w:rFonts w:cstheme="minorHAnsi"/>
                <w:sz w:val="20"/>
                <w:szCs w:val="20"/>
              </w:rPr>
            </w:pPr>
            <w:r w:rsidRPr="00BB6C98">
              <w:rPr>
                <w:rFonts w:cstheme="minorHAnsi"/>
                <w:sz w:val="20"/>
                <w:szCs w:val="20"/>
              </w:rPr>
              <w:t>(E)</w:t>
            </w:r>
          </w:p>
          <w:p w:rsidR="00BB6C98" w:rsidRPr="00BB6C98" w:rsidP="00BB6C98" w14:paraId="3289193E" w14:textId="77777777">
            <w:pPr>
              <w:spacing w:line="259" w:lineRule="auto"/>
              <w:ind w:left="0" w:firstLine="0"/>
              <w:contextualSpacing/>
              <w:rPr>
                <w:rFonts w:cstheme="minorHAnsi"/>
                <w:sz w:val="20"/>
                <w:szCs w:val="20"/>
              </w:rPr>
            </w:pPr>
            <w:r w:rsidRPr="00BB6C98">
              <w:rPr>
                <w:rFonts w:cstheme="minorHAnsi"/>
                <w:sz w:val="20"/>
                <w:szCs w:val="20"/>
              </w:rPr>
              <w:t>Number of Respondents</w:t>
            </w:r>
          </w:p>
          <w:p w:rsidR="00BB6C98" w:rsidRPr="00BB6C98" w:rsidP="00BB6C98" w14:paraId="509A1F5D" w14:textId="77777777">
            <w:pPr>
              <w:spacing w:line="259" w:lineRule="auto"/>
              <w:ind w:left="0" w:firstLine="0"/>
              <w:contextualSpacing/>
              <w:rPr>
                <w:rFonts w:cstheme="minorHAnsi"/>
                <w:sz w:val="20"/>
                <w:szCs w:val="20"/>
              </w:rPr>
            </w:pPr>
            <w:r w:rsidRPr="00BB6C98">
              <w:rPr>
                <w:rFonts w:cstheme="minorHAnsi"/>
                <w:sz w:val="20"/>
                <w:szCs w:val="20"/>
              </w:rPr>
              <w:t>(E=A+B+C-D)</w:t>
            </w:r>
          </w:p>
        </w:tc>
      </w:tr>
      <w:tr w14:paraId="6DD8D423" w14:textId="77777777" w:rsidTr="00F55831">
        <w:tblPrEx>
          <w:tblW w:w="9359" w:type="dxa"/>
          <w:tblInd w:w="110" w:type="dxa"/>
          <w:tblLayout w:type="fixed"/>
          <w:tblCellMar>
            <w:left w:w="110" w:type="dxa"/>
            <w:right w:w="110" w:type="dxa"/>
          </w:tblCellMar>
          <w:tblLook w:val="0000"/>
        </w:tblPrEx>
        <w:tc>
          <w:tcPr>
            <w:tcW w:w="1231" w:type="dxa"/>
            <w:tcBorders>
              <w:top w:val="single" w:sz="8" w:space="0" w:color="000000"/>
              <w:left w:val="single" w:sz="8" w:space="0" w:color="000000"/>
              <w:bottom w:val="single" w:sz="6" w:space="0" w:color="000000"/>
              <w:right w:val="single" w:sz="6" w:space="0" w:color="000000"/>
            </w:tcBorders>
          </w:tcPr>
          <w:p w:rsidR="00BB6C98" w:rsidRPr="00BB6C98" w:rsidP="00BB6C98" w14:paraId="1F36B7D6" w14:textId="77777777">
            <w:pPr>
              <w:spacing w:line="259" w:lineRule="auto"/>
              <w:ind w:left="0" w:firstLine="0"/>
              <w:contextualSpacing/>
              <w:rPr>
                <w:rFonts w:cstheme="minorHAnsi"/>
                <w:sz w:val="20"/>
                <w:szCs w:val="20"/>
              </w:rPr>
            </w:pPr>
            <w:r w:rsidRPr="00BB6C98">
              <w:rPr>
                <w:rFonts w:cstheme="minorHAnsi"/>
                <w:sz w:val="20"/>
                <w:szCs w:val="20"/>
              </w:rPr>
              <w:t>1</w:t>
            </w:r>
          </w:p>
        </w:tc>
        <w:tc>
          <w:tcPr>
            <w:tcW w:w="1266" w:type="dxa"/>
            <w:tcBorders>
              <w:top w:val="single" w:sz="8" w:space="0" w:color="000000"/>
              <w:left w:val="single" w:sz="6" w:space="0" w:color="000000"/>
              <w:bottom w:val="single" w:sz="6" w:space="0" w:color="000000"/>
              <w:right w:val="single" w:sz="6" w:space="0" w:color="000000"/>
            </w:tcBorders>
            <w:vAlign w:val="center"/>
          </w:tcPr>
          <w:p w:rsidR="00BB6C98" w:rsidRPr="00BB6C98" w:rsidP="00BB6C98" w14:paraId="11374C0F"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614" w:type="dxa"/>
            <w:tcBorders>
              <w:top w:val="single" w:sz="8" w:space="0" w:color="000000"/>
              <w:left w:val="single" w:sz="6" w:space="0" w:color="000000"/>
              <w:bottom w:val="single" w:sz="6" w:space="0" w:color="000000"/>
              <w:right w:val="single" w:sz="6" w:space="0" w:color="000000"/>
            </w:tcBorders>
            <w:vAlign w:val="center"/>
          </w:tcPr>
          <w:p w:rsidR="00BB6C98" w:rsidRPr="00BB6C98" w:rsidP="00BB6C98" w14:paraId="116DA196" w14:textId="77777777">
            <w:pPr>
              <w:spacing w:line="259" w:lineRule="auto"/>
              <w:ind w:left="0" w:firstLine="0"/>
              <w:contextualSpacing/>
              <w:rPr>
                <w:rFonts w:cstheme="minorHAnsi"/>
                <w:sz w:val="20"/>
                <w:szCs w:val="20"/>
              </w:rPr>
            </w:pPr>
            <w:r w:rsidRPr="00BB6C98">
              <w:rPr>
                <w:rFonts w:cstheme="minorHAnsi"/>
                <w:sz w:val="20"/>
                <w:szCs w:val="20"/>
              </w:rPr>
              <w:t>167</w:t>
            </w:r>
          </w:p>
        </w:tc>
        <w:tc>
          <w:tcPr>
            <w:tcW w:w="1980" w:type="dxa"/>
            <w:tcBorders>
              <w:top w:val="single" w:sz="8" w:space="0" w:color="000000"/>
              <w:left w:val="single" w:sz="6" w:space="0" w:color="000000"/>
              <w:bottom w:val="single" w:sz="6" w:space="0" w:color="000000"/>
              <w:right w:val="single" w:sz="6" w:space="0" w:color="000000"/>
            </w:tcBorders>
            <w:vAlign w:val="center"/>
          </w:tcPr>
          <w:p w:rsidR="00BB6C98" w:rsidRPr="00BB6C98" w:rsidP="00BB6C98" w14:paraId="35DCAB91"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890" w:type="dxa"/>
            <w:tcBorders>
              <w:top w:val="single" w:sz="8" w:space="0" w:color="000000"/>
              <w:left w:val="single" w:sz="6" w:space="0" w:color="000000"/>
              <w:bottom w:val="single" w:sz="6" w:space="0" w:color="000000"/>
              <w:right w:val="single" w:sz="6" w:space="0" w:color="000000"/>
            </w:tcBorders>
            <w:vAlign w:val="center"/>
          </w:tcPr>
          <w:p w:rsidR="00BB6C98" w:rsidRPr="00BB6C98" w:rsidP="00BB6C98" w14:paraId="6DAEBCBB"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378" w:type="dxa"/>
            <w:tcBorders>
              <w:top w:val="single" w:sz="8" w:space="0" w:color="000000"/>
              <w:left w:val="single" w:sz="6" w:space="0" w:color="000000"/>
              <w:bottom w:val="single" w:sz="6" w:space="0" w:color="000000"/>
              <w:right w:val="single" w:sz="8" w:space="0" w:color="000000"/>
            </w:tcBorders>
            <w:vAlign w:val="center"/>
          </w:tcPr>
          <w:p w:rsidR="00BB6C98" w:rsidRPr="00BB6C98" w:rsidP="00BB6C98" w14:paraId="638B30B7" w14:textId="77777777">
            <w:pPr>
              <w:spacing w:line="259" w:lineRule="auto"/>
              <w:ind w:left="0" w:firstLine="0"/>
              <w:contextualSpacing/>
              <w:rPr>
                <w:rFonts w:cstheme="minorHAnsi"/>
                <w:sz w:val="20"/>
                <w:szCs w:val="20"/>
              </w:rPr>
            </w:pPr>
            <w:r w:rsidRPr="00BB6C98">
              <w:rPr>
                <w:rFonts w:cstheme="minorHAnsi"/>
                <w:sz w:val="20"/>
                <w:szCs w:val="20"/>
              </w:rPr>
              <w:t>167</w:t>
            </w:r>
          </w:p>
        </w:tc>
      </w:tr>
      <w:tr w14:paraId="3A594788" w14:textId="77777777" w:rsidTr="00F55831">
        <w:tblPrEx>
          <w:tblW w:w="9359" w:type="dxa"/>
          <w:tblInd w:w="110" w:type="dxa"/>
          <w:tblLayout w:type="fixed"/>
          <w:tblCellMar>
            <w:left w:w="110" w:type="dxa"/>
            <w:right w:w="110" w:type="dxa"/>
          </w:tblCellMar>
          <w:tblLook w:val="0000"/>
        </w:tblPrEx>
        <w:tc>
          <w:tcPr>
            <w:tcW w:w="1231" w:type="dxa"/>
            <w:tcBorders>
              <w:top w:val="single" w:sz="6" w:space="0" w:color="000000"/>
              <w:left w:val="single" w:sz="8" w:space="0" w:color="000000"/>
              <w:bottom w:val="single" w:sz="6" w:space="0" w:color="000000"/>
              <w:right w:val="single" w:sz="6" w:space="0" w:color="000000"/>
            </w:tcBorders>
          </w:tcPr>
          <w:p w:rsidR="00BB6C98" w:rsidRPr="00BB6C98" w:rsidP="00BB6C98" w14:paraId="324F45FE" w14:textId="77777777">
            <w:pPr>
              <w:spacing w:line="259" w:lineRule="auto"/>
              <w:ind w:left="0" w:firstLine="0"/>
              <w:contextualSpacing/>
              <w:rPr>
                <w:rFonts w:cstheme="minorHAnsi"/>
                <w:sz w:val="20"/>
                <w:szCs w:val="20"/>
              </w:rPr>
            </w:pPr>
            <w:r w:rsidRPr="00BB6C98">
              <w:rPr>
                <w:rFonts w:cstheme="minorHAnsi"/>
                <w:sz w:val="20"/>
                <w:szCs w:val="20"/>
              </w:rPr>
              <w:t>2</w:t>
            </w:r>
          </w:p>
        </w:tc>
        <w:tc>
          <w:tcPr>
            <w:tcW w:w="1266" w:type="dxa"/>
            <w:tcBorders>
              <w:top w:val="single" w:sz="6" w:space="0" w:color="000000"/>
              <w:left w:val="single" w:sz="6" w:space="0" w:color="000000"/>
              <w:bottom w:val="single" w:sz="6" w:space="0" w:color="000000"/>
              <w:right w:val="single" w:sz="6" w:space="0" w:color="000000"/>
            </w:tcBorders>
            <w:vAlign w:val="center"/>
          </w:tcPr>
          <w:p w:rsidR="00BB6C98" w:rsidRPr="00BB6C98" w:rsidP="00BB6C98" w14:paraId="263CDDBE"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614" w:type="dxa"/>
            <w:tcBorders>
              <w:top w:val="single" w:sz="6" w:space="0" w:color="000000"/>
              <w:left w:val="single" w:sz="6" w:space="0" w:color="000000"/>
              <w:bottom w:val="single" w:sz="6" w:space="0" w:color="000000"/>
              <w:right w:val="single" w:sz="6" w:space="0" w:color="000000"/>
            </w:tcBorders>
            <w:vAlign w:val="center"/>
          </w:tcPr>
          <w:p w:rsidR="00BB6C98" w:rsidRPr="00BB6C98" w:rsidP="00BB6C98" w14:paraId="08138BE8" w14:textId="77777777">
            <w:pPr>
              <w:spacing w:line="259" w:lineRule="auto"/>
              <w:ind w:left="0" w:firstLine="0"/>
              <w:contextualSpacing/>
              <w:rPr>
                <w:rFonts w:cstheme="minorHAnsi"/>
                <w:sz w:val="20"/>
                <w:szCs w:val="20"/>
              </w:rPr>
            </w:pPr>
            <w:r w:rsidRPr="00BB6C98">
              <w:rPr>
                <w:rFonts w:cstheme="minorHAnsi"/>
                <w:sz w:val="20"/>
                <w:szCs w:val="20"/>
              </w:rPr>
              <w:t>167</w:t>
            </w:r>
          </w:p>
        </w:tc>
        <w:tc>
          <w:tcPr>
            <w:tcW w:w="1980" w:type="dxa"/>
            <w:tcBorders>
              <w:top w:val="single" w:sz="6" w:space="0" w:color="000000"/>
              <w:left w:val="single" w:sz="6" w:space="0" w:color="000000"/>
              <w:bottom w:val="single" w:sz="6" w:space="0" w:color="000000"/>
              <w:right w:val="single" w:sz="6" w:space="0" w:color="000000"/>
            </w:tcBorders>
            <w:vAlign w:val="center"/>
          </w:tcPr>
          <w:p w:rsidR="00BB6C98" w:rsidRPr="00BB6C98" w:rsidP="00BB6C98" w14:paraId="70EAFA80"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890" w:type="dxa"/>
            <w:tcBorders>
              <w:top w:val="single" w:sz="6" w:space="0" w:color="000000"/>
              <w:left w:val="single" w:sz="6" w:space="0" w:color="000000"/>
              <w:bottom w:val="single" w:sz="6" w:space="0" w:color="000000"/>
              <w:right w:val="single" w:sz="6" w:space="0" w:color="000000"/>
            </w:tcBorders>
            <w:vAlign w:val="center"/>
          </w:tcPr>
          <w:p w:rsidR="00BB6C98" w:rsidRPr="00BB6C98" w:rsidP="00BB6C98" w14:paraId="0198FBB0"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378" w:type="dxa"/>
            <w:tcBorders>
              <w:top w:val="single" w:sz="6" w:space="0" w:color="000000"/>
              <w:left w:val="single" w:sz="6" w:space="0" w:color="000000"/>
              <w:bottom w:val="single" w:sz="6" w:space="0" w:color="000000"/>
              <w:right w:val="single" w:sz="8" w:space="0" w:color="000000"/>
            </w:tcBorders>
            <w:vAlign w:val="center"/>
          </w:tcPr>
          <w:p w:rsidR="00BB6C98" w:rsidRPr="00BB6C98" w:rsidP="00BB6C98" w14:paraId="64FC33BA" w14:textId="77777777">
            <w:pPr>
              <w:spacing w:line="259" w:lineRule="auto"/>
              <w:ind w:left="0" w:firstLine="0"/>
              <w:contextualSpacing/>
              <w:rPr>
                <w:rFonts w:cstheme="minorHAnsi"/>
                <w:sz w:val="20"/>
                <w:szCs w:val="20"/>
              </w:rPr>
            </w:pPr>
            <w:r w:rsidRPr="00BB6C98">
              <w:rPr>
                <w:rFonts w:cstheme="minorHAnsi"/>
                <w:sz w:val="20"/>
                <w:szCs w:val="20"/>
              </w:rPr>
              <w:t>167</w:t>
            </w:r>
          </w:p>
        </w:tc>
      </w:tr>
      <w:tr w14:paraId="1DDAE059" w14:textId="77777777" w:rsidTr="00F55831">
        <w:tblPrEx>
          <w:tblW w:w="9359" w:type="dxa"/>
          <w:tblInd w:w="110" w:type="dxa"/>
          <w:tblLayout w:type="fixed"/>
          <w:tblCellMar>
            <w:left w:w="110" w:type="dxa"/>
            <w:right w:w="110" w:type="dxa"/>
          </w:tblCellMar>
          <w:tblLook w:val="0000"/>
        </w:tblPrEx>
        <w:tc>
          <w:tcPr>
            <w:tcW w:w="1231" w:type="dxa"/>
            <w:tcBorders>
              <w:top w:val="single" w:sz="6" w:space="0" w:color="000000"/>
              <w:left w:val="single" w:sz="8" w:space="0" w:color="000000"/>
              <w:bottom w:val="single" w:sz="6" w:space="0" w:color="000000"/>
              <w:right w:val="single" w:sz="6" w:space="0" w:color="000000"/>
            </w:tcBorders>
          </w:tcPr>
          <w:p w:rsidR="00BB6C98" w:rsidRPr="00BB6C98" w:rsidP="00BB6C98" w14:paraId="0E19ECFF" w14:textId="77777777">
            <w:pPr>
              <w:spacing w:line="259" w:lineRule="auto"/>
              <w:ind w:left="0" w:firstLine="0"/>
              <w:contextualSpacing/>
              <w:rPr>
                <w:rFonts w:cstheme="minorHAnsi"/>
                <w:sz w:val="20"/>
                <w:szCs w:val="20"/>
              </w:rPr>
            </w:pPr>
            <w:r w:rsidRPr="00BB6C98">
              <w:rPr>
                <w:rFonts w:cstheme="minorHAnsi"/>
                <w:sz w:val="20"/>
                <w:szCs w:val="20"/>
              </w:rPr>
              <w:t>3</w:t>
            </w:r>
          </w:p>
        </w:tc>
        <w:tc>
          <w:tcPr>
            <w:tcW w:w="1266" w:type="dxa"/>
            <w:tcBorders>
              <w:top w:val="single" w:sz="6" w:space="0" w:color="000000"/>
              <w:left w:val="single" w:sz="6" w:space="0" w:color="000000"/>
              <w:bottom w:val="single" w:sz="6" w:space="0" w:color="000000"/>
              <w:right w:val="single" w:sz="6" w:space="0" w:color="000000"/>
            </w:tcBorders>
            <w:vAlign w:val="center"/>
          </w:tcPr>
          <w:p w:rsidR="00BB6C98" w:rsidRPr="00BB6C98" w:rsidP="00BB6C98" w14:paraId="13A5BC25"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614" w:type="dxa"/>
            <w:tcBorders>
              <w:top w:val="single" w:sz="6" w:space="0" w:color="000000"/>
              <w:left w:val="single" w:sz="6" w:space="0" w:color="000000"/>
              <w:bottom w:val="single" w:sz="6" w:space="0" w:color="000000"/>
              <w:right w:val="single" w:sz="6" w:space="0" w:color="000000"/>
            </w:tcBorders>
            <w:vAlign w:val="center"/>
          </w:tcPr>
          <w:p w:rsidR="00BB6C98" w:rsidRPr="00BB6C98" w:rsidP="00BB6C98" w14:paraId="582F922F" w14:textId="77777777">
            <w:pPr>
              <w:spacing w:line="259" w:lineRule="auto"/>
              <w:ind w:left="0" w:firstLine="0"/>
              <w:contextualSpacing/>
              <w:rPr>
                <w:rFonts w:cstheme="minorHAnsi"/>
                <w:sz w:val="20"/>
                <w:szCs w:val="20"/>
              </w:rPr>
            </w:pPr>
            <w:r w:rsidRPr="00BB6C98">
              <w:rPr>
                <w:rFonts w:cstheme="minorHAnsi"/>
                <w:sz w:val="20"/>
                <w:szCs w:val="20"/>
              </w:rPr>
              <w:t>167</w:t>
            </w:r>
          </w:p>
        </w:tc>
        <w:tc>
          <w:tcPr>
            <w:tcW w:w="1980" w:type="dxa"/>
            <w:tcBorders>
              <w:top w:val="single" w:sz="6" w:space="0" w:color="000000"/>
              <w:left w:val="single" w:sz="6" w:space="0" w:color="000000"/>
              <w:bottom w:val="single" w:sz="6" w:space="0" w:color="000000"/>
              <w:right w:val="single" w:sz="6" w:space="0" w:color="000000"/>
            </w:tcBorders>
            <w:vAlign w:val="center"/>
          </w:tcPr>
          <w:p w:rsidR="00BB6C98" w:rsidRPr="00BB6C98" w:rsidP="00BB6C98" w14:paraId="3407FE80"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890" w:type="dxa"/>
            <w:tcBorders>
              <w:top w:val="single" w:sz="6" w:space="0" w:color="000000"/>
              <w:left w:val="single" w:sz="6" w:space="0" w:color="000000"/>
              <w:bottom w:val="single" w:sz="6" w:space="0" w:color="000000"/>
              <w:right w:val="single" w:sz="6" w:space="0" w:color="000000"/>
            </w:tcBorders>
            <w:vAlign w:val="center"/>
          </w:tcPr>
          <w:p w:rsidR="00BB6C98" w:rsidRPr="00BB6C98" w:rsidP="00BB6C98" w14:paraId="31BB3DC8"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378" w:type="dxa"/>
            <w:tcBorders>
              <w:top w:val="single" w:sz="6" w:space="0" w:color="000000"/>
              <w:left w:val="single" w:sz="6" w:space="0" w:color="000000"/>
              <w:bottom w:val="single" w:sz="6" w:space="0" w:color="000000"/>
              <w:right w:val="single" w:sz="8" w:space="0" w:color="000000"/>
            </w:tcBorders>
            <w:vAlign w:val="center"/>
          </w:tcPr>
          <w:p w:rsidR="00BB6C98" w:rsidRPr="00BB6C98" w:rsidP="00BB6C98" w14:paraId="773DEDDB" w14:textId="77777777">
            <w:pPr>
              <w:spacing w:line="259" w:lineRule="auto"/>
              <w:ind w:left="0" w:firstLine="0"/>
              <w:contextualSpacing/>
              <w:rPr>
                <w:rFonts w:cstheme="minorHAnsi"/>
                <w:sz w:val="20"/>
                <w:szCs w:val="20"/>
              </w:rPr>
            </w:pPr>
            <w:r w:rsidRPr="00BB6C98">
              <w:rPr>
                <w:rFonts w:cstheme="minorHAnsi"/>
                <w:sz w:val="20"/>
                <w:szCs w:val="20"/>
              </w:rPr>
              <w:t>167</w:t>
            </w:r>
          </w:p>
        </w:tc>
      </w:tr>
      <w:tr w14:paraId="46E876C6" w14:textId="77777777" w:rsidTr="00F55831">
        <w:tblPrEx>
          <w:tblW w:w="9359" w:type="dxa"/>
          <w:tblInd w:w="110" w:type="dxa"/>
          <w:tblLayout w:type="fixed"/>
          <w:tblCellMar>
            <w:left w:w="110" w:type="dxa"/>
            <w:right w:w="110" w:type="dxa"/>
          </w:tblCellMar>
          <w:tblLook w:val="0000"/>
        </w:tblPrEx>
        <w:tc>
          <w:tcPr>
            <w:tcW w:w="1231" w:type="dxa"/>
            <w:tcBorders>
              <w:top w:val="single" w:sz="6" w:space="0" w:color="000000"/>
              <w:left w:val="single" w:sz="8" w:space="0" w:color="000000"/>
              <w:bottom w:val="single" w:sz="8" w:space="0" w:color="000000"/>
              <w:right w:val="single" w:sz="6" w:space="0" w:color="000000"/>
            </w:tcBorders>
          </w:tcPr>
          <w:p w:rsidR="00BB6C98" w:rsidRPr="00BB6C98" w:rsidP="00BB6C98" w14:paraId="70DD7E7C" w14:textId="77777777">
            <w:pPr>
              <w:spacing w:line="259" w:lineRule="auto"/>
              <w:ind w:left="0" w:firstLine="0"/>
              <w:contextualSpacing/>
              <w:rPr>
                <w:rFonts w:cstheme="minorHAnsi"/>
                <w:sz w:val="20"/>
                <w:szCs w:val="20"/>
              </w:rPr>
            </w:pPr>
            <w:r w:rsidRPr="00BB6C98">
              <w:rPr>
                <w:rFonts w:cstheme="minorHAnsi"/>
                <w:sz w:val="20"/>
                <w:szCs w:val="20"/>
              </w:rPr>
              <w:t>Average</w:t>
            </w:r>
          </w:p>
        </w:tc>
        <w:tc>
          <w:tcPr>
            <w:tcW w:w="1266" w:type="dxa"/>
            <w:tcBorders>
              <w:top w:val="single" w:sz="6" w:space="0" w:color="000000"/>
              <w:left w:val="single" w:sz="6" w:space="0" w:color="000000"/>
              <w:bottom w:val="single" w:sz="8" w:space="0" w:color="000000"/>
              <w:right w:val="single" w:sz="6" w:space="0" w:color="000000"/>
            </w:tcBorders>
            <w:vAlign w:val="center"/>
          </w:tcPr>
          <w:p w:rsidR="00BB6C98" w:rsidRPr="00BB6C98" w:rsidP="00BB6C98" w14:paraId="7C4A582C"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614" w:type="dxa"/>
            <w:tcBorders>
              <w:top w:val="single" w:sz="6" w:space="0" w:color="000000"/>
              <w:left w:val="single" w:sz="6" w:space="0" w:color="000000"/>
              <w:bottom w:val="single" w:sz="8" w:space="0" w:color="000000"/>
              <w:right w:val="single" w:sz="6" w:space="0" w:color="000000"/>
            </w:tcBorders>
            <w:vAlign w:val="center"/>
          </w:tcPr>
          <w:p w:rsidR="00BB6C98" w:rsidRPr="00BB6C98" w:rsidP="00BB6C98" w14:paraId="4B259D60" w14:textId="77777777">
            <w:pPr>
              <w:spacing w:line="259" w:lineRule="auto"/>
              <w:ind w:left="0" w:firstLine="0"/>
              <w:contextualSpacing/>
              <w:rPr>
                <w:rFonts w:cstheme="minorHAnsi"/>
                <w:sz w:val="20"/>
                <w:szCs w:val="20"/>
              </w:rPr>
            </w:pPr>
            <w:r w:rsidRPr="00BB6C98">
              <w:rPr>
                <w:rFonts w:cstheme="minorHAnsi"/>
                <w:sz w:val="20"/>
                <w:szCs w:val="20"/>
              </w:rPr>
              <w:t>167</w:t>
            </w:r>
          </w:p>
        </w:tc>
        <w:tc>
          <w:tcPr>
            <w:tcW w:w="1980" w:type="dxa"/>
            <w:tcBorders>
              <w:top w:val="single" w:sz="6" w:space="0" w:color="000000"/>
              <w:left w:val="single" w:sz="6" w:space="0" w:color="000000"/>
              <w:bottom w:val="single" w:sz="8" w:space="0" w:color="000000"/>
              <w:right w:val="single" w:sz="6" w:space="0" w:color="000000"/>
            </w:tcBorders>
            <w:vAlign w:val="center"/>
          </w:tcPr>
          <w:p w:rsidR="00BB6C98" w:rsidRPr="00BB6C98" w:rsidP="00BB6C98" w14:paraId="7D133C6B"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890" w:type="dxa"/>
            <w:tcBorders>
              <w:top w:val="single" w:sz="6" w:space="0" w:color="000000"/>
              <w:left w:val="single" w:sz="6" w:space="0" w:color="000000"/>
              <w:bottom w:val="single" w:sz="8" w:space="0" w:color="000000"/>
              <w:right w:val="single" w:sz="6" w:space="0" w:color="000000"/>
            </w:tcBorders>
            <w:vAlign w:val="center"/>
          </w:tcPr>
          <w:p w:rsidR="00BB6C98" w:rsidRPr="00BB6C98" w:rsidP="00BB6C98" w14:paraId="6601DF30" w14:textId="77777777">
            <w:pPr>
              <w:spacing w:line="259" w:lineRule="auto"/>
              <w:ind w:left="0" w:firstLine="0"/>
              <w:contextualSpacing/>
              <w:rPr>
                <w:rFonts w:cstheme="minorHAnsi"/>
                <w:sz w:val="20"/>
                <w:szCs w:val="20"/>
              </w:rPr>
            </w:pPr>
            <w:r w:rsidRPr="00BB6C98">
              <w:rPr>
                <w:rFonts w:cstheme="minorHAnsi"/>
                <w:sz w:val="20"/>
                <w:szCs w:val="20"/>
              </w:rPr>
              <w:t>0</w:t>
            </w:r>
          </w:p>
        </w:tc>
        <w:tc>
          <w:tcPr>
            <w:tcW w:w="1378" w:type="dxa"/>
            <w:tcBorders>
              <w:top w:val="single" w:sz="6" w:space="0" w:color="000000"/>
              <w:left w:val="single" w:sz="6" w:space="0" w:color="000000"/>
              <w:bottom w:val="single" w:sz="8" w:space="0" w:color="000000"/>
              <w:right w:val="single" w:sz="8" w:space="0" w:color="000000"/>
            </w:tcBorders>
            <w:vAlign w:val="center"/>
          </w:tcPr>
          <w:p w:rsidR="00BB6C98" w:rsidRPr="00BB6C98" w:rsidP="00BB6C98" w14:paraId="70DC1A43" w14:textId="77777777">
            <w:pPr>
              <w:spacing w:line="259" w:lineRule="auto"/>
              <w:ind w:left="0" w:firstLine="0"/>
              <w:contextualSpacing/>
              <w:rPr>
                <w:rFonts w:cstheme="minorHAnsi"/>
                <w:sz w:val="20"/>
                <w:szCs w:val="20"/>
              </w:rPr>
            </w:pPr>
            <w:r w:rsidRPr="00BB6C98">
              <w:rPr>
                <w:rFonts w:cstheme="minorHAnsi"/>
                <w:sz w:val="20"/>
                <w:szCs w:val="20"/>
              </w:rPr>
              <w:t>167</w:t>
            </w:r>
          </w:p>
        </w:tc>
      </w:tr>
    </w:tbl>
    <w:p w:rsidR="00036618" w:rsidP="00036618" w14:paraId="375EF247" w14:textId="0632AE92">
      <w:pPr>
        <w:spacing w:line="259" w:lineRule="auto"/>
        <w:ind w:left="0" w:firstLine="0"/>
        <w:rPr>
          <w:rFonts w:cstheme="minorHAnsi"/>
        </w:rPr>
      </w:pPr>
      <w:r w:rsidRPr="00BB6C98">
        <w:rPr>
          <w:rFonts w:cstheme="minorHAnsi"/>
          <w:sz w:val="20"/>
          <w:szCs w:val="20"/>
          <w:vertAlign w:val="superscript"/>
        </w:rPr>
        <w:t>1</w:t>
      </w:r>
      <w:r w:rsidRPr="00BB6C98">
        <w:rPr>
          <w:rFonts w:cstheme="minorHAnsi"/>
        </w:rPr>
        <w:t xml:space="preserve"> New </w:t>
      </w:r>
      <w:r w:rsidRPr="00BB6C98">
        <w:rPr>
          <w:rFonts w:cstheme="minorHAnsi"/>
        </w:rPr>
        <w:t>respondents</w:t>
      </w:r>
      <w:r w:rsidRPr="00BB6C98">
        <w:rPr>
          <w:rFonts w:cstheme="minorHAnsi"/>
        </w:rPr>
        <w:t xml:space="preserve"> include sources with constructed, reconstructed and modified affected facilities.</w:t>
      </w:r>
    </w:p>
    <w:p w:rsidR="00BB6C98" w:rsidRPr="00BB6C98" w:rsidP="00BB6C98" w14:paraId="356D841C" w14:textId="77777777">
      <w:pPr>
        <w:spacing w:line="259" w:lineRule="auto"/>
        <w:ind w:left="0" w:firstLine="0"/>
        <w:rPr>
          <w:rFonts w:cstheme="minorHAnsi"/>
        </w:rPr>
      </w:pPr>
      <w:r w:rsidRPr="00BB6C98">
        <w:rPr>
          <w:rFonts w:cstheme="minorHAnsi"/>
        </w:rPr>
        <w:t>Column D is subtracted to avoid double-counting respondents. As shown above, the average Number of Respondents over the three-year period of this ICR is 167.</w:t>
      </w:r>
    </w:p>
    <w:p w:rsidR="00BB6C98" w:rsidP="00BB6C98" w14:paraId="32198FB3" w14:textId="413AE77A">
      <w:pPr>
        <w:spacing w:line="259" w:lineRule="auto"/>
        <w:ind w:left="0" w:firstLine="0"/>
        <w:rPr>
          <w:rFonts w:cstheme="minorHAnsi"/>
        </w:rPr>
      </w:pPr>
      <w:r w:rsidRPr="00BB6C98">
        <w:rPr>
          <w:rFonts w:cstheme="minorHAnsi"/>
        </w:rPr>
        <w:t>The total number of annual responses per year is calculated using the following table:</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939"/>
        <w:gridCol w:w="1350"/>
        <w:gridCol w:w="1260"/>
        <w:gridCol w:w="1980"/>
        <w:gridCol w:w="1651"/>
      </w:tblGrid>
      <w:tr w14:paraId="7659511C" w14:textId="77777777" w:rsidTr="00BD3B52">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691045" w:rsidRPr="00691045" w:rsidP="00691045" w14:paraId="39D9DF53" w14:textId="77777777">
            <w:pPr>
              <w:spacing w:line="259" w:lineRule="auto"/>
              <w:ind w:left="0" w:firstLine="0"/>
              <w:contextualSpacing/>
              <w:rPr>
                <w:rFonts w:cstheme="minorHAnsi"/>
                <w:b/>
                <w:bCs/>
                <w:sz w:val="20"/>
                <w:szCs w:val="20"/>
              </w:rPr>
            </w:pPr>
            <w:r w:rsidRPr="00691045">
              <w:rPr>
                <w:rFonts w:cstheme="minorHAnsi"/>
                <w:b/>
                <w:bCs/>
                <w:sz w:val="20"/>
                <w:szCs w:val="20"/>
              </w:rPr>
              <w:t>Total Annual Responses</w:t>
            </w:r>
          </w:p>
        </w:tc>
      </w:tr>
      <w:tr w14:paraId="4CF645CE" w14:textId="77777777" w:rsidTr="00691045">
        <w:tblPrEx>
          <w:tblW w:w="9180" w:type="dxa"/>
          <w:tblInd w:w="201" w:type="dxa"/>
          <w:tblLayout w:type="fixed"/>
          <w:tblCellMar>
            <w:left w:w="111" w:type="dxa"/>
            <w:right w:w="111" w:type="dxa"/>
          </w:tblCellMar>
          <w:tblLook w:val="0000"/>
        </w:tblPrEx>
        <w:tc>
          <w:tcPr>
            <w:tcW w:w="2939" w:type="dxa"/>
          </w:tcPr>
          <w:p w:rsidR="00691045" w:rsidRPr="00691045" w:rsidP="00691045" w14:paraId="486C465D" w14:textId="77777777">
            <w:pPr>
              <w:spacing w:line="259" w:lineRule="auto"/>
              <w:ind w:left="0" w:firstLine="0"/>
              <w:contextualSpacing/>
              <w:rPr>
                <w:rFonts w:cstheme="minorHAnsi"/>
                <w:sz w:val="20"/>
                <w:szCs w:val="20"/>
              </w:rPr>
            </w:pPr>
            <w:r w:rsidRPr="00691045">
              <w:rPr>
                <w:rFonts w:cstheme="minorHAnsi"/>
                <w:sz w:val="20"/>
                <w:szCs w:val="20"/>
              </w:rPr>
              <w:t>(A)</w:t>
            </w:r>
          </w:p>
          <w:p w:rsidR="00691045" w:rsidRPr="00691045" w:rsidP="00691045" w14:paraId="76CB0B3F" w14:textId="77777777">
            <w:pPr>
              <w:spacing w:line="259" w:lineRule="auto"/>
              <w:ind w:left="0" w:firstLine="0"/>
              <w:contextualSpacing/>
              <w:rPr>
                <w:rFonts w:cstheme="minorHAnsi"/>
                <w:sz w:val="20"/>
                <w:szCs w:val="20"/>
              </w:rPr>
            </w:pPr>
            <w:r w:rsidRPr="00691045">
              <w:rPr>
                <w:rFonts w:cstheme="minorHAnsi"/>
                <w:sz w:val="20"/>
                <w:szCs w:val="20"/>
              </w:rPr>
              <w:t>Information Collection Activity</w:t>
            </w:r>
          </w:p>
        </w:tc>
        <w:tc>
          <w:tcPr>
            <w:tcW w:w="1350" w:type="dxa"/>
          </w:tcPr>
          <w:p w:rsidR="00691045" w:rsidRPr="00691045" w:rsidP="00691045" w14:paraId="2928ECDD" w14:textId="77777777">
            <w:pPr>
              <w:spacing w:line="259" w:lineRule="auto"/>
              <w:ind w:left="0" w:firstLine="0"/>
              <w:contextualSpacing/>
              <w:rPr>
                <w:rFonts w:cstheme="minorHAnsi"/>
                <w:sz w:val="20"/>
                <w:szCs w:val="20"/>
              </w:rPr>
            </w:pPr>
            <w:r w:rsidRPr="00691045">
              <w:rPr>
                <w:rFonts w:cstheme="minorHAnsi"/>
                <w:sz w:val="20"/>
                <w:szCs w:val="20"/>
              </w:rPr>
              <w:t>(B)</w:t>
            </w:r>
          </w:p>
          <w:p w:rsidR="00691045" w:rsidRPr="00691045" w:rsidP="00691045" w14:paraId="6415594B" w14:textId="77777777">
            <w:pPr>
              <w:spacing w:line="259" w:lineRule="auto"/>
              <w:ind w:left="0" w:firstLine="0"/>
              <w:contextualSpacing/>
              <w:rPr>
                <w:rFonts w:cstheme="minorHAnsi"/>
                <w:sz w:val="20"/>
                <w:szCs w:val="20"/>
              </w:rPr>
            </w:pPr>
            <w:r w:rsidRPr="00691045">
              <w:rPr>
                <w:rFonts w:cstheme="minorHAnsi"/>
                <w:sz w:val="20"/>
                <w:szCs w:val="20"/>
              </w:rPr>
              <w:t>Number of Respondents</w:t>
            </w:r>
          </w:p>
        </w:tc>
        <w:tc>
          <w:tcPr>
            <w:tcW w:w="1260" w:type="dxa"/>
          </w:tcPr>
          <w:p w:rsidR="00691045" w:rsidRPr="00691045" w:rsidP="00691045" w14:paraId="4795186D" w14:textId="77777777">
            <w:pPr>
              <w:spacing w:line="259" w:lineRule="auto"/>
              <w:ind w:left="0" w:firstLine="0"/>
              <w:contextualSpacing/>
              <w:rPr>
                <w:rFonts w:cstheme="minorHAnsi"/>
                <w:sz w:val="20"/>
                <w:szCs w:val="20"/>
              </w:rPr>
            </w:pPr>
            <w:r w:rsidRPr="00691045">
              <w:rPr>
                <w:rFonts w:cstheme="minorHAnsi"/>
                <w:sz w:val="20"/>
                <w:szCs w:val="20"/>
              </w:rPr>
              <w:t>(C)</w:t>
            </w:r>
          </w:p>
          <w:p w:rsidR="00691045" w:rsidRPr="00691045" w:rsidP="00691045" w14:paraId="7AAA0C23" w14:textId="77777777">
            <w:pPr>
              <w:spacing w:line="259" w:lineRule="auto"/>
              <w:ind w:left="0" w:firstLine="0"/>
              <w:contextualSpacing/>
              <w:rPr>
                <w:rFonts w:cstheme="minorHAnsi"/>
                <w:sz w:val="20"/>
                <w:szCs w:val="20"/>
              </w:rPr>
            </w:pPr>
            <w:r w:rsidRPr="00691045">
              <w:rPr>
                <w:rFonts w:cstheme="minorHAnsi"/>
                <w:sz w:val="20"/>
                <w:szCs w:val="20"/>
              </w:rPr>
              <w:t>Number of Responses</w:t>
            </w:r>
          </w:p>
        </w:tc>
        <w:tc>
          <w:tcPr>
            <w:tcW w:w="1980" w:type="dxa"/>
          </w:tcPr>
          <w:p w:rsidR="00691045" w:rsidRPr="00691045" w:rsidP="00691045" w14:paraId="74A05853" w14:textId="77777777">
            <w:pPr>
              <w:spacing w:line="259" w:lineRule="auto"/>
              <w:ind w:left="0" w:firstLine="0"/>
              <w:contextualSpacing/>
              <w:rPr>
                <w:rFonts w:cstheme="minorHAnsi"/>
                <w:sz w:val="20"/>
                <w:szCs w:val="20"/>
              </w:rPr>
            </w:pPr>
            <w:r w:rsidRPr="00691045">
              <w:rPr>
                <w:rFonts w:cstheme="minorHAnsi"/>
                <w:sz w:val="20"/>
                <w:szCs w:val="20"/>
              </w:rPr>
              <w:t>(D)</w:t>
            </w:r>
          </w:p>
          <w:p w:rsidR="00691045" w:rsidRPr="00691045" w:rsidP="00691045" w14:paraId="46695E17" w14:textId="77777777">
            <w:pPr>
              <w:spacing w:line="259" w:lineRule="auto"/>
              <w:ind w:left="0" w:firstLine="0"/>
              <w:contextualSpacing/>
              <w:rPr>
                <w:rFonts w:cstheme="minorHAnsi"/>
                <w:sz w:val="20"/>
                <w:szCs w:val="20"/>
              </w:rPr>
            </w:pPr>
            <w:r w:rsidRPr="00691045">
              <w:rPr>
                <w:rFonts w:cstheme="minorHAnsi"/>
                <w:sz w:val="20"/>
                <w:szCs w:val="20"/>
              </w:rPr>
              <w:t xml:space="preserve">Number of Existing Respondents That Keep Records </w:t>
            </w:r>
            <w:r w:rsidRPr="00691045">
              <w:rPr>
                <w:rFonts w:cstheme="minorHAnsi"/>
                <w:sz w:val="20"/>
                <w:szCs w:val="20"/>
              </w:rPr>
              <w:t>But</w:t>
            </w:r>
            <w:r w:rsidRPr="00691045">
              <w:rPr>
                <w:rFonts w:cstheme="minorHAnsi"/>
                <w:sz w:val="20"/>
                <w:szCs w:val="20"/>
              </w:rPr>
              <w:t xml:space="preserve"> Do Not Submit Reports</w:t>
            </w:r>
          </w:p>
        </w:tc>
        <w:tc>
          <w:tcPr>
            <w:tcW w:w="1651" w:type="dxa"/>
          </w:tcPr>
          <w:p w:rsidR="00691045" w:rsidRPr="00691045" w:rsidP="00691045" w14:paraId="0FDEC00C" w14:textId="77777777">
            <w:pPr>
              <w:spacing w:line="259" w:lineRule="auto"/>
              <w:ind w:left="0" w:firstLine="0"/>
              <w:contextualSpacing/>
              <w:rPr>
                <w:rFonts w:cstheme="minorHAnsi"/>
                <w:sz w:val="20"/>
                <w:szCs w:val="20"/>
                <w:lang w:val="pt-BR"/>
              </w:rPr>
            </w:pPr>
            <w:r w:rsidRPr="00691045">
              <w:rPr>
                <w:rFonts w:cstheme="minorHAnsi"/>
                <w:sz w:val="20"/>
                <w:szCs w:val="20"/>
                <w:lang w:val="pt-BR"/>
              </w:rPr>
              <w:t>(E)</w:t>
            </w:r>
          </w:p>
          <w:p w:rsidR="00691045" w:rsidRPr="00691045" w:rsidP="00691045" w14:paraId="6F7A4561" w14:textId="77777777">
            <w:pPr>
              <w:spacing w:line="259" w:lineRule="auto"/>
              <w:ind w:left="0" w:firstLine="0"/>
              <w:contextualSpacing/>
              <w:rPr>
                <w:rFonts w:cstheme="minorHAnsi"/>
                <w:sz w:val="20"/>
                <w:szCs w:val="20"/>
                <w:lang w:val="pt-BR"/>
              </w:rPr>
            </w:pPr>
            <w:r w:rsidRPr="00691045">
              <w:rPr>
                <w:rFonts w:cstheme="minorHAnsi"/>
                <w:sz w:val="20"/>
                <w:szCs w:val="20"/>
                <w:lang w:val="pt-BR"/>
              </w:rPr>
              <w:t>Total Annual Responses</w:t>
            </w:r>
          </w:p>
          <w:p w:rsidR="00691045" w:rsidRPr="00691045" w:rsidP="00691045" w14:paraId="40C47CD8" w14:textId="77777777">
            <w:pPr>
              <w:spacing w:line="259" w:lineRule="auto"/>
              <w:ind w:left="0" w:firstLine="0"/>
              <w:contextualSpacing/>
              <w:rPr>
                <w:rFonts w:cstheme="minorHAnsi"/>
                <w:sz w:val="20"/>
                <w:szCs w:val="20"/>
                <w:lang w:val="pt-BR"/>
              </w:rPr>
            </w:pPr>
            <w:r w:rsidRPr="00691045">
              <w:rPr>
                <w:rFonts w:cstheme="minorHAnsi"/>
                <w:sz w:val="20"/>
                <w:szCs w:val="20"/>
                <w:lang w:val="pt-BR"/>
              </w:rPr>
              <w:t>E=(BxC)+D</w:t>
            </w:r>
          </w:p>
        </w:tc>
      </w:tr>
      <w:tr w14:paraId="560CC6EB" w14:textId="77777777" w:rsidTr="00691045">
        <w:tblPrEx>
          <w:tblW w:w="9180" w:type="dxa"/>
          <w:tblInd w:w="201" w:type="dxa"/>
          <w:tblLayout w:type="fixed"/>
          <w:tblCellMar>
            <w:left w:w="111" w:type="dxa"/>
            <w:right w:w="111" w:type="dxa"/>
          </w:tblCellMar>
          <w:tblLook w:val="0000"/>
        </w:tblPrEx>
        <w:trPr>
          <w:trHeight w:val="366"/>
        </w:trPr>
        <w:tc>
          <w:tcPr>
            <w:tcW w:w="2939" w:type="dxa"/>
            <w:vAlign w:val="center"/>
          </w:tcPr>
          <w:p w:rsidR="00691045" w:rsidRPr="00691045" w:rsidP="00691045" w14:paraId="1EE0D9C9" w14:textId="77777777">
            <w:pPr>
              <w:spacing w:line="259" w:lineRule="auto"/>
              <w:ind w:left="0" w:firstLine="0"/>
              <w:contextualSpacing/>
              <w:rPr>
                <w:rFonts w:cstheme="minorHAnsi"/>
                <w:sz w:val="20"/>
                <w:szCs w:val="20"/>
              </w:rPr>
            </w:pPr>
            <w:r w:rsidRPr="00691045">
              <w:rPr>
                <w:rFonts w:cstheme="minorHAnsi"/>
                <w:sz w:val="20"/>
                <w:szCs w:val="20"/>
              </w:rPr>
              <w:t>Notification of construction/reconstruction or modification</w:t>
            </w:r>
          </w:p>
        </w:tc>
        <w:tc>
          <w:tcPr>
            <w:tcW w:w="1350" w:type="dxa"/>
            <w:vAlign w:val="center"/>
          </w:tcPr>
          <w:p w:rsidR="00691045" w:rsidRPr="00691045" w:rsidP="00691045" w14:paraId="330FC7B7"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260" w:type="dxa"/>
            <w:vAlign w:val="center"/>
          </w:tcPr>
          <w:p w:rsidR="00691045" w:rsidRPr="00691045" w:rsidP="00691045" w14:paraId="7F6D8D32"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980" w:type="dxa"/>
            <w:vAlign w:val="center"/>
          </w:tcPr>
          <w:p w:rsidR="00691045" w:rsidRPr="00691045" w:rsidP="00691045" w14:paraId="28CEAF93"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651" w:type="dxa"/>
            <w:vAlign w:val="center"/>
          </w:tcPr>
          <w:p w:rsidR="00691045" w:rsidRPr="00691045" w:rsidP="00691045" w14:paraId="1C327059" w14:textId="77777777">
            <w:pPr>
              <w:spacing w:line="259" w:lineRule="auto"/>
              <w:ind w:left="0" w:firstLine="0"/>
              <w:contextualSpacing/>
              <w:rPr>
                <w:rFonts w:cstheme="minorHAnsi"/>
                <w:sz w:val="20"/>
                <w:szCs w:val="20"/>
              </w:rPr>
            </w:pPr>
            <w:r w:rsidRPr="00691045">
              <w:rPr>
                <w:rFonts w:cstheme="minorHAnsi"/>
                <w:sz w:val="20"/>
                <w:szCs w:val="20"/>
              </w:rPr>
              <w:t>0</w:t>
            </w:r>
          </w:p>
        </w:tc>
      </w:tr>
      <w:tr w14:paraId="09C3B87E" w14:textId="77777777" w:rsidTr="00691045">
        <w:tblPrEx>
          <w:tblW w:w="9180" w:type="dxa"/>
          <w:tblInd w:w="201" w:type="dxa"/>
          <w:tblLayout w:type="fixed"/>
          <w:tblCellMar>
            <w:left w:w="111" w:type="dxa"/>
            <w:right w:w="111" w:type="dxa"/>
          </w:tblCellMar>
          <w:tblLook w:val="0000"/>
        </w:tblPrEx>
        <w:trPr>
          <w:trHeight w:val="366"/>
        </w:trPr>
        <w:tc>
          <w:tcPr>
            <w:tcW w:w="2939" w:type="dxa"/>
            <w:vAlign w:val="center"/>
          </w:tcPr>
          <w:p w:rsidR="00691045" w:rsidRPr="00691045" w:rsidP="00691045" w14:paraId="4338153D" w14:textId="77777777">
            <w:pPr>
              <w:spacing w:line="259" w:lineRule="auto"/>
              <w:ind w:left="0" w:firstLine="0"/>
              <w:contextualSpacing/>
              <w:rPr>
                <w:rFonts w:cstheme="minorHAnsi"/>
                <w:sz w:val="20"/>
                <w:szCs w:val="20"/>
              </w:rPr>
            </w:pPr>
            <w:r w:rsidRPr="00691045">
              <w:rPr>
                <w:rFonts w:cstheme="minorHAnsi"/>
                <w:sz w:val="20"/>
                <w:szCs w:val="20"/>
              </w:rPr>
              <w:t>Notification of actual startup</w:t>
            </w:r>
          </w:p>
        </w:tc>
        <w:tc>
          <w:tcPr>
            <w:tcW w:w="1350" w:type="dxa"/>
            <w:vAlign w:val="center"/>
          </w:tcPr>
          <w:p w:rsidR="00691045" w:rsidRPr="00691045" w:rsidP="00691045" w14:paraId="5993A644"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260" w:type="dxa"/>
            <w:vAlign w:val="center"/>
          </w:tcPr>
          <w:p w:rsidR="00691045" w:rsidRPr="00691045" w:rsidP="00691045" w14:paraId="105E6821"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980" w:type="dxa"/>
            <w:vAlign w:val="center"/>
          </w:tcPr>
          <w:p w:rsidR="00691045" w:rsidRPr="00691045" w:rsidP="00691045" w14:paraId="10CD8345"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651" w:type="dxa"/>
            <w:vAlign w:val="center"/>
          </w:tcPr>
          <w:p w:rsidR="00691045" w:rsidRPr="00691045" w:rsidP="00691045" w14:paraId="3731BA45" w14:textId="77777777">
            <w:pPr>
              <w:spacing w:line="259" w:lineRule="auto"/>
              <w:ind w:left="0" w:firstLine="0"/>
              <w:contextualSpacing/>
              <w:rPr>
                <w:rFonts w:cstheme="minorHAnsi"/>
                <w:sz w:val="20"/>
                <w:szCs w:val="20"/>
              </w:rPr>
            </w:pPr>
            <w:r w:rsidRPr="00691045">
              <w:rPr>
                <w:rFonts w:cstheme="minorHAnsi"/>
                <w:sz w:val="20"/>
                <w:szCs w:val="20"/>
              </w:rPr>
              <w:t>0</w:t>
            </w:r>
          </w:p>
        </w:tc>
      </w:tr>
      <w:tr w14:paraId="7C913B6E" w14:textId="77777777" w:rsidTr="00691045">
        <w:tblPrEx>
          <w:tblW w:w="9180" w:type="dxa"/>
          <w:tblInd w:w="201" w:type="dxa"/>
          <w:tblLayout w:type="fixed"/>
          <w:tblCellMar>
            <w:left w:w="111" w:type="dxa"/>
            <w:right w:w="111" w:type="dxa"/>
          </w:tblCellMar>
          <w:tblLook w:val="0000"/>
        </w:tblPrEx>
        <w:trPr>
          <w:trHeight w:val="366"/>
        </w:trPr>
        <w:tc>
          <w:tcPr>
            <w:tcW w:w="2939" w:type="dxa"/>
            <w:vAlign w:val="center"/>
          </w:tcPr>
          <w:p w:rsidR="00691045" w:rsidRPr="00691045" w:rsidP="00691045" w14:paraId="348981EE" w14:textId="77777777">
            <w:pPr>
              <w:spacing w:line="259" w:lineRule="auto"/>
              <w:ind w:left="0" w:firstLine="0"/>
              <w:contextualSpacing/>
              <w:rPr>
                <w:rFonts w:cstheme="minorHAnsi"/>
                <w:sz w:val="20"/>
                <w:szCs w:val="20"/>
              </w:rPr>
            </w:pPr>
            <w:r w:rsidRPr="00691045">
              <w:rPr>
                <w:rFonts w:cstheme="minorHAnsi"/>
                <w:sz w:val="20"/>
                <w:szCs w:val="20"/>
              </w:rPr>
              <w:t>Notification of demonstration of CMS</w:t>
            </w:r>
          </w:p>
        </w:tc>
        <w:tc>
          <w:tcPr>
            <w:tcW w:w="1350" w:type="dxa"/>
            <w:vAlign w:val="center"/>
          </w:tcPr>
          <w:p w:rsidR="00691045" w:rsidRPr="00691045" w:rsidP="00691045" w14:paraId="1A4A5E3B"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260" w:type="dxa"/>
            <w:vAlign w:val="center"/>
          </w:tcPr>
          <w:p w:rsidR="00691045" w:rsidRPr="00691045" w:rsidP="00691045" w14:paraId="320DBDF3"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980" w:type="dxa"/>
            <w:vAlign w:val="center"/>
          </w:tcPr>
          <w:p w:rsidR="00691045" w:rsidRPr="00691045" w:rsidP="00691045" w14:paraId="543CD5D0"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651" w:type="dxa"/>
            <w:vAlign w:val="center"/>
          </w:tcPr>
          <w:p w:rsidR="00691045" w:rsidRPr="00691045" w:rsidP="00691045" w14:paraId="3CE371CB" w14:textId="77777777">
            <w:pPr>
              <w:spacing w:line="259" w:lineRule="auto"/>
              <w:ind w:left="0" w:firstLine="0"/>
              <w:contextualSpacing/>
              <w:rPr>
                <w:rFonts w:cstheme="minorHAnsi"/>
                <w:sz w:val="20"/>
                <w:szCs w:val="20"/>
              </w:rPr>
            </w:pPr>
            <w:r w:rsidRPr="00691045">
              <w:rPr>
                <w:rFonts w:cstheme="minorHAnsi"/>
                <w:sz w:val="20"/>
                <w:szCs w:val="20"/>
              </w:rPr>
              <w:t>0</w:t>
            </w:r>
          </w:p>
        </w:tc>
      </w:tr>
      <w:tr w14:paraId="4FA3C068" w14:textId="77777777" w:rsidTr="00691045">
        <w:tblPrEx>
          <w:tblW w:w="9180" w:type="dxa"/>
          <w:tblInd w:w="201" w:type="dxa"/>
          <w:tblLayout w:type="fixed"/>
          <w:tblCellMar>
            <w:left w:w="111" w:type="dxa"/>
            <w:right w:w="111" w:type="dxa"/>
          </w:tblCellMar>
          <w:tblLook w:val="0000"/>
        </w:tblPrEx>
        <w:trPr>
          <w:trHeight w:val="366"/>
        </w:trPr>
        <w:tc>
          <w:tcPr>
            <w:tcW w:w="2939" w:type="dxa"/>
            <w:vAlign w:val="center"/>
          </w:tcPr>
          <w:p w:rsidR="00691045" w:rsidRPr="00691045" w:rsidP="00691045" w14:paraId="6AA1DE20" w14:textId="77777777">
            <w:pPr>
              <w:spacing w:line="259" w:lineRule="auto"/>
              <w:ind w:left="0" w:firstLine="0"/>
              <w:contextualSpacing/>
              <w:rPr>
                <w:rFonts w:cstheme="minorHAnsi"/>
                <w:sz w:val="20"/>
                <w:szCs w:val="20"/>
              </w:rPr>
            </w:pPr>
            <w:r w:rsidRPr="00691045">
              <w:rPr>
                <w:rFonts w:cstheme="minorHAnsi"/>
                <w:sz w:val="20"/>
                <w:szCs w:val="20"/>
              </w:rPr>
              <w:t>Notification of physical or operational change</w:t>
            </w:r>
          </w:p>
        </w:tc>
        <w:tc>
          <w:tcPr>
            <w:tcW w:w="1350" w:type="dxa"/>
            <w:vAlign w:val="center"/>
          </w:tcPr>
          <w:p w:rsidR="00691045" w:rsidRPr="00691045" w:rsidP="00691045" w14:paraId="5ED35281" w14:textId="77777777">
            <w:pPr>
              <w:spacing w:line="259" w:lineRule="auto"/>
              <w:ind w:left="0" w:firstLine="0"/>
              <w:contextualSpacing/>
              <w:rPr>
                <w:rFonts w:cstheme="minorHAnsi"/>
                <w:sz w:val="20"/>
                <w:szCs w:val="20"/>
              </w:rPr>
            </w:pPr>
            <w:r w:rsidRPr="00691045">
              <w:rPr>
                <w:rFonts w:cstheme="minorHAnsi"/>
                <w:sz w:val="20"/>
                <w:szCs w:val="20"/>
              </w:rPr>
              <w:t>1</w:t>
            </w:r>
          </w:p>
        </w:tc>
        <w:tc>
          <w:tcPr>
            <w:tcW w:w="1260" w:type="dxa"/>
            <w:vAlign w:val="center"/>
          </w:tcPr>
          <w:p w:rsidR="00691045" w:rsidRPr="00691045" w:rsidP="00691045" w14:paraId="6C1119BE" w14:textId="77777777">
            <w:pPr>
              <w:spacing w:line="259" w:lineRule="auto"/>
              <w:ind w:left="0" w:firstLine="0"/>
              <w:contextualSpacing/>
              <w:rPr>
                <w:rFonts w:cstheme="minorHAnsi"/>
                <w:sz w:val="20"/>
                <w:szCs w:val="20"/>
              </w:rPr>
            </w:pPr>
            <w:r w:rsidRPr="00691045">
              <w:rPr>
                <w:rFonts w:cstheme="minorHAnsi"/>
                <w:sz w:val="20"/>
                <w:szCs w:val="20"/>
              </w:rPr>
              <w:t>1</w:t>
            </w:r>
          </w:p>
        </w:tc>
        <w:tc>
          <w:tcPr>
            <w:tcW w:w="1980" w:type="dxa"/>
            <w:vAlign w:val="center"/>
          </w:tcPr>
          <w:p w:rsidR="00691045" w:rsidRPr="00691045" w:rsidP="00691045" w14:paraId="67158A07"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651" w:type="dxa"/>
            <w:vAlign w:val="center"/>
          </w:tcPr>
          <w:p w:rsidR="00691045" w:rsidRPr="00691045" w:rsidP="00691045" w14:paraId="405D200F" w14:textId="77777777">
            <w:pPr>
              <w:spacing w:line="259" w:lineRule="auto"/>
              <w:ind w:left="0" w:firstLine="0"/>
              <w:contextualSpacing/>
              <w:rPr>
                <w:rFonts w:cstheme="minorHAnsi"/>
                <w:sz w:val="20"/>
                <w:szCs w:val="20"/>
              </w:rPr>
            </w:pPr>
            <w:r w:rsidRPr="00691045">
              <w:rPr>
                <w:rFonts w:cstheme="minorHAnsi"/>
                <w:sz w:val="20"/>
                <w:szCs w:val="20"/>
              </w:rPr>
              <w:t>1</w:t>
            </w:r>
          </w:p>
        </w:tc>
      </w:tr>
      <w:tr w14:paraId="61818F25" w14:textId="77777777" w:rsidTr="00691045">
        <w:tblPrEx>
          <w:tblW w:w="9180" w:type="dxa"/>
          <w:tblInd w:w="201" w:type="dxa"/>
          <w:tblLayout w:type="fixed"/>
          <w:tblCellMar>
            <w:left w:w="111" w:type="dxa"/>
            <w:right w:w="111" w:type="dxa"/>
          </w:tblCellMar>
          <w:tblLook w:val="0000"/>
        </w:tblPrEx>
        <w:trPr>
          <w:trHeight w:val="366"/>
        </w:trPr>
        <w:tc>
          <w:tcPr>
            <w:tcW w:w="2939" w:type="dxa"/>
            <w:vAlign w:val="center"/>
          </w:tcPr>
          <w:p w:rsidR="00691045" w:rsidRPr="00691045" w:rsidP="00691045" w14:paraId="58193144" w14:textId="77777777">
            <w:pPr>
              <w:spacing w:line="259" w:lineRule="auto"/>
              <w:ind w:left="0" w:firstLine="0"/>
              <w:contextualSpacing/>
              <w:rPr>
                <w:rFonts w:cstheme="minorHAnsi"/>
                <w:sz w:val="20"/>
                <w:szCs w:val="20"/>
              </w:rPr>
            </w:pPr>
            <w:r w:rsidRPr="00691045">
              <w:rPr>
                <w:rFonts w:cstheme="minorHAnsi"/>
                <w:sz w:val="20"/>
                <w:szCs w:val="20"/>
              </w:rPr>
              <w:t>Notification of initial performance test</w:t>
            </w:r>
          </w:p>
        </w:tc>
        <w:tc>
          <w:tcPr>
            <w:tcW w:w="1350" w:type="dxa"/>
            <w:vAlign w:val="center"/>
          </w:tcPr>
          <w:p w:rsidR="00691045" w:rsidRPr="00691045" w:rsidP="00691045" w14:paraId="5983F596"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260" w:type="dxa"/>
            <w:vAlign w:val="center"/>
          </w:tcPr>
          <w:p w:rsidR="00691045" w:rsidRPr="00691045" w:rsidP="00691045" w14:paraId="36716D4F"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980" w:type="dxa"/>
            <w:vAlign w:val="center"/>
          </w:tcPr>
          <w:p w:rsidR="00691045" w:rsidRPr="00691045" w:rsidP="00691045" w14:paraId="387B462B"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651" w:type="dxa"/>
            <w:vAlign w:val="center"/>
          </w:tcPr>
          <w:p w:rsidR="00691045" w:rsidRPr="00691045" w:rsidP="00691045" w14:paraId="6C3FAA9F" w14:textId="77777777">
            <w:pPr>
              <w:spacing w:line="259" w:lineRule="auto"/>
              <w:ind w:left="0" w:firstLine="0"/>
              <w:contextualSpacing/>
              <w:rPr>
                <w:rFonts w:cstheme="minorHAnsi"/>
                <w:sz w:val="20"/>
                <w:szCs w:val="20"/>
              </w:rPr>
            </w:pPr>
            <w:r w:rsidRPr="00691045">
              <w:rPr>
                <w:rFonts w:cstheme="minorHAnsi"/>
                <w:sz w:val="20"/>
                <w:szCs w:val="20"/>
              </w:rPr>
              <w:t>0</w:t>
            </w:r>
          </w:p>
        </w:tc>
      </w:tr>
      <w:tr w14:paraId="78460F4F" w14:textId="77777777" w:rsidTr="00691045">
        <w:tblPrEx>
          <w:tblW w:w="9180" w:type="dxa"/>
          <w:tblInd w:w="201" w:type="dxa"/>
          <w:tblLayout w:type="fixed"/>
          <w:tblCellMar>
            <w:left w:w="111" w:type="dxa"/>
            <w:right w:w="111" w:type="dxa"/>
          </w:tblCellMar>
          <w:tblLook w:val="0000"/>
        </w:tblPrEx>
        <w:trPr>
          <w:trHeight w:val="366"/>
        </w:trPr>
        <w:tc>
          <w:tcPr>
            <w:tcW w:w="2939" w:type="dxa"/>
            <w:vAlign w:val="center"/>
          </w:tcPr>
          <w:p w:rsidR="00691045" w:rsidRPr="00691045" w:rsidP="00691045" w14:paraId="425D622C" w14:textId="77777777">
            <w:pPr>
              <w:spacing w:line="259" w:lineRule="auto"/>
              <w:ind w:left="0" w:firstLine="0"/>
              <w:contextualSpacing/>
              <w:rPr>
                <w:rFonts w:cstheme="minorHAnsi"/>
                <w:sz w:val="20"/>
                <w:szCs w:val="20"/>
              </w:rPr>
            </w:pPr>
            <w:r w:rsidRPr="00691045">
              <w:rPr>
                <w:rFonts w:cstheme="minorHAnsi"/>
                <w:sz w:val="20"/>
                <w:szCs w:val="20"/>
              </w:rPr>
              <w:t>Notification of the repeat of the performance test</w:t>
            </w:r>
          </w:p>
        </w:tc>
        <w:tc>
          <w:tcPr>
            <w:tcW w:w="1350" w:type="dxa"/>
            <w:vAlign w:val="center"/>
          </w:tcPr>
          <w:p w:rsidR="00691045" w:rsidRPr="00691045" w:rsidP="00691045" w14:paraId="138C02C3"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260" w:type="dxa"/>
            <w:vAlign w:val="center"/>
          </w:tcPr>
          <w:p w:rsidR="00691045" w:rsidRPr="00691045" w:rsidP="00691045" w14:paraId="7D529EF8"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980" w:type="dxa"/>
            <w:vAlign w:val="center"/>
          </w:tcPr>
          <w:p w:rsidR="00691045" w:rsidRPr="00691045" w:rsidP="00691045" w14:paraId="65A98FC5"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651" w:type="dxa"/>
            <w:vAlign w:val="center"/>
          </w:tcPr>
          <w:p w:rsidR="00691045" w:rsidRPr="00691045" w:rsidP="00691045" w14:paraId="34FD6630" w14:textId="77777777">
            <w:pPr>
              <w:spacing w:line="259" w:lineRule="auto"/>
              <w:ind w:left="0" w:firstLine="0"/>
              <w:contextualSpacing/>
              <w:rPr>
                <w:rFonts w:cstheme="minorHAnsi"/>
                <w:sz w:val="20"/>
                <w:szCs w:val="20"/>
              </w:rPr>
            </w:pPr>
            <w:r w:rsidRPr="00691045">
              <w:rPr>
                <w:rFonts w:cstheme="minorHAnsi"/>
                <w:sz w:val="20"/>
                <w:szCs w:val="20"/>
              </w:rPr>
              <w:t>0</w:t>
            </w:r>
          </w:p>
        </w:tc>
      </w:tr>
      <w:tr w14:paraId="29F13328" w14:textId="77777777" w:rsidTr="00691045">
        <w:tblPrEx>
          <w:tblW w:w="9180" w:type="dxa"/>
          <w:tblInd w:w="201" w:type="dxa"/>
          <w:tblLayout w:type="fixed"/>
          <w:tblCellMar>
            <w:left w:w="111" w:type="dxa"/>
            <w:right w:w="111" w:type="dxa"/>
          </w:tblCellMar>
          <w:tblLook w:val="0000"/>
        </w:tblPrEx>
        <w:trPr>
          <w:trHeight w:val="366"/>
        </w:trPr>
        <w:tc>
          <w:tcPr>
            <w:tcW w:w="2939" w:type="dxa"/>
            <w:vAlign w:val="center"/>
          </w:tcPr>
          <w:p w:rsidR="00691045" w:rsidRPr="00691045" w:rsidP="00691045" w14:paraId="32C63BAB" w14:textId="77777777">
            <w:pPr>
              <w:spacing w:line="259" w:lineRule="auto"/>
              <w:ind w:left="0" w:firstLine="0"/>
              <w:contextualSpacing/>
              <w:rPr>
                <w:rFonts w:cstheme="minorHAnsi"/>
                <w:sz w:val="20"/>
                <w:szCs w:val="20"/>
              </w:rPr>
            </w:pPr>
            <w:r w:rsidRPr="00691045">
              <w:rPr>
                <w:rFonts w:cstheme="minorHAnsi"/>
                <w:sz w:val="20"/>
                <w:szCs w:val="20"/>
              </w:rPr>
              <w:t>Repeat of performance test results</w:t>
            </w:r>
          </w:p>
        </w:tc>
        <w:tc>
          <w:tcPr>
            <w:tcW w:w="1350" w:type="dxa"/>
            <w:vAlign w:val="center"/>
          </w:tcPr>
          <w:p w:rsidR="00691045" w:rsidRPr="00691045" w:rsidP="00691045" w14:paraId="79EBCD3C"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260" w:type="dxa"/>
            <w:vAlign w:val="center"/>
          </w:tcPr>
          <w:p w:rsidR="00691045" w:rsidRPr="00691045" w:rsidP="00691045" w14:paraId="662D66E3"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980" w:type="dxa"/>
            <w:vAlign w:val="center"/>
          </w:tcPr>
          <w:p w:rsidR="00691045" w:rsidRPr="00691045" w:rsidP="00691045" w14:paraId="76D10879"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651" w:type="dxa"/>
            <w:vAlign w:val="center"/>
          </w:tcPr>
          <w:p w:rsidR="00691045" w:rsidRPr="00691045" w:rsidP="00691045" w14:paraId="4C3F0D61" w14:textId="77777777">
            <w:pPr>
              <w:spacing w:line="259" w:lineRule="auto"/>
              <w:ind w:left="0" w:firstLine="0"/>
              <w:contextualSpacing/>
              <w:rPr>
                <w:rFonts w:cstheme="minorHAnsi"/>
                <w:sz w:val="20"/>
                <w:szCs w:val="20"/>
              </w:rPr>
            </w:pPr>
            <w:r w:rsidRPr="00691045">
              <w:rPr>
                <w:rFonts w:cstheme="minorHAnsi"/>
                <w:sz w:val="20"/>
                <w:szCs w:val="20"/>
              </w:rPr>
              <w:t>0</w:t>
            </w:r>
          </w:p>
        </w:tc>
      </w:tr>
      <w:tr w14:paraId="468A35C5" w14:textId="77777777" w:rsidTr="00691045">
        <w:tblPrEx>
          <w:tblW w:w="9180" w:type="dxa"/>
          <w:tblInd w:w="201" w:type="dxa"/>
          <w:tblLayout w:type="fixed"/>
          <w:tblCellMar>
            <w:left w:w="111" w:type="dxa"/>
            <w:right w:w="111" w:type="dxa"/>
          </w:tblCellMar>
          <w:tblLook w:val="0000"/>
        </w:tblPrEx>
        <w:trPr>
          <w:trHeight w:val="366"/>
        </w:trPr>
        <w:tc>
          <w:tcPr>
            <w:tcW w:w="2939" w:type="dxa"/>
            <w:vAlign w:val="center"/>
          </w:tcPr>
          <w:p w:rsidR="00691045" w:rsidRPr="00691045" w:rsidP="00691045" w14:paraId="2544551B" w14:textId="77777777">
            <w:pPr>
              <w:spacing w:line="259" w:lineRule="auto"/>
              <w:ind w:left="0" w:firstLine="0"/>
              <w:contextualSpacing/>
              <w:rPr>
                <w:rFonts w:cstheme="minorHAnsi"/>
                <w:sz w:val="20"/>
                <w:szCs w:val="20"/>
              </w:rPr>
            </w:pPr>
            <w:r w:rsidRPr="00691045">
              <w:rPr>
                <w:rFonts w:cstheme="minorHAnsi"/>
                <w:sz w:val="20"/>
                <w:szCs w:val="20"/>
              </w:rPr>
              <w:t>Semiannual reports</w:t>
            </w:r>
          </w:p>
        </w:tc>
        <w:tc>
          <w:tcPr>
            <w:tcW w:w="1350" w:type="dxa"/>
            <w:vAlign w:val="center"/>
          </w:tcPr>
          <w:p w:rsidR="00691045" w:rsidRPr="00691045" w:rsidP="00691045" w14:paraId="4981C2E7" w14:textId="77777777">
            <w:pPr>
              <w:spacing w:line="259" w:lineRule="auto"/>
              <w:ind w:left="0" w:firstLine="0"/>
              <w:contextualSpacing/>
              <w:rPr>
                <w:rFonts w:cstheme="minorHAnsi"/>
                <w:sz w:val="20"/>
                <w:szCs w:val="20"/>
              </w:rPr>
            </w:pPr>
            <w:r w:rsidRPr="00691045">
              <w:rPr>
                <w:rFonts w:cstheme="minorHAnsi"/>
                <w:sz w:val="20"/>
                <w:szCs w:val="20"/>
              </w:rPr>
              <w:t>167</w:t>
            </w:r>
          </w:p>
        </w:tc>
        <w:tc>
          <w:tcPr>
            <w:tcW w:w="1260" w:type="dxa"/>
            <w:vAlign w:val="center"/>
          </w:tcPr>
          <w:p w:rsidR="00691045" w:rsidRPr="00691045" w:rsidP="00691045" w14:paraId="121EE672" w14:textId="77777777">
            <w:pPr>
              <w:spacing w:line="259" w:lineRule="auto"/>
              <w:ind w:left="0" w:firstLine="0"/>
              <w:contextualSpacing/>
              <w:rPr>
                <w:rFonts w:cstheme="minorHAnsi"/>
                <w:sz w:val="20"/>
                <w:szCs w:val="20"/>
              </w:rPr>
            </w:pPr>
            <w:r w:rsidRPr="00691045">
              <w:rPr>
                <w:rFonts w:cstheme="minorHAnsi"/>
                <w:sz w:val="20"/>
                <w:szCs w:val="20"/>
              </w:rPr>
              <w:t>2</w:t>
            </w:r>
          </w:p>
        </w:tc>
        <w:tc>
          <w:tcPr>
            <w:tcW w:w="1980" w:type="dxa"/>
            <w:vAlign w:val="center"/>
          </w:tcPr>
          <w:p w:rsidR="00691045" w:rsidRPr="00691045" w:rsidP="00691045" w14:paraId="467B64AD" w14:textId="77777777">
            <w:pPr>
              <w:spacing w:line="259" w:lineRule="auto"/>
              <w:ind w:left="0" w:firstLine="0"/>
              <w:contextualSpacing/>
              <w:rPr>
                <w:rFonts w:cstheme="minorHAnsi"/>
                <w:sz w:val="20"/>
                <w:szCs w:val="20"/>
              </w:rPr>
            </w:pPr>
            <w:r w:rsidRPr="00691045">
              <w:rPr>
                <w:rFonts w:cstheme="minorHAnsi"/>
                <w:sz w:val="20"/>
                <w:szCs w:val="20"/>
              </w:rPr>
              <w:t>0</w:t>
            </w:r>
          </w:p>
        </w:tc>
        <w:tc>
          <w:tcPr>
            <w:tcW w:w="1651" w:type="dxa"/>
            <w:vAlign w:val="center"/>
          </w:tcPr>
          <w:p w:rsidR="00691045" w:rsidRPr="00691045" w:rsidP="00691045" w14:paraId="06D222B5" w14:textId="77777777">
            <w:pPr>
              <w:spacing w:line="259" w:lineRule="auto"/>
              <w:ind w:left="0" w:firstLine="0"/>
              <w:contextualSpacing/>
              <w:rPr>
                <w:rFonts w:cstheme="minorHAnsi"/>
                <w:sz w:val="20"/>
                <w:szCs w:val="20"/>
              </w:rPr>
            </w:pPr>
            <w:r w:rsidRPr="00691045">
              <w:rPr>
                <w:rFonts w:cstheme="minorHAnsi"/>
                <w:sz w:val="20"/>
                <w:szCs w:val="20"/>
              </w:rPr>
              <w:t>334</w:t>
            </w:r>
          </w:p>
        </w:tc>
      </w:tr>
      <w:tr w14:paraId="26F5F49E" w14:textId="77777777" w:rsidTr="00691045">
        <w:tblPrEx>
          <w:tblW w:w="9180" w:type="dxa"/>
          <w:tblInd w:w="201" w:type="dxa"/>
          <w:tblLayout w:type="fixed"/>
          <w:tblCellMar>
            <w:left w:w="111" w:type="dxa"/>
            <w:right w:w="111" w:type="dxa"/>
          </w:tblCellMar>
          <w:tblLook w:val="0000"/>
        </w:tblPrEx>
        <w:trPr>
          <w:trHeight w:val="366"/>
        </w:trPr>
        <w:tc>
          <w:tcPr>
            <w:tcW w:w="2939" w:type="dxa"/>
            <w:vAlign w:val="center"/>
          </w:tcPr>
          <w:p w:rsidR="00691045" w:rsidRPr="00691045" w:rsidP="00691045" w14:paraId="3F3DB35D" w14:textId="77777777">
            <w:pPr>
              <w:spacing w:line="259" w:lineRule="auto"/>
              <w:ind w:left="0" w:firstLine="0"/>
              <w:contextualSpacing/>
              <w:rPr>
                <w:rFonts w:cstheme="minorHAnsi"/>
                <w:sz w:val="20"/>
                <w:szCs w:val="20"/>
              </w:rPr>
            </w:pPr>
          </w:p>
        </w:tc>
        <w:tc>
          <w:tcPr>
            <w:tcW w:w="1350" w:type="dxa"/>
            <w:vAlign w:val="center"/>
          </w:tcPr>
          <w:p w:rsidR="00691045" w:rsidRPr="00691045" w:rsidP="00691045" w14:paraId="3D16C6BC" w14:textId="77777777">
            <w:pPr>
              <w:spacing w:line="259" w:lineRule="auto"/>
              <w:ind w:left="0" w:firstLine="0"/>
              <w:contextualSpacing/>
              <w:rPr>
                <w:rFonts w:cstheme="minorHAnsi"/>
                <w:sz w:val="20"/>
                <w:szCs w:val="20"/>
              </w:rPr>
            </w:pPr>
          </w:p>
        </w:tc>
        <w:tc>
          <w:tcPr>
            <w:tcW w:w="1260" w:type="dxa"/>
            <w:vAlign w:val="center"/>
          </w:tcPr>
          <w:p w:rsidR="00691045" w:rsidRPr="00691045" w:rsidP="00691045" w14:paraId="2DD2ECDF" w14:textId="77777777">
            <w:pPr>
              <w:spacing w:line="259" w:lineRule="auto"/>
              <w:ind w:left="0" w:firstLine="0"/>
              <w:contextualSpacing/>
              <w:rPr>
                <w:rFonts w:cstheme="minorHAnsi"/>
                <w:sz w:val="20"/>
                <w:szCs w:val="20"/>
              </w:rPr>
            </w:pPr>
          </w:p>
        </w:tc>
        <w:tc>
          <w:tcPr>
            <w:tcW w:w="1980" w:type="dxa"/>
            <w:vAlign w:val="center"/>
          </w:tcPr>
          <w:p w:rsidR="00691045" w:rsidRPr="00691045" w:rsidP="00691045" w14:paraId="0FD5E0EF" w14:textId="77777777">
            <w:pPr>
              <w:spacing w:line="259" w:lineRule="auto"/>
              <w:ind w:left="0" w:firstLine="0"/>
              <w:contextualSpacing/>
              <w:rPr>
                <w:rFonts w:cstheme="minorHAnsi"/>
                <w:sz w:val="20"/>
                <w:szCs w:val="20"/>
              </w:rPr>
            </w:pPr>
            <w:r w:rsidRPr="00691045">
              <w:rPr>
                <w:rFonts w:cstheme="minorHAnsi"/>
                <w:sz w:val="20"/>
                <w:szCs w:val="20"/>
              </w:rPr>
              <w:t>Total</w:t>
            </w:r>
          </w:p>
        </w:tc>
        <w:tc>
          <w:tcPr>
            <w:tcW w:w="1651" w:type="dxa"/>
            <w:vAlign w:val="center"/>
          </w:tcPr>
          <w:p w:rsidR="00691045" w:rsidRPr="00691045" w:rsidP="00691045" w14:paraId="1B22F3F6" w14:textId="77777777">
            <w:pPr>
              <w:spacing w:line="259" w:lineRule="auto"/>
              <w:ind w:left="0" w:firstLine="0"/>
              <w:contextualSpacing/>
              <w:rPr>
                <w:rFonts w:cstheme="minorHAnsi"/>
                <w:sz w:val="20"/>
                <w:szCs w:val="20"/>
              </w:rPr>
            </w:pPr>
            <w:r w:rsidRPr="00691045">
              <w:rPr>
                <w:rFonts w:cstheme="minorHAnsi"/>
                <w:sz w:val="20"/>
                <w:szCs w:val="20"/>
              </w:rPr>
              <w:t>335</w:t>
            </w:r>
          </w:p>
        </w:tc>
      </w:tr>
    </w:tbl>
    <w:p w:rsidR="00BB6C98" w:rsidP="00BB6C98" w14:paraId="4560E9A5" w14:textId="77777777">
      <w:pPr>
        <w:spacing w:line="259" w:lineRule="auto"/>
        <w:ind w:left="0" w:firstLine="0"/>
        <w:rPr>
          <w:rFonts w:cstheme="minorHAnsi"/>
        </w:rPr>
      </w:pPr>
    </w:p>
    <w:p w:rsidR="00BB6C98" w:rsidP="00BB6C98" w14:paraId="672F68CB" w14:textId="493510BB">
      <w:pPr>
        <w:spacing w:line="259" w:lineRule="auto"/>
        <w:ind w:left="0" w:firstLine="0"/>
        <w:rPr>
          <w:rFonts w:cstheme="minorHAnsi"/>
        </w:rPr>
      </w:pPr>
      <w:r w:rsidRPr="00035FF7">
        <w:rPr>
          <w:rFonts w:cstheme="minorHAnsi"/>
        </w:rPr>
        <w:t>The number of Total Annual Responses is 335.</w:t>
      </w:r>
    </w:p>
    <w:p w:rsidR="00BB3410" w:rsidRPr="00570654" w:rsidP="00570654" w14:paraId="42074A5E" w14:textId="2BD4CC9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570654" w:rsidRPr="00570654" w:rsidP="00570654" w14:paraId="7B419476" w14:textId="77777777">
      <w:pPr>
        <w:spacing w:line="259" w:lineRule="auto"/>
        <w:ind w:left="0" w:firstLine="0"/>
        <w:rPr>
          <w:rFonts w:cstheme="minorHAnsi"/>
        </w:rPr>
      </w:pPr>
      <w:r w:rsidRPr="00570654">
        <w:rPr>
          <w:rFonts w:cstheme="minorHAnsi"/>
        </w:rPr>
        <w:t xml:space="preserve">In this ICR, all the data that are recorded or reported is required by the NSPS for Calciners and Dryers in Mineral Industries (40 CFR Part 60, Subpart UUU). </w:t>
      </w:r>
    </w:p>
    <w:p w:rsidR="003059D0" w:rsidP="00570654" w14:paraId="52A8D820" w14:textId="1F7A70AA">
      <w:pPr>
        <w:spacing w:line="259" w:lineRule="auto"/>
        <w:ind w:left="0" w:firstLine="0"/>
        <w:rPr>
          <w:rFonts w:cstheme="minorHAnsi"/>
        </w:rPr>
      </w:pPr>
      <w:r w:rsidRPr="00570654">
        <w:rPr>
          <w:rFonts w:cstheme="minorHAnsi"/>
        </w:rPr>
        <w:t>A source must make the following reports:</w:t>
      </w:r>
    </w:p>
    <w:tbl>
      <w:tblPr>
        <w:tblW w:w="9360" w:type="dxa"/>
        <w:jc w:val="center"/>
        <w:tblLayout w:type="fixed"/>
        <w:tblCellMar>
          <w:left w:w="120" w:type="dxa"/>
          <w:right w:w="120" w:type="dxa"/>
        </w:tblCellMar>
        <w:tblLook w:val="0000"/>
      </w:tblPr>
      <w:tblGrid>
        <w:gridCol w:w="7281"/>
        <w:gridCol w:w="2079"/>
      </w:tblGrid>
      <w:tr w14:paraId="5517F2B4" w14:textId="77777777" w:rsidTr="00BD3B5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8F4C63" w:rsidRPr="008F4C63" w:rsidP="008F4C63" w14:paraId="0494A203" w14:textId="77777777">
            <w:pPr>
              <w:spacing w:line="259" w:lineRule="auto"/>
              <w:ind w:left="0" w:firstLine="0"/>
              <w:contextualSpacing/>
              <w:rPr>
                <w:rFonts w:cstheme="minorHAnsi"/>
                <w:b/>
                <w:sz w:val="20"/>
                <w:szCs w:val="20"/>
              </w:rPr>
            </w:pPr>
            <w:r w:rsidRPr="008F4C63">
              <w:rPr>
                <w:rFonts w:cstheme="minorHAnsi"/>
                <w:b/>
                <w:sz w:val="20"/>
                <w:szCs w:val="20"/>
              </w:rPr>
              <w:t>Notifications</w:t>
            </w:r>
          </w:p>
        </w:tc>
      </w:tr>
      <w:tr w14:paraId="217390EC"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8F4C63" w:rsidRPr="008F4C63" w:rsidP="008F4C63" w14:paraId="12C6C447" w14:textId="77777777">
            <w:pPr>
              <w:spacing w:line="259" w:lineRule="auto"/>
              <w:ind w:left="0" w:firstLine="0"/>
              <w:contextualSpacing/>
              <w:rPr>
                <w:rFonts w:cstheme="minorHAnsi"/>
                <w:b/>
                <w:bCs/>
                <w:sz w:val="20"/>
                <w:szCs w:val="20"/>
              </w:rPr>
            </w:pPr>
            <w:r w:rsidRPr="008F4C63">
              <w:rPr>
                <w:rFonts w:cstheme="minorHAnsi"/>
                <w:sz w:val="20"/>
                <w:szCs w:val="20"/>
              </w:rPr>
              <w:t>Notification of construction/reconstruction</w:t>
            </w:r>
          </w:p>
        </w:tc>
        <w:tc>
          <w:tcPr>
            <w:tcW w:w="2079" w:type="dxa"/>
            <w:tcBorders>
              <w:top w:val="single" w:sz="7" w:space="0" w:color="000000"/>
              <w:left w:val="single" w:sz="7" w:space="0" w:color="000000"/>
              <w:bottom w:val="single" w:sz="7" w:space="0" w:color="000000"/>
              <w:right w:val="single" w:sz="7" w:space="0" w:color="000000"/>
            </w:tcBorders>
          </w:tcPr>
          <w:p w:rsidR="008F4C63" w:rsidRPr="008F4C63" w:rsidP="008F4C63" w14:paraId="6E6485F2" w14:textId="77777777">
            <w:pPr>
              <w:spacing w:line="259" w:lineRule="auto"/>
              <w:ind w:left="0" w:firstLine="0"/>
              <w:contextualSpacing/>
              <w:rPr>
                <w:rFonts w:cstheme="minorHAnsi"/>
                <w:b/>
                <w:bCs/>
                <w:sz w:val="20"/>
                <w:szCs w:val="20"/>
              </w:rPr>
            </w:pPr>
            <w:r w:rsidRPr="008F4C63">
              <w:rPr>
                <w:rFonts w:cstheme="minorHAnsi"/>
                <w:sz w:val="20"/>
                <w:szCs w:val="20"/>
              </w:rPr>
              <w:t>§60.7(a)(1)</w:t>
            </w:r>
          </w:p>
        </w:tc>
      </w:tr>
      <w:tr w14:paraId="4F3D73B9"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8F4C63" w:rsidRPr="008F4C63" w:rsidP="008F4C63" w14:paraId="698B78E3" w14:textId="77777777">
            <w:pPr>
              <w:spacing w:line="259" w:lineRule="auto"/>
              <w:ind w:left="0" w:firstLine="0"/>
              <w:contextualSpacing/>
              <w:rPr>
                <w:rFonts w:cstheme="minorHAnsi"/>
                <w:sz w:val="20"/>
                <w:szCs w:val="20"/>
              </w:rPr>
            </w:pPr>
            <w:r w:rsidRPr="008F4C63">
              <w:rPr>
                <w:rFonts w:cstheme="minorHAnsi"/>
                <w:sz w:val="20"/>
                <w:szCs w:val="20"/>
              </w:rPr>
              <w:t>Notification of actual startup</w:t>
            </w:r>
          </w:p>
        </w:tc>
        <w:tc>
          <w:tcPr>
            <w:tcW w:w="2079" w:type="dxa"/>
            <w:tcBorders>
              <w:top w:val="single" w:sz="7" w:space="0" w:color="000000"/>
              <w:left w:val="single" w:sz="7" w:space="0" w:color="000000"/>
              <w:bottom w:val="single" w:sz="7" w:space="0" w:color="000000"/>
              <w:right w:val="single" w:sz="7" w:space="0" w:color="000000"/>
            </w:tcBorders>
          </w:tcPr>
          <w:p w:rsidR="008F4C63" w:rsidRPr="008F4C63" w:rsidP="008F4C63" w14:paraId="26A97D6D" w14:textId="77777777">
            <w:pPr>
              <w:spacing w:line="259" w:lineRule="auto"/>
              <w:ind w:left="0" w:firstLine="0"/>
              <w:contextualSpacing/>
              <w:rPr>
                <w:rFonts w:cstheme="minorHAnsi"/>
                <w:sz w:val="20"/>
                <w:szCs w:val="20"/>
              </w:rPr>
            </w:pPr>
            <w:r w:rsidRPr="008F4C63">
              <w:rPr>
                <w:rFonts w:cstheme="minorHAnsi"/>
                <w:sz w:val="20"/>
                <w:szCs w:val="20"/>
              </w:rPr>
              <w:t>§60.7(a)(3)</w:t>
            </w:r>
          </w:p>
        </w:tc>
      </w:tr>
      <w:tr w14:paraId="15B7326F"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8F4C63" w:rsidRPr="008F4C63" w:rsidP="008F4C63" w14:paraId="038D51BC" w14:textId="77777777">
            <w:pPr>
              <w:spacing w:line="259" w:lineRule="auto"/>
              <w:ind w:left="0" w:firstLine="0"/>
              <w:contextualSpacing/>
              <w:rPr>
                <w:rFonts w:cstheme="minorHAnsi"/>
                <w:sz w:val="20"/>
                <w:szCs w:val="20"/>
              </w:rPr>
            </w:pPr>
            <w:r w:rsidRPr="008F4C63">
              <w:rPr>
                <w:rFonts w:cstheme="minorHAnsi"/>
                <w:sz w:val="20"/>
                <w:szCs w:val="20"/>
              </w:rPr>
              <w:t>Notification of physical or operational change</w:t>
            </w:r>
          </w:p>
        </w:tc>
        <w:tc>
          <w:tcPr>
            <w:tcW w:w="2079" w:type="dxa"/>
            <w:tcBorders>
              <w:top w:val="single" w:sz="7" w:space="0" w:color="000000"/>
              <w:left w:val="single" w:sz="7" w:space="0" w:color="000000"/>
              <w:bottom w:val="single" w:sz="7" w:space="0" w:color="000000"/>
              <w:right w:val="single" w:sz="7" w:space="0" w:color="000000"/>
            </w:tcBorders>
          </w:tcPr>
          <w:p w:rsidR="008F4C63" w:rsidRPr="008F4C63" w:rsidP="008F4C63" w14:paraId="5F853E63" w14:textId="77777777">
            <w:pPr>
              <w:spacing w:line="259" w:lineRule="auto"/>
              <w:ind w:left="0" w:firstLine="0"/>
              <w:contextualSpacing/>
              <w:rPr>
                <w:rFonts w:cstheme="minorHAnsi"/>
                <w:sz w:val="20"/>
                <w:szCs w:val="20"/>
              </w:rPr>
            </w:pPr>
            <w:r w:rsidRPr="008F4C63">
              <w:rPr>
                <w:rFonts w:cstheme="minorHAnsi"/>
                <w:sz w:val="20"/>
                <w:szCs w:val="20"/>
              </w:rPr>
              <w:t>§60.7(a)(4)</w:t>
            </w:r>
          </w:p>
        </w:tc>
      </w:tr>
      <w:tr w14:paraId="512A1F80"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8F4C63" w:rsidRPr="008F4C63" w:rsidP="008F4C63" w14:paraId="30169754" w14:textId="77777777">
            <w:pPr>
              <w:spacing w:line="259" w:lineRule="auto"/>
              <w:ind w:left="0" w:firstLine="0"/>
              <w:contextualSpacing/>
              <w:rPr>
                <w:rFonts w:cstheme="minorHAnsi"/>
                <w:sz w:val="20"/>
                <w:szCs w:val="20"/>
              </w:rPr>
            </w:pPr>
            <w:r w:rsidRPr="008F4C63">
              <w:rPr>
                <w:rFonts w:cstheme="minorHAnsi"/>
                <w:sz w:val="20"/>
                <w:szCs w:val="20"/>
              </w:rPr>
              <w:t>Initial performance test results</w:t>
            </w:r>
          </w:p>
        </w:tc>
        <w:tc>
          <w:tcPr>
            <w:tcW w:w="2079" w:type="dxa"/>
            <w:tcBorders>
              <w:top w:val="single" w:sz="7" w:space="0" w:color="000000"/>
              <w:left w:val="single" w:sz="7" w:space="0" w:color="000000"/>
              <w:bottom w:val="single" w:sz="7" w:space="0" w:color="000000"/>
              <w:right w:val="single" w:sz="7" w:space="0" w:color="000000"/>
            </w:tcBorders>
          </w:tcPr>
          <w:p w:rsidR="008F4C63" w:rsidRPr="008F4C63" w:rsidP="008F4C63" w14:paraId="6DB84489" w14:textId="77777777">
            <w:pPr>
              <w:spacing w:line="259" w:lineRule="auto"/>
              <w:ind w:left="0" w:firstLine="0"/>
              <w:contextualSpacing/>
              <w:rPr>
                <w:rFonts w:cstheme="minorHAnsi"/>
                <w:sz w:val="20"/>
                <w:szCs w:val="20"/>
              </w:rPr>
            </w:pPr>
            <w:r w:rsidRPr="008F4C63">
              <w:rPr>
                <w:rFonts w:cstheme="minorHAnsi"/>
                <w:sz w:val="20"/>
                <w:szCs w:val="20"/>
              </w:rPr>
              <w:t>§60.8(a)</w:t>
            </w:r>
          </w:p>
        </w:tc>
      </w:tr>
      <w:tr w14:paraId="0E154C4E"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8F4C63" w:rsidRPr="008F4C63" w:rsidP="008F4C63" w14:paraId="58074259" w14:textId="77777777">
            <w:pPr>
              <w:spacing w:line="259" w:lineRule="auto"/>
              <w:ind w:left="0" w:firstLine="0"/>
              <w:contextualSpacing/>
              <w:rPr>
                <w:rFonts w:cstheme="minorHAnsi"/>
                <w:sz w:val="20"/>
                <w:szCs w:val="20"/>
              </w:rPr>
            </w:pPr>
            <w:r w:rsidRPr="008F4C63">
              <w:rPr>
                <w:rFonts w:cstheme="minorHAnsi"/>
                <w:sz w:val="20"/>
                <w:szCs w:val="20"/>
              </w:rPr>
              <w:t>Notification of initial performance test and repeat of test</w:t>
            </w:r>
          </w:p>
        </w:tc>
        <w:tc>
          <w:tcPr>
            <w:tcW w:w="2079" w:type="dxa"/>
            <w:tcBorders>
              <w:top w:val="single" w:sz="7" w:space="0" w:color="000000"/>
              <w:left w:val="single" w:sz="7" w:space="0" w:color="000000"/>
              <w:bottom w:val="single" w:sz="7" w:space="0" w:color="000000"/>
              <w:right w:val="single" w:sz="7" w:space="0" w:color="000000"/>
            </w:tcBorders>
          </w:tcPr>
          <w:p w:rsidR="008F4C63" w:rsidRPr="008F4C63" w:rsidP="008F4C63" w14:paraId="298929CC" w14:textId="77777777">
            <w:pPr>
              <w:spacing w:line="259" w:lineRule="auto"/>
              <w:ind w:left="0" w:firstLine="0"/>
              <w:contextualSpacing/>
              <w:rPr>
                <w:rFonts w:cstheme="minorHAnsi"/>
                <w:sz w:val="20"/>
                <w:szCs w:val="20"/>
              </w:rPr>
            </w:pPr>
            <w:r w:rsidRPr="008F4C63">
              <w:rPr>
                <w:rFonts w:cstheme="minorHAnsi"/>
                <w:sz w:val="20"/>
                <w:szCs w:val="20"/>
              </w:rPr>
              <w:t>§60.8(d)</w:t>
            </w:r>
          </w:p>
        </w:tc>
      </w:tr>
      <w:tr w14:paraId="13A33BC7"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8F4C63" w:rsidRPr="008F4C63" w:rsidP="008F4C63" w14:paraId="621D13F7" w14:textId="77777777">
            <w:pPr>
              <w:spacing w:line="259" w:lineRule="auto"/>
              <w:ind w:left="0" w:firstLine="0"/>
              <w:contextualSpacing/>
              <w:rPr>
                <w:rFonts w:cstheme="minorHAnsi"/>
                <w:sz w:val="20"/>
                <w:szCs w:val="20"/>
              </w:rPr>
            </w:pPr>
            <w:r w:rsidRPr="008F4C63">
              <w:rPr>
                <w:rFonts w:cstheme="minorHAnsi"/>
                <w:sz w:val="20"/>
                <w:szCs w:val="20"/>
              </w:rPr>
              <w:t>Demonstration of continuous monitoring system (CMS)</w:t>
            </w:r>
          </w:p>
        </w:tc>
        <w:tc>
          <w:tcPr>
            <w:tcW w:w="2079" w:type="dxa"/>
            <w:tcBorders>
              <w:top w:val="single" w:sz="7" w:space="0" w:color="000000"/>
              <w:left w:val="single" w:sz="7" w:space="0" w:color="000000"/>
              <w:bottom w:val="single" w:sz="7" w:space="0" w:color="000000"/>
              <w:right w:val="single" w:sz="7" w:space="0" w:color="000000"/>
            </w:tcBorders>
          </w:tcPr>
          <w:p w:rsidR="008F4C63" w:rsidRPr="008F4C63" w:rsidP="008F4C63" w14:paraId="1093DD73" w14:textId="77777777">
            <w:pPr>
              <w:spacing w:line="259" w:lineRule="auto"/>
              <w:ind w:left="0" w:firstLine="0"/>
              <w:contextualSpacing/>
              <w:rPr>
                <w:rFonts w:cstheme="minorHAnsi"/>
                <w:sz w:val="20"/>
                <w:szCs w:val="20"/>
              </w:rPr>
            </w:pPr>
            <w:r w:rsidRPr="008F4C63">
              <w:rPr>
                <w:rFonts w:cstheme="minorHAnsi"/>
                <w:sz w:val="20"/>
                <w:szCs w:val="20"/>
              </w:rPr>
              <w:t>§60.7(a)(5)</w:t>
            </w:r>
          </w:p>
        </w:tc>
      </w:tr>
    </w:tbl>
    <w:p w:rsidR="00570654" w:rsidP="00570654" w14:paraId="60617C75"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7290"/>
        <w:gridCol w:w="2070"/>
      </w:tblGrid>
      <w:tr w14:paraId="0FB665F3" w14:textId="77777777" w:rsidTr="00BD3B5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F4C63" w:rsidRPr="008F4C63" w:rsidP="008F4C63" w14:paraId="3D480A0D" w14:textId="77777777">
            <w:pPr>
              <w:spacing w:line="259" w:lineRule="auto"/>
              <w:ind w:left="0" w:firstLine="0"/>
              <w:contextualSpacing/>
              <w:rPr>
                <w:rFonts w:cstheme="minorHAnsi"/>
                <w:b/>
              </w:rPr>
            </w:pPr>
            <w:r w:rsidRPr="008F4C63">
              <w:rPr>
                <w:rFonts w:cstheme="minorHAnsi"/>
                <w:b/>
              </w:rPr>
              <w:t>Reports</w:t>
            </w:r>
          </w:p>
        </w:tc>
      </w:tr>
      <w:tr w14:paraId="1085DD19" w14:textId="77777777" w:rsidTr="00BD3B52">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F4C63" w:rsidRPr="008F4C63" w:rsidP="008F4C63" w14:paraId="6371CADB" w14:textId="77777777">
            <w:pPr>
              <w:spacing w:line="259" w:lineRule="auto"/>
              <w:ind w:left="0" w:firstLine="0"/>
              <w:contextualSpacing/>
              <w:rPr>
                <w:rFonts w:cstheme="minorHAnsi"/>
              </w:rPr>
            </w:pPr>
            <w:r w:rsidRPr="008F4C63">
              <w:rPr>
                <w:rFonts w:cstheme="minorHAnsi"/>
              </w:rPr>
              <w:t>Semiannual reports</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8F4C63" w:rsidRPr="008F4C63" w:rsidP="008F4C63" w14:paraId="1F801A83" w14:textId="77777777">
            <w:pPr>
              <w:spacing w:line="259" w:lineRule="auto"/>
              <w:ind w:left="0" w:firstLine="0"/>
              <w:contextualSpacing/>
              <w:rPr>
                <w:rFonts w:cstheme="minorHAnsi"/>
              </w:rPr>
            </w:pPr>
            <w:r w:rsidRPr="008F4C63">
              <w:rPr>
                <w:rFonts w:cstheme="minorHAnsi"/>
              </w:rPr>
              <w:t>§60.7(c), §60.735(c)</w:t>
            </w:r>
          </w:p>
        </w:tc>
      </w:tr>
    </w:tbl>
    <w:p w:rsidR="00495F23" w:rsidP="00495F23" w14:paraId="3CFD6F02" w14:textId="77777777">
      <w:pPr>
        <w:spacing w:line="259" w:lineRule="auto"/>
        <w:ind w:left="0" w:firstLine="0"/>
        <w:contextualSpacing/>
        <w:rPr>
          <w:rFonts w:cstheme="minorHAnsi"/>
        </w:rPr>
      </w:pPr>
    </w:p>
    <w:p w:rsidR="008F4C63" w:rsidP="00495F23" w14:paraId="18785790" w14:textId="49E3A352">
      <w:pPr>
        <w:spacing w:line="259" w:lineRule="auto"/>
        <w:ind w:left="0" w:firstLine="0"/>
        <w:contextualSpacing/>
        <w:rPr>
          <w:rFonts w:cstheme="minorHAnsi"/>
        </w:rPr>
      </w:pPr>
      <w:r w:rsidRPr="00854937">
        <w:rPr>
          <w:rFonts w:cstheme="minorHAnsi"/>
        </w:rPr>
        <w:t>A source must keep the following records:</w:t>
      </w:r>
    </w:p>
    <w:tbl>
      <w:tblPr>
        <w:tblW w:w="9360" w:type="dxa"/>
        <w:jc w:val="center"/>
        <w:tblLayout w:type="fixed"/>
        <w:tblCellMar>
          <w:left w:w="120" w:type="dxa"/>
          <w:right w:w="120" w:type="dxa"/>
        </w:tblCellMar>
        <w:tblLook w:val="0000"/>
      </w:tblPr>
      <w:tblGrid>
        <w:gridCol w:w="7281"/>
        <w:gridCol w:w="2079"/>
      </w:tblGrid>
      <w:tr w14:paraId="0DB8593D" w14:textId="77777777" w:rsidTr="00BD3B52">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495F23" w:rsidRPr="00495F23" w:rsidP="00495F23" w14:paraId="54AD0C29" w14:textId="77777777">
            <w:pPr>
              <w:spacing w:line="259" w:lineRule="auto"/>
              <w:ind w:left="0" w:firstLine="0"/>
              <w:contextualSpacing/>
              <w:rPr>
                <w:rFonts w:cstheme="minorHAnsi"/>
                <w:b/>
                <w:sz w:val="20"/>
                <w:szCs w:val="20"/>
              </w:rPr>
            </w:pPr>
            <w:r w:rsidRPr="00495F23">
              <w:rPr>
                <w:rFonts w:cstheme="minorHAnsi"/>
                <w:b/>
                <w:sz w:val="20"/>
                <w:szCs w:val="20"/>
              </w:rPr>
              <w:t>Recordkeeping</w:t>
            </w:r>
          </w:p>
        </w:tc>
      </w:tr>
      <w:tr w14:paraId="78A79D4A"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495F23" w:rsidRPr="00495F23" w:rsidP="00495F23" w14:paraId="7444328D" w14:textId="77777777">
            <w:pPr>
              <w:spacing w:line="259" w:lineRule="auto"/>
              <w:ind w:left="0" w:firstLine="0"/>
              <w:contextualSpacing/>
              <w:rPr>
                <w:rFonts w:cstheme="minorHAnsi"/>
                <w:sz w:val="20"/>
                <w:szCs w:val="20"/>
              </w:rPr>
            </w:pPr>
            <w:r w:rsidRPr="00495F23">
              <w:rPr>
                <w:rFonts w:cstheme="minorHAnsi"/>
                <w:sz w:val="20"/>
                <w:szCs w:val="20"/>
              </w:rPr>
              <w:t>Maintain records of startup, shutdown, malfunction period where the continuous monitoring system is inoperative</w:t>
            </w:r>
          </w:p>
        </w:tc>
        <w:tc>
          <w:tcPr>
            <w:tcW w:w="2079" w:type="dxa"/>
            <w:tcBorders>
              <w:top w:val="single" w:sz="7" w:space="0" w:color="000000"/>
              <w:left w:val="single" w:sz="7" w:space="0" w:color="000000"/>
              <w:bottom w:val="single" w:sz="7" w:space="0" w:color="000000"/>
              <w:right w:val="single" w:sz="7" w:space="0" w:color="000000"/>
            </w:tcBorders>
          </w:tcPr>
          <w:p w:rsidR="00495F23" w:rsidRPr="00495F23" w:rsidP="00495F23" w14:paraId="775450AB" w14:textId="77777777">
            <w:pPr>
              <w:spacing w:line="259" w:lineRule="auto"/>
              <w:ind w:left="0" w:firstLine="0"/>
              <w:contextualSpacing/>
              <w:rPr>
                <w:rFonts w:cstheme="minorHAnsi"/>
                <w:sz w:val="20"/>
                <w:szCs w:val="20"/>
              </w:rPr>
            </w:pPr>
            <w:r w:rsidRPr="00495F23">
              <w:rPr>
                <w:rFonts w:cstheme="minorHAnsi"/>
                <w:sz w:val="20"/>
                <w:szCs w:val="20"/>
              </w:rPr>
              <w:t>§60.7(b)</w:t>
            </w:r>
          </w:p>
        </w:tc>
      </w:tr>
      <w:tr w14:paraId="142F3B7C"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495F23" w:rsidRPr="00495F23" w:rsidP="00495F23" w14:paraId="514A12BF" w14:textId="77777777">
            <w:pPr>
              <w:spacing w:line="259" w:lineRule="auto"/>
              <w:ind w:left="0" w:firstLine="0"/>
              <w:contextualSpacing/>
              <w:rPr>
                <w:rFonts w:cstheme="minorHAnsi"/>
                <w:sz w:val="20"/>
                <w:szCs w:val="20"/>
              </w:rPr>
            </w:pPr>
            <w:r w:rsidRPr="00495F23">
              <w:rPr>
                <w:rFonts w:cstheme="minorHAnsi"/>
                <w:sz w:val="20"/>
                <w:szCs w:val="20"/>
              </w:rPr>
              <w:t>Record opacity using continuous opacity monitors (COM)</w:t>
            </w:r>
          </w:p>
        </w:tc>
        <w:tc>
          <w:tcPr>
            <w:tcW w:w="2079" w:type="dxa"/>
            <w:tcBorders>
              <w:top w:val="single" w:sz="7" w:space="0" w:color="000000"/>
              <w:left w:val="single" w:sz="7" w:space="0" w:color="000000"/>
              <w:bottom w:val="single" w:sz="7" w:space="0" w:color="000000"/>
              <w:right w:val="single" w:sz="7" w:space="0" w:color="000000"/>
            </w:tcBorders>
          </w:tcPr>
          <w:p w:rsidR="00495F23" w:rsidRPr="00495F23" w:rsidP="00495F23" w14:paraId="21BE14C3" w14:textId="77777777">
            <w:pPr>
              <w:spacing w:line="259" w:lineRule="auto"/>
              <w:ind w:left="0" w:firstLine="0"/>
              <w:contextualSpacing/>
              <w:rPr>
                <w:rFonts w:cstheme="minorHAnsi"/>
                <w:sz w:val="20"/>
                <w:szCs w:val="20"/>
              </w:rPr>
            </w:pPr>
            <w:r w:rsidRPr="00495F23">
              <w:rPr>
                <w:rFonts w:cstheme="minorHAnsi"/>
                <w:sz w:val="20"/>
                <w:szCs w:val="20"/>
              </w:rPr>
              <w:t>§60.734(a), §60.735(a)</w:t>
            </w:r>
          </w:p>
        </w:tc>
      </w:tr>
      <w:tr w14:paraId="2306238C"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495F23" w:rsidRPr="00495F23" w:rsidP="00495F23" w14:paraId="7309B1D3" w14:textId="77777777">
            <w:pPr>
              <w:spacing w:line="259" w:lineRule="auto"/>
              <w:ind w:left="0" w:firstLine="0"/>
              <w:contextualSpacing/>
              <w:rPr>
                <w:rFonts w:cstheme="minorHAnsi"/>
                <w:sz w:val="20"/>
                <w:szCs w:val="20"/>
              </w:rPr>
            </w:pPr>
            <w:r w:rsidRPr="00495F23">
              <w:rPr>
                <w:rFonts w:cstheme="minorHAnsi"/>
                <w:sz w:val="20"/>
                <w:szCs w:val="20"/>
              </w:rPr>
              <w:t>Observe and record Method 9 opacities</w:t>
            </w:r>
          </w:p>
        </w:tc>
        <w:tc>
          <w:tcPr>
            <w:tcW w:w="2079" w:type="dxa"/>
            <w:tcBorders>
              <w:top w:val="single" w:sz="7" w:space="0" w:color="000000"/>
              <w:left w:val="single" w:sz="7" w:space="0" w:color="000000"/>
              <w:bottom w:val="single" w:sz="7" w:space="0" w:color="000000"/>
              <w:right w:val="single" w:sz="7" w:space="0" w:color="000000"/>
            </w:tcBorders>
          </w:tcPr>
          <w:p w:rsidR="00495F23" w:rsidRPr="00495F23" w:rsidP="00495F23" w14:paraId="55F7EB2E" w14:textId="77777777">
            <w:pPr>
              <w:spacing w:line="259" w:lineRule="auto"/>
              <w:ind w:left="0" w:firstLine="0"/>
              <w:contextualSpacing/>
              <w:rPr>
                <w:rFonts w:cstheme="minorHAnsi"/>
                <w:sz w:val="20"/>
                <w:szCs w:val="20"/>
              </w:rPr>
            </w:pPr>
            <w:r w:rsidRPr="00495F23">
              <w:rPr>
                <w:rFonts w:cstheme="minorHAnsi"/>
                <w:sz w:val="20"/>
                <w:szCs w:val="20"/>
              </w:rPr>
              <w:t>§60.734(b), §60.735(a)</w:t>
            </w:r>
          </w:p>
        </w:tc>
      </w:tr>
      <w:tr w14:paraId="4B720793"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495F23" w:rsidRPr="00495F23" w:rsidP="00495F23" w14:paraId="3D8E718D" w14:textId="77777777">
            <w:pPr>
              <w:spacing w:line="259" w:lineRule="auto"/>
              <w:ind w:left="0" w:firstLine="0"/>
              <w:contextualSpacing/>
              <w:rPr>
                <w:rFonts w:cstheme="minorHAnsi"/>
                <w:sz w:val="20"/>
                <w:szCs w:val="20"/>
              </w:rPr>
            </w:pPr>
            <w:r w:rsidRPr="00495F23">
              <w:rPr>
                <w:rFonts w:cstheme="minorHAnsi"/>
                <w:sz w:val="20"/>
                <w:szCs w:val="20"/>
              </w:rPr>
              <w:t>Install, calibrate, maintain, and operate a device that continuously measures and records the pressure loss of the gas stream through the scrubber</w:t>
            </w:r>
          </w:p>
        </w:tc>
        <w:tc>
          <w:tcPr>
            <w:tcW w:w="2079" w:type="dxa"/>
            <w:tcBorders>
              <w:top w:val="single" w:sz="7" w:space="0" w:color="000000"/>
              <w:left w:val="single" w:sz="7" w:space="0" w:color="000000"/>
              <w:bottom w:val="single" w:sz="7" w:space="0" w:color="000000"/>
              <w:right w:val="single" w:sz="7" w:space="0" w:color="000000"/>
            </w:tcBorders>
          </w:tcPr>
          <w:p w:rsidR="00495F23" w:rsidRPr="00495F23" w:rsidP="00495F23" w14:paraId="1CA6F0D6" w14:textId="77777777">
            <w:pPr>
              <w:spacing w:line="259" w:lineRule="auto"/>
              <w:ind w:left="0" w:firstLine="0"/>
              <w:contextualSpacing/>
              <w:rPr>
                <w:rFonts w:cstheme="minorHAnsi"/>
                <w:sz w:val="20"/>
                <w:szCs w:val="20"/>
              </w:rPr>
            </w:pPr>
            <w:r w:rsidRPr="00495F23">
              <w:rPr>
                <w:rFonts w:cstheme="minorHAnsi"/>
                <w:sz w:val="20"/>
                <w:szCs w:val="20"/>
              </w:rPr>
              <w:t>§60.734(d), §60.735(a)</w:t>
            </w:r>
          </w:p>
        </w:tc>
      </w:tr>
      <w:tr w14:paraId="3C2B8786" w14:textId="77777777" w:rsidTr="00BD3B52">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495F23" w:rsidRPr="00495F23" w:rsidP="00495F23" w14:paraId="70997754" w14:textId="77777777">
            <w:pPr>
              <w:spacing w:line="259" w:lineRule="auto"/>
              <w:ind w:left="0" w:firstLine="0"/>
              <w:contextualSpacing/>
              <w:rPr>
                <w:rFonts w:cstheme="minorHAnsi"/>
                <w:sz w:val="20"/>
                <w:szCs w:val="20"/>
              </w:rPr>
            </w:pPr>
            <w:r w:rsidRPr="00495F23">
              <w:rPr>
                <w:rFonts w:cstheme="minorHAnsi"/>
                <w:sz w:val="20"/>
                <w:szCs w:val="20"/>
              </w:rPr>
              <w:t>Daily recording of the two-hours average of the change in the pressure of the gas stream across the scrubber and flow rates of the scrubbing liquid</w:t>
            </w:r>
          </w:p>
        </w:tc>
        <w:tc>
          <w:tcPr>
            <w:tcW w:w="2079" w:type="dxa"/>
            <w:tcBorders>
              <w:top w:val="single" w:sz="7" w:space="0" w:color="000000"/>
              <w:left w:val="single" w:sz="7" w:space="0" w:color="000000"/>
              <w:bottom w:val="single" w:sz="7" w:space="0" w:color="000000"/>
              <w:right w:val="single" w:sz="7" w:space="0" w:color="000000"/>
            </w:tcBorders>
          </w:tcPr>
          <w:p w:rsidR="00495F23" w:rsidRPr="00495F23" w:rsidP="00495F23" w14:paraId="4A83C50E" w14:textId="77777777">
            <w:pPr>
              <w:spacing w:line="259" w:lineRule="auto"/>
              <w:ind w:left="0" w:firstLine="0"/>
              <w:contextualSpacing/>
              <w:rPr>
                <w:rFonts w:cstheme="minorHAnsi"/>
                <w:sz w:val="20"/>
                <w:szCs w:val="20"/>
              </w:rPr>
            </w:pPr>
            <w:r w:rsidRPr="00495F23">
              <w:rPr>
                <w:rFonts w:cstheme="minorHAnsi"/>
                <w:sz w:val="20"/>
                <w:szCs w:val="20"/>
              </w:rPr>
              <w:t>§60.735(b)</w:t>
            </w:r>
          </w:p>
        </w:tc>
      </w:tr>
    </w:tbl>
    <w:p w:rsidR="008F4C63" w:rsidRPr="002943D2" w:rsidP="00570654" w14:paraId="03EEBBEC" w14:textId="77777777">
      <w:pPr>
        <w:spacing w:line="259" w:lineRule="auto"/>
        <w:ind w:left="0" w:firstLine="0"/>
        <w:rPr>
          <w:rFonts w:cstheme="minorHAnsi"/>
        </w:rPr>
      </w:pP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9F1E00" w:rsidP="00103E4D" w14:paraId="3C4B52CA" w14:textId="27745D49">
      <w:pPr>
        <w:pStyle w:val="ListParagraph"/>
        <w:numPr>
          <w:ilvl w:val="0"/>
          <w:numId w:val="30"/>
        </w:numPr>
        <w:spacing w:line="259" w:lineRule="auto"/>
        <w:rPr>
          <w:rFonts w:cstheme="minorHAnsi"/>
        </w:rPr>
      </w:pPr>
      <w:r w:rsidRPr="00103E4D">
        <w:rPr>
          <w:rFonts w:cstheme="minorHAnsi"/>
        </w:rPr>
        <w:t>Familiarization with the regulatory requirements.</w:t>
      </w:r>
    </w:p>
    <w:p w:rsidR="00103E4D" w:rsidP="00103E4D" w14:paraId="3EC438FC" w14:textId="42B2E98A">
      <w:pPr>
        <w:pStyle w:val="ListParagraph"/>
        <w:numPr>
          <w:ilvl w:val="0"/>
          <w:numId w:val="30"/>
        </w:numPr>
        <w:spacing w:line="259" w:lineRule="auto"/>
        <w:rPr>
          <w:rFonts w:cstheme="minorHAnsi"/>
        </w:rPr>
      </w:pPr>
      <w:r w:rsidRPr="00103E4D">
        <w:rPr>
          <w:rFonts w:cstheme="minorHAnsi"/>
        </w:rPr>
        <w:t>Install, calibrate, maintain, and operate CMS for opacity, or for pressure drop and liquid supply pressure for wet scrubber.</w:t>
      </w:r>
    </w:p>
    <w:p w:rsidR="00103E4D" w:rsidP="00103E4D" w14:paraId="3A4750E2" w14:textId="45A2F93B">
      <w:pPr>
        <w:pStyle w:val="ListParagraph"/>
        <w:numPr>
          <w:ilvl w:val="0"/>
          <w:numId w:val="30"/>
        </w:numPr>
        <w:spacing w:line="259" w:lineRule="auto"/>
        <w:rPr>
          <w:rFonts w:cstheme="minorHAnsi"/>
        </w:rPr>
      </w:pPr>
      <w:r w:rsidRPr="00355952">
        <w:rPr>
          <w:rFonts w:cstheme="minorHAnsi"/>
        </w:rPr>
        <w:t>Perform initial performance test, Reference Method 9 test, and repeat performance tests if necessary.</w:t>
      </w:r>
    </w:p>
    <w:p w:rsidR="00355952" w:rsidP="00103E4D" w14:paraId="717083F0" w14:textId="4241738C">
      <w:pPr>
        <w:pStyle w:val="ListParagraph"/>
        <w:numPr>
          <w:ilvl w:val="0"/>
          <w:numId w:val="30"/>
        </w:numPr>
        <w:spacing w:line="259" w:lineRule="auto"/>
        <w:rPr>
          <w:rFonts w:cstheme="minorHAnsi"/>
        </w:rPr>
      </w:pPr>
      <w:r w:rsidRPr="00355952">
        <w:rPr>
          <w:rFonts w:cstheme="minorHAnsi"/>
        </w:rPr>
        <w:t>Write the notifications and reports listed above.</w:t>
      </w:r>
    </w:p>
    <w:p w:rsidR="00355952" w:rsidP="00103E4D" w14:paraId="2175E538" w14:textId="17EC00C2">
      <w:pPr>
        <w:pStyle w:val="ListParagraph"/>
        <w:numPr>
          <w:ilvl w:val="0"/>
          <w:numId w:val="30"/>
        </w:numPr>
        <w:spacing w:line="259" w:lineRule="auto"/>
        <w:rPr>
          <w:rFonts w:cstheme="minorHAnsi"/>
        </w:rPr>
      </w:pPr>
      <w:r w:rsidRPr="00355952">
        <w:rPr>
          <w:rFonts w:cstheme="minorHAnsi"/>
        </w:rPr>
        <w:t>Enter information required to be recorded above.</w:t>
      </w:r>
    </w:p>
    <w:p w:rsidR="00355952" w:rsidP="00103E4D" w14:paraId="33BC52B9" w14:textId="16C55792">
      <w:pPr>
        <w:pStyle w:val="ListParagraph"/>
        <w:numPr>
          <w:ilvl w:val="0"/>
          <w:numId w:val="30"/>
        </w:numPr>
        <w:spacing w:line="259" w:lineRule="auto"/>
        <w:rPr>
          <w:rFonts w:cstheme="minorHAnsi"/>
        </w:rPr>
      </w:pPr>
      <w:r w:rsidRPr="00355952">
        <w:rPr>
          <w:rFonts w:cstheme="minorHAnsi"/>
        </w:rPr>
        <w:t>Submit the required reports developing, acquiring, installing, and utilizing technology and systems for collecting, validating, and verifying information.</w:t>
      </w:r>
    </w:p>
    <w:p w:rsidR="00355952" w:rsidP="00103E4D" w14:paraId="161392C3" w14:textId="33578530">
      <w:pPr>
        <w:pStyle w:val="ListParagraph"/>
        <w:numPr>
          <w:ilvl w:val="0"/>
          <w:numId w:val="30"/>
        </w:numPr>
        <w:spacing w:line="259" w:lineRule="auto"/>
        <w:rPr>
          <w:rFonts w:cstheme="minorHAnsi"/>
        </w:rPr>
      </w:pPr>
      <w:r w:rsidRPr="00355952">
        <w:rPr>
          <w:rFonts w:cstheme="minorHAnsi"/>
        </w:rPr>
        <w:t>Develop, acquire, install, and utilize technology and systems for processing and maintaining information.</w:t>
      </w:r>
    </w:p>
    <w:p w:rsidR="00355952" w:rsidP="00103E4D" w14:paraId="11DE8D7F" w14:textId="402E341B">
      <w:pPr>
        <w:pStyle w:val="ListParagraph"/>
        <w:numPr>
          <w:ilvl w:val="0"/>
          <w:numId w:val="30"/>
        </w:numPr>
        <w:spacing w:line="259" w:lineRule="auto"/>
        <w:rPr>
          <w:rFonts w:cstheme="minorHAnsi"/>
        </w:rPr>
      </w:pPr>
      <w:r w:rsidRPr="00355952">
        <w:rPr>
          <w:rFonts w:cstheme="minorHAnsi"/>
        </w:rPr>
        <w:t>Develop, acquire, install, and utilize technology and systems for disclosing and providing information.</w:t>
      </w:r>
    </w:p>
    <w:p w:rsidR="00355952" w:rsidP="00103E4D" w14:paraId="405EC68D" w14:textId="784101A2">
      <w:pPr>
        <w:pStyle w:val="ListParagraph"/>
        <w:numPr>
          <w:ilvl w:val="0"/>
          <w:numId w:val="30"/>
        </w:numPr>
        <w:spacing w:line="259" w:lineRule="auto"/>
        <w:rPr>
          <w:rFonts w:cstheme="minorHAnsi"/>
        </w:rPr>
      </w:pPr>
      <w:r w:rsidRPr="00355952">
        <w:rPr>
          <w:rFonts w:cstheme="minorHAnsi"/>
        </w:rPr>
        <w:t>Train personnel to be able to respond to a collection of information.</w:t>
      </w:r>
    </w:p>
    <w:p w:rsidR="00355952" w:rsidP="00103E4D" w14:paraId="26CB0BC4" w14:textId="35451521">
      <w:pPr>
        <w:pStyle w:val="ListParagraph"/>
        <w:numPr>
          <w:ilvl w:val="0"/>
          <w:numId w:val="30"/>
        </w:numPr>
        <w:spacing w:line="259" w:lineRule="auto"/>
        <w:rPr>
          <w:rFonts w:cstheme="minorHAnsi"/>
        </w:rPr>
      </w:pPr>
      <w:r w:rsidRPr="00355952">
        <w:rPr>
          <w:rFonts w:cstheme="minorHAnsi"/>
        </w:rPr>
        <w:t>Transmit, or otherwise disclose the information.</w:t>
      </w:r>
    </w:p>
    <w:p w:rsidR="00350BB8" w:rsidRPr="00350BB8" w:rsidP="00350BB8" w14:paraId="610CB89E" w14:textId="29F8F705">
      <w:pPr>
        <w:spacing w:line="259" w:lineRule="auto"/>
        <w:ind w:left="0" w:firstLine="0"/>
        <w:rPr>
          <w:rFonts w:cstheme="minorHAnsi"/>
        </w:rPr>
      </w:pPr>
      <w:r w:rsidRPr="00350BB8">
        <w:rPr>
          <w:rFonts w:cstheme="minorHAnsi"/>
        </w:rPr>
        <w:t>The specific frequency for each information collection activity within this request is shown at the end of this document in Table 1: Annual Respondent Burden and Cost – NSPS for Calciners and Dryers in Mineral Industries (40 CFR Part 60, Subpart UUU)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ED57A4" w:rsidP="002943D2" w14:paraId="68F435BE" w14:textId="4CC836F6">
      <w:pPr>
        <w:spacing w:line="259" w:lineRule="auto"/>
        <w:ind w:left="0" w:firstLine="0"/>
        <w:rPr>
          <w:rFonts w:cstheme="minorHAnsi"/>
        </w:rPr>
      </w:pPr>
      <w:r w:rsidRPr="009250BC">
        <w:rPr>
          <w:rFonts w:cstheme="minorHAnsi"/>
        </w:rPr>
        <w:t xml:space="preserve">The average annual burden to industry over the next three years from </w:t>
      </w:r>
      <w:r w:rsidRPr="009250BC">
        <w:rPr>
          <w:rFonts w:cstheme="minorHAnsi"/>
        </w:rPr>
        <w:t>these recordkeeping</w:t>
      </w:r>
      <w:r w:rsidRPr="009250BC">
        <w:rPr>
          <w:rFonts w:cstheme="minorHAnsi"/>
        </w:rPr>
        <w:t xml:space="preserve"> and reporting requirements is estimated to be 6,630 hours (Total Labor Hours from Table 1). These hours are based on Agency studies and background documents from the development of the regulation, Agency knowledge and experience with the NSPS program, the previously approved ICR, and any comments received.</w:t>
      </w:r>
    </w:p>
    <w:p w:rsidR="00EE6774" w:rsidRPr="00EE6774" w:rsidP="00EE6774" w14:paraId="1DCD9A20" w14:textId="77777777">
      <w:pPr>
        <w:spacing w:line="259" w:lineRule="auto"/>
        <w:ind w:left="0" w:firstLine="0"/>
        <w:contextualSpacing/>
        <w:rPr>
          <w:rFonts w:cstheme="minorHAnsi"/>
        </w:rPr>
      </w:pPr>
      <w:r w:rsidRPr="00EE6774">
        <w:rPr>
          <w:rFonts w:cstheme="minorHAnsi"/>
        </w:rPr>
        <w:t xml:space="preserve">This ICR uses the following labor rates: </w:t>
      </w:r>
    </w:p>
    <w:p w:rsidR="00EE6774" w:rsidRPr="00EE6774" w:rsidP="00EE6774" w14:paraId="237C408E" w14:textId="77777777">
      <w:pPr>
        <w:spacing w:line="259" w:lineRule="auto"/>
        <w:ind w:firstLine="0"/>
        <w:contextualSpacing/>
        <w:rPr>
          <w:rFonts w:cstheme="minorHAnsi"/>
        </w:rPr>
      </w:pPr>
      <w:r w:rsidRPr="00EE6774">
        <w:rPr>
          <w:rFonts w:cstheme="minorHAnsi"/>
        </w:rPr>
        <w:t>Managerial</w:t>
      </w:r>
      <w:r w:rsidRPr="00EE6774">
        <w:rPr>
          <w:rFonts w:cstheme="minorHAnsi"/>
        </w:rPr>
        <w:tab/>
        <w:t>$163.17 ($77.70 + 110%)</w:t>
      </w:r>
    </w:p>
    <w:p w:rsidR="00EE6774" w:rsidRPr="00EE6774" w:rsidP="00EE6774" w14:paraId="70C54C4B" w14:textId="77777777">
      <w:pPr>
        <w:spacing w:line="259" w:lineRule="auto"/>
        <w:ind w:firstLine="0"/>
        <w:contextualSpacing/>
        <w:rPr>
          <w:rFonts w:cstheme="minorHAnsi"/>
        </w:rPr>
      </w:pPr>
      <w:r w:rsidRPr="00EE6774">
        <w:rPr>
          <w:rFonts w:cstheme="minorHAnsi"/>
        </w:rPr>
        <w:t>Technical</w:t>
      </w:r>
      <w:r w:rsidRPr="00EE6774">
        <w:rPr>
          <w:rFonts w:cstheme="minorHAnsi"/>
        </w:rPr>
        <w:tab/>
        <w:t>$130.28 ($62.04 + 110%)</w:t>
      </w:r>
    </w:p>
    <w:p w:rsidR="00EE6774" w:rsidRPr="00EE6774" w:rsidP="00EE6774" w14:paraId="5C0CC8BD" w14:textId="668F9B99">
      <w:pPr>
        <w:spacing w:line="259" w:lineRule="auto"/>
        <w:ind w:firstLine="0"/>
        <w:rPr>
          <w:rFonts w:cstheme="minorHAnsi"/>
        </w:rPr>
      </w:pPr>
      <w:r w:rsidRPr="00EE6774">
        <w:rPr>
          <w:rFonts w:cstheme="minorHAnsi"/>
        </w:rPr>
        <w:t>Clerical</w:t>
      </w:r>
      <w:r w:rsidRPr="00EE6774">
        <w:rPr>
          <w:rFonts w:cstheme="minorHAnsi"/>
        </w:rPr>
        <w:tab/>
      </w:r>
      <w:r>
        <w:rPr>
          <w:rFonts w:cstheme="minorHAnsi"/>
        </w:rPr>
        <w:tab/>
      </w:r>
      <w:r w:rsidRPr="00EE6774">
        <w:rPr>
          <w:rFonts w:cstheme="minorHAnsi"/>
        </w:rPr>
        <w:t>$65.71 ($31.29 + 110%)</w:t>
      </w:r>
    </w:p>
    <w:p w:rsidR="009250BC" w:rsidP="00EE6774" w14:paraId="6A8B289D" w14:textId="04EBF18E">
      <w:pPr>
        <w:spacing w:line="259" w:lineRule="auto"/>
        <w:ind w:left="0" w:firstLine="0"/>
        <w:rPr>
          <w:rFonts w:cstheme="minorHAnsi"/>
        </w:rPr>
      </w:pPr>
      <w:r w:rsidRPr="00EE6774">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45101F" w:rsidRPr="0045101F" w:rsidP="0045101F" w14:paraId="199B4F1E" w14:textId="77777777">
      <w:pPr>
        <w:spacing w:line="259" w:lineRule="auto"/>
        <w:ind w:left="0" w:firstLine="0"/>
        <w:rPr>
          <w:rFonts w:cstheme="minorHAnsi"/>
        </w:rPr>
      </w:pPr>
      <w:r w:rsidRPr="0045101F">
        <w:rPr>
          <w:rFonts w:cstheme="minorHAnsi"/>
        </w:rPr>
        <w:t xml:space="preserve">The total annual labor hours are 6,630. Details regarding these estimates may be found in Table 1: Annual Respondent Burden and Cost – NSPS for Calciners and Dryers in Mineral Industries (40 CFR Part 60, Subpart UUU) (Renewal). </w:t>
      </w:r>
    </w:p>
    <w:p w:rsidR="0045101F" w:rsidRPr="0045101F" w:rsidP="0045101F" w14:paraId="3338637B" w14:textId="77777777">
      <w:pPr>
        <w:spacing w:line="259" w:lineRule="auto"/>
        <w:ind w:left="0" w:firstLine="0"/>
        <w:rPr>
          <w:rFonts w:cstheme="minorHAnsi"/>
        </w:rPr>
      </w:pPr>
      <w:r w:rsidRPr="0045101F">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5101F" w:rsidRPr="0045101F" w:rsidP="0045101F" w14:paraId="154D23A7" w14:textId="77777777">
      <w:pPr>
        <w:spacing w:line="259" w:lineRule="auto"/>
        <w:ind w:left="0" w:firstLine="0"/>
        <w:rPr>
          <w:rFonts w:cstheme="minorHAnsi"/>
        </w:rPr>
      </w:pPr>
    </w:p>
    <w:p w:rsidR="0045101F" w:rsidP="0045101F" w14:paraId="7F472073" w14:textId="4B5D7976">
      <w:pPr>
        <w:spacing w:line="259" w:lineRule="auto"/>
        <w:ind w:left="0" w:firstLine="0"/>
        <w:rPr>
          <w:rFonts w:cstheme="minorHAnsi"/>
        </w:rPr>
      </w:pPr>
      <w:r w:rsidRPr="0045101F">
        <w:rPr>
          <w:rFonts w:cstheme="minorHAnsi"/>
        </w:rPr>
        <w:t>Furthermore, the annual public reporting and recordkeeping burden for this collection of information is estimated to average 20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 xml:space="preserve">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w:t>
      </w:r>
      <w:r w:rsidRPr="008B3B3E">
        <w:rPr>
          <w:rFonts w:cstheme="minorHAnsi"/>
          <w:i/>
          <w:iCs/>
        </w:rPr>
        <w:t>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BB3410" w:rsidRPr="00730312" w:rsidP="00730312" w14:paraId="678BA42F" w14:textId="1E268E91">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30312" w:rsidP="002943D2" w14:paraId="30ACADA9" w14:textId="15590935">
      <w:pPr>
        <w:spacing w:line="259" w:lineRule="auto"/>
        <w:ind w:left="0" w:firstLine="0"/>
        <w:rPr>
          <w:rFonts w:cstheme="minorHAnsi"/>
        </w:rPr>
      </w:pPr>
      <w:r w:rsidRPr="00730312">
        <w:rPr>
          <w:rFonts w:cstheme="minorHAnsi"/>
        </w:rPr>
        <w:t xml:space="preserve">The type of industry costs associated with the information collection activities in the subject standards are both labor costs which are addressed elsewhere in this </w:t>
      </w:r>
      <w:r w:rsidRPr="00730312">
        <w:rPr>
          <w:rFonts w:cstheme="minorHAnsi"/>
        </w:rPr>
        <w:t>ICR</w:t>
      </w:r>
      <w:r w:rsidRPr="00730312">
        <w:rPr>
          <w:rFonts w:cstheme="minorHAnsi"/>
        </w:rPr>
        <w:t xml:space="preserve"> and the costs associated with continuous monitoring. The capital/startup costs are one-time costs when a facility becomes subject to these regulations. The annual operation and maintenance costs are the ongoing costs to maintain the monitor(s) and other costs such as photocopying and postage.</w:t>
      </w:r>
    </w:p>
    <w:tbl>
      <w:tblPr>
        <w:tblW w:w="9150" w:type="dxa"/>
        <w:tblInd w:w="111" w:type="dxa"/>
        <w:tblLayout w:type="fixed"/>
        <w:tblCellMar>
          <w:left w:w="111" w:type="dxa"/>
          <w:right w:w="111" w:type="dxa"/>
        </w:tblCellMar>
        <w:tblLook w:val="0000"/>
      </w:tblPr>
      <w:tblGrid>
        <w:gridCol w:w="1170"/>
        <w:gridCol w:w="1500"/>
        <w:gridCol w:w="1290"/>
        <w:gridCol w:w="1500"/>
        <w:gridCol w:w="1290"/>
        <w:gridCol w:w="1320"/>
        <w:gridCol w:w="1080"/>
      </w:tblGrid>
      <w:tr w14:paraId="66750402" w14:textId="77777777" w:rsidTr="00BD3B52">
        <w:tblPrEx>
          <w:tblW w:w="9150" w:type="dxa"/>
          <w:tblInd w:w="111" w:type="dxa"/>
          <w:tblLayout w:type="fixed"/>
          <w:tblCellMar>
            <w:left w:w="111" w:type="dxa"/>
            <w:right w:w="111" w:type="dxa"/>
          </w:tblCellMar>
          <w:tblLook w:val="0000"/>
        </w:tblPrEx>
        <w:trPr>
          <w:tblHeader/>
        </w:trPr>
        <w:tc>
          <w:tcPr>
            <w:tcW w:w="9150" w:type="dxa"/>
            <w:gridSpan w:val="7"/>
            <w:tcBorders>
              <w:top w:val="single" w:sz="7" w:space="0" w:color="000000"/>
              <w:left w:val="single" w:sz="7" w:space="0" w:color="000000"/>
              <w:bottom w:val="single" w:sz="6" w:space="0" w:color="FFFFFF"/>
              <w:right w:val="single" w:sz="7" w:space="0" w:color="000000"/>
            </w:tcBorders>
          </w:tcPr>
          <w:p w:rsidR="00931129" w:rsidRPr="00931129" w:rsidP="00931129" w14:paraId="78E0E318" w14:textId="77777777">
            <w:pPr>
              <w:spacing w:line="259" w:lineRule="auto"/>
              <w:ind w:left="0" w:firstLine="0"/>
              <w:contextualSpacing/>
              <w:rPr>
                <w:rFonts w:cstheme="minorHAnsi"/>
                <w:b/>
                <w:bCs/>
                <w:sz w:val="20"/>
                <w:szCs w:val="20"/>
              </w:rPr>
            </w:pPr>
            <w:r w:rsidRPr="00931129">
              <w:rPr>
                <w:rFonts w:cstheme="minorHAnsi"/>
                <w:b/>
                <w:bCs/>
                <w:sz w:val="20"/>
                <w:szCs w:val="20"/>
              </w:rPr>
              <w:t>Capital/Startup vs. Operation and Maintenance (O&amp;M) Costs</w:t>
            </w:r>
          </w:p>
        </w:tc>
      </w:tr>
      <w:tr w14:paraId="6AB9B091" w14:textId="77777777" w:rsidTr="00931129">
        <w:tblPrEx>
          <w:tblW w:w="9150" w:type="dxa"/>
          <w:tblInd w:w="111" w:type="dxa"/>
          <w:tblLayout w:type="fixed"/>
          <w:tblCellMar>
            <w:left w:w="111" w:type="dxa"/>
            <w:right w:w="111" w:type="dxa"/>
          </w:tblCellMar>
          <w:tblLook w:val="0000"/>
        </w:tblPrEx>
        <w:tc>
          <w:tcPr>
            <w:tcW w:w="1170" w:type="dxa"/>
            <w:tcBorders>
              <w:top w:val="single" w:sz="7" w:space="0" w:color="000000"/>
              <w:left w:val="single" w:sz="7" w:space="0" w:color="000000"/>
              <w:bottom w:val="single" w:sz="8" w:space="0" w:color="000000"/>
              <w:right w:val="single" w:sz="6" w:space="0" w:color="FFFFFF"/>
            </w:tcBorders>
          </w:tcPr>
          <w:p w:rsidR="00931129" w:rsidRPr="00931129" w:rsidP="00931129" w14:paraId="374CDCB9" w14:textId="77777777">
            <w:pPr>
              <w:spacing w:line="259" w:lineRule="auto"/>
              <w:ind w:left="0" w:firstLine="0"/>
              <w:contextualSpacing/>
              <w:rPr>
                <w:rFonts w:cstheme="minorHAnsi"/>
                <w:sz w:val="20"/>
                <w:szCs w:val="20"/>
              </w:rPr>
            </w:pPr>
            <w:r w:rsidRPr="00931129">
              <w:rPr>
                <w:rFonts w:cstheme="minorHAnsi"/>
                <w:sz w:val="20"/>
                <w:szCs w:val="20"/>
              </w:rPr>
              <w:t>(A)</w:t>
            </w:r>
          </w:p>
          <w:p w:rsidR="00931129" w:rsidRPr="00931129" w:rsidP="00931129" w14:paraId="1ABC814C" w14:textId="77777777">
            <w:pPr>
              <w:spacing w:line="259" w:lineRule="auto"/>
              <w:ind w:left="0" w:firstLine="0"/>
              <w:contextualSpacing/>
              <w:rPr>
                <w:rFonts w:cstheme="minorHAnsi"/>
                <w:sz w:val="20"/>
                <w:szCs w:val="20"/>
              </w:rPr>
            </w:pPr>
            <w:r w:rsidRPr="00931129">
              <w:rPr>
                <w:rFonts w:cstheme="minorHAnsi"/>
                <w:sz w:val="20"/>
                <w:szCs w:val="20"/>
              </w:rPr>
              <w:t>Continuous Monitoring Device</w:t>
            </w:r>
          </w:p>
        </w:tc>
        <w:tc>
          <w:tcPr>
            <w:tcW w:w="1500" w:type="dxa"/>
            <w:tcBorders>
              <w:top w:val="single" w:sz="7" w:space="0" w:color="000000"/>
              <w:left w:val="single" w:sz="7" w:space="0" w:color="000000"/>
              <w:bottom w:val="single" w:sz="8" w:space="0" w:color="000000"/>
              <w:right w:val="single" w:sz="6" w:space="0" w:color="FFFFFF"/>
            </w:tcBorders>
          </w:tcPr>
          <w:p w:rsidR="00931129" w:rsidRPr="00931129" w:rsidP="00931129" w14:paraId="6FD49203" w14:textId="77777777">
            <w:pPr>
              <w:spacing w:line="259" w:lineRule="auto"/>
              <w:ind w:left="0" w:firstLine="0"/>
              <w:contextualSpacing/>
              <w:rPr>
                <w:rFonts w:cstheme="minorHAnsi"/>
                <w:sz w:val="20"/>
                <w:szCs w:val="20"/>
              </w:rPr>
            </w:pPr>
            <w:r w:rsidRPr="00931129">
              <w:rPr>
                <w:rFonts w:cstheme="minorHAnsi"/>
                <w:sz w:val="20"/>
                <w:szCs w:val="20"/>
              </w:rPr>
              <w:t>(B)</w:t>
            </w:r>
          </w:p>
          <w:p w:rsidR="00931129" w:rsidRPr="00931129" w:rsidP="00931129" w14:paraId="48F27CEB" w14:textId="77777777">
            <w:pPr>
              <w:spacing w:line="259" w:lineRule="auto"/>
              <w:ind w:left="0" w:firstLine="0"/>
              <w:contextualSpacing/>
              <w:rPr>
                <w:rFonts w:cstheme="minorHAnsi"/>
                <w:sz w:val="20"/>
                <w:szCs w:val="20"/>
              </w:rPr>
            </w:pPr>
            <w:r w:rsidRPr="00931129">
              <w:rPr>
                <w:rFonts w:cstheme="minorHAnsi"/>
                <w:sz w:val="20"/>
                <w:szCs w:val="20"/>
              </w:rPr>
              <w:t xml:space="preserve">Capital/Startup Cost for One Respondent </w:t>
            </w:r>
            <w:r w:rsidRPr="00931129">
              <w:rPr>
                <w:rFonts w:cstheme="minorHAnsi"/>
                <w:sz w:val="20"/>
                <w:szCs w:val="20"/>
                <w:vertAlign w:val="superscript"/>
              </w:rPr>
              <w:t>a</w:t>
            </w:r>
          </w:p>
        </w:tc>
        <w:tc>
          <w:tcPr>
            <w:tcW w:w="1290" w:type="dxa"/>
            <w:tcBorders>
              <w:top w:val="single" w:sz="7" w:space="0" w:color="000000"/>
              <w:left w:val="single" w:sz="7" w:space="0" w:color="000000"/>
              <w:bottom w:val="single" w:sz="8" w:space="0" w:color="000000"/>
              <w:right w:val="single" w:sz="6" w:space="0" w:color="FFFFFF"/>
            </w:tcBorders>
          </w:tcPr>
          <w:p w:rsidR="00931129" w:rsidRPr="00931129" w:rsidP="00931129" w14:paraId="6D53FA0C" w14:textId="77777777">
            <w:pPr>
              <w:spacing w:line="259" w:lineRule="auto"/>
              <w:ind w:left="0" w:firstLine="0"/>
              <w:contextualSpacing/>
              <w:rPr>
                <w:rFonts w:cstheme="minorHAnsi"/>
                <w:sz w:val="20"/>
                <w:szCs w:val="20"/>
              </w:rPr>
            </w:pPr>
            <w:r w:rsidRPr="00931129">
              <w:rPr>
                <w:rFonts w:cstheme="minorHAnsi"/>
                <w:sz w:val="20"/>
                <w:szCs w:val="20"/>
              </w:rPr>
              <w:t>(C)</w:t>
            </w:r>
          </w:p>
          <w:p w:rsidR="00931129" w:rsidRPr="00931129" w:rsidP="00931129" w14:paraId="49AC88D5" w14:textId="77777777">
            <w:pPr>
              <w:spacing w:line="259" w:lineRule="auto"/>
              <w:ind w:left="0" w:firstLine="0"/>
              <w:contextualSpacing/>
              <w:rPr>
                <w:rFonts w:cstheme="minorHAnsi"/>
                <w:sz w:val="20"/>
                <w:szCs w:val="20"/>
              </w:rPr>
            </w:pPr>
            <w:r w:rsidRPr="00931129">
              <w:rPr>
                <w:rFonts w:cstheme="minorHAnsi"/>
                <w:sz w:val="20"/>
                <w:szCs w:val="20"/>
              </w:rPr>
              <w:t>Number of New Respondents</w:t>
            </w:r>
          </w:p>
        </w:tc>
        <w:tc>
          <w:tcPr>
            <w:tcW w:w="1500" w:type="dxa"/>
            <w:tcBorders>
              <w:top w:val="single" w:sz="7" w:space="0" w:color="000000"/>
              <w:left w:val="single" w:sz="7" w:space="0" w:color="000000"/>
              <w:bottom w:val="single" w:sz="8" w:space="0" w:color="000000"/>
              <w:right w:val="single" w:sz="6" w:space="0" w:color="FFFFFF"/>
            </w:tcBorders>
          </w:tcPr>
          <w:p w:rsidR="00931129" w:rsidRPr="00931129" w:rsidP="00931129" w14:paraId="511C4784" w14:textId="77777777">
            <w:pPr>
              <w:spacing w:line="259" w:lineRule="auto"/>
              <w:ind w:left="0" w:firstLine="0"/>
              <w:contextualSpacing/>
              <w:rPr>
                <w:rFonts w:cstheme="minorHAnsi"/>
                <w:sz w:val="20"/>
                <w:szCs w:val="20"/>
              </w:rPr>
            </w:pPr>
            <w:r w:rsidRPr="00931129">
              <w:rPr>
                <w:rFonts w:cstheme="minorHAnsi"/>
                <w:sz w:val="20"/>
                <w:szCs w:val="20"/>
              </w:rPr>
              <w:t>(D)</w:t>
            </w:r>
          </w:p>
          <w:p w:rsidR="00931129" w:rsidRPr="00931129" w:rsidP="00931129" w14:paraId="44F06380" w14:textId="77777777">
            <w:pPr>
              <w:spacing w:line="259" w:lineRule="auto"/>
              <w:ind w:left="0" w:firstLine="0"/>
              <w:contextualSpacing/>
              <w:rPr>
                <w:rFonts w:cstheme="minorHAnsi"/>
                <w:sz w:val="20"/>
                <w:szCs w:val="20"/>
              </w:rPr>
            </w:pPr>
            <w:r w:rsidRPr="00931129">
              <w:rPr>
                <w:rFonts w:cstheme="minorHAnsi"/>
                <w:sz w:val="20"/>
                <w:szCs w:val="20"/>
              </w:rPr>
              <w:t>Total Capital/Startup Cost, (B X C)</w:t>
            </w:r>
          </w:p>
        </w:tc>
        <w:tc>
          <w:tcPr>
            <w:tcW w:w="1290" w:type="dxa"/>
            <w:tcBorders>
              <w:top w:val="single" w:sz="7" w:space="0" w:color="000000"/>
              <w:left w:val="single" w:sz="7" w:space="0" w:color="000000"/>
              <w:bottom w:val="single" w:sz="8" w:space="0" w:color="000000"/>
              <w:right w:val="single" w:sz="6" w:space="0" w:color="FFFFFF"/>
            </w:tcBorders>
          </w:tcPr>
          <w:p w:rsidR="00931129" w:rsidRPr="00931129" w:rsidP="00931129" w14:paraId="2F458CD2" w14:textId="77777777">
            <w:pPr>
              <w:spacing w:line="259" w:lineRule="auto"/>
              <w:ind w:left="0" w:firstLine="0"/>
              <w:contextualSpacing/>
              <w:rPr>
                <w:rFonts w:cstheme="minorHAnsi"/>
                <w:sz w:val="20"/>
                <w:szCs w:val="20"/>
              </w:rPr>
            </w:pPr>
            <w:r w:rsidRPr="00931129">
              <w:rPr>
                <w:rFonts w:cstheme="minorHAnsi"/>
                <w:sz w:val="20"/>
                <w:szCs w:val="20"/>
              </w:rPr>
              <w:t>(E)</w:t>
            </w:r>
          </w:p>
          <w:p w:rsidR="00931129" w:rsidRPr="00931129" w:rsidP="00931129" w14:paraId="1A381A6D" w14:textId="77777777">
            <w:pPr>
              <w:spacing w:line="259" w:lineRule="auto"/>
              <w:ind w:left="0" w:firstLine="0"/>
              <w:contextualSpacing/>
              <w:rPr>
                <w:rFonts w:cstheme="minorHAnsi"/>
                <w:sz w:val="20"/>
                <w:szCs w:val="20"/>
              </w:rPr>
            </w:pPr>
            <w:r w:rsidRPr="00931129">
              <w:rPr>
                <w:rFonts w:cstheme="minorHAnsi"/>
                <w:sz w:val="20"/>
                <w:szCs w:val="20"/>
              </w:rPr>
              <w:t xml:space="preserve">Annual O&amp;M Costs for One Respondent </w:t>
            </w:r>
            <w:r w:rsidRPr="00931129">
              <w:rPr>
                <w:rFonts w:cstheme="minorHAnsi"/>
                <w:sz w:val="20"/>
                <w:szCs w:val="20"/>
                <w:vertAlign w:val="superscript"/>
              </w:rPr>
              <w:t>a</w:t>
            </w:r>
          </w:p>
        </w:tc>
        <w:tc>
          <w:tcPr>
            <w:tcW w:w="1320" w:type="dxa"/>
            <w:tcBorders>
              <w:top w:val="single" w:sz="7" w:space="0" w:color="000000"/>
              <w:left w:val="single" w:sz="7" w:space="0" w:color="000000"/>
              <w:bottom w:val="single" w:sz="8" w:space="0" w:color="000000"/>
              <w:right w:val="single" w:sz="6" w:space="0" w:color="FFFFFF"/>
            </w:tcBorders>
          </w:tcPr>
          <w:p w:rsidR="00931129" w:rsidRPr="00931129" w:rsidP="00931129" w14:paraId="2B47588B" w14:textId="77777777">
            <w:pPr>
              <w:spacing w:line="259" w:lineRule="auto"/>
              <w:ind w:left="0" w:firstLine="0"/>
              <w:contextualSpacing/>
              <w:rPr>
                <w:rFonts w:cstheme="minorHAnsi"/>
                <w:sz w:val="20"/>
                <w:szCs w:val="20"/>
              </w:rPr>
            </w:pPr>
            <w:r w:rsidRPr="00931129">
              <w:rPr>
                <w:rFonts w:cstheme="minorHAnsi"/>
                <w:sz w:val="20"/>
                <w:szCs w:val="20"/>
              </w:rPr>
              <w:t>(F)</w:t>
            </w:r>
          </w:p>
          <w:p w:rsidR="00931129" w:rsidRPr="00931129" w:rsidP="00931129" w14:paraId="6B1C8511" w14:textId="77777777">
            <w:pPr>
              <w:spacing w:line="259" w:lineRule="auto"/>
              <w:ind w:left="0" w:firstLine="0"/>
              <w:contextualSpacing/>
              <w:rPr>
                <w:rFonts w:cstheme="minorHAnsi"/>
                <w:sz w:val="20"/>
                <w:szCs w:val="20"/>
              </w:rPr>
            </w:pPr>
            <w:r w:rsidRPr="00931129">
              <w:rPr>
                <w:rFonts w:cstheme="minorHAnsi"/>
                <w:sz w:val="20"/>
                <w:szCs w:val="20"/>
              </w:rPr>
              <w:t>Number of Respondents with O&amp;M</w:t>
            </w:r>
          </w:p>
        </w:tc>
        <w:tc>
          <w:tcPr>
            <w:tcW w:w="1080" w:type="dxa"/>
            <w:tcBorders>
              <w:top w:val="single" w:sz="7" w:space="0" w:color="000000"/>
              <w:left w:val="single" w:sz="7" w:space="0" w:color="000000"/>
              <w:bottom w:val="single" w:sz="8" w:space="0" w:color="000000"/>
              <w:right w:val="single" w:sz="7" w:space="0" w:color="000000"/>
            </w:tcBorders>
          </w:tcPr>
          <w:p w:rsidR="00931129" w:rsidRPr="00931129" w:rsidP="00931129" w14:paraId="1C2AFD18" w14:textId="77777777">
            <w:pPr>
              <w:spacing w:line="259" w:lineRule="auto"/>
              <w:ind w:left="0" w:firstLine="0"/>
              <w:contextualSpacing/>
              <w:rPr>
                <w:rFonts w:cstheme="minorHAnsi"/>
                <w:sz w:val="20"/>
                <w:szCs w:val="20"/>
                <w:lang w:val="pt-BR"/>
              </w:rPr>
            </w:pPr>
            <w:r w:rsidRPr="00931129">
              <w:rPr>
                <w:rFonts w:cstheme="minorHAnsi"/>
                <w:sz w:val="20"/>
                <w:szCs w:val="20"/>
                <w:lang w:val="pt-BR"/>
              </w:rPr>
              <w:t>(G)</w:t>
            </w:r>
          </w:p>
          <w:p w:rsidR="00931129" w:rsidRPr="00931129" w:rsidP="00931129" w14:paraId="383C50FE" w14:textId="77777777">
            <w:pPr>
              <w:spacing w:line="259" w:lineRule="auto"/>
              <w:ind w:left="0" w:firstLine="0"/>
              <w:contextualSpacing/>
              <w:rPr>
                <w:rFonts w:cstheme="minorHAnsi"/>
                <w:sz w:val="20"/>
                <w:szCs w:val="20"/>
                <w:lang w:val="pt-BR"/>
              </w:rPr>
            </w:pPr>
            <w:r w:rsidRPr="00931129">
              <w:rPr>
                <w:rFonts w:cstheme="minorHAnsi"/>
                <w:sz w:val="20"/>
                <w:szCs w:val="20"/>
                <w:lang w:val="pt-BR"/>
              </w:rPr>
              <w:t>Total O&amp;M,</w:t>
            </w:r>
          </w:p>
          <w:p w:rsidR="00931129" w:rsidRPr="00931129" w:rsidP="00931129" w14:paraId="7CFC00DA" w14:textId="77777777">
            <w:pPr>
              <w:spacing w:line="259" w:lineRule="auto"/>
              <w:ind w:left="0" w:firstLine="0"/>
              <w:contextualSpacing/>
              <w:rPr>
                <w:rFonts w:cstheme="minorHAnsi"/>
                <w:sz w:val="20"/>
                <w:szCs w:val="20"/>
                <w:lang w:val="pt-BR"/>
              </w:rPr>
            </w:pPr>
            <w:r w:rsidRPr="00931129">
              <w:rPr>
                <w:rFonts w:cstheme="minorHAnsi"/>
                <w:sz w:val="20"/>
                <w:szCs w:val="20"/>
                <w:lang w:val="pt-BR"/>
              </w:rPr>
              <w:t>(E X F)</w:t>
            </w:r>
          </w:p>
        </w:tc>
      </w:tr>
      <w:tr w14:paraId="36007F54" w14:textId="77777777" w:rsidTr="00931129">
        <w:tblPrEx>
          <w:tblW w:w="9150" w:type="dxa"/>
          <w:tblInd w:w="111" w:type="dxa"/>
          <w:tblLayout w:type="fixed"/>
          <w:tblCellMar>
            <w:left w:w="111" w:type="dxa"/>
            <w:right w:w="111" w:type="dxa"/>
          </w:tblCellMar>
          <w:tblLook w:val="0000"/>
        </w:tblPrEx>
        <w:tc>
          <w:tcPr>
            <w:tcW w:w="1170" w:type="dxa"/>
            <w:tcBorders>
              <w:top w:val="single" w:sz="8" w:space="0" w:color="000000"/>
              <w:left w:val="single" w:sz="8" w:space="0" w:color="000000"/>
              <w:bottom w:val="single" w:sz="8" w:space="0" w:color="000000"/>
              <w:right w:val="single" w:sz="8" w:space="0" w:color="000000"/>
            </w:tcBorders>
          </w:tcPr>
          <w:p w:rsidR="00931129" w:rsidRPr="00931129" w:rsidP="00931129" w14:paraId="70B790CD" w14:textId="77777777">
            <w:pPr>
              <w:spacing w:line="259" w:lineRule="auto"/>
              <w:ind w:left="0" w:firstLine="0"/>
              <w:contextualSpacing/>
              <w:rPr>
                <w:rFonts w:cstheme="minorHAnsi"/>
                <w:sz w:val="20"/>
                <w:szCs w:val="20"/>
              </w:rPr>
            </w:pPr>
            <w:r w:rsidRPr="00931129">
              <w:rPr>
                <w:rFonts w:cstheme="minorHAnsi"/>
                <w:sz w:val="20"/>
                <w:szCs w:val="20"/>
              </w:rPr>
              <w:t>CMS</w:t>
            </w:r>
          </w:p>
        </w:tc>
        <w:tc>
          <w:tcPr>
            <w:tcW w:w="1500" w:type="dxa"/>
            <w:tcBorders>
              <w:top w:val="single" w:sz="8" w:space="0" w:color="000000"/>
              <w:left w:val="single" w:sz="8" w:space="0" w:color="000000"/>
              <w:bottom w:val="single" w:sz="8" w:space="0" w:color="000000"/>
              <w:right w:val="single" w:sz="8" w:space="0" w:color="000000"/>
            </w:tcBorders>
          </w:tcPr>
          <w:p w:rsidR="00931129" w:rsidRPr="00931129" w:rsidP="00931129" w14:paraId="4D3AF86A" w14:textId="77777777">
            <w:pPr>
              <w:spacing w:line="259" w:lineRule="auto"/>
              <w:ind w:left="0" w:firstLine="0"/>
              <w:contextualSpacing/>
              <w:rPr>
                <w:rFonts w:cstheme="minorHAnsi"/>
                <w:sz w:val="20"/>
                <w:szCs w:val="20"/>
              </w:rPr>
            </w:pPr>
            <w:r w:rsidRPr="00931129">
              <w:rPr>
                <w:rFonts w:cstheme="minorHAnsi"/>
                <w:sz w:val="20"/>
                <w:szCs w:val="20"/>
              </w:rPr>
              <w:t>$5,673</w:t>
            </w:r>
          </w:p>
        </w:tc>
        <w:tc>
          <w:tcPr>
            <w:tcW w:w="1290" w:type="dxa"/>
            <w:tcBorders>
              <w:top w:val="single" w:sz="8" w:space="0" w:color="000000"/>
              <w:left w:val="single" w:sz="8" w:space="0" w:color="000000"/>
              <w:bottom w:val="single" w:sz="8" w:space="0" w:color="000000"/>
              <w:right w:val="single" w:sz="8" w:space="0" w:color="000000"/>
            </w:tcBorders>
          </w:tcPr>
          <w:p w:rsidR="00931129" w:rsidRPr="00931129" w:rsidP="00931129" w14:paraId="6A58E2BB" w14:textId="77777777">
            <w:pPr>
              <w:spacing w:line="259" w:lineRule="auto"/>
              <w:ind w:left="0" w:firstLine="0"/>
              <w:contextualSpacing/>
              <w:rPr>
                <w:rFonts w:cstheme="minorHAnsi"/>
                <w:sz w:val="20"/>
                <w:szCs w:val="20"/>
              </w:rPr>
            </w:pPr>
            <w:r w:rsidRPr="00931129">
              <w:rPr>
                <w:rFonts w:cstheme="minorHAnsi"/>
                <w:sz w:val="20"/>
                <w:szCs w:val="20"/>
              </w:rPr>
              <w:t>0</w:t>
            </w:r>
          </w:p>
        </w:tc>
        <w:tc>
          <w:tcPr>
            <w:tcW w:w="1500" w:type="dxa"/>
            <w:tcBorders>
              <w:top w:val="single" w:sz="8" w:space="0" w:color="000000"/>
              <w:left w:val="single" w:sz="8" w:space="0" w:color="000000"/>
              <w:bottom w:val="single" w:sz="8" w:space="0" w:color="000000"/>
              <w:right w:val="single" w:sz="8" w:space="0" w:color="000000"/>
            </w:tcBorders>
          </w:tcPr>
          <w:p w:rsidR="00931129" w:rsidRPr="00931129" w:rsidP="00931129" w14:paraId="6EFF132C" w14:textId="77777777">
            <w:pPr>
              <w:spacing w:line="259" w:lineRule="auto"/>
              <w:ind w:left="0" w:firstLine="0"/>
              <w:contextualSpacing/>
              <w:rPr>
                <w:rFonts w:cstheme="minorHAnsi"/>
                <w:sz w:val="20"/>
                <w:szCs w:val="20"/>
              </w:rPr>
            </w:pPr>
            <w:r w:rsidRPr="00931129">
              <w:rPr>
                <w:rFonts w:cstheme="minorHAnsi"/>
                <w:sz w:val="20"/>
                <w:szCs w:val="20"/>
              </w:rPr>
              <w:t>$0</w:t>
            </w:r>
          </w:p>
        </w:tc>
        <w:tc>
          <w:tcPr>
            <w:tcW w:w="1290" w:type="dxa"/>
            <w:tcBorders>
              <w:top w:val="single" w:sz="8" w:space="0" w:color="000000"/>
              <w:left w:val="single" w:sz="8" w:space="0" w:color="000000"/>
              <w:bottom w:val="single" w:sz="8" w:space="0" w:color="000000"/>
              <w:right w:val="single" w:sz="8" w:space="0" w:color="000000"/>
            </w:tcBorders>
          </w:tcPr>
          <w:p w:rsidR="00931129" w:rsidRPr="00931129" w:rsidP="00931129" w14:paraId="4A8F66C2" w14:textId="77777777">
            <w:pPr>
              <w:spacing w:line="259" w:lineRule="auto"/>
              <w:ind w:left="0" w:firstLine="0"/>
              <w:contextualSpacing/>
              <w:rPr>
                <w:rFonts w:cstheme="minorHAnsi"/>
                <w:sz w:val="20"/>
                <w:szCs w:val="20"/>
              </w:rPr>
            </w:pPr>
            <w:r w:rsidRPr="00931129">
              <w:rPr>
                <w:rFonts w:cstheme="minorHAnsi"/>
                <w:sz w:val="20"/>
                <w:szCs w:val="20"/>
              </w:rPr>
              <w:t>$922</w:t>
            </w:r>
          </w:p>
        </w:tc>
        <w:tc>
          <w:tcPr>
            <w:tcW w:w="1320" w:type="dxa"/>
            <w:tcBorders>
              <w:top w:val="single" w:sz="8" w:space="0" w:color="000000"/>
              <w:left w:val="single" w:sz="8" w:space="0" w:color="000000"/>
              <w:bottom w:val="single" w:sz="8" w:space="0" w:color="000000"/>
              <w:right w:val="single" w:sz="8" w:space="0" w:color="000000"/>
            </w:tcBorders>
          </w:tcPr>
          <w:p w:rsidR="00931129" w:rsidRPr="00931129" w:rsidP="00931129" w14:paraId="7A661057" w14:textId="77777777">
            <w:pPr>
              <w:spacing w:line="259" w:lineRule="auto"/>
              <w:ind w:left="0" w:firstLine="0"/>
              <w:contextualSpacing/>
              <w:rPr>
                <w:rFonts w:cstheme="minorHAnsi"/>
                <w:sz w:val="20"/>
                <w:szCs w:val="20"/>
              </w:rPr>
            </w:pPr>
            <w:r w:rsidRPr="00931129">
              <w:rPr>
                <w:rFonts w:cstheme="minorHAnsi"/>
                <w:sz w:val="20"/>
                <w:szCs w:val="20"/>
              </w:rPr>
              <w:t>167</w:t>
            </w:r>
          </w:p>
        </w:tc>
        <w:tc>
          <w:tcPr>
            <w:tcW w:w="1080" w:type="dxa"/>
            <w:tcBorders>
              <w:top w:val="single" w:sz="8" w:space="0" w:color="000000"/>
              <w:left w:val="single" w:sz="8" w:space="0" w:color="000000"/>
              <w:bottom w:val="single" w:sz="8" w:space="0" w:color="000000"/>
              <w:right w:val="single" w:sz="8" w:space="0" w:color="000000"/>
            </w:tcBorders>
          </w:tcPr>
          <w:p w:rsidR="00931129" w:rsidRPr="00931129" w:rsidP="00931129" w14:paraId="388DE114" w14:textId="77777777">
            <w:pPr>
              <w:spacing w:line="259" w:lineRule="auto"/>
              <w:ind w:left="0" w:firstLine="0"/>
              <w:contextualSpacing/>
              <w:rPr>
                <w:rFonts w:cstheme="minorHAnsi"/>
                <w:sz w:val="20"/>
                <w:szCs w:val="20"/>
              </w:rPr>
            </w:pPr>
            <w:r w:rsidRPr="00931129">
              <w:rPr>
                <w:rFonts w:cstheme="minorHAnsi"/>
                <w:sz w:val="20"/>
                <w:szCs w:val="20"/>
              </w:rPr>
              <w:t>$154,000</w:t>
            </w:r>
          </w:p>
        </w:tc>
      </w:tr>
      <w:tr w14:paraId="227AC3C3" w14:textId="77777777" w:rsidTr="00931129">
        <w:tblPrEx>
          <w:tblW w:w="9150" w:type="dxa"/>
          <w:tblInd w:w="111" w:type="dxa"/>
          <w:tblLayout w:type="fixed"/>
          <w:tblCellMar>
            <w:left w:w="111" w:type="dxa"/>
            <w:right w:w="111" w:type="dxa"/>
          </w:tblCellMar>
          <w:tblLook w:val="0000"/>
        </w:tblPrEx>
        <w:tc>
          <w:tcPr>
            <w:tcW w:w="2670" w:type="dxa"/>
            <w:gridSpan w:val="2"/>
            <w:tcBorders>
              <w:top w:val="single" w:sz="8" w:space="0" w:color="000000"/>
              <w:left w:val="single" w:sz="8" w:space="0" w:color="000000"/>
              <w:bottom w:val="single" w:sz="4" w:space="0" w:color="auto"/>
              <w:right w:val="single" w:sz="8" w:space="0" w:color="000000"/>
            </w:tcBorders>
            <w:vAlign w:val="center"/>
          </w:tcPr>
          <w:p w:rsidR="00931129" w:rsidRPr="00931129" w:rsidP="00931129" w14:paraId="4C2182CC" w14:textId="77777777">
            <w:pPr>
              <w:spacing w:line="259" w:lineRule="auto"/>
              <w:ind w:left="0" w:firstLine="0"/>
              <w:contextualSpacing/>
              <w:rPr>
                <w:rFonts w:cstheme="minorHAnsi"/>
                <w:sz w:val="20"/>
                <w:szCs w:val="20"/>
              </w:rPr>
            </w:pPr>
            <w:r w:rsidRPr="00931129">
              <w:rPr>
                <w:rFonts w:cstheme="minorHAnsi"/>
                <w:sz w:val="20"/>
                <w:szCs w:val="20"/>
              </w:rPr>
              <w:t xml:space="preserve">Total (rounded) </w:t>
            </w:r>
            <w:r w:rsidRPr="00931129">
              <w:rPr>
                <w:rFonts w:cstheme="minorHAnsi"/>
                <w:sz w:val="20"/>
                <w:szCs w:val="20"/>
                <w:vertAlign w:val="superscript"/>
              </w:rPr>
              <w:t>b</w:t>
            </w:r>
          </w:p>
        </w:tc>
        <w:tc>
          <w:tcPr>
            <w:tcW w:w="1290" w:type="dxa"/>
            <w:tcBorders>
              <w:top w:val="single" w:sz="8" w:space="0" w:color="000000"/>
              <w:left w:val="single" w:sz="8" w:space="0" w:color="000000"/>
              <w:bottom w:val="single" w:sz="4" w:space="0" w:color="auto"/>
              <w:right w:val="single" w:sz="8" w:space="0" w:color="000000"/>
            </w:tcBorders>
            <w:vAlign w:val="center"/>
          </w:tcPr>
          <w:p w:rsidR="00931129" w:rsidRPr="00931129" w:rsidP="00931129" w14:paraId="3CA39850" w14:textId="77777777">
            <w:pPr>
              <w:spacing w:line="259" w:lineRule="auto"/>
              <w:ind w:left="0" w:firstLine="0"/>
              <w:contextualSpacing/>
              <w:rPr>
                <w:rFonts w:cstheme="minorHAnsi"/>
                <w:sz w:val="20"/>
                <w:szCs w:val="20"/>
              </w:rPr>
            </w:pPr>
            <w:r w:rsidRPr="00931129">
              <w:rPr>
                <w:rFonts w:cstheme="minorHAnsi"/>
                <w:sz w:val="20"/>
                <w:szCs w:val="20"/>
              </w:rPr>
              <w:t> </w:t>
            </w:r>
          </w:p>
        </w:tc>
        <w:tc>
          <w:tcPr>
            <w:tcW w:w="1500" w:type="dxa"/>
            <w:tcBorders>
              <w:top w:val="single" w:sz="8" w:space="0" w:color="000000"/>
              <w:left w:val="single" w:sz="8" w:space="0" w:color="000000"/>
              <w:bottom w:val="single" w:sz="4" w:space="0" w:color="auto"/>
              <w:right w:val="single" w:sz="8" w:space="0" w:color="000000"/>
            </w:tcBorders>
            <w:vAlign w:val="center"/>
          </w:tcPr>
          <w:p w:rsidR="00931129" w:rsidRPr="00931129" w:rsidP="00931129" w14:paraId="6B17047C" w14:textId="77777777">
            <w:pPr>
              <w:spacing w:line="259" w:lineRule="auto"/>
              <w:ind w:left="0" w:firstLine="0"/>
              <w:contextualSpacing/>
              <w:rPr>
                <w:rFonts w:cstheme="minorHAnsi"/>
                <w:sz w:val="20"/>
                <w:szCs w:val="20"/>
              </w:rPr>
            </w:pPr>
            <w:r w:rsidRPr="00931129">
              <w:rPr>
                <w:rFonts w:cstheme="minorHAnsi"/>
                <w:sz w:val="20"/>
                <w:szCs w:val="20"/>
              </w:rPr>
              <w:t xml:space="preserve">$0 </w:t>
            </w:r>
          </w:p>
        </w:tc>
        <w:tc>
          <w:tcPr>
            <w:tcW w:w="1290" w:type="dxa"/>
            <w:tcBorders>
              <w:top w:val="single" w:sz="8" w:space="0" w:color="000000"/>
              <w:left w:val="single" w:sz="8" w:space="0" w:color="000000"/>
              <w:bottom w:val="single" w:sz="4" w:space="0" w:color="auto"/>
              <w:right w:val="single" w:sz="8" w:space="0" w:color="000000"/>
            </w:tcBorders>
            <w:vAlign w:val="center"/>
          </w:tcPr>
          <w:p w:rsidR="00931129" w:rsidRPr="00931129" w:rsidP="00931129" w14:paraId="6D13F790" w14:textId="77777777">
            <w:pPr>
              <w:spacing w:line="259" w:lineRule="auto"/>
              <w:ind w:left="0" w:firstLine="0"/>
              <w:contextualSpacing/>
              <w:rPr>
                <w:rFonts w:cstheme="minorHAnsi"/>
                <w:sz w:val="20"/>
                <w:szCs w:val="20"/>
              </w:rPr>
            </w:pPr>
            <w:r w:rsidRPr="00931129">
              <w:rPr>
                <w:rFonts w:cstheme="minorHAnsi"/>
                <w:sz w:val="20"/>
                <w:szCs w:val="20"/>
              </w:rPr>
              <w:t> </w:t>
            </w:r>
          </w:p>
        </w:tc>
        <w:tc>
          <w:tcPr>
            <w:tcW w:w="1320" w:type="dxa"/>
            <w:tcBorders>
              <w:top w:val="single" w:sz="8" w:space="0" w:color="000000"/>
              <w:left w:val="single" w:sz="8" w:space="0" w:color="000000"/>
              <w:bottom w:val="single" w:sz="4" w:space="0" w:color="auto"/>
              <w:right w:val="single" w:sz="8" w:space="0" w:color="000000"/>
            </w:tcBorders>
            <w:vAlign w:val="center"/>
          </w:tcPr>
          <w:p w:rsidR="00931129" w:rsidRPr="00931129" w:rsidP="00931129" w14:paraId="320D4C85" w14:textId="77777777">
            <w:pPr>
              <w:spacing w:line="259" w:lineRule="auto"/>
              <w:ind w:left="0" w:firstLine="0"/>
              <w:contextualSpacing/>
              <w:rPr>
                <w:rFonts w:cstheme="minorHAnsi"/>
                <w:sz w:val="20"/>
                <w:szCs w:val="20"/>
              </w:rPr>
            </w:pPr>
            <w:r w:rsidRPr="00931129">
              <w:rPr>
                <w:rFonts w:cstheme="minorHAnsi"/>
                <w:sz w:val="20"/>
                <w:szCs w:val="20"/>
              </w:rPr>
              <w:t> </w:t>
            </w:r>
          </w:p>
        </w:tc>
        <w:tc>
          <w:tcPr>
            <w:tcW w:w="1080" w:type="dxa"/>
            <w:tcBorders>
              <w:top w:val="single" w:sz="8" w:space="0" w:color="000000"/>
              <w:left w:val="single" w:sz="8" w:space="0" w:color="000000"/>
              <w:bottom w:val="single" w:sz="4" w:space="0" w:color="auto"/>
              <w:right w:val="single" w:sz="8" w:space="0" w:color="000000"/>
            </w:tcBorders>
            <w:vAlign w:val="center"/>
          </w:tcPr>
          <w:p w:rsidR="00931129" w:rsidRPr="00931129" w:rsidP="00931129" w14:paraId="433D51E0" w14:textId="77777777">
            <w:pPr>
              <w:spacing w:line="259" w:lineRule="auto"/>
              <w:ind w:left="0" w:firstLine="0"/>
              <w:contextualSpacing/>
              <w:rPr>
                <w:rFonts w:cstheme="minorHAnsi"/>
                <w:sz w:val="20"/>
                <w:szCs w:val="20"/>
              </w:rPr>
            </w:pPr>
            <w:r w:rsidRPr="00931129">
              <w:rPr>
                <w:rFonts w:cstheme="minorHAnsi"/>
                <w:b/>
                <w:bCs/>
                <w:sz w:val="20"/>
                <w:szCs w:val="20"/>
              </w:rPr>
              <w:t xml:space="preserve">$154,000 </w:t>
            </w:r>
          </w:p>
        </w:tc>
      </w:tr>
    </w:tbl>
    <w:p w:rsidR="000D0F02" w:rsidRPr="000D0F02" w:rsidP="000D0F02" w14:paraId="1DD0BB5A" w14:textId="77777777">
      <w:pPr>
        <w:spacing w:line="259" w:lineRule="auto"/>
        <w:ind w:left="0" w:firstLine="0"/>
        <w:contextualSpacing/>
        <w:rPr>
          <w:rFonts w:cstheme="minorHAnsi"/>
        </w:rPr>
      </w:pPr>
      <w:r w:rsidRPr="000D0F02">
        <w:rPr>
          <w:rFonts w:cstheme="minorHAnsi"/>
          <w:vertAlign w:val="superscript"/>
        </w:rPr>
        <w:t>a</w:t>
      </w:r>
      <w:r w:rsidRPr="000D0F02">
        <w:rPr>
          <w:rFonts w:cstheme="minorHAnsi"/>
        </w:rPr>
        <w:t xml:space="preserve"> Costs have been increased from 2008 to 2022 $ using the CEPCI Equipment Cost Index.</w:t>
      </w:r>
    </w:p>
    <w:p w:rsidR="000D0F02" w:rsidRPr="000D0F02" w:rsidP="00165884" w14:paraId="6BB034F9" w14:textId="77777777">
      <w:pPr>
        <w:spacing w:line="259" w:lineRule="auto"/>
        <w:ind w:left="0" w:firstLine="0"/>
        <w:rPr>
          <w:rFonts w:cstheme="minorHAnsi"/>
        </w:rPr>
      </w:pPr>
      <w:r w:rsidRPr="000D0F02">
        <w:rPr>
          <w:rFonts w:cstheme="minorHAnsi"/>
          <w:vertAlign w:val="superscript"/>
        </w:rPr>
        <w:t>b</w:t>
      </w:r>
      <w:r w:rsidRPr="000D0F02">
        <w:rPr>
          <w:rFonts w:cstheme="minorHAnsi"/>
        </w:rPr>
        <w:t xml:space="preserve"> Totals have been rounded to 3 significant digits. Figures may not add exactly due to rounding.</w:t>
      </w:r>
    </w:p>
    <w:p w:rsidR="00165884" w:rsidRPr="00165884" w:rsidP="00165884" w14:paraId="54DD708E" w14:textId="77777777">
      <w:pPr>
        <w:spacing w:line="259" w:lineRule="auto"/>
        <w:ind w:left="0" w:firstLine="0"/>
        <w:rPr>
          <w:rFonts w:cstheme="minorHAnsi"/>
        </w:rPr>
      </w:pPr>
      <w:r w:rsidRPr="00165884">
        <w:rPr>
          <w:rFonts w:cstheme="minorHAnsi"/>
        </w:rPr>
        <w:t xml:space="preserve">The total capital/startup costs for this ICR are $0. This is the total of column D in the above table. </w:t>
      </w:r>
    </w:p>
    <w:p w:rsidR="00165884" w:rsidRPr="00165884" w:rsidP="00165884" w14:paraId="37297AEC" w14:textId="77777777">
      <w:pPr>
        <w:spacing w:line="259" w:lineRule="auto"/>
        <w:ind w:left="0" w:firstLine="0"/>
        <w:rPr>
          <w:rFonts w:cstheme="minorHAnsi"/>
        </w:rPr>
      </w:pPr>
      <w:r w:rsidRPr="00165884">
        <w:rPr>
          <w:rFonts w:cstheme="minorHAnsi"/>
        </w:rPr>
        <w:t xml:space="preserve">The total operation and maintenance (O&amp;M) costs for this ICR are $154,000 (rounded). This is the total of column G. </w:t>
      </w:r>
    </w:p>
    <w:p w:rsidR="00165884" w:rsidRPr="00165884" w:rsidP="00165884" w14:paraId="4D5D8706" w14:textId="77777777">
      <w:pPr>
        <w:spacing w:line="259" w:lineRule="auto"/>
        <w:ind w:left="0" w:firstLine="0"/>
        <w:rPr>
          <w:rFonts w:cstheme="minorHAnsi"/>
        </w:rPr>
      </w:pPr>
    </w:p>
    <w:p w:rsidR="00730312" w:rsidP="00165884" w14:paraId="29D8A8C3" w14:textId="1811E279">
      <w:pPr>
        <w:spacing w:line="259" w:lineRule="auto"/>
        <w:ind w:left="0" w:firstLine="0"/>
        <w:rPr>
          <w:rFonts w:cstheme="minorHAnsi"/>
        </w:rPr>
      </w:pPr>
      <w:r w:rsidRPr="00165884">
        <w:rPr>
          <w:rFonts w:cstheme="minorHAnsi"/>
        </w:rPr>
        <w:t>The average annual cost for capital/startup and operation and maintenance costs to industry over the next three years of the ICR is estimated to be $154,000. These are the recordkeeping costs.</w:t>
      </w:r>
    </w:p>
    <w:p w:rsidR="00600F47" w:rsidRPr="002943D2" w:rsidP="002943D2" w14:paraId="3903E968" w14:textId="3FF78BFF">
      <w:pPr>
        <w:spacing w:line="259" w:lineRule="auto"/>
        <w:ind w:left="0" w:firstLine="0"/>
        <w:rPr>
          <w:rFonts w:cstheme="minorHAnsi"/>
        </w:rPr>
      </w:pPr>
      <w:r w:rsidRPr="00A9302A">
        <w:rPr>
          <w:rFonts w:cstheme="minorHAnsi"/>
        </w:rPr>
        <w:t xml:space="preserve">The total annual capital/startup and O&amp;M costs to the regulated entity are $154,000. The cost calculations are detailed in </w:t>
      </w:r>
      <w:r>
        <w:rPr>
          <w:rFonts w:cstheme="minorHAnsi"/>
        </w:rPr>
        <w:t>s</w:t>
      </w:r>
      <w:r w:rsidRPr="00A9302A">
        <w:rPr>
          <w:rFonts w:cstheme="minorHAnsi"/>
        </w:rPr>
        <w:t>ection,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9F1E00" w:rsidP="002943D2" w14:paraId="647FDC77" w14:textId="45703409">
      <w:pPr>
        <w:spacing w:line="259" w:lineRule="auto"/>
        <w:ind w:left="0" w:firstLine="0"/>
        <w:rPr>
          <w:rFonts w:cstheme="minorHAnsi"/>
        </w:rPr>
      </w:pPr>
      <w:r w:rsidRPr="0073788F">
        <w:rPr>
          <w:rFonts w:cstheme="minorHAnsi"/>
        </w:rPr>
        <w:t>EPA conducts the following activities in connection with the acquisition, analysis, storage, and distribution of the required information.</w:t>
      </w:r>
    </w:p>
    <w:p w:rsidR="003B6BB0" w:rsidP="00091EBC" w14:paraId="5D533E79" w14:textId="3D21E7D2">
      <w:pPr>
        <w:pStyle w:val="ListParagraph"/>
        <w:numPr>
          <w:ilvl w:val="0"/>
          <w:numId w:val="31"/>
        </w:numPr>
        <w:spacing w:line="259" w:lineRule="auto"/>
        <w:rPr>
          <w:rFonts w:cstheme="minorHAnsi"/>
        </w:rPr>
      </w:pPr>
      <w:r w:rsidRPr="00091EBC">
        <w:rPr>
          <w:rFonts w:cstheme="minorHAnsi"/>
        </w:rPr>
        <w:t>Review notifications and reports, including performance test reports, and excess emissions reports, required to be submitted by industry.</w:t>
      </w:r>
    </w:p>
    <w:p w:rsidR="00091EBC" w:rsidP="00091EBC" w14:paraId="6DDD5FB6" w14:textId="60ADC293">
      <w:pPr>
        <w:pStyle w:val="ListParagraph"/>
        <w:numPr>
          <w:ilvl w:val="0"/>
          <w:numId w:val="31"/>
        </w:numPr>
        <w:spacing w:line="259" w:lineRule="auto"/>
        <w:rPr>
          <w:rFonts w:cstheme="minorHAnsi"/>
        </w:rPr>
      </w:pPr>
      <w:r w:rsidRPr="00091EBC">
        <w:rPr>
          <w:rFonts w:cstheme="minorHAnsi"/>
        </w:rPr>
        <w:t>Audit facility records.</w:t>
      </w:r>
    </w:p>
    <w:p w:rsidR="00091EBC" w:rsidRPr="00091EBC" w:rsidP="00091EBC" w14:paraId="072394BA" w14:textId="59189652">
      <w:pPr>
        <w:pStyle w:val="ListParagraph"/>
        <w:numPr>
          <w:ilvl w:val="0"/>
          <w:numId w:val="31"/>
        </w:numPr>
        <w:spacing w:line="259" w:lineRule="auto"/>
        <w:rPr>
          <w:rFonts w:cstheme="minorHAnsi"/>
        </w:rPr>
      </w:pPr>
      <w:r w:rsidRPr="00091EBC">
        <w:rPr>
          <w:rFonts w:cstheme="minorHAnsi"/>
        </w:rPr>
        <w:t>Input, analyze, and maintain data in the Enforcement and Compliance History Online (ECHO) and ICIS.</w:t>
      </w:r>
    </w:p>
    <w:p w:rsidR="00423E79" w:rsidRPr="00423E79" w:rsidP="00423E79" w14:paraId="1B58A423" w14:textId="77777777">
      <w:pPr>
        <w:spacing w:line="259" w:lineRule="auto"/>
        <w:ind w:left="0" w:firstLine="0"/>
        <w:rPr>
          <w:rFonts w:cstheme="minorHAnsi"/>
        </w:rPr>
      </w:pPr>
      <w:r w:rsidRPr="00423E79">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423E79" w:rsidRPr="00423E79" w:rsidP="00423E79" w14:paraId="6490052A" w14:textId="77777777">
      <w:pPr>
        <w:spacing w:line="259" w:lineRule="auto"/>
        <w:ind w:left="0" w:firstLine="0"/>
        <w:rPr>
          <w:rFonts w:cstheme="minorHAnsi"/>
        </w:rPr>
      </w:pPr>
      <w:r w:rsidRPr="00423E7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91EBC" w:rsidRPr="008B3B3E" w:rsidP="00423E79" w14:paraId="4FA48ED3" w14:textId="4D70016F">
      <w:pPr>
        <w:spacing w:line="259" w:lineRule="auto"/>
        <w:ind w:left="0" w:firstLine="0"/>
        <w:rPr>
          <w:rFonts w:cstheme="minorHAnsi"/>
        </w:rPr>
      </w:pPr>
      <w:r w:rsidRPr="00423E79">
        <w:rPr>
          <w:rFonts w:cstheme="minorHAnsi"/>
        </w:rPr>
        <w:t>The records required by this regulation must be retained by the owner/operator for two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6B60BF" w:rsidRPr="006B60BF" w:rsidP="006B60BF" w14:paraId="7E6D08AA" w14:textId="77777777">
      <w:pPr>
        <w:spacing w:line="259" w:lineRule="auto"/>
        <w:ind w:left="0" w:firstLine="0"/>
        <w:rPr>
          <w:rFonts w:cstheme="minorHAnsi"/>
        </w:rPr>
      </w:pPr>
      <w:r w:rsidRPr="006B60BF">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6B60BF" w:rsidRPr="006B60BF" w:rsidP="006B60BF" w14:paraId="37F25D3E" w14:textId="77777777">
      <w:pPr>
        <w:spacing w:line="259" w:lineRule="auto"/>
        <w:ind w:left="0" w:firstLine="0"/>
        <w:rPr>
          <w:rFonts w:cstheme="minorHAnsi"/>
        </w:rPr>
      </w:pPr>
    </w:p>
    <w:p w:rsidR="006B60BF" w:rsidRPr="006B60BF" w:rsidP="006B60BF" w14:paraId="67EFD42F" w14:textId="77777777">
      <w:pPr>
        <w:spacing w:line="259" w:lineRule="auto"/>
        <w:ind w:left="0" w:firstLine="0"/>
        <w:rPr>
          <w:rFonts w:cstheme="minorHAnsi"/>
        </w:rPr>
      </w:pPr>
      <w:r w:rsidRPr="006B60BF">
        <w:rPr>
          <w:rFonts w:cstheme="minorHAnsi"/>
        </w:rPr>
        <w:t xml:space="preserve">The average annual Agency cost during the three years of the ICR is estimated to be $163,000. </w:t>
      </w:r>
    </w:p>
    <w:p w:rsidR="006B60BF" w:rsidRPr="006B60BF" w:rsidP="006B60BF" w14:paraId="406B98A1" w14:textId="77777777">
      <w:pPr>
        <w:spacing w:line="259" w:lineRule="auto"/>
        <w:ind w:left="0" w:firstLine="0"/>
        <w:contextualSpacing/>
        <w:rPr>
          <w:rFonts w:cstheme="minorHAnsi"/>
        </w:rPr>
      </w:pPr>
      <w:r w:rsidRPr="006B60BF">
        <w:rPr>
          <w:rFonts w:cstheme="minorHAnsi"/>
        </w:rPr>
        <w:t>This cost is based on the average hourly labor rate as follows:</w:t>
      </w:r>
    </w:p>
    <w:p w:rsidR="006B60BF" w:rsidRPr="006B60BF" w:rsidP="006B60BF" w14:paraId="62BDB683" w14:textId="77777777">
      <w:pPr>
        <w:spacing w:line="259" w:lineRule="auto"/>
        <w:ind w:firstLine="0"/>
        <w:contextualSpacing/>
        <w:rPr>
          <w:rFonts w:cstheme="minorHAnsi"/>
        </w:rPr>
      </w:pPr>
      <w:r w:rsidRPr="006B60BF">
        <w:rPr>
          <w:rFonts w:cstheme="minorHAnsi"/>
        </w:rPr>
        <w:t>Managerial</w:t>
      </w:r>
      <w:r w:rsidRPr="006B60BF">
        <w:rPr>
          <w:rFonts w:cstheme="minorHAnsi"/>
        </w:rPr>
        <w:tab/>
        <w:t>$73.46 (GS-13, Step 5, $45.91 + 60%)</w:t>
      </w:r>
    </w:p>
    <w:p w:rsidR="006B60BF" w:rsidRPr="006B60BF" w:rsidP="006B60BF" w14:paraId="230F996E" w14:textId="77777777">
      <w:pPr>
        <w:spacing w:line="259" w:lineRule="auto"/>
        <w:ind w:firstLine="0"/>
        <w:contextualSpacing/>
        <w:rPr>
          <w:rFonts w:cstheme="minorHAnsi"/>
        </w:rPr>
      </w:pPr>
      <w:r w:rsidRPr="006B60BF">
        <w:rPr>
          <w:rFonts w:cstheme="minorHAnsi"/>
        </w:rPr>
        <w:t>Technical</w:t>
      </w:r>
      <w:r w:rsidRPr="006B60BF">
        <w:rPr>
          <w:rFonts w:cstheme="minorHAnsi"/>
        </w:rPr>
        <w:tab/>
        <w:t>$54.51 (GS-12, Step 1, $34.07 + 60%)</w:t>
      </w:r>
    </w:p>
    <w:p w:rsidR="006B60BF" w:rsidRPr="006B60BF" w:rsidP="006B60BF" w14:paraId="287DE2A2" w14:textId="2D945833">
      <w:pPr>
        <w:spacing w:line="259" w:lineRule="auto"/>
        <w:ind w:firstLine="0"/>
        <w:rPr>
          <w:rFonts w:cstheme="minorHAnsi"/>
        </w:rPr>
      </w:pPr>
      <w:r w:rsidRPr="006B60BF">
        <w:rPr>
          <w:rFonts w:cstheme="minorHAnsi"/>
        </w:rPr>
        <w:t>Clerical</w:t>
      </w:r>
      <w:r w:rsidRPr="006B60BF">
        <w:rPr>
          <w:rFonts w:cstheme="minorHAnsi"/>
        </w:rPr>
        <w:tab/>
      </w:r>
      <w:r>
        <w:rPr>
          <w:rFonts w:cstheme="minorHAnsi"/>
        </w:rPr>
        <w:tab/>
      </w:r>
      <w:r w:rsidRPr="006B60BF">
        <w:rPr>
          <w:rFonts w:cstheme="minorHAnsi"/>
        </w:rPr>
        <w:t>$29.50 (GS-6, Step 3, $18.44 + 60%)</w:t>
      </w:r>
    </w:p>
    <w:p w:rsidR="00BD1991" w:rsidP="006B60BF" w14:paraId="25E73867" w14:textId="53032ABF">
      <w:pPr>
        <w:spacing w:line="259" w:lineRule="auto"/>
        <w:ind w:left="0" w:firstLine="0"/>
        <w:rPr>
          <w:rFonts w:cstheme="minorHAnsi"/>
        </w:rPr>
      </w:pPr>
      <w:r w:rsidRPr="006B60BF">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NSPS for Calciners and Dryers in Mineral Industries (40 CFR Part 60, Subpart UUU) (Renewal).</w:t>
      </w:r>
    </w:p>
    <w:p w:rsidR="00095FDC" w:rsidRPr="00095FDC" w:rsidP="00095FDC" w14:paraId="12F84AFE" w14:textId="77777777">
      <w:pPr>
        <w:spacing w:line="259" w:lineRule="auto"/>
        <w:ind w:left="0" w:firstLine="0"/>
        <w:rPr>
          <w:rFonts w:cstheme="minorHAnsi"/>
        </w:rPr>
      </w:pPr>
      <w:r w:rsidRPr="00095FDC">
        <w:rPr>
          <w:rFonts w:cstheme="minorHAnsi"/>
        </w:rPr>
        <w:t>The average annual Agency burden and cost over next three years is estimated to be 3,080 labor hours at a cost of $163,000. See Table 2: Average Annual EPA Burden and Cost – NSPS for Calciners and Dryers in Mineral Industries (40 CFR Part 60, Subpart UUU) (Renewal).</w:t>
      </w:r>
    </w:p>
    <w:p w:rsidR="006B60BF" w:rsidRPr="002943D2" w:rsidP="00095FDC" w14:paraId="13D7C96F" w14:textId="6F264829">
      <w:pPr>
        <w:spacing w:line="259" w:lineRule="auto"/>
        <w:ind w:left="0" w:firstLine="0"/>
        <w:rPr>
          <w:rFonts w:cstheme="minorHAnsi"/>
        </w:rPr>
      </w:pPr>
      <w:r w:rsidRPr="00095FDC">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34E78" w:rsidRPr="00434E78" w:rsidP="00434E78" w14:paraId="01724E3A" w14:textId="44AAC155">
      <w:pPr>
        <w:pStyle w:val="Heading2"/>
        <w:keepNext w:val="0"/>
        <w:spacing w:before="0" w:after="160"/>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14c. </w:t>
      </w:r>
      <w:r w:rsidRPr="008B3B3E" w:rsidR="00D17BB9">
        <w:rPr>
          <w:rFonts w:asciiTheme="minorHAnsi" w:hAnsiTheme="minorHAnsi" w:cstheme="minorHAnsi"/>
          <w:b/>
          <w:bCs/>
          <w:color w:val="000000" w:themeColor="text1"/>
          <w:sz w:val="22"/>
          <w:szCs w:val="22"/>
        </w:rPr>
        <w:t>Agency Non-Labor Costs</w:t>
      </w:r>
    </w:p>
    <w:p w:rsidR="006D14C1" w:rsidP="002943D2" w14:paraId="77486D89" w14:textId="362CD0E3">
      <w:pPr>
        <w:spacing w:line="259" w:lineRule="auto"/>
        <w:ind w:left="0" w:firstLine="0"/>
        <w:rPr>
          <w:rFonts w:cstheme="minorHAnsi"/>
        </w:rPr>
      </w:pPr>
      <w:r w:rsidRPr="00571F41">
        <w:rPr>
          <w:rFonts w:cstheme="minorHAnsi"/>
        </w:rPr>
        <w:t>There are no anticipated non-labor costs for the Agency.</w:t>
      </w:r>
    </w:p>
    <w:p w:rsidR="00434E78" w:rsidP="00434E78" w14:paraId="4F3FC1E7" w14:textId="6344E6D8">
      <w:pPr>
        <w:pStyle w:val="Heading2"/>
        <w:keepNext w:val="0"/>
        <w:spacing w:before="0" w:after="160"/>
        <w:ind w:left="0" w:firstLine="0"/>
        <w:rPr>
          <w:rFonts w:asciiTheme="minorHAnsi" w:hAnsiTheme="minorHAnsi" w:cstheme="minorHAnsi"/>
          <w:b/>
          <w:bCs/>
          <w:color w:val="000000" w:themeColor="text1"/>
          <w:sz w:val="22"/>
          <w:szCs w:val="22"/>
        </w:rPr>
      </w:pPr>
      <w:r w:rsidRPr="00434E78">
        <w:rPr>
          <w:rFonts w:asciiTheme="minorHAnsi" w:hAnsiTheme="minorHAnsi" w:cstheme="minorHAnsi"/>
          <w:b/>
          <w:bCs/>
          <w:color w:val="000000" w:themeColor="text1"/>
          <w:sz w:val="22"/>
          <w:szCs w:val="22"/>
        </w:rPr>
        <w:t>14d. Agency Total Costs</w:t>
      </w:r>
    </w:p>
    <w:p w:rsidR="00571F41" w:rsidP="00961CD1" w14:paraId="15BDD972" w14:textId="0089D363">
      <w:pPr>
        <w:spacing w:line="259" w:lineRule="auto"/>
        <w:ind w:left="0" w:firstLine="0"/>
        <w:rPr>
          <w:rFonts w:cstheme="minorHAnsi"/>
        </w:rPr>
      </w:pPr>
      <w:r>
        <w:rPr>
          <w:rFonts w:cstheme="minorHAnsi"/>
        </w:rPr>
        <w:t>As listed in 14(b), t</w:t>
      </w:r>
      <w:r w:rsidRPr="00961CD1" w:rsidR="00961CD1">
        <w:rPr>
          <w:rFonts w:cstheme="minorHAnsi"/>
        </w:rPr>
        <w:t>he average annual Agency burden and cost over next three years is estimated to be 3,080 labor hours at a cost of $163,000.</w:t>
      </w:r>
    </w:p>
    <w:p w:rsidR="004620CA" w:rsidRPr="008B3B3E" w:rsidP="00940939" w14:paraId="3144CC9D" w14:textId="3DE8F45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BD3E52" w:rsidRPr="002943D2" w:rsidP="002943D2" w14:paraId="17C882D9" w14:textId="6C67A9A0">
      <w:pPr>
        <w:spacing w:line="259" w:lineRule="auto"/>
        <w:ind w:left="0" w:firstLine="0"/>
        <w:rPr>
          <w:rFonts w:cstheme="minorHAnsi"/>
        </w:rPr>
      </w:pPr>
      <w:r w:rsidRPr="00BD3E52">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 slight increase in costs, which is wholly due to the use of updated labor rates. This ICR uses labor rates from the most recent Bureau of Labor Statistics report (September 2022) to calculate respondent burden costs. There is an increase in capital and operation &amp; maintenance costs due to an adjustment to increase from 2008 to 2022 $ using the CEPCI Equipment Cost Index.</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73D69" w:rsidP="002943D2" w14:paraId="79B1A6A5" w14:textId="3E7F7BCC">
      <w:pPr>
        <w:spacing w:line="259" w:lineRule="auto"/>
        <w:ind w:left="0" w:firstLine="0"/>
        <w:rPr>
          <w:rFonts w:cstheme="minorHAnsi"/>
        </w:rPr>
      </w:pPr>
      <w:r w:rsidRPr="00F81CAB">
        <w:rPr>
          <w:rFonts w:cstheme="minorHAnsi"/>
        </w:rPr>
        <w:t>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F81CAB" w:rsidRPr="008B3B3E" w:rsidP="002943D2" w14:paraId="218493C8" w14:textId="098C85DD">
      <w:pPr>
        <w:spacing w:line="259" w:lineRule="auto"/>
        <w:ind w:left="0" w:firstLine="0"/>
        <w:rPr>
          <w:rFonts w:cstheme="minorHAnsi"/>
        </w:rPr>
      </w:pPr>
      <w:r w:rsidRPr="0069056E">
        <w:rPr>
          <w:rFonts w:cstheme="minorHAnsi"/>
        </w:rPr>
        <w:t>The records required by this regulation must be retained by the owner/operator for two years.</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AC7B66" w:rsidRPr="008B3B3E" w:rsidP="002943D2" w14:paraId="5D65ED14" w14:textId="4027FC2C">
      <w:pPr>
        <w:spacing w:line="259" w:lineRule="auto"/>
        <w:ind w:left="0" w:firstLine="0"/>
        <w:rPr>
          <w:rFonts w:cstheme="minorHAnsi"/>
        </w:rPr>
      </w:pPr>
      <w:r w:rsidRPr="00872F07">
        <w:rPr>
          <w:rFonts w:cstheme="minorHAnsi"/>
        </w:rPr>
        <w:t>The Agency plans to display the expiration date for OMB approval of the information collection on all instruments.</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6633876A">
      <w:pPr>
        <w:spacing w:line="259" w:lineRule="auto"/>
        <w:ind w:left="0" w:firstLine="0"/>
        <w:rPr>
          <w:rFonts w:cstheme="minorHAnsi"/>
        </w:rPr>
      </w:pPr>
      <w:r w:rsidRPr="00727DF9">
        <w:rPr>
          <w:rFonts w:cstheme="minorHAnsi"/>
        </w:rPr>
        <w:t>This information collection complies with all provisions of the Certification for Paperwork Reduction Act Submissions.</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8767DA" w:rsidRPr="008767DA" w:rsidP="008767DA" w14:paraId="75CE024C" w14:textId="77777777">
      <w:pPr>
        <w:spacing w:line="259" w:lineRule="auto"/>
        <w:ind w:left="0" w:firstLine="0"/>
        <w:rPr>
          <w:rFonts w:cstheme="minorHAnsi"/>
        </w:rPr>
      </w:pPr>
      <w:r w:rsidRPr="008767DA">
        <w:rPr>
          <w:rFonts w:cstheme="minorHAnsi"/>
        </w:rPr>
        <w:t xml:space="preserve">The annual public reporting and recordkeeping burden for this collection of information is estimated to average 20 hours per response. Burden means the total time, effort, or financial resources expended by persons to generate, maintain, retain, or disclose or provide information to or for a </w:t>
      </w:r>
      <w:r w:rsidRPr="008767DA">
        <w:rPr>
          <w:rFonts w:cstheme="minorHAnsi"/>
        </w:rPr>
        <w:t>Federal</w:t>
      </w:r>
      <w:r w:rsidRPr="008767DA">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8767DA" w:rsidRPr="008767DA" w:rsidP="008767DA" w14:paraId="26CDFC7B" w14:textId="77777777">
      <w:pPr>
        <w:spacing w:line="259" w:lineRule="auto"/>
        <w:ind w:left="0" w:firstLine="0"/>
        <w:rPr>
          <w:rFonts w:cstheme="minorHAnsi"/>
        </w:rPr>
      </w:pPr>
      <w:r w:rsidRPr="008767DA">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052C16" w:rsidP="002943D2" w14:paraId="2EB99920" w14:textId="6E1F18B3">
      <w:pPr>
        <w:spacing w:line="259" w:lineRule="auto"/>
        <w:ind w:left="0" w:firstLine="0"/>
        <w:rPr>
          <w:rFonts w:cstheme="minorHAnsi"/>
        </w:rPr>
      </w:pPr>
      <w:r w:rsidRPr="008767DA">
        <w:rPr>
          <w:rFonts w:cstheme="minorHAnsi"/>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EPA-HQ-OAR-2023-0112. An electronic version of the public docket is available at </w:t>
      </w:r>
      <w:hyperlink r:id="rId9" w:history="1">
        <w:r w:rsidRPr="008767DA">
          <w:rPr>
            <w:rStyle w:val="Hyperlink"/>
            <w:rFonts w:cstheme="minorHAnsi"/>
            <w:i/>
            <w:iCs/>
          </w:rPr>
          <w:t>http://www.regulations.gov/</w:t>
        </w:r>
      </w:hyperlink>
      <w:r w:rsidRPr="008767DA">
        <w:rPr>
          <w:rFonts w:cstheme="minorHAnsi"/>
        </w:rPr>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Officer for EPA. Please include the EPA Docket ID Number EPA-HQ-OAR-2023-0112 and OMB Control Number 2060-0251 in any correspondence. </w:t>
      </w:r>
    </w:p>
    <w:p w:rsidR="00E4587B" w:rsidP="002943D2" w14:paraId="4DD0CE95" w14:textId="77777777">
      <w:pPr>
        <w:spacing w:line="259" w:lineRule="auto"/>
        <w:ind w:left="0" w:firstLine="0"/>
        <w:rPr>
          <w:rFonts w:cstheme="minorHAnsi"/>
        </w:rPr>
        <w:sectPr w:rsidSect="000A1353">
          <w:footerReference w:type="default" r:id="rId10"/>
          <w:pgSz w:w="12240" w:h="15840"/>
          <w:pgMar w:top="1440" w:right="1440" w:bottom="1440" w:left="1440" w:header="720" w:footer="720" w:gutter="0"/>
          <w:cols w:space="720"/>
          <w:docGrid w:linePitch="360"/>
        </w:sectPr>
      </w:pPr>
    </w:p>
    <w:p w:rsidR="00EB3FEB" w:rsidP="003469BE"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7B35B7" w:rsidRPr="007B35B7" w:rsidP="003469BE" w14:paraId="63297428" w14:textId="77777777">
      <w:pPr>
        <w:pStyle w:val="Heading1"/>
        <w:keepNext w:val="0"/>
        <w:spacing w:before="0" w:after="160"/>
        <w:rPr>
          <w:rFonts w:asciiTheme="minorHAnsi" w:hAnsiTheme="minorHAnsi" w:cstheme="minorHAnsi"/>
          <w:b/>
          <w:bCs/>
          <w:color w:val="000000" w:themeColor="text1"/>
          <w:sz w:val="22"/>
          <w:szCs w:val="22"/>
        </w:rPr>
      </w:pPr>
      <w:r w:rsidRPr="007B35B7">
        <w:rPr>
          <w:rFonts w:asciiTheme="minorHAnsi" w:hAnsiTheme="minorHAnsi" w:cstheme="minorHAnsi"/>
          <w:b/>
          <w:bCs/>
          <w:color w:val="000000" w:themeColor="text1"/>
          <w:sz w:val="22"/>
          <w:szCs w:val="22"/>
        </w:rPr>
        <w:t>Table 1: Annual Respondent Burden and Cost – NSPS for Calciners and Dryers in Mineral Industries (40 CFR Part 60, Subpart UUU) (Renewal)</w:t>
      </w:r>
    </w:p>
    <w:tbl>
      <w:tblPr>
        <w:tblW w:w="12680" w:type="dxa"/>
        <w:tblLook w:val="04A0"/>
      </w:tblPr>
      <w:tblGrid>
        <w:gridCol w:w="3119"/>
        <w:gridCol w:w="1152"/>
        <w:gridCol w:w="1203"/>
        <w:gridCol w:w="1156"/>
        <w:gridCol w:w="1273"/>
        <w:gridCol w:w="14"/>
        <w:gridCol w:w="1090"/>
        <w:gridCol w:w="1309"/>
        <w:gridCol w:w="1123"/>
        <w:gridCol w:w="1229"/>
        <w:gridCol w:w="12"/>
      </w:tblGrid>
      <w:tr w14:paraId="4B610B62" w14:textId="77777777" w:rsidTr="00632FF5">
        <w:tblPrEx>
          <w:tblW w:w="12680" w:type="dxa"/>
          <w:tblLook w:val="04A0"/>
        </w:tblPrEx>
        <w:trPr>
          <w:gridAfter w:val="1"/>
          <w:wAfter w:w="13" w:type="dxa"/>
          <w:trHeight w:val="1584"/>
          <w:tblHeader/>
        </w:trPr>
        <w:tc>
          <w:tcPr>
            <w:tcW w:w="3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5B7" w:rsidRPr="007B35B7" w:rsidP="007B35B7" w14:paraId="21C4F5CC" w14:textId="77777777">
            <w:pPr>
              <w:spacing w:line="259" w:lineRule="auto"/>
              <w:ind w:left="0" w:firstLine="0"/>
              <w:contextualSpacing/>
              <w:rPr>
                <w:rFonts w:cstheme="minorHAnsi"/>
                <w:sz w:val="20"/>
                <w:szCs w:val="20"/>
              </w:rPr>
            </w:pPr>
            <w:r w:rsidRPr="007B35B7">
              <w:rPr>
                <w:rFonts w:cstheme="minorHAnsi"/>
                <w:sz w:val="20"/>
                <w:szCs w:val="20"/>
              </w:rPr>
              <w:t>Burden Item</w:t>
            </w:r>
          </w:p>
        </w:tc>
        <w:tc>
          <w:tcPr>
            <w:tcW w:w="1156" w:type="dxa"/>
            <w:tcBorders>
              <w:top w:val="single" w:sz="4" w:space="0" w:color="auto"/>
              <w:left w:val="nil"/>
              <w:bottom w:val="single" w:sz="4" w:space="0" w:color="auto"/>
              <w:right w:val="single" w:sz="4" w:space="0" w:color="auto"/>
            </w:tcBorders>
            <w:shd w:val="clear" w:color="auto" w:fill="auto"/>
            <w:hideMark/>
          </w:tcPr>
          <w:p w:rsidR="007B35B7" w:rsidRPr="007B35B7" w:rsidP="007B35B7" w14:paraId="1C16586C" w14:textId="77777777">
            <w:pPr>
              <w:spacing w:line="259" w:lineRule="auto"/>
              <w:ind w:left="0" w:firstLine="0"/>
              <w:contextualSpacing/>
              <w:rPr>
                <w:rFonts w:cstheme="minorHAnsi"/>
                <w:sz w:val="20"/>
                <w:szCs w:val="20"/>
              </w:rPr>
            </w:pPr>
            <w:r w:rsidRPr="007B35B7">
              <w:rPr>
                <w:rFonts w:cstheme="minorHAnsi"/>
                <w:sz w:val="20"/>
                <w:szCs w:val="20"/>
              </w:rPr>
              <w:t>(A)</w:t>
            </w:r>
            <w:r w:rsidRPr="007B35B7">
              <w:rPr>
                <w:rFonts w:cstheme="minorHAnsi"/>
                <w:sz w:val="20"/>
                <w:szCs w:val="20"/>
              </w:rPr>
              <w:br/>
              <w:t>Person hours per occurrence</w:t>
            </w:r>
          </w:p>
        </w:tc>
        <w:tc>
          <w:tcPr>
            <w:tcW w:w="1203" w:type="dxa"/>
            <w:tcBorders>
              <w:top w:val="single" w:sz="4" w:space="0" w:color="auto"/>
              <w:left w:val="nil"/>
              <w:bottom w:val="single" w:sz="4" w:space="0" w:color="auto"/>
              <w:right w:val="single" w:sz="4" w:space="0" w:color="auto"/>
            </w:tcBorders>
            <w:shd w:val="clear" w:color="auto" w:fill="auto"/>
            <w:hideMark/>
          </w:tcPr>
          <w:p w:rsidR="007B35B7" w:rsidRPr="007B35B7" w:rsidP="007B35B7" w14:paraId="204ADB63" w14:textId="77777777">
            <w:pPr>
              <w:spacing w:line="259" w:lineRule="auto"/>
              <w:ind w:left="0" w:firstLine="0"/>
              <w:contextualSpacing/>
              <w:rPr>
                <w:rFonts w:cstheme="minorHAnsi"/>
                <w:sz w:val="20"/>
                <w:szCs w:val="20"/>
              </w:rPr>
            </w:pPr>
            <w:r w:rsidRPr="007B35B7">
              <w:rPr>
                <w:rFonts w:cstheme="minorHAnsi"/>
                <w:sz w:val="20"/>
                <w:szCs w:val="20"/>
              </w:rPr>
              <w:t>(B)</w:t>
            </w:r>
            <w:r w:rsidRPr="007B35B7">
              <w:rPr>
                <w:rFonts w:cstheme="minorHAnsi"/>
                <w:sz w:val="20"/>
                <w:szCs w:val="20"/>
              </w:rPr>
              <w:br/>
              <w:t>No. of occurrences per respondent per year</w:t>
            </w:r>
          </w:p>
        </w:tc>
        <w:tc>
          <w:tcPr>
            <w:tcW w:w="1156" w:type="dxa"/>
            <w:tcBorders>
              <w:top w:val="single" w:sz="4" w:space="0" w:color="auto"/>
              <w:left w:val="nil"/>
              <w:bottom w:val="single" w:sz="4" w:space="0" w:color="auto"/>
              <w:right w:val="single" w:sz="4" w:space="0" w:color="auto"/>
            </w:tcBorders>
            <w:shd w:val="clear" w:color="auto" w:fill="auto"/>
            <w:hideMark/>
          </w:tcPr>
          <w:p w:rsidR="007B35B7" w:rsidRPr="007B35B7" w:rsidP="007B35B7" w14:paraId="72CF289F" w14:textId="77777777">
            <w:pPr>
              <w:spacing w:line="259" w:lineRule="auto"/>
              <w:ind w:left="0" w:firstLine="0"/>
              <w:contextualSpacing/>
              <w:rPr>
                <w:rFonts w:cstheme="minorHAnsi"/>
                <w:sz w:val="20"/>
                <w:szCs w:val="20"/>
              </w:rPr>
            </w:pPr>
            <w:r w:rsidRPr="007B35B7">
              <w:rPr>
                <w:rFonts w:cstheme="minorHAnsi"/>
                <w:sz w:val="20"/>
                <w:szCs w:val="20"/>
              </w:rPr>
              <w:t xml:space="preserve">(C) </w:t>
            </w:r>
            <w:r w:rsidRPr="007B35B7">
              <w:rPr>
                <w:rFonts w:cstheme="minorHAnsi"/>
                <w:sz w:val="20"/>
                <w:szCs w:val="20"/>
              </w:rPr>
              <w:br/>
              <w:t xml:space="preserve">Person hours per respondent per year </w:t>
            </w:r>
            <w:r w:rsidRPr="007B35B7">
              <w:rPr>
                <w:rFonts w:cstheme="minorHAnsi"/>
                <w:sz w:val="20"/>
                <w:szCs w:val="20"/>
              </w:rPr>
              <w:br/>
              <w:t>(C=</w:t>
            </w:r>
            <w:r w:rsidRPr="007B35B7">
              <w:rPr>
                <w:rFonts w:cstheme="minorHAnsi"/>
                <w:sz w:val="20"/>
                <w:szCs w:val="20"/>
              </w:rPr>
              <w:t>AxB</w:t>
            </w:r>
            <w:r w:rsidRPr="007B35B7">
              <w:rPr>
                <w:rFonts w:cstheme="minorHAnsi"/>
                <w:sz w:val="20"/>
                <w:szCs w:val="20"/>
              </w:rPr>
              <w:t>)</w:t>
            </w:r>
          </w:p>
        </w:tc>
        <w:tc>
          <w:tcPr>
            <w:tcW w:w="1273" w:type="dxa"/>
            <w:tcBorders>
              <w:top w:val="single" w:sz="4" w:space="0" w:color="auto"/>
              <w:left w:val="nil"/>
              <w:bottom w:val="single" w:sz="4" w:space="0" w:color="auto"/>
              <w:right w:val="single" w:sz="4" w:space="0" w:color="auto"/>
            </w:tcBorders>
            <w:shd w:val="clear" w:color="auto" w:fill="auto"/>
            <w:hideMark/>
          </w:tcPr>
          <w:p w:rsidR="007B35B7" w:rsidRPr="007B35B7" w:rsidP="007B35B7" w14:paraId="10565CCB" w14:textId="77777777">
            <w:pPr>
              <w:spacing w:line="259" w:lineRule="auto"/>
              <w:ind w:left="0" w:firstLine="0"/>
              <w:contextualSpacing/>
              <w:rPr>
                <w:rFonts w:cstheme="minorHAnsi"/>
                <w:sz w:val="20"/>
                <w:szCs w:val="20"/>
              </w:rPr>
            </w:pPr>
            <w:r w:rsidRPr="007B35B7">
              <w:rPr>
                <w:rFonts w:cstheme="minorHAnsi"/>
                <w:sz w:val="20"/>
                <w:szCs w:val="20"/>
              </w:rPr>
              <w:t>(D)</w:t>
            </w:r>
            <w:r w:rsidRPr="007B35B7">
              <w:rPr>
                <w:rFonts w:cstheme="minorHAnsi"/>
                <w:sz w:val="20"/>
                <w:szCs w:val="20"/>
              </w:rPr>
              <w:br/>
              <w:t xml:space="preserve">Respondents per year </w:t>
            </w:r>
            <w:r w:rsidRPr="007B35B7">
              <w:rPr>
                <w:rFonts w:cstheme="minorHAnsi"/>
                <w:sz w:val="20"/>
                <w:szCs w:val="20"/>
                <w:vertAlign w:val="superscript"/>
              </w:rPr>
              <w:t>a</w:t>
            </w:r>
          </w:p>
        </w:tc>
        <w:tc>
          <w:tcPr>
            <w:tcW w:w="1123" w:type="dxa"/>
            <w:gridSpan w:val="2"/>
            <w:tcBorders>
              <w:top w:val="single" w:sz="4" w:space="0" w:color="auto"/>
              <w:left w:val="nil"/>
              <w:bottom w:val="single" w:sz="4" w:space="0" w:color="auto"/>
              <w:right w:val="single" w:sz="4" w:space="0" w:color="auto"/>
            </w:tcBorders>
            <w:shd w:val="clear" w:color="auto" w:fill="auto"/>
            <w:hideMark/>
          </w:tcPr>
          <w:p w:rsidR="007B35B7" w:rsidRPr="007B35B7" w:rsidP="007B35B7" w14:paraId="5C328321" w14:textId="77777777">
            <w:pPr>
              <w:spacing w:line="259" w:lineRule="auto"/>
              <w:ind w:left="0" w:firstLine="0"/>
              <w:contextualSpacing/>
              <w:rPr>
                <w:rFonts w:cstheme="minorHAnsi"/>
                <w:sz w:val="20"/>
                <w:szCs w:val="20"/>
              </w:rPr>
            </w:pPr>
            <w:r w:rsidRPr="007B35B7">
              <w:rPr>
                <w:rFonts w:cstheme="minorHAnsi"/>
                <w:sz w:val="20"/>
                <w:szCs w:val="20"/>
              </w:rPr>
              <w:t xml:space="preserve">(E) </w:t>
            </w:r>
            <w:r w:rsidRPr="007B35B7">
              <w:rPr>
                <w:rFonts w:cstheme="minorHAnsi"/>
                <w:sz w:val="20"/>
                <w:szCs w:val="20"/>
              </w:rPr>
              <w:br/>
              <w:t>Technical person- hours per year (E=</w:t>
            </w:r>
            <w:r w:rsidRPr="007B35B7">
              <w:rPr>
                <w:rFonts w:cstheme="minorHAnsi"/>
                <w:sz w:val="20"/>
                <w:szCs w:val="20"/>
              </w:rPr>
              <w:t>CxD</w:t>
            </w:r>
            <w:r w:rsidRPr="007B35B7">
              <w:rPr>
                <w:rFonts w:cstheme="minorHAnsi"/>
                <w:sz w:val="20"/>
                <w:szCs w:val="20"/>
              </w:rPr>
              <w:t>)</w:t>
            </w:r>
          </w:p>
        </w:tc>
        <w:tc>
          <w:tcPr>
            <w:tcW w:w="1309" w:type="dxa"/>
            <w:tcBorders>
              <w:top w:val="single" w:sz="4" w:space="0" w:color="auto"/>
              <w:left w:val="nil"/>
              <w:bottom w:val="single" w:sz="4" w:space="0" w:color="auto"/>
              <w:right w:val="single" w:sz="4" w:space="0" w:color="auto"/>
            </w:tcBorders>
            <w:shd w:val="clear" w:color="auto" w:fill="auto"/>
            <w:hideMark/>
          </w:tcPr>
          <w:p w:rsidR="007B35B7" w:rsidRPr="007B35B7" w:rsidP="007B35B7" w14:paraId="18DD6959" w14:textId="77777777">
            <w:pPr>
              <w:spacing w:line="259" w:lineRule="auto"/>
              <w:ind w:left="0" w:firstLine="0"/>
              <w:contextualSpacing/>
              <w:rPr>
                <w:rFonts w:cstheme="minorHAnsi"/>
                <w:sz w:val="20"/>
                <w:szCs w:val="20"/>
              </w:rPr>
            </w:pPr>
            <w:r w:rsidRPr="007B35B7">
              <w:rPr>
                <w:rFonts w:cstheme="minorHAnsi"/>
                <w:sz w:val="20"/>
                <w:szCs w:val="20"/>
              </w:rPr>
              <w:t>(F)</w:t>
            </w:r>
            <w:r w:rsidRPr="007B35B7">
              <w:rPr>
                <w:rFonts w:cstheme="minorHAnsi"/>
                <w:sz w:val="20"/>
                <w:szCs w:val="20"/>
              </w:rPr>
              <w:br/>
              <w:t>Management person hours per year (Ex0.05)</w:t>
            </w:r>
          </w:p>
        </w:tc>
        <w:tc>
          <w:tcPr>
            <w:tcW w:w="1171" w:type="dxa"/>
            <w:tcBorders>
              <w:top w:val="single" w:sz="4" w:space="0" w:color="auto"/>
              <w:left w:val="nil"/>
              <w:bottom w:val="single" w:sz="4" w:space="0" w:color="auto"/>
              <w:right w:val="single" w:sz="4" w:space="0" w:color="auto"/>
            </w:tcBorders>
            <w:shd w:val="clear" w:color="auto" w:fill="auto"/>
            <w:hideMark/>
          </w:tcPr>
          <w:p w:rsidR="007B35B7" w:rsidRPr="007B35B7" w:rsidP="007B35B7" w14:paraId="011F4571" w14:textId="77777777">
            <w:pPr>
              <w:spacing w:line="259" w:lineRule="auto"/>
              <w:ind w:left="0" w:firstLine="0"/>
              <w:contextualSpacing/>
              <w:rPr>
                <w:rFonts w:cstheme="minorHAnsi"/>
                <w:sz w:val="20"/>
                <w:szCs w:val="20"/>
              </w:rPr>
            </w:pPr>
            <w:r w:rsidRPr="007B35B7">
              <w:rPr>
                <w:rFonts w:cstheme="minorHAnsi"/>
                <w:sz w:val="20"/>
                <w:szCs w:val="20"/>
              </w:rPr>
              <w:t>(G)</w:t>
            </w:r>
            <w:r w:rsidRPr="007B35B7">
              <w:rPr>
                <w:rFonts w:cstheme="minorHAnsi"/>
                <w:sz w:val="20"/>
                <w:szCs w:val="20"/>
              </w:rPr>
              <w:br/>
              <w:t>Clerical person hours per year (Ex0.1)</w:t>
            </w:r>
          </w:p>
        </w:tc>
        <w:tc>
          <w:tcPr>
            <w:tcW w:w="1062" w:type="dxa"/>
            <w:tcBorders>
              <w:top w:val="single" w:sz="4" w:space="0" w:color="auto"/>
              <w:left w:val="nil"/>
              <w:bottom w:val="single" w:sz="4" w:space="0" w:color="auto"/>
              <w:right w:val="single" w:sz="4" w:space="0" w:color="auto"/>
            </w:tcBorders>
            <w:shd w:val="clear" w:color="auto" w:fill="auto"/>
            <w:hideMark/>
          </w:tcPr>
          <w:p w:rsidR="007B35B7" w:rsidRPr="007B35B7" w:rsidP="007B35B7" w14:paraId="27B7A5D1" w14:textId="77777777">
            <w:pPr>
              <w:spacing w:line="259" w:lineRule="auto"/>
              <w:ind w:left="0" w:firstLine="0"/>
              <w:contextualSpacing/>
              <w:rPr>
                <w:rFonts w:cstheme="minorHAnsi"/>
                <w:sz w:val="20"/>
                <w:szCs w:val="20"/>
              </w:rPr>
            </w:pPr>
            <w:r w:rsidRPr="007B35B7">
              <w:rPr>
                <w:rFonts w:cstheme="minorHAnsi"/>
                <w:sz w:val="20"/>
                <w:szCs w:val="20"/>
              </w:rPr>
              <w:t>(H)</w:t>
            </w:r>
            <w:r w:rsidRPr="007B35B7">
              <w:rPr>
                <w:rFonts w:cstheme="minorHAnsi"/>
                <w:sz w:val="20"/>
                <w:szCs w:val="20"/>
              </w:rPr>
              <w:br/>
              <w:t xml:space="preserve">Cost, $ </w:t>
            </w:r>
            <w:r w:rsidRPr="007B35B7">
              <w:rPr>
                <w:rFonts w:cstheme="minorHAnsi"/>
                <w:sz w:val="20"/>
                <w:szCs w:val="20"/>
                <w:vertAlign w:val="superscript"/>
              </w:rPr>
              <w:t>b</w:t>
            </w:r>
          </w:p>
        </w:tc>
      </w:tr>
      <w:tr w14:paraId="42008BEB"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vAlign w:val="center"/>
            <w:hideMark/>
          </w:tcPr>
          <w:p w:rsidR="007B35B7" w:rsidRPr="007B35B7" w:rsidP="007B35B7" w14:paraId="64FE8661" w14:textId="77777777">
            <w:pPr>
              <w:spacing w:line="259" w:lineRule="auto"/>
              <w:ind w:left="0" w:firstLine="0"/>
              <w:contextualSpacing/>
              <w:rPr>
                <w:rFonts w:cstheme="minorHAnsi"/>
                <w:sz w:val="20"/>
                <w:szCs w:val="20"/>
              </w:rPr>
            </w:pPr>
            <w:r w:rsidRPr="007B35B7">
              <w:rPr>
                <w:rFonts w:cstheme="minorHAnsi"/>
                <w:sz w:val="20"/>
                <w:szCs w:val="20"/>
              </w:rPr>
              <w:t>1. Reporting requirements</w:t>
            </w:r>
          </w:p>
        </w:tc>
        <w:tc>
          <w:tcPr>
            <w:tcW w:w="1156" w:type="dxa"/>
            <w:tcBorders>
              <w:top w:val="nil"/>
              <w:left w:val="nil"/>
              <w:bottom w:val="single" w:sz="4" w:space="0" w:color="auto"/>
              <w:right w:val="single" w:sz="4" w:space="0" w:color="auto"/>
            </w:tcBorders>
            <w:shd w:val="clear" w:color="auto" w:fill="auto"/>
            <w:vAlign w:val="bottom"/>
            <w:hideMark/>
          </w:tcPr>
          <w:p w:rsidR="007B35B7" w:rsidRPr="007B35B7" w:rsidP="007B35B7" w14:paraId="13761C3F"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03" w:type="dxa"/>
            <w:tcBorders>
              <w:top w:val="nil"/>
              <w:left w:val="nil"/>
              <w:bottom w:val="single" w:sz="4" w:space="0" w:color="auto"/>
              <w:right w:val="single" w:sz="4" w:space="0" w:color="auto"/>
            </w:tcBorders>
            <w:shd w:val="clear" w:color="auto" w:fill="auto"/>
            <w:vAlign w:val="bottom"/>
            <w:hideMark/>
          </w:tcPr>
          <w:p w:rsidR="007B35B7" w:rsidRPr="007B35B7" w:rsidP="007B35B7" w14:paraId="35264AAB"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56" w:type="dxa"/>
            <w:tcBorders>
              <w:top w:val="nil"/>
              <w:left w:val="nil"/>
              <w:bottom w:val="single" w:sz="4" w:space="0" w:color="auto"/>
              <w:right w:val="single" w:sz="4" w:space="0" w:color="auto"/>
            </w:tcBorders>
            <w:shd w:val="clear" w:color="auto" w:fill="auto"/>
            <w:vAlign w:val="bottom"/>
            <w:hideMark/>
          </w:tcPr>
          <w:p w:rsidR="007B35B7" w:rsidRPr="007B35B7" w:rsidP="007B35B7" w14:paraId="190B5B4A"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7B35B7" w:rsidRPr="007B35B7" w:rsidP="007B35B7" w14:paraId="63B9DF33"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6CB4A601"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7B35B7" w:rsidRPr="007B35B7" w:rsidP="007B35B7" w14:paraId="69516594"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7B35B7" w:rsidRPr="007B35B7" w:rsidP="007B35B7" w14:paraId="72B2CA49"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bottom"/>
            <w:hideMark/>
          </w:tcPr>
          <w:p w:rsidR="007B35B7" w:rsidRPr="007B35B7" w:rsidP="007B35B7" w14:paraId="50074575" w14:textId="77777777">
            <w:pPr>
              <w:spacing w:line="259" w:lineRule="auto"/>
              <w:ind w:left="0" w:firstLine="0"/>
              <w:contextualSpacing/>
              <w:rPr>
                <w:rFonts w:cstheme="minorHAnsi"/>
                <w:sz w:val="20"/>
                <w:szCs w:val="20"/>
              </w:rPr>
            </w:pPr>
            <w:r w:rsidRPr="007B35B7">
              <w:rPr>
                <w:rFonts w:cstheme="minorHAnsi"/>
                <w:sz w:val="20"/>
                <w:szCs w:val="20"/>
              </w:rPr>
              <w:t> </w:t>
            </w:r>
          </w:p>
        </w:tc>
      </w:tr>
      <w:tr w14:paraId="7A592BF1" w14:textId="77777777" w:rsidTr="00632FF5">
        <w:tblPrEx>
          <w:tblW w:w="12680" w:type="dxa"/>
          <w:tblLook w:val="04A0"/>
        </w:tblPrEx>
        <w:trPr>
          <w:gridAfter w:val="1"/>
          <w:wAfter w:w="13" w:type="dxa"/>
          <w:trHeight w:val="312"/>
        </w:trPr>
        <w:tc>
          <w:tcPr>
            <w:tcW w:w="3214" w:type="dxa"/>
            <w:tcBorders>
              <w:top w:val="nil"/>
              <w:left w:val="single" w:sz="4" w:space="0" w:color="auto"/>
              <w:bottom w:val="single" w:sz="4" w:space="0" w:color="auto"/>
              <w:right w:val="single" w:sz="4" w:space="0" w:color="auto"/>
            </w:tcBorders>
            <w:shd w:val="clear" w:color="auto" w:fill="auto"/>
            <w:vAlign w:val="center"/>
            <w:hideMark/>
          </w:tcPr>
          <w:p w:rsidR="007B35B7" w:rsidRPr="007B35B7" w:rsidP="007B35B7" w14:paraId="2A049E39" w14:textId="77777777">
            <w:pPr>
              <w:spacing w:line="259" w:lineRule="auto"/>
              <w:ind w:left="0" w:firstLine="0"/>
              <w:contextualSpacing/>
              <w:rPr>
                <w:rFonts w:cstheme="minorHAnsi"/>
                <w:sz w:val="20"/>
                <w:szCs w:val="20"/>
              </w:rPr>
            </w:pPr>
            <w:r w:rsidRPr="007B35B7">
              <w:rPr>
                <w:rFonts w:cstheme="minorHAnsi"/>
                <w:sz w:val="20"/>
                <w:szCs w:val="20"/>
              </w:rPr>
              <w:t xml:space="preserve">A. Familiarization with regulatory </w:t>
            </w:r>
            <w:r w:rsidRPr="007B35B7">
              <w:rPr>
                <w:rFonts w:cstheme="minorHAnsi"/>
                <w:sz w:val="20"/>
                <w:szCs w:val="20"/>
              </w:rPr>
              <w:t>requirements</w:t>
            </w:r>
            <w:r w:rsidRPr="007B35B7">
              <w:rPr>
                <w:rFonts w:cstheme="minorHAnsi"/>
                <w:sz w:val="20"/>
                <w:szCs w:val="20"/>
                <w:vertAlign w:val="superscript"/>
              </w:rPr>
              <w:t>c</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0E36C11C"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203" w:type="dxa"/>
            <w:tcBorders>
              <w:top w:val="nil"/>
              <w:left w:val="nil"/>
              <w:bottom w:val="single" w:sz="4" w:space="0" w:color="auto"/>
              <w:right w:val="single" w:sz="4" w:space="0" w:color="auto"/>
            </w:tcBorders>
            <w:shd w:val="clear" w:color="auto" w:fill="auto"/>
            <w:vAlign w:val="center"/>
            <w:hideMark/>
          </w:tcPr>
          <w:p w:rsidR="007B35B7" w:rsidRPr="007B35B7" w:rsidP="007B35B7" w14:paraId="659AFED3"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062ED293"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4D5116C9" w14:textId="77777777">
            <w:pPr>
              <w:spacing w:line="259" w:lineRule="auto"/>
              <w:ind w:left="0" w:firstLine="0"/>
              <w:contextualSpacing/>
              <w:rPr>
                <w:rFonts w:cstheme="minorHAnsi"/>
                <w:sz w:val="20"/>
                <w:szCs w:val="20"/>
              </w:rPr>
            </w:pPr>
            <w:r w:rsidRPr="007B35B7">
              <w:rPr>
                <w:rFonts w:cstheme="minorHAnsi"/>
                <w:sz w:val="20"/>
                <w:szCs w:val="20"/>
              </w:rPr>
              <w:t>167</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3AE3FE80" w14:textId="77777777">
            <w:pPr>
              <w:spacing w:line="259" w:lineRule="auto"/>
              <w:ind w:left="0" w:firstLine="0"/>
              <w:contextualSpacing/>
              <w:rPr>
                <w:rFonts w:cstheme="minorHAnsi"/>
                <w:sz w:val="20"/>
                <w:szCs w:val="20"/>
              </w:rPr>
            </w:pPr>
            <w:r w:rsidRPr="007B35B7">
              <w:rPr>
                <w:rFonts w:cstheme="minorHAnsi"/>
                <w:sz w:val="20"/>
                <w:szCs w:val="20"/>
              </w:rPr>
              <w:t>167</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57A75A67" w14:textId="77777777">
            <w:pPr>
              <w:spacing w:line="259" w:lineRule="auto"/>
              <w:ind w:left="0" w:firstLine="0"/>
              <w:contextualSpacing/>
              <w:rPr>
                <w:rFonts w:cstheme="minorHAnsi"/>
                <w:sz w:val="20"/>
                <w:szCs w:val="20"/>
              </w:rPr>
            </w:pPr>
            <w:r w:rsidRPr="007B35B7">
              <w:rPr>
                <w:rFonts w:cstheme="minorHAnsi"/>
                <w:sz w:val="20"/>
                <w:szCs w:val="20"/>
              </w:rPr>
              <w:t>8</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4A43FC75" w14:textId="77777777">
            <w:pPr>
              <w:spacing w:line="259" w:lineRule="auto"/>
              <w:ind w:left="0" w:firstLine="0"/>
              <w:contextualSpacing/>
              <w:rPr>
                <w:rFonts w:cstheme="minorHAnsi"/>
                <w:sz w:val="20"/>
                <w:szCs w:val="20"/>
              </w:rPr>
            </w:pPr>
            <w:r w:rsidRPr="007B35B7">
              <w:rPr>
                <w:rFonts w:cstheme="minorHAnsi"/>
                <w:sz w:val="20"/>
                <w:szCs w:val="20"/>
              </w:rPr>
              <w:t>17</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2D38E295" w14:textId="77777777">
            <w:pPr>
              <w:spacing w:line="259" w:lineRule="auto"/>
              <w:ind w:left="0" w:firstLine="0"/>
              <w:contextualSpacing/>
              <w:rPr>
                <w:rFonts w:cstheme="minorHAnsi"/>
                <w:sz w:val="20"/>
                <w:szCs w:val="20"/>
              </w:rPr>
            </w:pPr>
            <w:r w:rsidRPr="007B35B7">
              <w:rPr>
                <w:rFonts w:cstheme="minorHAnsi"/>
                <w:sz w:val="20"/>
                <w:szCs w:val="20"/>
              </w:rPr>
              <w:t xml:space="preserve">$24,216.59 </w:t>
            </w:r>
          </w:p>
        </w:tc>
      </w:tr>
      <w:tr w14:paraId="08D10F22"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49F7B722" w14:textId="77777777">
            <w:pPr>
              <w:spacing w:line="259" w:lineRule="auto"/>
              <w:ind w:left="0" w:firstLine="0"/>
              <w:contextualSpacing/>
              <w:rPr>
                <w:rFonts w:cstheme="minorHAnsi"/>
                <w:sz w:val="20"/>
                <w:szCs w:val="20"/>
              </w:rPr>
            </w:pPr>
            <w:r w:rsidRPr="007B35B7">
              <w:rPr>
                <w:rFonts w:cstheme="minorHAnsi"/>
                <w:sz w:val="20"/>
                <w:szCs w:val="20"/>
              </w:rPr>
              <w:t xml:space="preserve"> B. Required Activities</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3F39737C"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7B35B7" w:rsidRPr="007B35B7" w:rsidP="007B35B7" w14:paraId="1A10379D"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7B323429"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5007F697"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5C8BD5B2"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7B91FB81"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2A6A8F02"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54FCFF0A" w14:textId="77777777">
            <w:pPr>
              <w:spacing w:line="259" w:lineRule="auto"/>
              <w:ind w:left="0" w:firstLine="0"/>
              <w:contextualSpacing/>
              <w:rPr>
                <w:rFonts w:cstheme="minorHAnsi"/>
                <w:sz w:val="20"/>
                <w:szCs w:val="20"/>
              </w:rPr>
            </w:pPr>
            <w:r w:rsidRPr="007B35B7">
              <w:rPr>
                <w:rFonts w:cstheme="minorHAnsi"/>
                <w:sz w:val="20"/>
                <w:szCs w:val="20"/>
              </w:rPr>
              <w:t> </w:t>
            </w:r>
          </w:p>
        </w:tc>
      </w:tr>
      <w:tr w14:paraId="686C1D5D" w14:textId="77777777" w:rsidTr="00632FF5">
        <w:tblPrEx>
          <w:tblW w:w="12680" w:type="dxa"/>
          <w:tblLook w:val="04A0"/>
        </w:tblPrEx>
        <w:trPr>
          <w:gridAfter w:val="1"/>
          <w:wAfter w:w="13" w:type="dxa"/>
          <w:trHeight w:val="312"/>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573E3F6D" w14:textId="77777777">
            <w:pPr>
              <w:spacing w:line="259" w:lineRule="auto"/>
              <w:ind w:left="0" w:firstLine="0"/>
              <w:contextualSpacing/>
              <w:rPr>
                <w:rFonts w:cstheme="minorHAnsi"/>
                <w:sz w:val="20"/>
                <w:szCs w:val="20"/>
              </w:rPr>
            </w:pPr>
            <w:r w:rsidRPr="007B35B7">
              <w:rPr>
                <w:rFonts w:cstheme="minorHAnsi"/>
                <w:sz w:val="20"/>
                <w:szCs w:val="20"/>
              </w:rPr>
              <w:t xml:space="preserve"> Initial performance test </w:t>
            </w:r>
            <w:r w:rsidRPr="007B35B7">
              <w:rPr>
                <w:rFonts w:cstheme="minorHAnsi"/>
                <w:sz w:val="20"/>
                <w:szCs w:val="20"/>
                <w:vertAlign w:val="superscript"/>
              </w:rPr>
              <w:t>d</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0A141BA8" w14:textId="77777777">
            <w:pPr>
              <w:spacing w:line="259" w:lineRule="auto"/>
              <w:ind w:left="0" w:firstLine="0"/>
              <w:contextualSpacing/>
              <w:rPr>
                <w:rFonts w:cstheme="minorHAnsi"/>
                <w:sz w:val="20"/>
                <w:szCs w:val="20"/>
              </w:rPr>
            </w:pPr>
            <w:r w:rsidRPr="007B35B7">
              <w:rPr>
                <w:rFonts w:cstheme="minorHAnsi"/>
                <w:sz w:val="20"/>
                <w:szCs w:val="20"/>
              </w:rPr>
              <w:t>330</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4075B474"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7E98975C" w14:textId="77777777">
            <w:pPr>
              <w:spacing w:line="259" w:lineRule="auto"/>
              <w:ind w:left="0" w:firstLine="0"/>
              <w:contextualSpacing/>
              <w:rPr>
                <w:rFonts w:cstheme="minorHAnsi"/>
                <w:sz w:val="20"/>
                <w:szCs w:val="20"/>
              </w:rPr>
            </w:pPr>
            <w:r w:rsidRPr="007B35B7">
              <w:rPr>
                <w:rFonts w:cstheme="minorHAnsi"/>
                <w:sz w:val="20"/>
                <w:szCs w:val="20"/>
              </w:rPr>
              <w:t>330</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3EF3A0BA"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2369E699"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30C04C0E"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5C329212"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1B1AA657"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33E19AF3" w14:textId="77777777" w:rsidTr="00632FF5">
        <w:tblPrEx>
          <w:tblW w:w="12680" w:type="dxa"/>
          <w:tblLook w:val="04A0"/>
        </w:tblPrEx>
        <w:trPr>
          <w:gridAfter w:val="1"/>
          <w:wAfter w:w="13" w:type="dxa"/>
          <w:trHeight w:val="312"/>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16AF56C0" w14:textId="77777777">
            <w:pPr>
              <w:spacing w:line="259" w:lineRule="auto"/>
              <w:ind w:left="0" w:firstLine="0"/>
              <w:contextualSpacing/>
              <w:rPr>
                <w:rFonts w:cstheme="minorHAnsi"/>
                <w:sz w:val="20"/>
                <w:szCs w:val="20"/>
              </w:rPr>
            </w:pPr>
            <w:r w:rsidRPr="007B35B7">
              <w:rPr>
                <w:rFonts w:cstheme="minorHAnsi"/>
                <w:sz w:val="20"/>
                <w:szCs w:val="20"/>
              </w:rPr>
              <w:t xml:space="preserve"> Repeat performance test </w:t>
            </w:r>
            <w:r w:rsidRPr="007B35B7">
              <w:rPr>
                <w:rFonts w:cstheme="minorHAnsi"/>
                <w:sz w:val="20"/>
                <w:szCs w:val="20"/>
                <w:vertAlign w:val="superscript"/>
              </w:rPr>
              <w:t>e</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5F9FAEAF" w14:textId="77777777">
            <w:pPr>
              <w:spacing w:line="259" w:lineRule="auto"/>
              <w:ind w:left="0" w:firstLine="0"/>
              <w:contextualSpacing/>
              <w:rPr>
                <w:rFonts w:cstheme="minorHAnsi"/>
                <w:sz w:val="20"/>
                <w:szCs w:val="20"/>
              </w:rPr>
            </w:pPr>
            <w:r w:rsidRPr="007B35B7">
              <w:rPr>
                <w:rFonts w:cstheme="minorHAnsi"/>
                <w:sz w:val="20"/>
                <w:szCs w:val="20"/>
              </w:rPr>
              <w:t>330</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0BFD4C7D"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0F6C13E1" w14:textId="77777777">
            <w:pPr>
              <w:spacing w:line="259" w:lineRule="auto"/>
              <w:ind w:left="0" w:firstLine="0"/>
              <w:contextualSpacing/>
              <w:rPr>
                <w:rFonts w:cstheme="minorHAnsi"/>
                <w:sz w:val="20"/>
                <w:szCs w:val="20"/>
              </w:rPr>
            </w:pPr>
            <w:r w:rsidRPr="007B35B7">
              <w:rPr>
                <w:rFonts w:cstheme="minorHAnsi"/>
                <w:sz w:val="20"/>
                <w:szCs w:val="20"/>
              </w:rPr>
              <w:t>330</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4043689E"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751152FB"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34A9625E"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612F7B4D"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759A19ED"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56C17555" w14:textId="77777777" w:rsidTr="00632FF5">
        <w:tblPrEx>
          <w:tblW w:w="12680" w:type="dxa"/>
          <w:tblLook w:val="04A0"/>
        </w:tblPrEx>
        <w:trPr>
          <w:gridAfter w:val="1"/>
          <w:wAfter w:w="13" w:type="dxa"/>
          <w:trHeight w:val="312"/>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71022DDF" w14:textId="77777777">
            <w:pPr>
              <w:spacing w:line="259" w:lineRule="auto"/>
              <w:ind w:left="0" w:firstLine="0"/>
              <w:contextualSpacing/>
              <w:rPr>
                <w:rFonts w:cstheme="minorHAnsi"/>
                <w:sz w:val="20"/>
                <w:szCs w:val="20"/>
              </w:rPr>
            </w:pPr>
            <w:r w:rsidRPr="007B35B7">
              <w:rPr>
                <w:rFonts w:cstheme="minorHAnsi"/>
                <w:sz w:val="20"/>
                <w:szCs w:val="20"/>
              </w:rPr>
              <w:t xml:space="preserve"> Scrubber demonstration </w:t>
            </w:r>
            <w:r w:rsidRPr="007B35B7">
              <w:rPr>
                <w:rFonts w:cstheme="minorHAnsi"/>
                <w:sz w:val="20"/>
                <w:szCs w:val="20"/>
                <w:vertAlign w:val="superscript"/>
              </w:rPr>
              <w:t>f</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7BA6BCCB"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46A5B075"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5D6F43F5"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108EE479"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54DFC0F6"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26FA7064"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70B669B1"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2101A270"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0FC6CF6B" w14:textId="77777777" w:rsidTr="00632FF5">
        <w:tblPrEx>
          <w:tblW w:w="12680" w:type="dxa"/>
          <w:tblLook w:val="04A0"/>
        </w:tblPrEx>
        <w:trPr>
          <w:gridAfter w:val="1"/>
          <w:wAfter w:w="13" w:type="dxa"/>
          <w:trHeight w:val="312"/>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56BF2521" w14:textId="77777777">
            <w:pPr>
              <w:spacing w:line="259" w:lineRule="auto"/>
              <w:ind w:left="0" w:firstLine="0"/>
              <w:contextualSpacing/>
              <w:rPr>
                <w:rFonts w:cstheme="minorHAnsi"/>
                <w:sz w:val="20"/>
                <w:szCs w:val="20"/>
              </w:rPr>
            </w:pPr>
            <w:r w:rsidRPr="007B35B7">
              <w:rPr>
                <w:rFonts w:cstheme="minorHAnsi"/>
                <w:sz w:val="20"/>
                <w:szCs w:val="20"/>
              </w:rPr>
              <w:t xml:space="preserve"> Reference Method 9 text </w:t>
            </w:r>
            <w:r w:rsidRPr="007B35B7">
              <w:rPr>
                <w:rFonts w:cstheme="minorHAnsi"/>
                <w:sz w:val="20"/>
                <w:szCs w:val="20"/>
                <w:vertAlign w:val="superscript"/>
              </w:rPr>
              <w:t>g,h</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7E00485D" w14:textId="77777777">
            <w:pPr>
              <w:spacing w:line="259" w:lineRule="auto"/>
              <w:ind w:left="0" w:firstLine="0"/>
              <w:contextualSpacing/>
              <w:rPr>
                <w:rFonts w:cstheme="minorHAnsi"/>
                <w:sz w:val="20"/>
                <w:szCs w:val="20"/>
              </w:rPr>
            </w:pPr>
            <w:r w:rsidRPr="007B35B7">
              <w:rPr>
                <w:rFonts w:cstheme="minorHAnsi"/>
                <w:sz w:val="20"/>
                <w:szCs w:val="20"/>
              </w:rPr>
              <w:t>18</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6BE50EC5"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4D74867D" w14:textId="77777777">
            <w:pPr>
              <w:spacing w:line="259" w:lineRule="auto"/>
              <w:ind w:left="0" w:firstLine="0"/>
              <w:contextualSpacing/>
              <w:rPr>
                <w:rFonts w:cstheme="minorHAnsi"/>
                <w:sz w:val="20"/>
                <w:szCs w:val="20"/>
              </w:rPr>
            </w:pPr>
            <w:r w:rsidRPr="007B35B7">
              <w:rPr>
                <w:rFonts w:cstheme="minorHAnsi"/>
                <w:sz w:val="20"/>
                <w:szCs w:val="20"/>
              </w:rPr>
              <w:t>18</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0A584B0C"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7843B278"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58229EC0"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43312103"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4ECC5432"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35EE1137" w14:textId="77777777" w:rsidTr="00632FF5">
        <w:tblPrEx>
          <w:tblW w:w="12680" w:type="dxa"/>
          <w:tblLook w:val="04A0"/>
        </w:tblPrEx>
        <w:trPr>
          <w:gridAfter w:val="1"/>
          <w:wAfter w:w="13" w:type="dxa"/>
          <w:trHeight w:val="576"/>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590FF9C3" w14:textId="77777777">
            <w:pPr>
              <w:spacing w:line="259" w:lineRule="auto"/>
              <w:ind w:left="0" w:firstLine="0"/>
              <w:contextualSpacing/>
              <w:rPr>
                <w:rFonts w:cstheme="minorHAnsi"/>
                <w:sz w:val="20"/>
                <w:szCs w:val="20"/>
              </w:rPr>
            </w:pPr>
            <w:r w:rsidRPr="007B35B7">
              <w:rPr>
                <w:rFonts w:cstheme="minorHAnsi"/>
                <w:sz w:val="20"/>
                <w:szCs w:val="20"/>
              </w:rPr>
              <w:t xml:space="preserve"> Re-calibration of continuous opacity monitors (COM) </w:t>
            </w:r>
            <w:r w:rsidRPr="007B35B7">
              <w:rPr>
                <w:rFonts w:cstheme="minorHAnsi"/>
                <w:sz w:val="20"/>
                <w:szCs w:val="20"/>
                <w:vertAlign w:val="superscript"/>
              </w:rPr>
              <w:t>i</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54ED8907" w14:textId="77777777">
            <w:pPr>
              <w:spacing w:line="259" w:lineRule="auto"/>
              <w:ind w:left="0" w:firstLine="0"/>
              <w:contextualSpacing/>
              <w:rPr>
                <w:rFonts w:cstheme="minorHAnsi"/>
                <w:sz w:val="20"/>
                <w:szCs w:val="20"/>
              </w:rPr>
            </w:pPr>
            <w:r w:rsidRPr="007B35B7">
              <w:rPr>
                <w:rFonts w:cstheme="minorHAnsi"/>
                <w:sz w:val="20"/>
                <w:szCs w:val="20"/>
              </w:rPr>
              <w:t>4</w:t>
            </w:r>
          </w:p>
        </w:tc>
        <w:tc>
          <w:tcPr>
            <w:tcW w:w="1203" w:type="dxa"/>
            <w:tcBorders>
              <w:top w:val="nil"/>
              <w:left w:val="nil"/>
              <w:bottom w:val="single" w:sz="4" w:space="0" w:color="auto"/>
              <w:right w:val="single" w:sz="4" w:space="0" w:color="auto"/>
            </w:tcBorders>
            <w:shd w:val="clear" w:color="auto" w:fill="auto"/>
            <w:vAlign w:val="center"/>
            <w:hideMark/>
          </w:tcPr>
          <w:p w:rsidR="007B35B7" w:rsidRPr="007B35B7" w:rsidP="007B35B7" w14:paraId="37AEAD8E"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4344FC86" w14:textId="77777777">
            <w:pPr>
              <w:spacing w:line="259" w:lineRule="auto"/>
              <w:ind w:left="0" w:firstLine="0"/>
              <w:contextualSpacing/>
              <w:rPr>
                <w:rFonts w:cstheme="minorHAnsi"/>
                <w:sz w:val="20"/>
                <w:szCs w:val="20"/>
              </w:rPr>
            </w:pPr>
            <w:r w:rsidRPr="007B35B7">
              <w:rPr>
                <w:rFonts w:cstheme="minorHAnsi"/>
                <w:sz w:val="20"/>
                <w:szCs w:val="20"/>
              </w:rPr>
              <w:t>8</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489875A6"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1BE63A66"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6A5B0D67"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421E2B05"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1A65294C"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772B7D76" w14:textId="77777777" w:rsidTr="00632FF5">
        <w:tblPrEx>
          <w:tblW w:w="12680" w:type="dxa"/>
          <w:tblLook w:val="04A0"/>
        </w:tblPrEx>
        <w:trPr>
          <w:gridAfter w:val="1"/>
          <w:wAfter w:w="13" w:type="dxa"/>
          <w:trHeight w:val="312"/>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09174533" w14:textId="77777777">
            <w:pPr>
              <w:spacing w:line="259" w:lineRule="auto"/>
              <w:ind w:left="0" w:firstLine="0"/>
              <w:contextualSpacing/>
              <w:rPr>
                <w:rFonts w:cstheme="minorHAnsi"/>
                <w:sz w:val="20"/>
                <w:szCs w:val="20"/>
              </w:rPr>
            </w:pPr>
            <w:r w:rsidRPr="007B35B7">
              <w:rPr>
                <w:rFonts w:cstheme="minorHAnsi"/>
                <w:sz w:val="20"/>
                <w:szCs w:val="20"/>
              </w:rPr>
              <w:t xml:space="preserve"> Re-calibration of scrubber </w:t>
            </w:r>
            <w:r w:rsidRPr="007B35B7">
              <w:rPr>
                <w:rFonts w:cstheme="minorHAnsi"/>
                <w:sz w:val="20"/>
                <w:szCs w:val="20"/>
                <w:vertAlign w:val="superscript"/>
              </w:rPr>
              <w:t>i,j</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5CC65D50" w14:textId="77777777">
            <w:pPr>
              <w:spacing w:line="259" w:lineRule="auto"/>
              <w:ind w:left="0" w:firstLine="0"/>
              <w:contextualSpacing/>
              <w:rPr>
                <w:rFonts w:cstheme="minorHAnsi"/>
                <w:sz w:val="20"/>
                <w:szCs w:val="20"/>
              </w:rPr>
            </w:pPr>
            <w:r w:rsidRPr="007B35B7">
              <w:rPr>
                <w:rFonts w:cstheme="minorHAnsi"/>
                <w:sz w:val="20"/>
                <w:szCs w:val="20"/>
              </w:rPr>
              <w:t>4</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40F6B136"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52F934B7" w14:textId="77777777">
            <w:pPr>
              <w:spacing w:line="259" w:lineRule="auto"/>
              <w:ind w:left="0" w:firstLine="0"/>
              <w:contextualSpacing/>
              <w:rPr>
                <w:rFonts w:cstheme="minorHAnsi"/>
                <w:sz w:val="20"/>
                <w:szCs w:val="20"/>
              </w:rPr>
            </w:pPr>
            <w:r w:rsidRPr="007B35B7">
              <w:rPr>
                <w:rFonts w:cstheme="minorHAnsi"/>
                <w:sz w:val="20"/>
                <w:szCs w:val="20"/>
              </w:rPr>
              <w:t>8</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3D6830FD"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612C31F3"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77852186"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4964013F"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1C90B990"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7BA792C1"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5A7901E4" w14:textId="77777777">
            <w:pPr>
              <w:spacing w:line="259" w:lineRule="auto"/>
              <w:ind w:left="0" w:firstLine="0"/>
              <w:contextualSpacing/>
              <w:rPr>
                <w:rFonts w:cstheme="minorHAnsi"/>
                <w:sz w:val="20"/>
                <w:szCs w:val="20"/>
              </w:rPr>
            </w:pPr>
            <w:r w:rsidRPr="007B35B7">
              <w:rPr>
                <w:rFonts w:cstheme="minorHAnsi"/>
                <w:sz w:val="20"/>
                <w:szCs w:val="20"/>
              </w:rPr>
              <w:t xml:space="preserve"> C. Create Information</w:t>
            </w:r>
          </w:p>
        </w:tc>
        <w:tc>
          <w:tcPr>
            <w:tcW w:w="2359" w:type="dxa"/>
            <w:gridSpan w:val="2"/>
            <w:tcBorders>
              <w:top w:val="single" w:sz="4" w:space="0" w:color="auto"/>
              <w:left w:val="nil"/>
              <w:bottom w:val="single" w:sz="4" w:space="0" w:color="auto"/>
              <w:right w:val="single" w:sz="4" w:space="0" w:color="auto"/>
            </w:tcBorders>
            <w:shd w:val="clear" w:color="auto" w:fill="auto"/>
            <w:hideMark/>
          </w:tcPr>
          <w:p w:rsidR="007B35B7" w:rsidRPr="007B35B7" w:rsidP="007B35B7" w14:paraId="6F4A6290" w14:textId="77777777">
            <w:pPr>
              <w:spacing w:line="259" w:lineRule="auto"/>
              <w:ind w:left="0" w:firstLine="0"/>
              <w:contextualSpacing/>
              <w:rPr>
                <w:rFonts w:cstheme="minorHAnsi"/>
                <w:sz w:val="20"/>
                <w:szCs w:val="20"/>
              </w:rPr>
            </w:pPr>
            <w:r w:rsidRPr="007B35B7">
              <w:rPr>
                <w:rFonts w:cstheme="minorHAnsi"/>
                <w:sz w:val="20"/>
                <w:szCs w:val="20"/>
              </w:rPr>
              <w:t>See 3B</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13B42D3E"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023871FA"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4A793E1D"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2850C484"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3D8FCE99"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50F5AAD5" w14:textId="77777777">
            <w:pPr>
              <w:spacing w:line="259" w:lineRule="auto"/>
              <w:ind w:left="0" w:firstLine="0"/>
              <w:contextualSpacing/>
              <w:rPr>
                <w:rFonts w:cstheme="minorHAnsi"/>
                <w:sz w:val="20"/>
                <w:szCs w:val="20"/>
              </w:rPr>
            </w:pPr>
            <w:r w:rsidRPr="007B35B7">
              <w:rPr>
                <w:rFonts w:cstheme="minorHAnsi"/>
                <w:sz w:val="20"/>
                <w:szCs w:val="20"/>
              </w:rPr>
              <w:t> </w:t>
            </w:r>
          </w:p>
        </w:tc>
      </w:tr>
      <w:tr w14:paraId="5BA2221F"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66B5ED19" w14:textId="77777777">
            <w:pPr>
              <w:spacing w:line="259" w:lineRule="auto"/>
              <w:ind w:left="0" w:firstLine="0"/>
              <w:contextualSpacing/>
              <w:rPr>
                <w:rFonts w:cstheme="minorHAnsi"/>
                <w:sz w:val="20"/>
                <w:szCs w:val="20"/>
              </w:rPr>
            </w:pPr>
            <w:r w:rsidRPr="007B35B7">
              <w:rPr>
                <w:rFonts w:cstheme="minorHAnsi"/>
                <w:sz w:val="20"/>
                <w:szCs w:val="20"/>
              </w:rPr>
              <w:t xml:space="preserve"> D. Gather existing information</w:t>
            </w:r>
          </w:p>
        </w:tc>
        <w:tc>
          <w:tcPr>
            <w:tcW w:w="2359" w:type="dxa"/>
            <w:gridSpan w:val="2"/>
            <w:tcBorders>
              <w:top w:val="single" w:sz="4" w:space="0" w:color="auto"/>
              <w:left w:val="nil"/>
              <w:bottom w:val="single" w:sz="4" w:space="0" w:color="auto"/>
              <w:right w:val="single" w:sz="4" w:space="0" w:color="auto"/>
            </w:tcBorders>
            <w:shd w:val="clear" w:color="auto" w:fill="auto"/>
            <w:hideMark/>
          </w:tcPr>
          <w:p w:rsidR="007B35B7" w:rsidRPr="007B35B7" w:rsidP="007B35B7" w14:paraId="6C55C301" w14:textId="77777777">
            <w:pPr>
              <w:spacing w:line="259" w:lineRule="auto"/>
              <w:ind w:left="0" w:firstLine="0"/>
              <w:contextualSpacing/>
              <w:rPr>
                <w:rFonts w:cstheme="minorHAnsi"/>
                <w:sz w:val="20"/>
                <w:szCs w:val="20"/>
              </w:rPr>
            </w:pPr>
            <w:r w:rsidRPr="007B35B7">
              <w:rPr>
                <w:rFonts w:cstheme="minorHAnsi"/>
                <w:sz w:val="20"/>
                <w:szCs w:val="20"/>
              </w:rPr>
              <w:t>See 3B</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3126DEEC"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3B42CA64"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0C5B432F"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242D2849"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736F338F"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0C19FA40" w14:textId="77777777">
            <w:pPr>
              <w:spacing w:line="259" w:lineRule="auto"/>
              <w:ind w:left="0" w:firstLine="0"/>
              <w:contextualSpacing/>
              <w:rPr>
                <w:rFonts w:cstheme="minorHAnsi"/>
                <w:sz w:val="20"/>
                <w:szCs w:val="20"/>
              </w:rPr>
            </w:pPr>
            <w:r w:rsidRPr="007B35B7">
              <w:rPr>
                <w:rFonts w:cstheme="minorHAnsi"/>
                <w:sz w:val="20"/>
                <w:szCs w:val="20"/>
              </w:rPr>
              <w:t> </w:t>
            </w:r>
          </w:p>
        </w:tc>
      </w:tr>
      <w:tr w14:paraId="29565691"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7603D3ED" w14:textId="77777777">
            <w:pPr>
              <w:spacing w:line="259" w:lineRule="auto"/>
              <w:ind w:left="0" w:firstLine="0"/>
              <w:contextualSpacing/>
              <w:rPr>
                <w:rFonts w:cstheme="minorHAnsi"/>
                <w:sz w:val="20"/>
                <w:szCs w:val="20"/>
              </w:rPr>
            </w:pPr>
            <w:r w:rsidRPr="007B35B7">
              <w:rPr>
                <w:rFonts w:cstheme="minorHAnsi"/>
                <w:sz w:val="20"/>
                <w:szCs w:val="20"/>
              </w:rPr>
              <w:t xml:space="preserve"> E. Write report</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0BE6350B"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7B35B7" w:rsidRPr="007B35B7" w:rsidP="007B35B7" w14:paraId="198DA9E9"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6ABC0AFC"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4AFE605B"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1BC351BC"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2F23687F"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7C6CA9BF"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6FB90DE1" w14:textId="77777777">
            <w:pPr>
              <w:spacing w:line="259" w:lineRule="auto"/>
              <w:ind w:left="0" w:firstLine="0"/>
              <w:contextualSpacing/>
              <w:rPr>
                <w:rFonts w:cstheme="minorHAnsi"/>
                <w:sz w:val="20"/>
                <w:szCs w:val="20"/>
              </w:rPr>
            </w:pPr>
            <w:r w:rsidRPr="007B35B7">
              <w:rPr>
                <w:rFonts w:cstheme="minorHAnsi"/>
                <w:sz w:val="20"/>
                <w:szCs w:val="20"/>
              </w:rPr>
              <w:t> </w:t>
            </w:r>
          </w:p>
        </w:tc>
      </w:tr>
      <w:tr w14:paraId="4B4027E8" w14:textId="77777777" w:rsidTr="00632FF5">
        <w:tblPrEx>
          <w:tblW w:w="12680" w:type="dxa"/>
          <w:tblLook w:val="04A0"/>
        </w:tblPrEx>
        <w:trPr>
          <w:gridAfter w:val="1"/>
          <w:wAfter w:w="13" w:type="dxa"/>
          <w:trHeight w:val="528"/>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7043CCD1" w14:textId="77777777">
            <w:pPr>
              <w:spacing w:line="259" w:lineRule="auto"/>
              <w:ind w:left="0" w:firstLine="0"/>
              <w:contextualSpacing/>
              <w:rPr>
                <w:rFonts w:cstheme="minorHAnsi"/>
                <w:sz w:val="20"/>
                <w:szCs w:val="20"/>
              </w:rPr>
            </w:pPr>
            <w:r w:rsidRPr="007B35B7">
              <w:rPr>
                <w:rFonts w:cstheme="minorHAnsi"/>
                <w:sz w:val="20"/>
                <w:szCs w:val="20"/>
              </w:rPr>
              <w:t xml:space="preserve"> Notification of construction/reconstruction or modification</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74156D73"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03" w:type="dxa"/>
            <w:tcBorders>
              <w:top w:val="nil"/>
              <w:left w:val="nil"/>
              <w:bottom w:val="single" w:sz="4" w:space="0" w:color="auto"/>
              <w:right w:val="single" w:sz="4" w:space="0" w:color="auto"/>
            </w:tcBorders>
            <w:shd w:val="clear" w:color="auto" w:fill="auto"/>
            <w:vAlign w:val="center"/>
            <w:hideMark/>
          </w:tcPr>
          <w:p w:rsidR="007B35B7" w:rsidRPr="007B35B7" w:rsidP="007B35B7" w14:paraId="7514DAF9"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3C216896"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68B60C25"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2AFCD67D"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40BD343B"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35898577"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77D1EB63"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3E551300"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7747BB55" w14:textId="77777777">
            <w:pPr>
              <w:spacing w:line="259" w:lineRule="auto"/>
              <w:ind w:left="0" w:firstLine="0"/>
              <w:contextualSpacing/>
              <w:rPr>
                <w:rFonts w:cstheme="minorHAnsi"/>
                <w:sz w:val="20"/>
                <w:szCs w:val="20"/>
              </w:rPr>
            </w:pPr>
            <w:r w:rsidRPr="007B35B7">
              <w:rPr>
                <w:rFonts w:cstheme="minorHAnsi"/>
                <w:sz w:val="20"/>
                <w:szCs w:val="20"/>
              </w:rPr>
              <w:t xml:space="preserve"> Notification of actual startup</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15EA93BC"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63323D7B"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196D7BA4"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182D01E5"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11AE7454"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6CB16E97"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6DEC79E9"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240DBE95"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1435590F"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60C6BBAB" w14:textId="77777777">
            <w:pPr>
              <w:spacing w:line="259" w:lineRule="auto"/>
              <w:ind w:left="0" w:firstLine="0"/>
              <w:contextualSpacing/>
              <w:rPr>
                <w:rFonts w:cstheme="minorHAnsi"/>
                <w:sz w:val="20"/>
                <w:szCs w:val="20"/>
              </w:rPr>
            </w:pPr>
            <w:r w:rsidRPr="007B35B7">
              <w:rPr>
                <w:rFonts w:cstheme="minorHAnsi"/>
                <w:sz w:val="20"/>
                <w:szCs w:val="20"/>
              </w:rPr>
              <w:t xml:space="preserve"> Notification of demonstration of CMS</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431A72B3"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68AF2639"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225A59D0"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7F3432C3"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108C5782"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7305C2A8"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3F099C38"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6EBAED7A"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73D88382" w14:textId="77777777" w:rsidTr="00632FF5">
        <w:tblPrEx>
          <w:tblW w:w="12680" w:type="dxa"/>
          <w:tblLook w:val="04A0"/>
        </w:tblPrEx>
        <w:trPr>
          <w:gridAfter w:val="1"/>
          <w:wAfter w:w="13" w:type="dxa"/>
          <w:trHeight w:val="312"/>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5DA6521D" w14:textId="77777777">
            <w:pPr>
              <w:spacing w:line="259" w:lineRule="auto"/>
              <w:ind w:left="0" w:firstLine="0"/>
              <w:contextualSpacing/>
              <w:rPr>
                <w:rFonts w:cstheme="minorHAnsi"/>
                <w:sz w:val="20"/>
                <w:szCs w:val="20"/>
              </w:rPr>
            </w:pPr>
            <w:r w:rsidRPr="007B35B7">
              <w:rPr>
                <w:rFonts w:cstheme="minorHAnsi"/>
                <w:sz w:val="20"/>
                <w:szCs w:val="20"/>
              </w:rPr>
              <w:t xml:space="preserve"> Notification of physical or operation change </w:t>
            </w:r>
            <w:r w:rsidRPr="007B35B7">
              <w:rPr>
                <w:rFonts w:cstheme="minorHAnsi"/>
                <w:sz w:val="20"/>
                <w:szCs w:val="20"/>
                <w:vertAlign w:val="superscript"/>
              </w:rPr>
              <w:t>k</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50A90F2E"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00B84017"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377F66CE"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2D97CC5F"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33882E28"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0A5F7F9D"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0CAF5DAA"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3EA8FC01" w14:textId="77777777">
            <w:pPr>
              <w:spacing w:line="259" w:lineRule="auto"/>
              <w:ind w:left="0" w:firstLine="0"/>
              <w:contextualSpacing/>
              <w:rPr>
                <w:rFonts w:cstheme="minorHAnsi"/>
                <w:sz w:val="20"/>
                <w:szCs w:val="20"/>
              </w:rPr>
            </w:pPr>
            <w:r w:rsidRPr="007B35B7">
              <w:rPr>
                <w:rFonts w:cstheme="minorHAnsi"/>
                <w:sz w:val="20"/>
                <w:szCs w:val="20"/>
              </w:rPr>
              <w:t xml:space="preserve">$290.02 </w:t>
            </w:r>
          </w:p>
        </w:tc>
      </w:tr>
      <w:tr w14:paraId="226C72FB"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543A0790" w14:textId="77777777">
            <w:pPr>
              <w:spacing w:line="259" w:lineRule="auto"/>
              <w:ind w:left="0" w:firstLine="0"/>
              <w:contextualSpacing/>
              <w:rPr>
                <w:rFonts w:cstheme="minorHAnsi"/>
                <w:sz w:val="20"/>
                <w:szCs w:val="20"/>
              </w:rPr>
            </w:pPr>
            <w:r w:rsidRPr="007B35B7">
              <w:rPr>
                <w:rFonts w:cstheme="minorHAnsi"/>
                <w:sz w:val="20"/>
                <w:szCs w:val="20"/>
              </w:rPr>
              <w:t xml:space="preserve"> Notification of initial performance test </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51410A89"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473E00D6"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30B2EE21"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5B664067"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7CC19624"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29A9E468"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75AC3109"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69E21C81"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790A00A7"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3583D329" w14:textId="77777777">
            <w:pPr>
              <w:spacing w:line="259" w:lineRule="auto"/>
              <w:ind w:left="0" w:firstLine="0"/>
              <w:contextualSpacing/>
              <w:rPr>
                <w:rFonts w:cstheme="minorHAnsi"/>
                <w:sz w:val="20"/>
                <w:szCs w:val="20"/>
              </w:rPr>
            </w:pPr>
            <w:r w:rsidRPr="007B35B7">
              <w:rPr>
                <w:rFonts w:cstheme="minorHAnsi"/>
                <w:sz w:val="20"/>
                <w:szCs w:val="20"/>
              </w:rPr>
              <w:t xml:space="preserve"> Notification of repeat performance test</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1D48ACC7"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081922D1" w14:textId="77777777">
            <w:pPr>
              <w:spacing w:line="259" w:lineRule="auto"/>
              <w:ind w:left="0" w:firstLine="0"/>
              <w:contextualSpacing/>
              <w:rPr>
                <w:rFonts w:cstheme="minorHAnsi"/>
                <w:sz w:val="20"/>
                <w:szCs w:val="20"/>
              </w:rPr>
            </w:pPr>
            <w:r w:rsidRPr="007B35B7">
              <w:rPr>
                <w:rFonts w:cstheme="minorHAnsi"/>
                <w:sz w:val="20"/>
                <w:szCs w:val="20"/>
              </w:rPr>
              <w:t>0.2</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47595B35" w14:textId="77777777">
            <w:pPr>
              <w:spacing w:line="259" w:lineRule="auto"/>
              <w:ind w:left="0" w:firstLine="0"/>
              <w:contextualSpacing/>
              <w:rPr>
                <w:rFonts w:cstheme="minorHAnsi"/>
                <w:sz w:val="20"/>
                <w:szCs w:val="20"/>
              </w:rPr>
            </w:pPr>
            <w:r w:rsidRPr="007B35B7">
              <w:rPr>
                <w:rFonts w:cstheme="minorHAnsi"/>
                <w:sz w:val="20"/>
                <w:szCs w:val="20"/>
              </w:rPr>
              <w:t>0.4</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4A0CCB55"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67E155DE"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4AA80542"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2ADE8620"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35CC489A" w14:textId="77777777">
            <w:pPr>
              <w:spacing w:line="259" w:lineRule="auto"/>
              <w:ind w:left="0" w:firstLine="0"/>
              <w:contextualSpacing/>
              <w:rPr>
                <w:rFonts w:cstheme="minorHAnsi"/>
                <w:sz w:val="20"/>
                <w:szCs w:val="20"/>
              </w:rPr>
            </w:pPr>
            <w:r w:rsidRPr="007B35B7">
              <w:rPr>
                <w:rFonts w:cstheme="minorHAnsi"/>
                <w:sz w:val="20"/>
                <w:szCs w:val="20"/>
              </w:rPr>
              <w:t xml:space="preserve">$0 </w:t>
            </w:r>
          </w:p>
        </w:tc>
      </w:tr>
      <w:tr w14:paraId="043BF98D"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0FC7F62A" w14:textId="77777777">
            <w:pPr>
              <w:spacing w:line="259" w:lineRule="auto"/>
              <w:ind w:left="0" w:firstLine="0"/>
              <w:contextualSpacing/>
              <w:rPr>
                <w:rFonts w:cstheme="minorHAnsi"/>
                <w:sz w:val="20"/>
                <w:szCs w:val="20"/>
              </w:rPr>
            </w:pPr>
            <w:r w:rsidRPr="007B35B7">
              <w:rPr>
                <w:rFonts w:cstheme="minorHAnsi"/>
                <w:sz w:val="20"/>
                <w:szCs w:val="20"/>
              </w:rPr>
              <w:t xml:space="preserve"> Performance test report</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053B6787" w14:textId="77777777">
            <w:pPr>
              <w:spacing w:line="259" w:lineRule="auto"/>
              <w:ind w:left="0" w:firstLine="0"/>
              <w:contextualSpacing/>
              <w:rPr>
                <w:rFonts w:cstheme="minorHAnsi"/>
                <w:sz w:val="20"/>
                <w:szCs w:val="20"/>
              </w:rPr>
            </w:pPr>
            <w:r w:rsidRPr="007B35B7">
              <w:rPr>
                <w:rFonts w:cstheme="minorHAnsi"/>
                <w:sz w:val="20"/>
                <w:szCs w:val="20"/>
              </w:rPr>
              <w:t>8</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52FF5758"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28C6B8BE" w14:textId="77777777">
            <w:pPr>
              <w:spacing w:line="259" w:lineRule="auto"/>
              <w:ind w:left="0" w:firstLine="0"/>
              <w:contextualSpacing/>
              <w:rPr>
                <w:rFonts w:cstheme="minorHAnsi"/>
                <w:sz w:val="20"/>
                <w:szCs w:val="20"/>
              </w:rPr>
            </w:pPr>
            <w:r w:rsidRPr="007B35B7">
              <w:rPr>
                <w:rFonts w:cstheme="minorHAnsi"/>
                <w:sz w:val="20"/>
                <w:szCs w:val="20"/>
              </w:rPr>
              <w:t>8</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6AAA0878"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1813CD52"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4AB88194"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234FECD9" w14:textId="77777777">
            <w:pPr>
              <w:spacing w:line="259" w:lineRule="auto"/>
              <w:ind w:left="0" w:firstLine="0"/>
              <w:contextualSpacing/>
              <w:rPr>
                <w:rFonts w:cstheme="minorHAnsi"/>
                <w:sz w:val="20"/>
                <w:szCs w:val="20"/>
              </w:rPr>
            </w:pPr>
            <w:r w:rsidRPr="007B35B7">
              <w:rPr>
                <w:rFonts w:cstheme="minorHAnsi"/>
                <w:sz w:val="20"/>
                <w:szCs w:val="20"/>
              </w:rPr>
              <w:t>0</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4C3E11C1" w14:textId="77777777">
            <w:pPr>
              <w:spacing w:line="259" w:lineRule="auto"/>
              <w:ind w:left="0" w:firstLine="0"/>
              <w:contextualSpacing/>
              <w:rPr>
                <w:rFonts w:cstheme="minorHAnsi"/>
                <w:sz w:val="20"/>
                <w:szCs w:val="20"/>
              </w:rPr>
            </w:pPr>
            <w:r w:rsidRPr="007B35B7">
              <w:rPr>
                <w:rFonts w:cstheme="minorHAnsi"/>
                <w:sz w:val="20"/>
                <w:szCs w:val="20"/>
              </w:rPr>
              <w:t> </w:t>
            </w:r>
          </w:p>
        </w:tc>
      </w:tr>
      <w:tr w14:paraId="275E2575" w14:textId="77777777" w:rsidTr="00632FF5">
        <w:tblPrEx>
          <w:tblW w:w="12680" w:type="dxa"/>
          <w:tblLook w:val="04A0"/>
        </w:tblPrEx>
        <w:trPr>
          <w:gridAfter w:val="1"/>
          <w:wAfter w:w="13" w:type="dxa"/>
          <w:trHeight w:val="360"/>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0BE140EF" w14:textId="77777777">
            <w:pPr>
              <w:spacing w:line="259" w:lineRule="auto"/>
              <w:ind w:left="0" w:firstLine="0"/>
              <w:contextualSpacing/>
              <w:rPr>
                <w:rFonts w:cstheme="minorHAnsi"/>
                <w:sz w:val="20"/>
                <w:szCs w:val="20"/>
              </w:rPr>
            </w:pPr>
            <w:r w:rsidRPr="007B35B7">
              <w:rPr>
                <w:rFonts w:cstheme="minorHAnsi"/>
                <w:sz w:val="20"/>
                <w:szCs w:val="20"/>
              </w:rPr>
              <w:t xml:space="preserve"> Semiannual reports </w:t>
            </w:r>
            <w:r w:rsidRPr="007B35B7">
              <w:rPr>
                <w:rFonts w:cstheme="minorHAnsi"/>
                <w:sz w:val="20"/>
                <w:szCs w:val="20"/>
                <w:vertAlign w:val="superscript"/>
              </w:rPr>
              <w:t>l</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5B84D8D4" w14:textId="77777777">
            <w:pPr>
              <w:spacing w:line="259" w:lineRule="auto"/>
              <w:ind w:left="0" w:firstLine="0"/>
              <w:contextualSpacing/>
              <w:rPr>
                <w:rFonts w:cstheme="minorHAnsi"/>
                <w:sz w:val="20"/>
                <w:szCs w:val="20"/>
              </w:rPr>
            </w:pPr>
            <w:r w:rsidRPr="007B35B7">
              <w:rPr>
                <w:rFonts w:cstheme="minorHAnsi"/>
                <w:sz w:val="20"/>
                <w:szCs w:val="20"/>
              </w:rPr>
              <w:t>16</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127F2C36" w14:textId="77777777">
            <w:pPr>
              <w:spacing w:line="259" w:lineRule="auto"/>
              <w:ind w:left="0" w:firstLine="0"/>
              <w:contextualSpacing/>
              <w:rPr>
                <w:rFonts w:cstheme="minorHAnsi"/>
                <w:sz w:val="20"/>
                <w:szCs w:val="20"/>
              </w:rPr>
            </w:pPr>
            <w:r w:rsidRPr="007B35B7">
              <w:rPr>
                <w:rFonts w:cstheme="minorHAnsi"/>
                <w:sz w:val="20"/>
                <w:szCs w:val="20"/>
              </w:rPr>
              <w:t>2</w:t>
            </w:r>
          </w:p>
        </w:tc>
        <w:tc>
          <w:tcPr>
            <w:tcW w:w="1156" w:type="dxa"/>
            <w:tcBorders>
              <w:top w:val="nil"/>
              <w:left w:val="nil"/>
              <w:bottom w:val="single" w:sz="4" w:space="0" w:color="auto"/>
              <w:right w:val="single" w:sz="4" w:space="0" w:color="auto"/>
            </w:tcBorders>
            <w:shd w:val="clear" w:color="auto" w:fill="auto"/>
            <w:vAlign w:val="center"/>
            <w:hideMark/>
          </w:tcPr>
          <w:p w:rsidR="007B35B7" w:rsidRPr="007B35B7" w:rsidP="007B35B7" w14:paraId="33CFDC60" w14:textId="77777777">
            <w:pPr>
              <w:spacing w:line="259" w:lineRule="auto"/>
              <w:ind w:left="0" w:firstLine="0"/>
              <w:contextualSpacing/>
              <w:rPr>
                <w:rFonts w:cstheme="minorHAnsi"/>
                <w:sz w:val="20"/>
                <w:szCs w:val="20"/>
              </w:rPr>
            </w:pPr>
            <w:r w:rsidRPr="007B35B7">
              <w:rPr>
                <w:rFonts w:cstheme="minorHAnsi"/>
                <w:sz w:val="20"/>
                <w:szCs w:val="20"/>
              </w:rPr>
              <w:t>32</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484610A9" w14:textId="77777777">
            <w:pPr>
              <w:spacing w:line="259" w:lineRule="auto"/>
              <w:ind w:left="0" w:firstLine="0"/>
              <w:contextualSpacing/>
              <w:rPr>
                <w:rFonts w:cstheme="minorHAnsi"/>
                <w:sz w:val="20"/>
                <w:szCs w:val="20"/>
              </w:rPr>
            </w:pPr>
            <w:r w:rsidRPr="007B35B7">
              <w:rPr>
                <w:rFonts w:cstheme="minorHAnsi"/>
                <w:sz w:val="20"/>
                <w:szCs w:val="20"/>
              </w:rPr>
              <w:t>167</w:t>
            </w:r>
          </w:p>
        </w:tc>
        <w:tc>
          <w:tcPr>
            <w:tcW w:w="1123" w:type="dxa"/>
            <w:gridSpan w:val="2"/>
            <w:tcBorders>
              <w:top w:val="nil"/>
              <w:left w:val="nil"/>
              <w:bottom w:val="single" w:sz="4" w:space="0" w:color="auto"/>
              <w:right w:val="single" w:sz="4" w:space="0" w:color="auto"/>
            </w:tcBorders>
            <w:shd w:val="clear" w:color="auto" w:fill="auto"/>
            <w:vAlign w:val="center"/>
            <w:hideMark/>
          </w:tcPr>
          <w:p w:rsidR="007B35B7" w:rsidRPr="007B35B7" w:rsidP="007B35B7" w14:paraId="42FA0FAB" w14:textId="77777777">
            <w:pPr>
              <w:spacing w:line="259" w:lineRule="auto"/>
              <w:ind w:left="0" w:firstLine="0"/>
              <w:contextualSpacing/>
              <w:rPr>
                <w:rFonts w:cstheme="minorHAnsi"/>
                <w:sz w:val="20"/>
                <w:szCs w:val="20"/>
              </w:rPr>
            </w:pPr>
            <w:r w:rsidRPr="007B35B7">
              <w:rPr>
                <w:rFonts w:cstheme="minorHAnsi"/>
                <w:sz w:val="20"/>
                <w:szCs w:val="20"/>
              </w:rPr>
              <w:t>5,344</w:t>
            </w:r>
          </w:p>
        </w:tc>
        <w:tc>
          <w:tcPr>
            <w:tcW w:w="1309" w:type="dxa"/>
            <w:tcBorders>
              <w:top w:val="nil"/>
              <w:left w:val="nil"/>
              <w:bottom w:val="single" w:sz="4" w:space="0" w:color="auto"/>
              <w:right w:val="single" w:sz="4" w:space="0" w:color="auto"/>
            </w:tcBorders>
            <w:shd w:val="clear" w:color="auto" w:fill="auto"/>
            <w:vAlign w:val="center"/>
            <w:hideMark/>
          </w:tcPr>
          <w:p w:rsidR="007B35B7" w:rsidRPr="007B35B7" w:rsidP="007B35B7" w14:paraId="0E37D8A8" w14:textId="77777777">
            <w:pPr>
              <w:spacing w:line="259" w:lineRule="auto"/>
              <w:ind w:left="0" w:firstLine="0"/>
              <w:contextualSpacing/>
              <w:rPr>
                <w:rFonts w:cstheme="minorHAnsi"/>
                <w:sz w:val="20"/>
                <w:szCs w:val="20"/>
              </w:rPr>
            </w:pPr>
            <w:r w:rsidRPr="007B35B7">
              <w:rPr>
                <w:rFonts w:cstheme="minorHAnsi"/>
                <w:sz w:val="20"/>
                <w:szCs w:val="20"/>
              </w:rPr>
              <w:t>267</w:t>
            </w:r>
          </w:p>
        </w:tc>
        <w:tc>
          <w:tcPr>
            <w:tcW w:w="1171" w:type="dxa"/>
            <w:tcBorders>
              <w:top w:val="nil"/>
              <w:left w:val="nil"/>
              <w:bottom w:val="single" w:sz="4" w:space="0" w:color="auto"/>
              <w:right w:val="single" w:sz="4" w:space="0" w:color="auto"/>
            </w:tcBorders>
            <w:shd w:val="clear" w:color="auto" w:fill="auto"/>
            <w:vAlign w:val="center"/>
            <w:hideMark/>
          </w:tcPr>
          <w:p w:rsidR="007B35B7" w:rsidRPr="007B35B7" w:rsidP="007B35B7" w14:paraId="0F7F6E17" w14:textId="77777777">
            <w:pPr>
              <w:spacing w:line="259" w:lineRule="auto"/>
              <w:ind w:left="0" w:firstLine="0"/>
              <w:contextualSpacing/>
              <w:rPr>
                <w:rFonts w:cstheme="minorHAnsi"/>
                <w:sz w:val="20"/>
                <w:szCs w:val="20"/>
              </w:rPr>
            </w:pPr>
            <w:r w:rsidRPr="007B35B7">
              <w:rPr>
                <w:rFonts w:cstheme="minorHAnsi"/>
                <w:sz w:val="20"/>
                <w:szCs w:val="20"/>
              </w:rPr>
              <w:t>534</w:t>
            </w:r>
          </w:p>
        </w:tc>
        <w:tc>
          <w:tcPr>
            <w:tcW w:w="1062" w:type="dxa"/>
            <w:tcBorders>
              <w:top w:val="nil"/>
              <w:left w:val="nil"/>
              <w:bottom w:val="single" w:sz="4" w:space="0" w:color="auto"/>
              <w:right w:val="single" w:sz="4" w:space="0" w:color="auto"/>
            </w:tcBorders>
            <w:shd w:val="clear" w:color="auto" w:fill="auto"/>
            <w:vAlign w:val="center"/>
            <w:hideMark/>
          </w:tcPr>
          <w:p w:rsidR="007B35B7" w:rsidRPr="007B35B7" w:rsidP="007B35B7" w14:paraId="26AF1FA8" w14:textId="77777777">
            <w:pPr>
              <w:spacing w:line="259" w:lineRule="auto"/>
              <w:ind w:left="0" w:firstLine="0"/>
              <w:contextualSpacing/>
              <w:rPr>
                <w:rFonts w:cstheme="minorHAnsi"/>
                <w:sz w:val="20"/>
                <w:szCs w:val="20"/>
              </w:rPr>
            </w:pPr>
            <w:r w:rsidRPr="007B35B7">
              <w:rPr>
                <w:rFonts w:cstheme="minorHAnsi"/>
                <w:sz w:val="20"/>
                <w:szCs w:val="20"/>
              </w:rPr>
              <w:t xml:space="preserve">$774,930.77 </w:t>
            </w:r>
          </w:p>
        </w:tc>
      </w:tr>
      <w:tr w14:paraId="320E7993" w14:textId="77777777" w:rsidTr="00632FF5">
        <w:tblPrEx>
          <w:tblW w:w="12680" w:type="dxa"/>
          <w:tblLook w:val="04A0"/>
        </w:tblPrEx>
        <w:trPr>
          <w:trHeight w:val="276"/>
        </w:trPr>
        <w:tc>
          <w:tcPr>
            <w:tcW w:w="8016"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B35B7" w:rsidRPr="007B35B7" w:rsidP="007B35B7" w14:paraId="61CFC089" w14:textId="77777777">
            <w:pPr>
              <w:spacing w:line="259" w:lineRule="auto"/>
              <w:ind w:left="0" w:firstLine="0"/>
              <w:contextualSpacing/>
              <w:rPr>
                <w:rFonts w:cstheme="minorHAnsi"/>
                <w:b/>
                <w:bCs/>
                <w:i/>
                <w:iCs/>
                <w:sz w:val="20"/>
                <w:szCs w:val="20"/>
              </w:rPr>
            </w:pPr>
            <w:r w:rsidRPr="007B35B7">
              <w:rPr>
                <w:rFonts w:cstheme="minorHAnsi"/>
                <w:b/>
                <w:bCs/>
                <w:i/>
                <w:iCs/>
                <w:sz w:val="20"/>
                <w:szCs w:val="20"/>
              </w:rPr>
              <w:t>Subtotal for Reporting Requirements</w:t>
            </w:r>
          </w:p>
        </w:tc>
        <w:tc>
          <w:tcPr>
            <w:tcW w:w="3589" w:type="dxa"/>
            <w:gridSpan w:val="3"/>
            <w:tcBorders>
              <w:top w:val="single" w:sz="4" w:space="0" w:color="auto"/>
              <w:left w:val="nil"/>
              <w:bottom w:val="single" w:sz="4" w:space="0" w:color="auto"/>
              <w:right w:val="single" w:sz="4" w:space="0" w:color="000000"/>
            </w:tcBorders>
            <w:shd w:val="clear" w:color="auto" w:fill="auto"/>
            <w:vAlign w:val="bottom"/>
            <w:hideMark/>
          </w:tcPr>
          <w:p w:rsidR="007B35B7" w:rsidRPr="007B35B7" w:rsidP="007B35B7" w14:paraId="7A1A2919" w14:textId="77777777">
            <w:pPr>
              <w:spacing w:line="259" w:lineRule="auto"/>
              <w:ind w:left="0" w:firstLine="0"/>
              <w:contextualSpacing/>
              <w:rPr>
                <w:rFonts w:cstheme="minorHAnsi"/>
                <w:b/>
                <w:bCs/>
                <w:i/>
                <w:iCs/>
                <w:sz w:val="20"/>
                <w:szCs w:val="20"/>
              </w:rPr>
            </w:pPr>
            <w:r w:rsidRPr="007B35B7">
              <w:rPr>
                <w:rFonts w:cstheme="minorHAnsi"/>
                <w:b/>
                <w:bCs/>
                <w:i/>
                <w:iCs/>
                <w:sz w:val="20"/>
                <w:szCs w:val="20"/>
              </w:rPr>
              <w:t>6,340</w:t>
            </w:r>
          </w:p>
        </w:tc>
        <w:tc>
          <w:tcPr>
            <w:tcW w:w="1075"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58A7A269" w14:textId="77777777">
            <w:pPr>
              <w:spacing w:line="259" w:lineRule="auto"/>
              <w:ind w:left="0" w:firstLine="0"/>
              <w:contextualSpacing/>
              <w:rPr>
                <w:rFonts w:cstheme="minorHAnsi"/>
                <w:b/>
                <w:bCs/>
                <w:i/>
                <w:iCs/>
                <w:sz w:val="20"/>
                <w:szCs w:val="20"/>
              </w:rPr>
            </w:pPr>
            <w:r w:rsidRPr="007B35B7">
              <w:rPr>
                <w:rFonts w:cstheme="minorHAnsi"/>
                <w:b/>
                <w:bCs/>
                <w:i/>
                <w:iCs/>
                <w:sz w:val="20"/>
                <w:szCs w:val="20"/>
              </w:rPr>
              <w:t xml:space="preserve">$799,437 </w:t>
            </w:r>
          </w:p>
        </w:tc>
      </w:tr>
      <w:tr w14:paraId="1F379AE9"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705AD7AA" w14:textId="77777777">
            <w:pPr>
              <w:spacing w:line="259" w:lineRule="auto"/>
              <w:ind w:left="0" w:firstLine="0"/>
              <w:contextualSpacing/>
              <w:rPr>
                <w:rFonts w:cstheme="minorHAnsi"/>
                <w:sz w:val="20"/>
                <w:szCs w:val="20"/>
              </w:rPr>
            </w:pPr>
            <w:r w:rsidRPr="007B35B7">
              <w:rPr>
                <w:rFonts w:cstheme="minorHAnsi"/>
                <w:sz w:val="20"/>
                <w:szCs w:val="20"/>
              </w:rPr>
              <w:t>2. Recordkeeping requirements</w:t>
            </w:r>
          </w:p>
        </w:tc>
        <w:tc>
          <w:tcPr>
            <w:tcW w:w="1156" w:type="dxa"/>
            <w:tcBorders>
              <w:top w:val="nil"/>
              <w:left w:val="nil"/>
              <w:bottom w:val="single" w:sz="4" w:space="0" w:color="auto"/>
              <w:right w:val="single" w:sz="4" w:space="0" w:color="auto"/>
            </w:tcBorders>
            <w:shd w:val="clear" w:color="auto" w:fill="auto"/>
            <w:vAlign w:val="bottom"/>
            <w:hideMark/>
          </w:tcPr>
          <w:p w:rsidR="007B35B7" w:rsidRPr="007B35B7" w:rsidP="007B35B7" w14:paraId="681077BC"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03" w:type="dxa"/>
            <w:tcBorders>
              <w:top w:val="nil"/>
              <w:left w:val="nil"/>
              <w:bottom w:val="single" w:sz="4" w:space="0" w:color="auto"/>
              <w:right w:val="single" w:sz="4" w:space="0" w:color="auto"/>
            </w:tcBorders>
            <w:shd w:val="clear" w:color="auto" w:fill="auto"/>
            <w:vAlign w:val="bottom"/>
            <w:hideMark/>
          </w:tcPr>
          <w:p w:rsidR="007B35B7" w:rsidRPr="007B35B7" w:rsidP="007B35B7" w14:paraId="5ACE658D"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56" w:type="dxa"/>
            <w:tcBorders>
              <w:top w:val="nil"/>
              <w:left w:val="nil"/>
              <w:bottom w:val="single" w:sz="4" w:space="0" w:color="auto"/>
              <w:right w:val="single" w:sz="4" w:space="0" w:color="auto"/>
            </w:tcBorders>
            <w:shd w:val="clear" w:color="auto" w:fill="auto"/>
            <w:vAlign w:val="bottom"/>
            <w:hideMark/>
          </w:tcPr>
          <w:p w:rsidR="007B35B7" w:rsidRPr="007B35B7" w:rsidP="007B35B7" w14:paraId="3B1AAE89"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7B35B7" w:rsidRPr="007B35B7" w:rsidP="007B35B7" w14:paraId="09A68F38"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55D11BD4"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7B35B7" w:rsidRPr="007B35B7" w:rsidP="007B35B7" w14:paraId="52256E9A"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7B35B7" w:rsidRPr="007B35B7" w:rsidP="007B35B7" w14:paraId="0110FAF1"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bottom"/>
            <w:hideMark/>
          </w:tcPr>
          <w:p w:rsidR="007B35B7" w:rsidRPr="007B35B7" w:rsidP="007B35B7" w14:paraId="03779FBC" w14:textId="77777777">
            <w:pPr>
              <w:spacing w:line="259" w:lineRule="auto"/>
              <w:ind w:left="0" w:firstLine="0"/>
              <w:contextualSpacing/>
              <w:rPr>
                <w:rFonts w:cstheme="minorHAnsi"/>
                <w:sz w:val="20"/>
                <w:szCs w:val="20"/>
              </w:rPr>
            </w:pPr>
            <w:r w:rsidRPr="007B35B7">
              <w:rPr>
                <w:rFonts w:cstheme="minorHAnsi"/>
                <w:sz w:val="20"/>
                <w:szCs w:val="20"/>
              </w:rPr>
              <w:t> </w:t>
            </w:r>
          </w:p>
        </w:tc>
      </w:tr>
      <w:tr w14:paraId="2E20AACD" w14:textId="77777777" w:rsidTr="00632FF5">
        <w:tblPrEx>
          <w:tblW w:w="12680" w:type="dxa"/>
          <w:tblLook w:val="04A0"/>
        </w:tblPrEx>
        <w:trPr>
          <w:gridAfter w:val="1"/>
          <w:wAfter w:w="13" w:type="dxa"/>
          <w:trHeight w:val="312"/>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333E90AE" w14:textId="77777777">
            <w:pPr>
              <w:spacing w:line="259" w:lineRule="auto"/>
              <w:ind w:left="0" w:firstLine="0"/>
              <w:contextualSpacing/>
              <w:rPr>
                <w:rFonts w:cstheme="minorHAnsi"/>
                <w:sz w:val="20"/>
                <w:szCs w:val="20"/>
              </w:rPr>
            </w:pPr>
            <w:r w:rsidRPr="007B35B7">
              <w:rPr>
                <w:rFonts w:cstheme="minorHAnsi"/>
                <w:sz w:val="20"/>
                <w:szCs w:val="20"/>
              </w:rPr>
              <w:t xml:space="preserve"> A. Familiarization with Regulatory Requirements</w:t>
            </w:r>
            <w:r w:rsidRPr="007B35B7">
              <w:rPr>
                <w:rFonts w:cstheme="minorHAnsi"/>
                <w:sz w:val="20"/>
                <w:szCs w:val="20"/>
                <w:vertAlign w:val="superscript"/>
              </w:rPr>
              <w:t xml:space="preserve"> c</w:t>
            </w:r>
          </w:p>
        </w:tc>
        <w:tc>
          <w:tcPr>
            <w:tcW w:w="2359" w:type="dxa"/>
            <w:gridSpan w:val="2"/>
            <w:tcBorders>
              <w:top w:val="single" w:sz="4" w:space="0" w:color="auto"/>
              <w:left w:val="nil"/>
              <w:bottom w:val="single" w:sz="4" w:space="0" w:color="auto"/>
              <w:right w:val="single" w:sz="4" w:space="0" w:color="auto"/>
            </w:tcBorders>
            <w:shd w:val="clear" w:color="auto" w:fill="auto"/>
            <w:hideMark/>
          </w:tcPr>
          <w:p w:rsidR="007B35B7" w:rsidRPr="007B35B7" w:rsidP="007B35B7" w14:paraId="024127F6" w14:textId="77777777">
            <w:pPr>
              <w:spacing w:line="259" w:lineRule="auto"/>
              <w:ind w:left="0" w:firstLine="0"/>
              <w:contextualSpacing/>
              <w:rPr>
                <w:rFonts w:cstheme="minorHAnsi"/>
                <w:sz w:val="20"/>
                <w:szCs w:val="20"/>
              </w:rPr>
            </w:pPr>
            <w:r w:rsidRPr="007B35B7">
              <w:rPr>
                <w:rFonts w:cstheme="minorHAnsi"/>
                <w:sz w:val="20"/>
                <w:szCs w:val="20"/>
              </w:rPr>
              <w:t>See 3A</w:t>
            </w:r>
          </w:p>
        </w:tc>
        <w:tc>
          <w:tcPr>
            <w:tcW w:w="1156" w:type="dxa"/>
            <w:tcBorders>
              <w:top w:val="nil"/>
              <w:left w:val="nil"/>
              <w:bottom w:val="single" w:sz="4" w:space="0" w:color="auto"/>
              <w:right w:val="single" w:sz="4" w:space="0" w:color="auto"/>
            </w:tcBorders>
            <w:shd w:val="clear" w:color="auto" w:fill="auto"/>
            <w:vAlign w:val="bottom"/>
            <w:hideMark/>
          </w:tcPr>
          <w:p w:rsidR="007B35B7" w:rsidRPr="007B35B7" w:rsidP="007B35B7" w14:paraId="18A6C1CD"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7B35B7" w:rsidRPr="007B35B7" w:rsidP="007B35B7" w14:paraId="5065A4DC"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66727AC7"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7B35B7" w:rsidRPr="007B35B7" w:rsidP="007B35B7" w14:paraId="50DD0733"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7B35B7" w:rsidRPr="007B35B7" w:rsidP="007B35B7" w14:paraId="4A6A0060"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bottom"/>
            <w:hideMark/>
          </w:tcPr>
          <w:p w:rsidR="007B35B7" w:rsidRPr="007B35B7" w:rsidP="007B35B7" w14:paraId="5F9D3C56" w14:textId="77777777">
            <w:pPr>
              <w:spacing w:line="259" w:lineRule="auto"/>
              <w:ind w:left="0" w:firstLine="0"/>
              <w:contextualSpacing/>
              <w:rPr>
                <w:rFonts w:cstheme="minorHAnsi"/>
                <w:sz w:val="20"/>
                <w:szCs w:val="20"/>
              </w:rPr>
            </w:pPr>
            <w:r w:rsidRPr="007B35B7">
              <w:rPr>
                <w:rFonts w:cstheme="minorHAnsi"/>
                <w:sz w:val="20"/>
                <w:szCs w:val="20"/>
              </w:rPr>
              <w:t> </w:t>
            </w:r>
          </w:p>
        </w:tc>
      </w:tr>
      <w:tr w14:paraId="750DE12D"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3645421B" w14:textId="77777777">
            <w:pPr>
              <w:spacing w:line="259" w:lineRule="auto"/>
              <w:ind w:left="0" w:firstLine="0"/>
              <w:contextualSpacing/>
              <w:rPr>
                <w:rFonts w:cstheme="minorHAnsi"/>
                <w:sz w:val="20"/>
                <w:szCs w:val="20"/>
              </w:rPr>
            </w:pPr>
            <w:r w:rsidRPr="007B35B7">
              <w:rPr>
                <w:rFonts w:cstheme="minorHAnsi"/>
                <w:sz w:val="20"/>
                <w:szCs w:val="20"/>
              </w:rPr>
              <w:t xml:space="preserve"> B. Plan activities</w:t>
            </w:r>
          </w:p>
        </w:tc>
        <w:tc>
          <w:tcPr>
            <w:tcW w:w="2359" w:type="dxa"/>
            <w:gridSpan w:val="2"/>
            <w:tcBorders>
              <w:top w:val="single" w:sz="4" w:space="0" w:color="auto"/>
              <w:left w:val="nil"/>
              <w:bottom w:val="single" w:sz="4" w:space="0" w:color="auto"/>
              <w:right w:val="single" w:sz="4" w:space="0" w:color="auto"/>
            </w:tcBorders>
            <w:shd w:val="clear" w:color="auto" w:fill="auto"/>
            <w:hideMark/>
          </w:tcPr>
          <w:p w:rsidR="007B35B7" w:rsidRPr="007B35B7" w:rsidP="007B35B7" w14:paraId="1A05D22A" w14:textId="77777777">
            <w:pPr>
              <w:spacing w:line="259" w:lineRule="auto"/>
              <w:ind w:left="0" w:firstLine="0"/>
              <w:contextualSpacing/>
              <w:rPr>
                <w:rFonts w:cstheme="minorHAnsi"/>
                <w:sz w:val="20"/>
                <w:szCs w:val="20"/>
              </w:rPr>
            </w:pPr>
            <w:r w:rsidRPr="007B35B7">
              <w:rPr>
                <w:rFonts w:cstheme="minorHAnsi"/>
                <w:sz w:val="20"/>
                <w:szCs w:val="20"/>
              </w:rPr>
              <w:t>See 3B</w:t>
            </w:r>
          </w:p>
        </w:tc>
        <w:tc>
          <w:tcPr>
            <w:tcW w:w="1156" w:type="dxa"/>
            <w:tcBorders>
              <w:top w:val="nil"/>
              <w:left w:val="nil"/>
              <w:bottom w:val="single" w:sz="4" w:space="0" w:color="auto"/>
              <w:right w:val="single" w:sz="4" w:space="0" w:color="auto"/>
            </w:tcBorders>
            <w:shd w:val="clear" w:color="auto" w:fill="auto"/>
            <w:vAlign w:val="bottom"/>
            <w:hideMark/>
          </w:tcPr>
          <w:p w:rsidR="007B35B7" w:rsidRPr="007B35B7" w:rsidP="007B35B7" w14:paraId="6C5C4C41"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7B35B7" w:rsidRPr="007B35B7" w:rsidP="007B35B7" w14:paraId="2BE63FE4"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3B2DE56B"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7B35B7" w:rsidRPr="007B35B7" w:rsidP="007B35B7" w14:paraId="6AC720AC"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7B35B7" w:rsidRPr="007B35B7" w:rsidP="007B35B7" w14:paraId="743D486A"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bottom"/>
            <w:hideMark/>
          </w:tcPr>
          <w:p w:rsidR="007B35B7" w:rsidRPr="007B35B7" w:rsidP="007B35B7" w14:paraId="6E0FF3EE" w14:textId="77777777">
            <w:pPr>
              <w:spacing w:line="259" w:lineRule="auto"/>
              <w:ind w:left="0" w:firstLine="0"/>
              <w:contextualSpacing/>
              <w:rPr>
                <w:rFonts w:cstheme="minorHAnsi"/>
                <w:sz w:val="20"/>
                <w:szCs w:val="20"/>
              </w:rPr>
            </w:pPr>
            <w:r w:rsidRPr="007B35B7">
              <w:rPr>
                <w:rFonts w:cstheme="minorHAnsi"/>
                <w:sz w:val="20"/>
                <w:szCs w:val="20"/>
              </w:rPr>
              <w:t> </w:t>
            </w:r>
          </w:p>
        </w:tc>
      </w:tr>
      <w:tr w14:paraId="2BC6DE8F"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308474F5" w14:textId="77777777">
            <w:pPr>
              <w:spacing w:line="259" w:lineRule="auto"/>
              <w:ind w:left="0" w:firstLine="0"/>
              <w:contextualSpacing/>
              <w:rPr>
                <w:rFonts w:cstheme="minorHAnsi"/>
                <w:sz w:val="20"/>
                <w:szCs w:val="20"/>
              </w:rPr>
            </w:pPr>
            <w:r w:rsidRPr="007B35B7">
              <w:rPr>
                <w:rFonts w:cstheme="minorHAnsi"/>
                <w:sz w:val="20"/>
                <w:szCs w:val="20"/>
              </w:rPr>
              <w:t xml:space="preserve"> C. Implement activities</w:t>
            </w:r>
          </w:p>
        </w:tc>
        <w:tc>
          <w:tcPr>
            <w:tcW w:w="2359" w:type="dxa"/>
            <w:gridSpan w:val="2"/>
            <w:tcBorders>
              <w:top w:val="single" w:sz="4" w:space="0" w:color="auto"/>
              <w:left w:val="nil"/>
              <w:bottom w:val="single" w:sz="4" w:space="0" w:color="auto"/>
              <w:right w:val="single" w:sz="4" w:space="0" w:color="auto"/>
            </w:tcBorders>
            <w:shd w:val="clear" w:color="auto" w:fill="auto"/>
            <w:hideMark/>
          </w:tcPr>
          <w:p w:rsidR="007B35B7" w:rsidRPr="007B35B7" w:rsidP="007B35B7" w14:paraId="6487AD59" w14:textId="77777777">
            <w:pPr>
              <w:spacing w:line="259" w:lineRule="auto"/>
              <w:ind w:left="0" w:firstLine="0"/>
              <w:contextualSpacing/>
              <w:rPr>
                <w:rFonts w:cstheme="minorHAnsi"/>
                <w:sz w:val="20"/>
                <w:szCs w:val="20"/>
              </w:rPr>
            </w:pPr>
            <w:r w:rsidRPr="007B35B7">
              <w:rPr>
                <w:rFonts w:cstheme="minorHAnsi"/>
                <w:sz w:val="20"/>
                <w:szCs w:val="20"/>
              </w:rPr>
              <w:t>See 3B</w:t>
            </w:r>
          </w:p>
        </w:tc>
        <w:tc>
          <w:tcPr>
            <w:tcW w:w="1156" w:type="dxa"/>
            <w:tcBorders>
              <w:top w:val="nil"/>
              <w:left w:val="nil"/>
              <w:bottom w:val="single" w:sz="4" w:space="0" w:color="auto"/>
              <w:right w:val="single" w:sz="4" w:space="0" w:color="auto"/>
            </w:tcBorders>
            <w:shd w:val="clear" w:color="auto" w:fill="auto"/>
            <w:vAlign w:val="bottom"/>
            <w:hideMark/>
          </w:tcPr>
          <w:p w:rsidR="007B35B7" w:rsidRPr="007B35B7" w:rsidP="007B35B7" w14:paraId="44122113"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7B35B7" w:rsidRPr="007B35B7" w:rsidP="007B35B7" w14:paraId="068BA568"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36552F8B"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7B35B7" w:rsidRPr="007B35B7" w:rsidP="007B35B7" w14:paraId="7D0DBA23"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7B35B7" w:rsidRPr="007B35B7" w:rsidP="007B35B7" w14:paraId="12AADE55"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bottom"/>
            <w:hideMark/>
          </w:tcPr>
          <w:p w:rsidR="007B35B7" w:rsidRPr="007B35B7" w:rsidP="007B35B7" w14:paraId="4020220B" w14:textId="77777777">
            <w:pPr>
              <w:spacing w:line="259" w:lineRule="auto"/>
              <w:ind w:left="0" w:firstLine="0"/>
              <w:contextualSpacing/>
              <w:rPr>
                <w:rFonts w:cstheme="minorHAnsi"/>
                <w:sz w:val="20"/>
                <w:szCs w:val="20"/>
              </w:rPr>
            </w:pPr>
            <w:r w:rsidRPr="007B35B7">
              <w:rPr>
                <w:rFonts w:cstheme="minorHAnsi"/>
                <w:sz w:val="20"/>
                <w:szCs w:val="20"/>
              </w:rPr>
              <w:t> </w:t>
            </w:r>
          </w:p>
        </w:tc>
      </w:tr>
      <w:tr w14:paraId="6298CE52"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0754D045" w14:textId="77777777">
            <w:pPr>
              <w:spacing w:line="259" w:lineRule="auto"/>
              <w:ind w:left="0" w:firstLine="0"/>
              <w:contextualSpacing/>
              <w:rPr>
                <w:rFonts w:cstheme="minorHAnsi"/>
                <w:sz w:val="20"/>
                <w:szCs w:val="20"/>
              </w:rPr>
            </w:pPr>
            <w:r w:rsidRPr="007B35B7">
              <w:rPr>
                <w:rFonts w:cstheme="minorHAnsi"/>
                <w:sz w:val="20"/>
                <w:szCs w:val="20"/>
              </w:rPr>
              <w:t xml:space="preserve"> D. Develop record system</w:t>
            </w:r>
          </w:p>
        </w:tc>
        <w:tc>
          <w:tcPr>
            <w:tcW w:w="2359" w:type="dxa"/>
            <w:gridSpan w:val="2"/>
            <w:tcBorders>
              <w:top w:val="single" w:sz="4" w:space="0" w:color="auto"/>
              <w:left w:val="nil"/>
              <w:bottom w:val="single" w:sz="4" w:space="0" w:color="auto"/>
              <w:right w:val="single" w:sz="4" w:space="0" w:color="auto"/>
            </w:tcBorders>
            <w:shd w:val="clear" w:color="auto" w:fill="auto"/>
            <w:hideMark/>
          </w:tcPr>
          <w:p w:rsidR="007B35B7" w:rsidRPr="007B35B7" w:rsidP="007B35B7" w14:paraId="5BC6A302" w14:textId="77777777">
            <w:pPr>
              <w:spacing w:line="259" w:lineRule="auto"/>
              <w:ind w:left="0" w:firstLine="0"/>
              <w:contextualSpacing/>
              <w:rPr>
                <w:rFonts w:cstheme="minorHAnsi"/>
                <w:sz w:val="20"/>
                <w:szCs w:val="20"/>
              </w:rPr>
            </w:pPr>
            <w:r w:rsidRPr="007B35B7">
              <w:rPr>
                <w:rFonts w:cstheme="minorHAnsi"/>
                <w:sz w:val="20"/>
                <w:szCs w:val="20"/>
              </w:rPr>
              <w:t>N/A</w:t>
            </w:r>
          </w:p>
        </w:tc>
        <w:tc>
          <w:tcPr>
            <w:tcW w:w="1156" w:type="dxa"/>
            <w:tcBorders>
              <w:top w:val="nil"/>
              <w:left w:val="nil"/>
              <w:bottom w:val="single" w:sz="4" w:space="0" w:color="auto"/>
              <w:right w:val="single" w:sz="4" w:space="0" w:color="auto"/>
            </w:tcBorders>
            <w:shd w:val="clear" w:color="auto" w:fill="auto"/>
            <w:vAlign w:val="bottom"/>
            <w:hideMark/>
          </w:tcPr>
          <w:p w:rsidR="007B35B7" w:rsidRPr="007B35B7" w:rsidP="007B35B7" w14:paraId="6E68698D"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7B35B7" w:rsidRPr="007B35B7" w:rsidP="007B35B7" w14:paraId="36A640A8"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230B3F61"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7B35B7" w:rsidRPr="007B35B7" w:rsidP="007B35B7" w14:paraId="018B379F"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7B35B7" w:rsidRPr="007B35B7" w:rsidP="007B35B7" w14:paraId="54E177E5"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bottom"/>
            <w:hideMark/>
          </w:tcPr>
          <w:p w:rsidR="007B35B7" w:rsidRPr="007B35B7" w:rsidP="007B35B7" w14:paraId="68C181AE" w14:textId="77777777">
            <w:pPr>
              <w:spacing w:line="259" w:lineRule="auto"/>
              <w:ind w:left="0" w:firstLine="0"/>
              <w:contextualSpacing/>
              <w:rPr>
                <w:rFonts w:cstheme="minorHAnsi"/>
                <w:sz w:val="20"/>
                <w:szCs w:val="20"/>
              </w:rPr>
            </w:pPr>
            <w:r w:rsidRPr="007B35B7">
              <w:rPr>
                <w:rFonts w:cstheme="minorHAnsi"/>
                <w:sz w:val="20"/>
                <w:szCs w:val="20"/>
              </w:rPr>
              <w:t> </w:t>
            </w:r>
          </w:p>
        </w:tc>
      </w:tr>
      <w:tr w14:paraId="452478AC"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1B2FFF07" w14:textId="77777777">
            <w:pPr>
              <w:spacing w:line="259" w:lineRule="auto"/>
              <w:ind w:left="0" w:firstLine="0"/>
              <w:contextualSpacing/>
              <w:rPr>
                <w:rFonts w:cstheme="minorHAnsi"/>
                <w:sz w:val="20"/>
                <w:szCs w:val="20"/>
              </w:rPr>
            </w:pPr>
            <w:r w:rsidRPr="007B35B7">
              <w:rPr>
                <w:rFonts w:cstheme="minorHAnsi"/>
                <w:sz w:val="20"/>
                <w:szCs w:val="20"/>
              </w:rPr>
              <w:t xml:space="preserve"> E. Time to enter information</w:t>
            </w:r>
          </w:p>
        </w:tc>
        <w:tc>
          <w:tcPr>
            <w:tcW w:w="1156" w:type="dxa"/>
            <w:tcBorders>
              <w:top w:val="nil"/>
              <w:left w:val="nil"/>
              <w:bottom w:val="single" w:sz="4" w:space="0" w:color="auto"/>
              <w:right w:val="single" w:sz="4" w:space="0" w:color="auto"/>
            </w:tcBorders>
            <w:shd w:val="clear" w:color="auto" w:fill="auto"/>
            <w:vAlign w:val="bottom"/>
            <w:hideMark/>
          </w:tcPr>
          <w:p w:rsidR="007B35B7" w:rsidRPr="007B35B7" w:rsidP="007B35B7" w14:paraId="1B575DDA"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03" w:type="dxa"/>
            <w:tcBorders>
              <w:top w:val="nil"/>
              <w:left w:val="nil"/>
              <w:bottom w:val="single" w:sz="4" w:space="0" w:color="auto"/>
              <w:right w:val="single" w:sz="4" w:space="0" w:color="auto"/>
            </w:tcBorders>
            <w:shd w:val="clear" w:color="auto" w:fill="auto"/>
            <w:vAlign w:val="bottom"/>
            <w:hideMark/>
          </w:tcPr>
          <w:p w:rsidR="007B35B7" w:rsidRPr="007B35B7" w:rsidP="007B35B7" w14:paraId="01B8316A"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56" w:type="dxa"/>
            <w:tcBorders>
              <w:top w:val="nil"/>
              <w:left w:val="nil"/>
              <w:bottom w:val="single" w:sz="4" w:space="0" w:color="auto"/>
              <w:right w:val="single" w:sz="4" w:space="0" w:color="auto"/>
            </w:tcBorders>
            <w:shd w:val="clear" w:color="auto" w:fill="auto"/>
            <w:vAlign w:val="bottom"/>
            <w:hideMark/>
          </w:tcPr>
          <w:p w:rsidR="007B35B7" w:rsidRPr="007B35B7" w:rsidP="007B35B7" w14:paraId="124C7259"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7B35B7" w:rsidRPr="007B35B7" w:rsidP="007B35B7" w14:paraId="19CB74B6"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2D493353"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7B35B7" w:rsidRPr="007B35B7" w:rsidP="007B35B7" w14:paraId="6C42BC62"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7B35B7" w:rsidRPr="007B35B7" w:rsidP="007B35B7" w14:paraId="5741F582"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nil"/>
              <w:left w:val="nil"/>
              <w:bottom w:val="single" w:sz="4" w:space="0" w:color="auto"/>
              <w:right w:val="single" w:sz="4" w:space="0" w:color="auto"/>
            </w:tcBorders>
            <w:shd w:val="clear" w:color="auto" w:fill="auto"/>
            <w:vAlign w:val="bottom"/>
            <w:hideMark/>
          </w:tcPr>
          <w:p w:rsidR="007B35B7" w:rsidRPr="007B35B7" w:rsidP="007B35B7" w14:paraId="18746A73" w14:textId="77777777">
            <w:pPr>
              <w:spacing w:line="259" w:lineRule="auto"/>
              <w:ind w:left="0" w:firstLine="0"/>
              <w:contextualSpacing/>
              <w:rPr>
                <w:rFonts w:cstheme="minorHAnsi"/>
                <w:sz w:val="20"/>
                <w:szCs w:val="20"/>
              </w:rPr>
            </w:pPr>
            <w:r w:rsidRPr="007B35B7">
              <w:rPr>
                <w:rFonts w:cstheme="minorHAnsi"/>
                <w:sz w:val="20"/>
                <w:szCs w:val="20"/>
              </w:rPr>
              <w:t> </w:t>
            </w:r>
          </w:p>
        </w:tc>
      </w:tr>
      <w:tr w14:paraId="299E9D43" w14:textId="77777777" w:rsidTr="00632FF5">
        <w:tblPrEx>
          <w:tblW w:w="12680" w:type="dxa"/>
          <w:tblLook w:val="04A0"/>
        </w:tblPrEx>
        <w:trPr>
          <w:gridAfter w:val="1"/>
          <w:wAfter w:w="13" w:type="dxa"/>
          <w:trHeight w:val="312"/>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23362F7C" w14:textId="77777777">
            <w:pPr>
              <w:spacing w:line="259" w:lineRule="auto"/>
              <w:ind w:left="0" w:firstLine="0"/>
              <w:contextualSpacing/>
              <w:rPr>
                <w:rFonts w:cstheme="minorHAnsi"/>
                <w:sz w:val="20"/>
                <w:szCs w:val="20"/>
              </w:rPr>
            </w:pPr>
            <w:r w:rsidRPr="007B35B7">
              <w:rPr>
                <w:rFonts w:cstheme="minorHAnsi"/>
                <w:sz w:val="20"/>
                <w:szCs w:val="20"/>
              </w:rPr>
              <w:t xml:space="preserve"> Records of startup, shutdowns, malfunctions </w:t>
            </w:r>
            <w:r w:rsidRPr="007B35B7">
              <w:rPr>
                <w:rFonts w:cstheme="minorHAnsi"/>
                <w:sz w:val="20"/>
                <w:szCs w:val="20"/>
                <w:vertAlign w:val="superscript"/>
              </w:rPr>
              <w:t>m</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70C86915" w14:textId="77777777">
            <w:pPr>
              <w:spacing w:line="259" w:lineRule="auto"/>
              <w:ind w:left="0" w:firstLine="0"/>
              <w:contextualSpacing/>
              <w:rPr>
                <w:rFonts w:cstheme="minorHAnsi"/>
                <w:sz w:val="20"/>
                <w:szCs w:val="20"/>
              </w:rPr>
            </w:pPr>
            <w:r w:rsidRPr="007B35B7">
              <w:rPr>
                <w:rFonts w:cstheme="minorHAnsi"/>
                <w:sz w:val="20"/>
                <w:szCs w:val="20"/>
              </w:rPr>
              <w:t>1.5</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53743DF1" w14:textId="77777777">
            <w:pPr>
              <w:spacing w:line="259" w:lineRule="auto"/>
              <w:ind w:left="0" w:firstLine="0"/>
              <w:contextualSpacing/>
              <w:rPr>
                <w:rFonts w:cstheme="minorHAnsi"/>
                <w:sz w:val="20"/>
                <w:szCs w:val="20"/>
              </w:rPr>
            </w:pPr>
            <w:r w:rsidRPr="007B35B7">
              <w:rPr>
                <w:rFonts w:cstheme="minorHAnsi"/>
                <w:sz w:val="20"/>
                <w:szCs w:val="20"/>
              </w:rPr>
              <w:t>1</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2D79355F" w14:textId="77777777">
            <w:pPr>
              <w:spacing w:line="259" w:lineRule="auto"/>
              <w:ind w:left="0" w:firstLine="0"/>
              <w:contextualSpacing/>
              <w:rPr>
                <w:rFonts w:cstheme="minorHAnsi"/>
                <w:sz w:val="20"/>
                <w:szCs w:val="20"/>
              </w:rPr>
            </w:pPr>
            <w:r w:rsidRPr="007B35B7">
              <w:rPr>
                <w:rFonts w:cstheme="minorHAnsi"/>
                <w:sz w:val="20"/>
                <w:szCs w:val="20"/>
              </w:rPr>
              <w:t>1.5</w:t>
            </w:r>
          </w:p>
        </w:tc>
        <w:tc>
          <w:tcPr>
            <w:tcW w:w="1273" w:type="dxa"/>
            <w:tcBorders>
              <w:top w:val="nil"/>
              <w:left w:val="nil"/>
              <w:bottom w:val="single" w:sz="4" w:space="0" w:color="auto"/>
              <w:right w:val="single" w:sz="4" w:space="0" w:color="auto"/>
            </w:tcBorders>
            <w:shd w:val="clear" w:color="auto" w:fill="auto"/>
            <w:vAlign w:val="center"/>
            <w:hideMark/>
          </w:tcPr>
          <w:p w:rsidR="007B35B7" w:rsidRPr="007B35B7" w:rsidP="007B35B7" w14:paraId="1E0149CB" w14:textId="77777777">
            <w:pPr>
              <w:spacing w:line="259" w:lineRule="auto"/>
              <w:ind w:left="0" w:firstLine="0"/>
              <w:contextualSpacing/>
              <w:rPr>
                <w:rFonts w:cstheme="minorHAnsi"/>
                <w:sz w:val="20"/>
                <w:szCs w:val="20"/>
              </w:rPr>
            </w:pPr>
            <w:r w:rsidRPr="007B35B7">
              <w:rPr>
                <w:rFonts w:cstheme="minorHAnsi"/>
                <w:sz w:val="20"/>
                <w:szCs w:val="20"/>
              </w:rPr>
              <w:t>167</w:t>
            </w:r>
          </w:p>
        </w:tc>
        <w:tc>
          <w:tcPr>
            <w:tcW w:w="1123"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3278A0C7" w14:textId="77777777">
            <w:pPr>
              <w:spacing w:line="259" w:lineRule="auto"/>
              <w:ind w:left="0" w:firstLine="0"/>
              <w:contextualSpacing/>
              <w:rPr>
                <w:rFonts w:cstheme="minorHAnsi"/>
                <w:sz w:val="20"/>
                <w:szCs w:val="20"/>
              </w:rPr>
            </w:pPr>
            <w:r w:rsidRPr="007B35B7">
              <w:rPr>
                <w:rFonts w:cstheme="minorHAnsi"/>
                <w:sz w:val="20"/>
                <w:szCs w:val="20"/>
              </w:rPr>
              <w:t>250.5</w:t>
            </w:r>
          </w:p>
        </w:tc>
        <w:tc>
          <w:tcPr>
            <w:tcW w:w="1309" w:type="dxa"/>
            <w:tcBorders>
              <w:top w:val="nil"/>
              <w:left w:val="nil"/>
              <w:bottom w:val="single" w:sz="4" w:space="0" w:color="auto"/>
              <w:right w:val="single" w:sz="4" w:space="0" w:color="auto"/>
            </w:tcBorders>
            <w:shd w:val="clear" w:color="auto" w:fill="auto"/>
            <w:vAlign w:val="bottom"/>
            <w:hideMark/>
          </w:tcPr>
          <w:p w:rsidR="007B35B7" w:rsidRPr="007B35B7" w:rsidP="007B35B7" w14:paraId="58BCB654" w14:textId="77777777">
            <w:pPr>
              <w:spacing w:line="259" w:lineRule="auto"/>
              <w:ind w:left="0" w:firstLine="0"/>
              <w:contextualSpacing/>
              <w:rPr>
                <w:rFonts w:cstheme="minorHAnsi"/>
                <w:sz w:val="20"/>
                <w:szCs w:val="20"/>
              </w:rPr>
            </w:pPr>
            <w:r w:rsidRPr="007B35B7">
              <w:rPr>
                <w:rFonts w:cstheme="minorHAnsi"/>
                <w:sz w:val="20"/>
                <w:szCs w:val="20"/>
              </w:rPr>
              <w:t>12.525</w:t>
            </w:r>
          </w:p>
        </w:tc>
        <w:tc>
          <w:tcPr>
            <w:tcW w:w="1171" w:type="dxa"/>
            <w:tcBorders>
              <w:top w:val="nil"/>
              <w:left w:val="nil"/>
              <w:bottom w:val="single" w:sz="4" w:space="0" w:color="auto"/>
              <w:right w:val="single" w:sz="4" w:space="0" w:color="auto"/>
            </w:tcBorders>
            <w:shd w:val="clear" w:color="auto" w:fill="auto"/>
            <w:vAlign w:val="bottom"/>
            <w:hideMark/>
          </w:tcPr>
          <w:p w:rsidR="007B35B7" w:rsidRPr="007B35B7" w:rsidP="007B35B7" w14:paraId="5AAB8BA8" w14:textId="77777777">
            <w:pPr>
              <w:spacing w:line="259" w:lineRule="auto"/>
              <w:ind w:left="0" w:firstLine="0"/>
              <w:contextualSpacing/>
              <w:rPr>
                <w:rFonts w:cstheme="minorHAnsi"/>
                <w:sz w:val="20"/>
                <w:szCs w:val="20"/>
              </w:rPr>
            </w:pPr>
            <w:r w:rsidRPr="007B35B7">
              <w:rPr>
                <w:rFonts w:cstheme="minorHAnsi"/>
                <w:sz w:val="20"/>
                <w:szCs w:val="20"/>
              </w:rPr>
              <w:t>25.05</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rsidR="007B35B7" w:rsidRPr="007B35B7" w:rsidP="007B35B7" w14:paraId="02198F64" w14:textId="77777777">
            <w:pPr>
              <w:spacing w:line="259" w:lineRule="auto"/>
              <w:ind w:left="0" w:firstLine="0"/>
              <w:contextualSpacing/>
              <w:rPr>
                <w:rFonts w:cstheme="minorHAnsi"/>
                <w:sz w:val="20"/>
                <w:szCs w:val="20"/>
              </w:rPr>
            </w:pPr>
            <w:r w:rsidRPr="007B35B7">
              <w:rPr>
                <w:rFonts w:cstheme="minorHAnsi"/>
                <w:sz w:val="20"/>
                <w:szCs w:val="20"/>
              </w:rPr>
              <w:t xml:space="preserve">$36,324.88 </w:t>
            </w:r>
          </w:p>
        </w:tc>
      </w:tr>
      <w:tr w14:paraId="521D74CF"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4503D415" w14:textId="77777777">
            <w:pPr>
              <w:spacing w:line="259" w:lineRule="auto"/>
              <w:ind w:left="0" w:firstLine="0"/>
              <w:contextualSpacing/>
              <w:rPr>
                <w:rFonts w:cstheme="minorHAnsi"/>
                <w:sz w:val="20"/>
                <w:szCs w:val="20"/>
              </w:rPr>
            </w:pPr>
            <w:r w:rsidRPr="007B35B7">
              <w:rPr>
                <w:rFonts w:cstheme="minorHAnsi"/>
                <w:sz w:val="20"/>
                <w:szCs w:val="20"/>
              </w:rPr>
              <w:t xml:space="preserve"> F. Train to train personnel</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3EEBF1B6" w14:textId="77777777">
            <w:pPr>
              <w:spacing w:line="259" w:lineRule="auto"/>
              <w:ind w:left="0" w:firstLine="0"/>
              <w:contextualSpacing/>
              <w:rPr>
                <w:rFonts w:cstheme="minorHAnsi"/>
                <w:sz w:val="20"/>
                <w:szCs w:val="20"/>
              </w:rPr>
            </w:pPr>
            <w:r w:rsidRPr="007B35B7">
              <w:rPr>
                <w:rFonts w:cstheme="minorHAnsi"/>
                <w:sz w:val="20"/>
                <w:szCs w:val="20"/>
              </w:rPr>
              <w:t>N/A</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7CA4A2EA"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530AD601"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7B35B7" w:rsidRPr="007B35B7" w:rsidP="007B35B7" w14:paraId="61C0CCE3"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3C810937"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7B35B7" w:rsidRPr="007B35B7" w:rsidP="007B35B7" w14:paraId="3D4B5A46"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7B35B7" w:rsidRPr="007B35B7" w:rsidP="007B35B7" w14:paraId="0ED2FA5C"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rsidR="007B35B7" w:rsidRPr="007B35B7" w:rsidP="007B35B7" w14:paraId="4EDB6779" w14:textId="77777777">
            <w:pPr>
              <w:spacing w:line="259" w:lineRule="auto"/>
              <w:ind w:left="0" w:firstLine="0"/>
              <w:contextualSpacing/>
              <w:rPr>
                <w:rFonts w:cstheme="minorHAnsi"/>
                <w:sz w:val="20"/>
                <w:szCs w:val="20"/>
              </w:rPr>
            </w:pPr>
            <w:r w:rsidRPr="007B35B7">
              <w:rPr>
                <w:rFonts w:cstheme="minorHAnsi"/>
                <w:sz w:val="20"/>
                <w:szCs w:val="20"/>
              </w:rPr>
              <w:t> </w:t>
            </w:r>
          </w:p>
        </w:tc>
      </w:tr>
      <w:tr w14:paraId="612E868C" w14:textId="77777777" w:rsidTr="00632FF5">
        <w:tblPrEx>
          <w:tblW w:w="12680" w:type="dxa"/>
          <w:tblLook w:val="04A0"/>
        </w:tblPrEx>
        <w:trPr>
          <w:gridAfter w:val="1"/>
          <w:wAfter w:w="13" w:type="dxa"/>
          <w:trHeight w:val="264"/>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4F16F999" w14:textId="77777777">
            <w:pPr>
              <w:spacing w:line="259" w:lineRule="auto"/>
              <w:ind w:left="0" w:firstLine="0"/>
              <w:contextualSpacing/>
              <w:rPr>
                <w:rFonts w:cstheme="minorHAnsi"/>
                <w:sz w:val="20"/>
                <w:szCs w:val="20"/>
              </w:rPr>
            </w:pPr>
            <w:r w:rsidRPr="007B35B7">
              <w:rPr>
                <w:rFonts w:cstheme="minorHAnsi"/>
                <w:sz w:val="20"/>
                <w:szCs w:val="20"/>
              </w:rPr>
              <w:t xml:space="preserve"> G. Audits</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3F72389A" w14:textId="77777777">
            <w:pPr>
              <w:spacing w:line="259" w:lineRule="auto"/>
              <w:ind w:left="0" w:firstLine="0"/>
              <w:contextualSpacing/>
              <w:rPr>
                <w:rFonts w:cstheme="minorHAnsi"/>
                <w:sz w:val="20"/>
                <w:szCs w:val="20"/>
              </w:rPr>
            </w:pPr>
            <w:r w:rsidRPr="007B35B7">
              <w:rPr>
                <w:rFonts w:cstheme="minorHAnsi"/>
                <w:sz w:val="20"/>
                <w:szCs w:val="20"/>
              </w:rPr>
              <w:t>N/A</w:t>
            </w:r>
          </w:p>
        </w:tc>
        <w:tc>
          <w:tcPr>
            <w:tcW w:w="1203" w:type="dxa"/>
            <w:tcBorders>
              <w:top w:val="nil"/>
              <w:left w:val="nil"/>
              <w:bottom w:val="single" w:sz="4" w:space="0" w:color="auto"/>
              <w:right w:val="single" w:sz="4" w:space="0" w:color="auto"/>
            </w:tcBorders>
            <w:shd w:val="clear" w:color="auto" w:fill="auto"/>
            <w:hideMark/>
          </w:tcPr>
          <w:p w:rsidR="007B35B7" w:rsidRPr="007B35B7" w:rsidP="007B35B7" w14:paraId="1BF23381"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56" w:type="dxa"/>
            <w:tcBorders>
              <w:top w:val="nil"/>
              <w:left w:val="nil"/>
              <w:bottom w:val="single" w:sz="4" w:space="0" w:color="auto"/>
              <w:right w:val="single" w:sz="4" w:space="0" w:color="auto"/>
            </w:tcBorders>
            <w:shd w:val="clear" w:color="auto" w:fill="auto"/>
            <w:hideMark/>
          </w:tcPr>
          <w:p w:rsidR="007B35B7" w:rsidRPr="007B35B7" w:rsidP="007B35B7" w14:paraId="35AEA13F"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7B35B7" w:rsidRPr="007B35B7" w:rsidP="007B35B7" w14:paraId="076CCF5F"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23" w:type="dxa"/>
            <w:gridSpan w:val="2"/>
            <w:tcBorders>
              <w:top w:val="nil"/>
              <w:left w:val="nil"/>
              <w:bottom w:val="single" w:sz="4" w:space="0" w:color="auto"/>
              <w:right w:val="single" w:sz="4" w:space="0" w:color="auto"/>
            </w:tcBorders>
            <w:shd w:val="clear" w:color="auto" w:fill="auto"/>
            <w:vAlign w:val="bottom"/>
            <w:hideMark/>
          </w:tcPr>
          <w:p w:rsidR="007B35B7" w:rsidRPr="007B35B7" w:rsidP="007B35B7" w14:paraId="745C2F0C"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7B35B7" w:rsidRPr="007B35B7" w:rsidP="007B35B7" w14:paraId="0F85E0C4"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171" w:type="dxa"/>
            <w:tcBorders>
              <w:top w:val="nil"/>
              <w:left w:val="nil"/>
              <w:bottom w:val="single" w:sz="4" w:space="0" w:color="auto"/>
              <w:right w:val="single" w:sz="4" w:space="0" w:color="auto"/>
            </w:tcBorders>
            <w:shd w:val="clear" w:color="auto" w:fill="auto"/>
            <w:vAlign w:val="bottom"/>
            <w:hideMark/>
          </w:tcPr>
          <w:p w:rsidR="007B35B7" w:rsidRPr="007B35B7" w:rsidP="007B35B7" w14:paraId="1E0C66FE" w14:textId="77777777">
            <w:pPr>
              <w:spacing w:line="259" w:lineRule="auto"/>
              <w:ind w:left="0" w:firstLine="0"/>
              <w:contextualSpacing/>
              <w:rPr>
                <w:rFonts w:cstheme="minorHAnsi"/>
                <w:sz w:val="20"/>
                <w:szCs w:val="20"/>
              </w:rPr>
            </w:pPr>
            <w:r w:rsidRPr="007B35B7">
              <w:rPr>
                <w:rFonts w:cstheme="minorHAnsi"/>
                <w:sz w:val="20"/>
                <w:szCs w:val="20"/>
              </w:rPr>
              <w:t> </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rsidR="007B35B7" w:rsidRPr="007B35B7" w:rsidP="007B35B7" w14:paraId="5CD7E30E" w14:textId="77777777">
            <w:pPr>
              <w:spacing w:line="259" w:lineRule="auto"/>
              <w:ind w:left="0" w:firstLine="0"/>
              <w:contextualSpacing/>
              <w:rPr>
                <w:rFonts w:cstheme="minorHAnsi"/>
                <w:sz w:val="20"/>
                <w:szCs w:val="20"/>
              </w:rPr>
            </w:pPr>
            <w:r w:rsidRPr="007B35B7">
              <w:rPr>
                <w:rFonts w:cstheme="minorHAnsi"/>
                <w:sz w:val="20"/>
                <w:szCs w:val="20"/>
              </w:rPr>
              <w:t> </w:t>
            </w:r>
          </w:p>
        </w:tc>
      </w:tr>
      <w:tr w14:paraId="1FCBE7AD" w14:textId="77777777" w:rsidTr="00632FF5">
        <w:tblPrEx>
          <w:tblW w:w="12680" w:type="dxa"/>
          <w:tblLook w:val="04A0"/>
        </w:tblPrEx>
        <w:trPr>
          <w:trHeight w:val="276"/>
        </w:trPr>
        <w:tc>
          <w:tcPr>
            <w:tcW w:w="3214" w:type="dxa"/>
            <w:tcBorders>
              <w:top w:val="nil"/>
              <w:left w:val="single" w:sz="4" w:space="0" w:color="auto"/>
              <w:bottom w:val="single" w:sz="4" w:space="0" w:color="auto"/>
              <w:right w:val="single" w:sz="4" w:space="0" w:color="auto"/>
            </w:tcBorders>
            <w:shd w:val="clear" w:color="auto" w:fill="auto"/>
            <w:hideMark/>
          </w:tcPr>
          <w:p w:rsidR="007B35B7" w:rsidRPr="007B35B7" w:rsidP="007B35B7" w14:paraId="50EC895E" w14:textId="77777777">
            <w:pPr>
              <w:spacing w:line="259" w:lineRule="auto"/>
              <w:ind w:left="0" w:firstLine="0"/>
              <w:contextualSpacing/>
              <w:rPr>
                <w:rFonts w:cstheme="minorHAnsi"/>
                <w:b/>
                <w:bCs/>
                <w:i/>
                <w:iCs/>
                <w:sz w:val="20"/>
                <w:szCs w:val="20"/>
              </w:rPr>
            </w:pPr>
            <w:r w:rsidRPr="007B35B7">
              <w:rPr>
                <w:rFonts w:cstheme="minorHAnsi"/>
                <w:b/>
                <w:bCs/>
                <w:i/>
                <w:iCs/>
                <w:sz w:val="20"/>
                <w:szCs w:val="20"/>
              </w:rPr>
              <w:t xml:space="preserve">Subtotal for Recordkeeping Requirements </w:t>
            </w:r>
          </w:p>
        </w:tc>
        <w:tc>
          <w:tcPr>
            <w:tcW w:w="4802" w:type="dxa"/>
            <w:gridSpan w:val="5"/>
            <w:tcBorders>
              <w:top w:val="single" w:sz="4" w:space="0" w:color="auto"/>
              <w:left w:val="nil"/>
              <w:bottom w:val="single" w:sz="4" w:space="0" w:color="auto"/>
              <w:right w:val="single" w:sz="4" w:space="0" w:color="auto"/>
            </w:tcBorders>
            <w:shd w:val="clear" w:color="auto" w:fill="auto"/>
            <w:hideMark/>
          </w:tcPr>
          <w:p w:rsidR="007B35B7" w:rsidRPr="007B35B7" w:rsidP="007B35B7" w14:paraId="1D5EB331" w14:textId="77777777">
            <w:pPr>
              <w:spacing w:line="259" w:lineRule="auto"/>
              <w:ind w:left="0" w:firstLine="0"/>
              <w:contextualSpacing/>
              <w:rPr>
                <w:rFonts w:cstheme="minorHAnsi"/>
                <w:b/>
                <w:bCs/>
                <w:i/>
                <w:iCs/>
                <w:sz w:val="20"/>
                <w:szCs w:val="20"/>
              </w:rPr>
            </w:pPr>
            <w:r w:rsidRPr="007B35B7">
              <w:rPr>
                <w:rFonts w:cstheme="minorHAnsi"/>
                <w:b/>
                <w:bCs/>
                <w:i/>
                <w:iCs/>
                <w:sz w:val="20"/>
                <w:szCs w:val="20"/>
              </w:rPr>
              <w:t> </w:t>
            </w:r>
          </w:p>
        </w:tc>
        <w:tc>
          <w:tcPr>
            <w:tcW w:w="358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B35B7" w:rsidRPr="007B35B7" w:rsidP="007B35B7" w14:paraId="550D22AF" w14:textId="77777777">
            <w:pPr>
              <w:spacing w:line="259" w:lineRule="auto"/>
              <w:ind w:left="0" w:firstLine="0"/>
              <w:contextualSpacing/>
              <w:rPr>
                <w:rFonts w:cstheme="minorHAnsi"/>
                <w:b/>
                <w:bCs/>
                <w:sz w:val="20"/>
                <w:szCs w:val="20"/>
              </w:rPr>
            </w:pPr>
            <w:r w:rsidRPr="007B35B7">
              <w:rPr>
                <w:rFonts w:cstheme="minorHAnsi"/>
                <w:b/>
                <w:bCs/>
                <w:sz w:val="20"/>
                <w:szCs w:val="20"/>
              </w:rPr>
              <w:t>288</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B35B7" w:rsidRPr="007B35B7" w:rsidP="007B35B7" w14:paraId="73F88324" w14:textId="77777777">
            <w:pPr>
              <w:spacing w:line="259" w:lineRule="auto"/>
              <w:ind w:left="0" w:firstLine="0"/>
              <w:contextualSpacing/>
              <w:rPr>
                <w:rFonts w:cstheme="minorHAnsi"/>
                <w:b/>
                <w:bCs/>
                <w:sz w:val="20"/>
                <w:szCs w:val="20"/>
              </w:rPr>
            </w:pPr>
            <w:r w:rsidRPr="007B35B7">
              <w:rPr>
                <w:rFonts w:cstheme="minorHAnsi"/>
                <w:b/>
                <w:bCs/>
                <w:sz w:val="20"/>
                <w:szCs w:val="20"/>
              </w:rPr>
              <w:t xml:space="preserve">$36,325 </w:t>
            </w:r>
          </w:p>
        </w:tc>
      </w:tr>
      <w:tr w14:paraId="721C582B" w14:textId="77777777" w:rsidTr="00632FF5">
        <w:tblPrEx>
          <w:tblW w:w="12680" w:type="dxa"/>
          <w:tblLook w:val="04A0"/>
        </w:tblPrEx>
        <w:trPr>
          <w:trHeight w:val="270"/>
        </w:trPr>
        <w:tc>
          <w:tcPr>
            <w:tcW w:w="3214" w:type="dxa"/>
            <w:tcBorders>
              <w:top w:val="nil"/>
              <w:left w:val="single" w:sz="4" w:space="0" w:color="auto"/>
              <w:bottom w:val="single" w:sz="4" w:space="0" w:color="auto"/>
              <w:right w:val="single" w:sz="4" w:space="0" w:color="auto"/>
            </w:tcBorders>
            <w:shd w:val="clear" w:color="auto" w:fill="auto"/>
            <w:vAlign w:val="bottom"/>
            <w:hideMark/>
          </w:tcPr>
          <w:p w:rsidR="007B35B7" w:rsidRPr="007B35B7" w:rsidP="007B35B7" w14:paraId="6C83AB64" w14:textId="77777777">
            <w:pPr>
              <w:spacing w:line="259" w:lineRule="auto"/>
              <w:ind w:left="0" w:firstLine="0"/>
              <w:contextualSpacing/>
              <w:rPr>
                <w:rFonts w:cstheme="minorHAnsi"/>
                <w:b/>
                <w:bCs/>
                <w:sz w:val="20"/>
                <w:szCs w:val="20"/>
              </w:rPr>
            </w:pPr>
            <w:r w:rsidRPr="007B35B7">
              <w:rPr>
                <w:rFonts w:cstheme="minorHAnsi"/>
                <w:b/>
                <w:bCs/>
                <w:sz w:val="20"/>
                <w:szCs w:val="20"/>
              </w:rPr>
              <w:t xml:space="preserve">Total Labor Burden and Costs (rounded) </w:t>
            </w:r>
            <w:r w:rsidRPr="007B35B7">
              <w:rPr>
                <w:rFonts w:cstheme="minorHAnsi"/>
                <w:b/>
                <w:bCs/>
                <w:sz w:val="20"/>
                <w:szCs w:val="20"/>
                <w:vertAlign w:val="superscript"/>
              </w:rPr>
              <w:t>n</w:t>
            </w:r>
          </w:p>
        </w:tc>
        <w:tc>
          <w:tcPr>
            <w:tcW w:w="4802" w:type="dxa"/>
            <w:gridSpan w:val="5"/>
            <w:tcBorders>
              <w:top w:val="single" w:sz="4" w:space="0" w:color="auto"/>
              <w:left w:val="nil"/>
              <w:bottom w:val="single" w:sz="4" w:space="0" w:color="auto"/>
              <w:right w:val="single" w:sz="4" w:space="0" w:color="auto"/>
            </w:tcBorders>
            <w:shd w:val="clear" w:color="auto" w:fill="auto"/>
            <w:vAlign w:val="bottom"/>
            <w:hideMark/>
          </w:tcPr>
          <w:p w:rsidR="007B35B7" w:rsidRPr="007B35B7" w:rsidP="007B35B7" w14:paraId="1253097A" w14:textId="77777777">
            <w:pPr>
              <w:spacing w:line="259" w:lineRule="auto"/>
              <w:ind w:left="0" w:firstLine="0"/>
              <w:contextualSpacing/>
              <w:rPr>
                <w:rFonts w:cstheme="minorHAnsi"/>
                <w:b/>
                <w:bCs/>
                <w:sz w:val="20"/>
                <w:szCs w:val="20"/>
              </w:rPr>
            </w:pPr>
            <w:r w:rsidRPr="007B35B7">
              <w:rPr>
                <w:rFonts w:cstheme="minorHAnsi"/>
                <w:b/>
                <w:bCs/>
                <w:sz w:val="20"/>
                <w:szCs w:val="20"/>
              </w:rPr>
              <w:t> </w:t>
            </w:r>
          </w:p>
        </w:tc>
        <w:tc>
          <w:tcPr>
            <w:tcW w:w="358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B35B7" w:rsidRPr="007B35B7" w:rsidP="007B35B7" w14:paraId="169F4166" w14:textId="77777777">
            <w:pPr>
              <w:spacing w:line="259" w:lineRule="auto"/>
              <w:ind w:left="0" w:firstLine="0"/>
              <w:contextualSpacing/>
              <w:rPr>
                <w:rFonts w:cstheme="minorHAnsi"/>
                <w:b/>
                <w:bCs/>
                <w:sz w:val="20"/>
                <w:szCs w:val="20"/>
              </w:rPr>
            </w:pPr>
            <w:r w:rsidRPr="007B35B7">
              <w:rPr>
                <w:rFonts w:cstheme="minorHAnsi"/>
                <w:b/>
                <w:bCs/>
                <w:sz w:val="20"/>
                <w:szCs w:val="20"/>
              </w:rPr>
              <w:t>6,600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B35B7" w:rsidRPr="007B35B7" w:rsidP="007B35B7" w14:paraId="769CA2BE" w14:textId="77777777">
            <w:pPr>
              <w:spacing w:line="259" w:lineRule="auto"/>
              <w:ind w:left="0" w:firstLine="0"/>
              <w:contextualSpacing/>
              <w:rPr>
                <w:rFonts w:cstheme="minorHAnsi"/>
                <w:b/>
                <w:bCs/>
                <w:sz w:val="20"/>
                <w:szCs w:val="20"/>
              </w:rPr>
            </w:pPr>
            <w:r w:rsidRPr="007B35B7">
              <w:rPr>
                <w:rFonts w:cstheme="minorHAnsi"/>
                <w:b/>
                <w:bCs/>
                <w:sz w:val="20"/>
                <w:szCs w:val="20"/>
              </w:rPr>
              <w:t xml:space="preserve">$836,000 </w:t>
            </w:r>
          </w:p>
        </w:tc>
      </w:tr>
      <w:tr w14:paraId="4A3AD77F" w14:textId="77777777" w:rsidTr="00632FF5">
        <w:tblPrEx>
          <w:tblW w:w="12680" w:type="dxa"/>
          <w:tblLook w:val="04A0"/>
        </w:tblPrEx>
        <w:trPr>
          <w:gridAfter w:val="1"/>
          <w:wAfter w:w="13" w:type="dxa"/>
          <w:trHeight w:val="270"/>
        </w:trPr>
        <w:tc>
          <w:tcPr>
            <w:tcW w:w="3214" w:type="dxa"/>
            <w:tcBorders>
              <w:top w:val="nil"/>
              <w:left w:val="single" w:sz="4" w:space="0" w:color="auto"/>
              <w:bottom w:val="single" w:sz="4" w:space="0" w:color="auto"/>
              <w:right w:val="single" w:sz="4" w:space="0" w:color="auto"/>
            </w:tcBorders>
            <w:shd w:val="clear" w:color="auto" w:fill="auto"/>
            <w:vAlign w:val="bottom"/>
            <w:hideMark/>
          </w:tcPr>
          <w:p w:rsidR="007B35B7" w:rsidRPr="007B35B7" w:rsidP="007B35B7" w14:paraId="446F6148" w14:textId="77777777">
            <w:pPr>
              <w:spacing w:line="259" w:lineRule="auto"/>
              <w:ind w:left="0" w:firstLine="0"/>
              <w:contextualSpacing/>
              <w:rPr>
                <w:rFonts w:cstheme="minorHAnsi"/>
                <w:b/>
                <w:bCs/>
                <w:sz w:val="20"/>
                <w:szCs w:val="20"/>
              </w:rPr>
            </w:pPr>
            <w:r w:rsidRPr="007B35B7">
              <w:rPr>
                <w:rFonts w:cstheme="minorHAnsi"/>
                <w:b/>
                <w:bCs/>
                <w:sz w:val="20"/>
                <w:szCs w:val="20"/>
              </w:rPr>
              <w:t>Total Capital and O&amp;M Cost (rounded)</w:t>
            </w:r>
            <w:r w:rsidRPr="007B35B7">
              <w:rPr>
                <w:rFonts w:cstheme="minorHAnsi"/>
                <w:b/>
                <w:bCs/>
                <w:sz w:val="20"/>
                <w:szCs w:val="20"/>
                <w:vertAlign w:val="superscript"/>
              </w:rPr>
              <w:t xml:space="preserve"> n</w:t>
            </w:r>
          </w:p>
        </w:tc>
        <w:tc>
          <w:tcPr>
            <w:tcW w:w="8391" w:type="dxa"/>
            <w:gridSpan w:val="8"/>
            <w:tcBorders>
              <w:top w:val="single" w:sz="4" w:space="0" w:color="auto"/>
              <w:left w:val="nil"/>
              <w:bottom w:val="single" w:sz="4" w:space="0" w:color="auto"/>
              <w:right w:val="single" w:sz="4" w:space="0" w:color="000000"/>
            </w:tcBorders>
            <w:shd w:val="clear" w:color="auto" w:fill="auto"/>
            <w:vAlign w:val="bottom"/>
            <w:hideMark/>
          </w:tcPr>
          <w:p w:rsidR="007B35B7" w:rsidRPr="007B35B7" w:rsidP="007B35B7" w14:paraId="7FF3E424" w14:textId="77777777">
            <w:pPr>
              <w:spacing w:line="259" w:lineRule="auto"/>
              <w:ind w:left="0" w:firstLine="0"/>
              <w:contextualSpacing/>
              <w:rPr>
                <w:rFonts w:cstheme="minorHAnsi"/>
                <w:b/>
                <w:bCs/>
                <w:sz w:val="20"/>
                <w:szCs w:val="20"/>
              </w:rPr>
            </w:pPr>
            <w:r w:rsidRPr="007B35B7">
              <w:rPr>
                <w:rFonts w:cstheme="minorHAnsi"/>
                <w:b/>
                <w:bCs/>
                <w:sz w:val="20"/>
                <w:szCs w:val="20"/>
              </w:rPr>
              <w:t> </w:t>
            </w:r>
          </w:p>
        </w:tc>
        <w:tc>
          <w:tcPr>
            <w:tcW w:w="1062" w:type="dxa"/>
            <w:tcBorders>
              <w:top w:val="nil"/>
              <w:left w:val="nil"/>
              <w:bottom w:val="single" w:sz="4" w:space="0" w:color="auto"/>
              <w:right w:val="single" w:sz="4" w:space="0" w:color="auto"/>
            </w:tcBorders>
            <w:shd w:val="clear" w:color="auto" w:fill="auto"/>
            <w:vAlign w:val="bottom"/>
            <w:hideMark/>
          </w:tcPr>
          <w:p w:rsidR="007B35B7" w:rsidRPr="007B35B7" w:rsidP="007B35B7" w14:paraId="4A8422E0" w14:textId="77777777">
            <w:pPr>
              <w:spacing w:line="259" w:lineRule="auto"/>
              <w:ind w:left="0" w:firstLine="0"/>
              <w:contextualSpacing/>
              <w:rPr>
                <w:rFonts w:cstheme="minorHAnsi"/>
                <w:b/>
                <w:bCs/>
                <w:sz w:val="20"/>
                <w:szCs w:val="20"/>
              </w:rPr>
            </w:pPr>
            <w:r w:rsidRPr="007B35B7">
              <w:rPr>
                <w:rFonts w:cstheme="minorHAnsi"/>
                <w:b/>
                <w:bCs/>
                <w:sz w:val="20"/>
                <w:szCs w:val="20"/>
              </w:rPr>
              <w:t xml:space="preserve">$154,000 </w:t>
            </w:r>
          </w:p>
        </w:tc>
      </w:tr>
      <w:tr w14:paraId="1B55B7A3" w14:textId="77777777" w:rsidTr="00632FF5">
        <w:tblPrEx>
          <w:tblW w:w="12680" w:type="dxa"/>
          <w:tblLook w:val="04A0"/>
        </w:tblPrEx>
        <w:trPr>
          <w:gridAfter w:val="1"/>
          <w:wAfter w:w="13" w:type="dxa"/>
          <w:trHeight w:val="270"/>
        </w:trPr>
        <w:tc>
          <w:tcPr>
            <w:tcW w:w="3214" w:type="dxa"/>
            <w:tcBorders>
              <w:top w:val="nil"/>
              <w:left w:val="single" w:sz="4" w:space="0" w:color="auto"/>
              <w:bottom w:val="single" w:sz="4" w:space="0" w:color="auto"/>
              <w:right w:val="single" w:sz="4" w:space="0" w:color="auto"/>
            </w:tcBorders>
            <w:shd w:val="clear" w:color="auto" w:fill="auto"/>
            <w:vAlign w:val="bottom"/>
            <w:hideMark/>
          </w:tcPr>
          <w:p w:rsidR="007B35B7" w:rsidRPr="007B35B7" w:rsidP="007B35B7" w14:paraId="4E6A0119" w14:textId="77777777">
            <w:pPr>
              <w:spacing w:line="259" w:lineRule="auto"/>
              <w:ind w:left="0" w:firstLine="0"/>
              <w:contextualSpacing/>
              <w:rPr>
                <w:rFonts w:cstheme="minorHAnsi"/>
                <w:b/>
                <w:bCs/>
                <w:sz w:val="20"/>
                <w:szCs w:val="20"/>
              </w:rPr>
            </w:pPr>
            <w:r w:rsidRPr="007B35B7">
              <w:rPr>
                <w:rFonts w:cstheme="minorHAnsi"/>
                <w:b/>
                <w:bCs/>
                <w:sz w:val="20"/>
                <w:szCs w:val="20"/>
              </w:rPr>
              <w:t xml:space="preserve">GRAND TOTAL (rounded) </w:t>
            </w:r>
            <w:r w:rsidRPr="007B35B7">
              <w:rPr>
                <w:rFonts w:cstheme="minorHAnsi"/>
                <w:b/>
                <w:bCs/>
                <w:sz w:val="20"/>
                <w:szCs w:val="20"/>
                <w:vertAlign w:val="superscript"/>
              </w:rPr>
              <w:t>n</w:t>
            </w:r>
          </w:p>
        </w:tc>
        <w:tc>
          <w:tcPr>
            <w:tcW w:w="8391" w:type="dxa"/>
            <w:gridSpan w:val="8"/>
            <w:tcBorders>
              <w:top w:val="single" w:sz="4" w:space="0" w:color="auto"/>
              <w:left w:val="nil"/>
              <w:bottom w:val="single" w:sz="4" w:space="0" w:color="auto"/>
              <w:right w:val="single" w:sz="4" w:space="0" w:color="000000"/>
            </w:tcBorders>
            <w:shd w:val="clear" w:color="auto" w:fill="auto"/>
            <w:vAlign w:val="bottom"/>
            <w:hideMark/>
          </w:tcPr>
          <w:p w:rsidR="007B35B7" w:rsidRPr="007B35B7" w:rsidP="007B35B7" w14:paraId="53B8ED61" w14:textId="77777777">
            <w:pPr>
              <w:spacing w:line="259" w:lineRule="auto"/>
              <w:ind w:left="0" w:firstLine="0"/>
              <w:contextualSpacing/>
              <w:rPr>
                <w:rFonts w:cstheme="minorHAnsi"/>
                <w:b/>
                <w:bCs/>
                <w:sz w:val="20"/>
                <w:szCs w:val="20"/>
              </w:rPr>
            </w:pPr>
            <w:r w:rsidRPr="007B35B7">
              <w:rPr>
                <w:rFonts w:cstheme="minorHAnsi"/>
                <w:b/>
                <w:bCs/>
                <w:sz w:val="20"/>
                <w:szCs w:val="20"/>
              </w:rPr>
              <w:t> </w:t>
            </w:r>
          </w:p>
        </w:tc>
        <w:tc>
          <w:tcPr>
            <w:tcW w:w="1062" w:type="dxa"/>
            <w:tcBorders>
              <w:top w:val="nil"/>
              <w:left w:val="nil"/>
              <w:bottom w:val="single" w:sz="4" w:space="0" w:color="auto"/>
              <w:right w:val="single" w:sz="4" w:space="0" w:color="auto"/>
            </w:tcBorders>
            <w:shd w:val="clear" w:color="auto" w:fill="auto"/>
            <w:vAlign w:val="bottom"/>
            <w:hideMark/>
          </w:tcPr>
          <w:p w:rsidR="007B35B7" w:rsidRPr="007B35B7" w:rsidP="007B35B7" w14:paraId="78777F25" w14:textId="77777777">
            <w:pPr>
              <w:spacing w:line="259" w:lineRule="auto"/>
              <w:ind w:left="0" w:firstLine="0"/>
              <w:contextualSpacing/>
              <w:rPr>
                <w:rFonts w:cstheme="minorHAnsi"/>
                <w:b/>
                <w:bCs/>
                <w:sz w:val="20"/>
                <w:szCs w:val="20"/>
              </w:rPr>
            </w:pPr>
            <w:r w:rsidRPr="007B35B7">
              <w:rPr>
                <w:rFonts w:cstheme="minorHAnsi"/>
                <w:b/>
                <w:bCs/>
                <w:sz w:val="20"/>
                <w:szCs w:val="20"/>
              </w:rPr>
              <w:t xml:space="preserve">$990,000 </w:t>
            </w:r>
          </w:p>
        </w:tc>
      </w:tr>
    </w:tbl>
    <w:p w:rsidR="004B3607" w:rsidP="002943D2" w14:paraId="637711AA" w14:textId="3A18D6F2">
      <w:pPr>
        <w:spacing w:line="259" w:lineRule="auto"/>
        <w:ind w:left="0" w:firstLine="0"/>
        <w:rPr>
          <w:rFonts w:cstheme="minorHAnsi"/>
        </w:rPr>
      </w:pPr>
    </w:p>
    <w:p w:rsidR="007B35B7" w:rsidRPr="007B35B7" w:rsidP="007B35B7" w14:paraId="4AA2C4E7" w14:textId="77777777">
      <w:pPr>
        <w:spacing w:line="259" w:lineRule="auto"/>
        <w:ind w:left="0" w:firstLine="0"/>
        <w:contextualSpacing/>
        <w:rPr>
          <w:rFonts w:cstheme="minorHAnsi"/>
          <w:b/>
          <w:bCs/>
          <w:sz w:val="20"/>
          <w:szCs w:val="20"/>
        </w:rPr>
      </w:pPr>
      <w:r w:rsidRPr="007B35B7">
        <w:rPr>
          <w:rFonts w:cstheme="minorHAnsi"/>
          <w:b/>
          <w:bCs/>
          <w:sz w:val="20"/>
          <w:szCs w:val="20"/>
        </w:rPr>
        <w:t>Assumptions:</w:t>
      </w:r>
    </w:p>
    <w:p w:rsidR="007B35B7" w:rsidRPr="007B35B7" w:rsidP="007B35B7" w14:paraId="6168A2C4" w14:textId="77777777">
      <w:pPr>
        <w:spacing w:line="259" w:lineRule="auto"/>
        <w:ind w:left="0" w:firstLine="0"/>
        <w:contextualSpacing/>
        <w:rPr>
          <w:rFonts w:cstheme="minorHAnsi"/>
          <w:sz w:val="20"/>
          <w:szCs w:val="20"/>
        </w:rPr>
      </w:pPr>
      <w:r w:rsidRPr="007B35B7">
        <w:rPr>
          <w:rFonts w:cstheme="minorHAnsi"/>
          <w:sz w:val="20"/>
          <w:szCs w:val="20"/>
          <w:vertAlign w:val="superscript"/>
        </w:rPr>
        <w:t>a</w:t>
      </w:r>
      <w:r w:rsidRPr="007B35B7">
        <w:rPr>
          <w:rFonts w:cstheme="minorHAnsi"/>
          <w:sz w:val="20"/>
          <w:szCs w:val="20"/>
          <w:vertAlign w:val="superscript"/>
        </w:rPr>
        <w:t xml:space="preserve"> </w:t>
      </w:r>
      <w:r w:rsidRPr="007B35B7">
        <w:rPr>
          <w:rFonts w:cstheme="minorHAnsi"/>
          <w:sz w:val="20"/>
          <w:szCs w:val="20"/>
        </w:rPr>
        <w:t>We have assumed that the average number of respondents that will be subject to the rule over the three-year period of this ICR will be 167. It is estimated that no additional respondents will become subject to the regulation in the next three years.</w:t>
      </w:r>
    </w:p>
    <w:p w:rsidR="007B35B7" w:rsidRPr="007B35B7" w:rsidP="007B35B7" w14:paraId="063912AC" w14:textId="77777777">
      <w:pPr>
        <w:spacing w:line="259" w:lineRule="auto"/>
        <w:ind w:left="0" w:firstLine="0"/>
        <w:contextualSpacing/>
        <w:rPr>
          <w:rFonts w:cstheme="minorHAnsi"/>
          <w:sz w:val="20"/>
          <w:szCs w:val="20"/>
        </w:rPr>
      </w:pPr>
      <w:r w:rsidRPr="007B35B7">
        <w:rPr>
          <w:rFonts w:cstheme="minorHAnsi"/>
          <w:sz w:val="20"/>
          <w:szCs w:val="20"/>
          <w:vertAlign w:val="superscript"/>
        </w:rPr>
        <w:t>b</w:t>
      </w:r>
      <w:r w:rsidRPr="007B35B7">
        <w:rPr>
          <w:rFonts w:cstheme="minorHAnsi"/>
          <w:sz w:val="20"/>
          <w:szCs w:val="20"/>
        </w:rPr>
        <w:t xml:space="preserve"> This ICR uses the following labor rates: Managerial $163.17 ($77.70 + 110%); Technical $130.28 ($62.04 + 110%); and Clerical $65.71 ($31.29 + 110%).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7B35B7" w:rsidRPr="007B35B7" w:rsidP="007B35B7" w14:paraId="568DFF50" w14:textId="77777777">
      <w:pPr>
        <w:spacing w:line="259" w:lineRule="auto"/>
        <w:ind w:left="0" w:firstLine="0"/>
        <w:contextualSpacing/>
        <w:rPr>
          <w:rFonts w:cstheme="minorHAnsi"/>
          <w:sz w:val="20"/>
          <w:szCs w:val="20"/>
        </w:rPr>
      </w:pPr>
      <w:r w:rsidRPr="007B35B7">
        <w:rPr>
          <w:rFonts w:cstheme="minorHAnsi"/>
          <w:sz w:val="20"/>
          <w:szCs w:val="20"/>
          <w:vertAlign w:val="superscript"/>
        </w:rPr>
        <w:t>c</w:t>
      </w:r>
      <w:r w:rsidRPr="007B35B7">
        <w:rPr>
          <w:rFonts w:cstheme="minorHAnsi"/>
          <w:sz w:val="20"/>
          <w:szCs w:val="20"/>
        </w:rPr>
        <w:t xml:space="preserve"> We assume that each respondent will have to familiarize with the regulatory requirements each year. </w:t>
      </w:r>
    </w:p>
    <w:p w:rsidR="007B35B7" w:rsidRPr="007B35B7" w:rsidP="007B35B7" w14:paraId="20888E0F" w14:textId="77777777">
      <w:pPr>
        <w:spacing w:line="259" w:lineRule="auto"/>
        <w:ind w:left="0" w:firstLine="0"/>
        <w:contextualSpacing/>
        <w:rPr>
          <w:rFonts w:cstheme="minorHAnsi"/>
          <w:sz w:val="20"/>
          <w:szCs w:val="20"/>
        </w:rPr>
      </w:pPr>
      <w:r w:rsidRPr="007B35B7">
        <w:rPr>
          <w:rFonts w:cstheme="minorHAnsi"/>
          <w:sz w:val="20"/>
          <w:szCs w:val="20"/>
          <w:vertAlign w:val="superscript"/>
        </w:rPr>
        <w:t>d</w:t>
      </w:r>
      <w:r w:rsidRPr="007B35B7">
        <w:rPr>
          <w:rFonts w:cstheme="minorHAnsi"/>
          <w:sz w:val="20"/>
          <w:szCs w:val="20"/>
        </w:rPr>
        <w:t xml:space="preserve"> We have assumed that it will take 330 hours to complete a performance test.</w:t>
      </w:r>
    </w:p>
    <w:p w:rsidR="007B35B7" w:rsidRPr="007B35B7" w:rsidP="007B35B7" w14:paraId="31BEA1CD" w14:textId="77777777">
      <w:pPr>
        <w:spacing w:line="259" w:lineRule="auto"/>
        <w:ind w:left="0" w:firstLine="0"/>
        <w:contextualSpacing/>
        <w:rPr>
          <w:rFonts w:cstheme="minorHAnsi"/>
          <w:sz w:val="20"/>
          <w:szCs w:val="20"/>
        </w:rPr>
      </w:pPr>
      <w:r w:rsidRPr="007B35B7">
        <w:rPr>
          <w:rFonts w:cstheme="minorHAnsi"/>
          <w:sz w:val="20"/>
          <w:szCs w:val="20"/>
          <w:vertAlign w:val="superscript"/>
        </w:rPr>
        <w:t>e</w:t>
      </w:r>
      <w:r w:rsidRPr="007B35B7">
        <w:rPr>
          <w:rFonts w:cstheme="minorHAnsi"/>
          <w:sz w:val="20"/>
          <w:szCs w:val="20"/>
        </w:rPr>
        <w:t xml:space="preserve"> We have assumed that 20 percent of new respondents will have to conduct a CMS demonstration.</w:t>
      </w:r>
    </w:p>
    <w:p w:rsidR="007B35B7" w:rsidRPr="007B35B7" w:rsidP="007B35B7" w14:paraId="795212D5" w14:textId="77777777">
      <w:pPr>
        <w:spacing w:line="259" w:lineRule="auto"/>
        <w:ind w:left="0" w:firstLine="0"/>
        <w:contextualSpacing/>
        <w:rPr>
          <w:rFonts w:cstheme="minorHAnsi"/>
          <w:sz w:val="20"/>
          <w:szCs w:val="20"/>
        </w:rPr>
      </w:pPr>
      <w:r w:rsidRPr="007B35B7">
        <w:rPr>
          <w:rFonts w:cstheme="minorHAnsi"/>
          <w:sz w:val="20"/>
          <w:szCs w:val="20"/>
          <w:vertAlign w:val="superscript"/>
        </w:rPr>
        <w:t xml:space="preserve">f </w:t>
      </w:r>
      <w:r w:rsidRPr="007B35B7">
        <w:rPr>
          <w:rFonts w:cstheme="minorHAnsi"/>
          <w:sz w:val="20"/>
          <w:szCs w:val="20"/>
        </w:rPr>
        <w:t>We have assumed that 20 percent of new respondents will take two hours to conduct a scrubber demonstration.</w:t>
      </w:r>
    </w:p>
    <w:p w:rsidR="007B35B7" w:rsidRPr="007B35B7" w:rsidP="007B35B7" w14:paraId="5CA95BA8" w14:textId="77777777">
      <w:pPr>
        <w:spacing w:line="259" w:lineRule="auto"/>
        <w:ind w:left="0" w:firstLine="0"/>
        <w:contextualSpacing/>
        <w:rPr>
          <w:rFonts w:cstheme="minorHAnsi"/>
          <w:sz w:val="20"/>
          <w:szCs w:val="20"/>
        </w:rPr>
      </w:pPr>
      <w:r w:rsidRPr="007B35B7">
        <w:rPr>
          <w:rFonts w:cstheme="minorHAnsi"/>
          <w:sz w:val="20"/>
          <w:szCs w:val="20"/>
          <w:vertAlign w:val="superscript"/>
        </w:rPr>
        <w:t>g</w:t>
      </w:r>
      <w:r w:rsidRPr="007B35B7">
        <w:rPr>
          <w:rFonts w:cstheme="minorHAnsi"/>
          <w:sz w:val="20"/>
          <w:szCs w:val="20"/>
        </w:rPr>
        <w:t xml:space="preserve"> We have assumed that 80 percent of new respondents will conduct a reference Method 9 test.</w:t>
      </w:r>
    </w:p>
    <w:p w:rsidR="007B35B7" w:rsidRPr="007B35B7" w:rsidP="007B35B7" w14:paraId="682E139F" w14:textId="77777777">
      <w:pPr>
        <w:spacing w:line="259" w:lineRule="auto"/>
        <w:ind w:left="0" w:firstLine="0"/>
        <w:contextualSpacing/>
        <w:rPr>
          <w:rFonts w:cstheme="minorHAnsi"/>
          <w:sz w:val="20"/>
          <w:szCs w:val="20"/>
        </w:rPr>
      </w:pPr>
      <w:r w:rsidRPr="007B35B7">
        <w:rPr>
          <w:rFonts w:cstheme="minorHAnsi"/>
          <w:sz w:val="20"/>
          <w:szCs w:val="20"/>
          <w:vertAlign w:val="superscript"/>
        </w:rPr>
        <w:t>h</w:t>
      </w:r>
      <w:r w:rsidRPr="007B35B7">
        <w:rPr>
          <w:rFonts w:cstheme="minorHAnsi"/>
          <w:sz w:val="20"/>
          <w:szCs w:val="20"/>
        </w:rPr>
        <w:t xml:space="preserve"> We have assumed that it will take respondents 18 hours to conduct a reference Method 9 test.</w:t>
      </w:r>
    </w:p>
    <w:p w:rsidR="007B35B7" w:rsidRPr="007B35B7" w:rsidP="007B35B7" w14:paraId="4AB3A190" w14:textId="77777777">
      <w:pPr>
        <w:spacing w:line="259" w:lineRule="auto"/>
        <w:ind w:left="0" w:firstLine="0"/>
        <w:contextualSpacing/>
        <w:rPr>
          <w:rFonts w:cstheme="minorHAnsi"/>
          <w:sz w:val="20"/>
          <w:szCs w:val="20"/>
        </w:rPr>
      </w:pPr>
      <w:r w:rsidRPr="007B35B7">
        <w:rPr>
          <w:rFonts w:cstheme="minorHAnsi"/>
          <w:sz w:val="20"/>
          <w:szCs w:val="20"/>
          <w:vertAlign w:val="superscript"/>
        </w:rPr>
        <w:t>i</w:t>
      </w:r>
      <w:r w:rsidRPr="007B35B7">
        <w:rPr>
          <w:rFonts w:cstheme="minorHAnsi"/>
          <w:sz w:val="20"/>
          <w:szCs w:val="20"/>
        </w:rPr>
        <w:t xml:space="preserve"> We have assumed that it will take 4 hours to re-calibrate either the COM or the scrubber.</w:t>
      </w:r>
    </w:p>
    <w:p w:rsidR="007B35B7" w:rsidRPr="007B35B7" w:rsidP="007B35B7" w14:paraId="6849F33E" w14:textId="77777777">
      <w:pPr>
        <w:spacing w:line="259" w:lineRule="auto"/>
        <w:ind w:left="0" w:firstLine="0"/>
        <w:contextualSpacing/>
        <w:rPr>
          <w:rFonts w:cstheme="minorHAnsi"/>
          <w:sz w:val="20"/>
          <w:szCs w:val="20"/>
        </w:rPr>
      </w:pPr>
      <w:r w:rsidRPr="007B35B7">
        <w:rPr>
          <w:rFonts w:cstheme="minorHAnsi"/>
          <w:sz w:val="20"/>
          <w:szCs w:val="20"/>
          <w:vertAlign w:val="superscript"/>
        </w:rPr>
        <w:t>j</w:t>
      </w:r>
      <w:r w:rsidRPr="007B35B7">
        <w:rPr>
          <w:rFonts w:cstheme="minorHAnsi"/>
          <w:sz w:val="20"/>
          <w:szCs w:val="20"/>
        </w:rPr>
        <w:t xml:space="preserve"> We have assumed that 20 percent of new respondents will re-calibrate the scrubber.</w:t>
      </w:r>
    </w:p>
    <w:p w:rsidR="007B35B7" w:rsidRPr="007B35B7" w:rsidP="007B35B7" w14:paraId="78057ADF" w14:textId="77777777">
      <w:pPr>
        <w:spacing w:line="259" w:lineRule="auto"/>
        <w:ind w:left="0" w:firstLine="0"/>
        <w:contextualSpacing/>
        <w:rPr>
          <w:rFonts w:cstheme="minorHAnsi"/>
          <w:sz w:val="20"/>
          <w:szCs w:val="20"/>
        </w:rPr>
      </w:pPr>
      <w:r w:rsidRPr="007B35B7">
        <w:rPr>
          <w:rFonts w:cstheme="minorHAnsi"/>
          <w:sz w:val="20"/>
          <w:szCs w:val="20"/>
          <w:vertAlign w:val="superscript"/>
        </w:rPr>
        <w:t>k</w:t>
      </w:r>
      <w:r w:rsidRPr="007B35B7">
        <w:rPr>
          <w:rFonts w:cstheme="minorHAnsi"/>
          <w:sz w:val="20"/>
          <w:szCs w:val="20"/>
        </w:rPr>
        <w:t xml:space="preserve"> We have assumed that one respondent will notify the Agency regarding a physical or operational change.</w:t>
      </w:r>
    </w:p>
    <w:p w:rsidR="007B35B7" w:rsidRPr="007B35B7" w:rsidP="007B35B7" w14:paraId="0547A5B1" w14:textId="77777777">
      <w:pPr>
        <w:spacing w:line="259" w:lineRule="auto"/>
        <w:ind w:left="0" w:firstLine="0"/>
        <w:contextualSpacing/>
        <w:rPr>
          <w:rFonts w:cstheme="minorHAnsi"/>
          <w:sz w:val="20"/>
          <w:szCs w:val="20"/>
        </w:rPr>
      </w:pPr>
      <w:r w:rsidRPr="007B35B7">
        <w:rPr>
          <w:rFonts w:cstheme="minorHAnsi"/>
          <w:sz w:val="20"/>
          <w:szCs w:val="20"/>
          <w:vertAlign w:val="superscript"/>
        </w:rPr>
        <w:t xml:space="preserve">l </w:t>
      </w:r>
      <w:r w:rsidRPr="007B35B7">
        <w:rPr>
          <w:rFonts w:cstheme="minorHAnsi"/>
          <w:sz w:val="20"/>
          <w:szCs w:val="20"/>
        </w:rPr>
        <w:t>We have assumed that it will take 16 hours for each respondent to complete the semiannual report of exceedances.</w:t>
      </w:r>
    </w:p>
    <w:p w:rsidR="007B35B7" w:rsidRPr="007B35B7" w:rsidP="007B35B7" w14:paraId="28AC2156" w14:textId="77777777">
      <w:pPr>
        <w:spacing w:line="259" w:lineRule="auto"/>
        <w:ind w:left="0" w:firstLine="0"/>
        <w:contextualSpacing/>
        <w:rPr>
          <w:rFonts w:cstheme="minorHAnsi"/>
          <w:sz w:val="20"/>
          <w:szCs w:val="20"/>
        </w:rPr>
      </w:pPr>
      <w:r w:rsidRPr="007B35B7">
        <w:rPr>
          <w:rFonts w:cstheme="minorHAnsi"/>
          <w:sz w:val="20"/>
          <w:szCs w:val="20"/>
          <w:vertAlign w:val="superscript"/>
        </w:rPr>
        <w:t>m</w:t>
      </w:r>
      <w:r w:rsidRPr="007B35B7">
        <w:rPr>
          <w:rFonts w:cstheme="minorHAnsi"/>
          <w:sz w:val="20"/>
          <w:szCs w:val="20"/>
        </w:rPr>
        <w:t xml:space="preserve"> We have assumed that it will take each respondent 1.5 hours to record SSM information.</w:t>
      </w:r>
    </w:p>
    <w:p w:rsidR="007B35B7" w:rsidRPr="0090099B" w:rsidP="002943D2" w14:paraId="2CA86319" w14:textId="10BA9C53">
      <w:pPr>
        <w:spacing w:line="259" w:lineRule="auto"/>
        <w:ind w:left="0" w:firstLine="0"/>
        <w:contextualSpacing/>
        <w:rPr>
          <w:rFonts w:cstheme="minorHAnsi"/>
          <w:sz w:val="20"/>
          <w:szCs w:val="20"/>
        </w:rPr>
      </w:pPr>
      <w:r w:rsidRPr="007B35B7">
        <w:rPr>
          <w:rFonts w:cstheme="minorHAnsi"/>
          <w:sz w:val="20"/>
          <w:szCs w:val="20"/>
          <w:vertAlign w:val="superscript"/>
        </w:rPr>
        <w:t>n</w:t>
      </w:r>
      <w:r w:rsidRPr="007B35B7">
        <w:rPr>
          <w:rFonts w:cstheme="minorHAnsi"/>
          <w:sz w:val="20"/>
          <w:szCs w:val="20"/>
        </w:rPr>
        <w:t xml:space="preserve"> Totals have been rounded to 3 significant figures. Figures may not add exactly due to rounding.</w:t>
      </w:r>
    </w:p>
    <w:p w:rsidR="003469BE" w:rsidRPr="003469BE" w:rsidP="003469BE" w14:paraId="16B6C2BD" w14:textId="77777777">
      <w:pPr>
        <w:pStyle w:val="Heading1"/>
        <w:keepNext w:val="0"/>
        <w:spacing w:before="0" w:after="160"/>
        <w:rPr>
          <w:rFonts w:cstheme="minorHAnsi"/>
          <w:b/>
          <w:bCs/>
        </w:rPr>
      </w:pPr>
      <w:r w:rsidRPr="003469BE">
        <w:rPr>
          <w:rFonts w:asciiTheme="minorHAnsi" w:hAnsiTheme="minorHAnsi" w:cstheme="minorHAnsi"/>
          <w:b/>
          <w:bCs/>
          <w:color w:val="000000" w:themeColor="text1"/>
          <w:sz w:val="22"/>
          <w:szCs w:val="22"/>
        </w:rPr>
        <w:t>Table 2: Average Annual EPA Burden and Cost – NSPS for Calciners and Dryers in Mineral Industries (40 CFR Part 60, Subpart UUU) (Renewal)</w:t>
      </w:r>
    </w:p>
    <w:tbl>
      <w:tblPr>
        <w:tblW w:w="12955" w:type="dxa"/>
        <w:tblLook w:val="04A0"/>
      </w:tblPr>
      <w:tblGrid>
        <w:gridCol w:w="2605"/>
        <w:gridCol w:w="1260"/>
        <w:gridCol w:w="1530"/>
        <w:gridCol w:w="1500"/>
        <w:gridCol w:w="1273"/>
        <w:gridCol w:w="1242"/>
        <w:gridCol w:w="1309"/>
        <w:gridCol w:w="894"/>
        <w:gridCol w:w="1342"/>
      </w:tblGrid>
      <w:tr w14:paraId="73B81E09" w14:textId="77777777" w:rsidTr="003469BE">
        <w:tblPrEx>
          <w:tblW w:w="12955" w:type="dxa"/>
          <w:tblLook w:val="04A0"/>
        </w:tblPrEx>
        <w:trPr>
          <w:trHeight w:val="1584"/>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9BE" w:rsidRPr="003469BE" w:rsidP="003469BE" w14:paraId="5CF1A409" w14:textId="77777777">
            <w:pPr>
              <w:spacing w:line="259" w:lineRule="auto"/>
              <w:ind w:left="0" w:firstLine="0"/>
              <w:contextualSpacing/>
              <w:rPr>
                <w:rFonts w:cstheme="minorHAnsi"/>
                <w:sz w:val="20"/>
                <w:szCs w:val="20"/>
              </w:rPr>
            </w:pPr>
            <w:r w:rsidRPr="003469BE">
              <w:rPr>
                <w:rFonts w:cstheme="minorHAnsi"/>
                <w:sz w:val="20"/>
                <w:szCs w:val="20"/>
              </w:rPr>
              <w:t>Burden item</w:t>
            </w:r>
          </w:p>
        </w:tc>
        <w:tc>
          <w:tcPr>
            <w:tcW w:w="1260" w:type="dxa"/>
            <w:tcBorders>
              <w:top w:val="single" w:sz="4" w:space="0" w:color="auto"/>
              <w:left w:val="nil"/>
              <w:bottom w:val="single" w:sz="4" w:space="0" w:color="auto"/>
              <w:right w:val="single" w:sz="4" w:space="0" w:color="auto"/>
            </w:tcBorders>
            <w:shd w:val="clear" w:color="auto" w:fill="auto"/>
            <w:hideMark/>
          </w:tcPr>
          <w:p w:rsidR="003469BE" w:rsidRPr="003469BE" w:rsidP="003469BE" w14:paraId="3D2ED98B" w14:textId="46394796">
            <w:pPr>
              <w:spacing w:line="259" w:lineRule="auto"/>
              <w:ind w:left="0" w:firstLine="0"/>
              <w:contextualSpacing/>
              <w:rPr>
                <w:rFonts w:cstheme="minorHAnsi"/>
                <w:sz w:val="20"/>
                <w:szCs w:val="20"/>
              </w:rPr>
            </w:pPr>
            <w:r w:rsidRPr="003469BE">
              <w:rPr>
                <w:rFonts w:cstheme="minorHAnsi"/>
                <w:sz w:val="20"/>
                <w:szCs w:val="20"/>
              </w:rPr>
              <w:t>(A)</w:t>
            </w:r>
            <w:r w:rsidRPr="003469BE">
              <w:rPr>
                <w:rFonts w:cstheme="minorHAnsi"/>
                <w:sz w:val="20"/>
                <w:szCs w:val="20"/>
              </w:rPr>
              <w:br/>
              <w:t>Person hours per occurrence</w:t>
            </w:r>
          </w:p>
        </w:tc>
        <w:tc>
          <w:tcPr>
            <w:tcW w:w="1530" w:type="dxa"/>
            <w:tcBorders>
              <w:top w:val="single" w:sz="4" w:space="0" w:color="auto"/>
              <w:left w:val="nil"/>
              <w:bottom w:val="single" w:sz="4" w:space="0" w:color="auto"/>
              <w:right w:val="single" w:sz="4" w:space="0" w:color="auto"/>
            </w:tcBorders>
            <w:shd w:val="clear" w:color="auto" w:fill="auto"/>
            <w:hideMark/>
          </w:tcPr>
          <w:p w:rsidR="003469BE" w:rsidRPr="003469BE" w:rsidP="003469BE" w14:paraId="495C6F08" w14:textId="77777777">
            <w:pPr>
              <w:spacing w:line="259" w:lineRule="auto"/>
              <w:ind w:left="0" w:firstLine="0"/>
              <w:contextualSpacing/>
              <w:rPr>
                <w:rFonts w:cstheme="minorHAnsi"/>
                <w:sz w:val="20"/>
                <w:szCs w:val="20"/>
              </w:rPr>
            </w:pPr>
            <w:r w:rsidRPr="003469BE">
              <w:rPr>
                <w:rFonts w:cstheme="minorHAnsi"/>
                <w:sz w:val="20"/>
                <w:szCs w:val="20"/>
              </w:rPr>
              <w:t xml:space="preserve">(B) </w:t>
            </w:r>
            <w:r w:rsidRPr="003469BE">
              <w:rPr>
                <w:rFonts w:cstheme="minorHAnsi"/>
                <w:sz w:val="20"/>
                <w:szCs w:val="20"/>
              </w:rPr>
              <w:br/>
              <w:t>No. of occurrences per respondent per year</w:t>
            </w:r>
          </w:p>
        </w:tc>
        <w:tc>
          <w:tcPr>
            <w:tcW w:w="1500" w:type="dxa"/>
            <w:tcBorders>
              <w:top w:val="single" w:sz="4" w:space="0" w:color="auto"/>
              <w:left w:val="nil"/>
              <w:bottom w:val="single" w:sz="4" w:space="0" w:color="auto"/>
              <w:right w:val="single" w:sz="4" w:space="0" w:color="auto"/>
            </w:tcBorders>
            <w:shd w:val="clear" w:color="auto" w:fill="auto"/>
            <w:hideMark/>
          </w:tcPr>
          <w:p w:rsidR="003469BE" w:rsidRPr="003469BE" w:rsidP="003469BE" w14:paraId="7A1C4EF5" w14:textId="77777777">
            <w:pPr>
              <w:spacing w:line="259" w:lineRule="auto"/>
              <w:ind w:left="0" w:firstLine="0"/>
              <w:contextualSpacing/>
              <w:rPr>
                <w:rFonts w:cstheme="minorHAnsi"/>
                <w:sz w:val="20"/>
                <w:szCs w:val="20"/>
              </w:rPr>
            </w:pPr>
            <w:r w:rsidRPr="003469BE">
              <w:rPr>
                <w:rFonts w:cstheme="minorHAnsi"/>
                <w:sz w:val="20"/>
                <w:szCs w:val="20"/>
              </w:rPr>
              <w:t xml:space="preserve">(C) </w:t>
            </w:r>
            <w:r w:rsidRPr="003469BE">
              <w:rPr>
                <w:rFonts w:cstheme="minorHAnsi"/>
                <w:sz w:val="20"/>
                <w:szCs w:val="20"/>
              </w:rPr>
              <w:br/>
              <w:t>Person hours per respondent per year (C=</w:t>
            </w:r>
            <w:r w:rsidRPr="003469BE">
              <w:rPr>
                <w:rFonts w:cstheme="minorHAnsi"/>
                <w:sz w:val="20"/>
                <w:szCs w:val="20"/>
              </w:rPr>
              <w:t>AxB</w:t>
            </w:r>
            <w:r w:rsidRPr="003469BE">
              <w:rPr>
                <w:rFonts w:cstheme="minorHAnsi"/>
                <w:sz w:val="20"/>
                <w:szCs w:val="20"/>
              </w:rPr>
              <w:t>)</w:t>
            </w:r>
          </w:p>
        </w:tc>
        <w:tc>
          <w:tcPr>
            <w:tcW w:w="1273" w:type="dxa"/>
            <w:tcBorders>
              <w:top w:val="single" w:sz="4" w:space="0" w:color="auto"/>
              <w:left w:val="nil"/>
              <w:bottom w:val="single" w:sz="4" w:space="0" w:color="auto"/>
              <w:right w:val="single" w:sz="4" w:space="0" w:color="auto"/>
            </w:tcBorders>
            <w:shd w:val="clear" w:color="auto" w:fill="auto"/>
            <w:hideMark/>
          </w:tcPr>
          <w:p w:rsidR="003469BE" w:rsidRPr="003469BE" w:rsidP="003469BE" w14:paraId="2B0E1107" w14:textId="77777777">
            <w:pPr>
              <w:spacing w:line="259" w:lineRule="auto"/>
              <w:ind w:left="0" w:firstLine="0"/>
              <w:contextualSpacing/>
              <w:rPr>
                <w:rFonts w:cstheme="minorHAnsi"/>
                <w:sz w:val="20"/>
                <w:szCs w:val="20"/>
              </w:rPr>
            </w:pPr>
            <w:r w:rsidRPr="003469BE">
              <w:rPr>
                <w:rFonts w:cstheme="minorHAnsi"/>
                <w:sz w:val="20"/>
                <w:szCs w:val="20"/>
              </w:rPr>
              <w:t xml:space="preserve">(D) </w:t>
            </w:r>
            <w:r w:rsidRPr="003469BE">
              <w:rPr>
                <w:rFonts w:cstheme="minorHAnsi"/>
                <w:sz w:val="20"/>
                <w:szCs w:val="20"/>
              </w:rPr>
              <w:br/>
              <w:t xml:space="preserve">Respondents per </w:t>
            </w:r>
            <w:r w:rsidRPr="003469BE">
              <w:rPr>
                <w:rFonts w:cstheme="minorHAnsi"/>
                <w:sz w:val="20"/>
                <w:szCs w:val="20"/>
              </w:rPr>
              <w:t>year</w:t>
            </w:r>
            <w:r w:rsidRPr="003469BE">
              <w:rPr>
                <w:rFonts w:cstheme="minorHAnsi"/>
                <w:sz w:val="20"/>
                <w:szCs w:val="20"/>
                <w:vertAlign w:val="superscript"/>
              </w:rPr>
              <w:t>a</w:t>
            </w:r>
          </w:p>
        </w:tc>
        <w:tc>
          <w:tcPr>
            <w:tcW w:w="1242" w:type="dxa"/>
            <w:tcBorders>
              <w:top w:val="single" w:sz="4" w:space="0" w:color="auto"/>
              <w:left w:val="nil"/>
              <w:bottom w:val="single" w:sz="4" w:space="0" w:color="auto"/>
              <w:right w:val="single" w:sz="4" w:space="0" w:color="auto"/>
            </w:tcBorders>
            <w:shd w:val="clear" w:color="auto" w:fill="auto"/>
            <w:hideMark/>
          </w:tcPr>
          <w:p w:rsidR="003469BE" w:rsidRPr="003469BE" w:rsidP="003469BE" w14:paraId="55B0157B" w14:textId="77777777">
            <w:pPr>
              <w:spacing w:line="259" w:lineRule="auto"/>
              <w:ind w:left="0" w:firstLine="0"/>
              <w:contextualSpacing/>
              <w:rPr>
                <w:rFonts w:cstheme="minorHAnsi"/>
                <w:sz w:val="20"/>
                <w:szCs w:val="20"/>
              </w:rPr>
            </w:pPr>
            <w:r w:rsidRPr="003469BE">
              <w:rPr>
                <w:rFonts w:cstheme="minorHAnsi"/>
                <w:sz w:val="20"/>
                <w:szCs w:val="20"/>
              </w:rPr>
              <w:t xml:space="preserve">(E) </w:t>
            </w:r>
            <w:r w:rsidRPr="003469BE">
              <w:rPr>
                <w:rFonts w:cstheme="minorHAnsi"/>
                <w:sz w:val="20"/>
                <w:szCs w:val="20"/>
              </w:rPr>
              <w:br/>
              <w:t>Technical person- hours per year (E=</w:t>
            </w:r>
            <w:r w:rsidRPr="003469BE">
              <w:rPr>
                <w:rFonts w:cstheme="minorHAnsi"/>
                <w:sz w:val="20"/>
                <w:szCs w:val="20"/>
              </w:rPr>
              <w:t>CxD</w:t>
            </w:r>
            <w:r w:rsidRPr="003469BE">
              <w:rPr>
                <w:rFonts w:cstheme="minorHAnsi"/>
                <w:sz w:val="20"/>
                <w:szCs w:val="20"/>
              </w:rPr>
              <w:t>)</w:t>
            </w:r>
          </w:p>
        </w:tc>
        <w:tc>
          <w:tcPr>
            <w:tcW w:w="1309" w:type="dxa"/>
            <w:tcBorders>
              <w:top w:val="single" w:sz="4" w:space="0" w:color="auto"/>
              <w:left w:val="nil"/>
              <w:bottom w:val="single" w:sz="4" w:space="0" w:color="auto"/>
              <w:right w:val="single" w:sz="4" w:space="0" w:color="auto"/>
            </w:tcBorders>
            <w:shd w:val="clear" w:color="auto" w:fill="auto"/>
            <w:hideMark/>
          </w:tcPr>
          <w:p w:rsidR="003469BE" w:rsidRPr="003469BE" w:rsidP="003469BE" w14:paraId="5F34E4A7" w14:textId="77777777">
            <w:pPr>
              <w:spacing w:line="259" w:lineRule="auto"/>
              <w:ind w:left="0" w:firstLine="0"/>
              <w:contextualSpacing/>
              <w:rPr>
                <w:rFonts w:cstheme="minorHAnsi"/>
                <w:sz w:val="20"/>
                <w:szCs w:val="20"/>
              </w:rPr>
            </w:pPr>
            <w:r w:rsidRPr="003469BE">
              <w:rPr>
                <w:rFonts w:cstheme="minorHAnsi"/>
                <w:sz w:val="20"/>
                <w:szCs w:val="20"/>
              </w:rPr>
              <w:t xml:space="preserve">(F) </w:t>
            </w:r>
            <w:r w:rsidRPr="003469BE">
              <w:rPr>
                <w:rFonts w:cstheme="minorHAnsi"/>
                <w:sz w:val="20"/>
                <w:szCs w:val="20"/>
              </w:rPr>
              <w:br/>
              <w:t>Management person hours per year (Ex0.05)</w:t>
            </w:r>
          </w:p>
        </w:tc>
        <w:tc>
          <w:tcPr>
            <w:tcW w:w="894" w:type="dxa"/>
            <w:tcBorders>
              <w:top w:val="single" w:sz="4" w:space="0" w:color="auto"/>
              <w:left w:val="nil"/>
              <w:bottom w:val="single" w:sz="4" w:space="0" w:color="auto"/>
              <w:right w:val="single" w:sz="4" w:space="0" w:color="auto"/>
            </w:tcBorders>
            <w:shd w:val="clear" w:color="auto" w:fill="auto"/>
            <w:hideMark/>
          </w:tcPr>
          <w:p w:rsidR="003469BE" w:rsidRPr="003469BE" w:rsidP="003469BE" w14:paraId="0B34B3C3" w14:textId="77777777">
            <w:pPr>
              <w:spacing w:line="259" w:lineRule="auto"/>
              <w:ind w:left="0" w:firstLine="0"/>
              <w:contextualSpacing/>
              <w:rPr>
                <w:rFonts w:cstheme="minorHAnsi"/>
                <w:sz w:val="20"/>
                <w:szCs w:val="20"/>
              </w:rPr>
            </w:pPr>
            <w:r w:rsidRPr="003469BE">
              <w:rPr>
                <w:rFonts w:cstheme="minorHAnsi"/>
                <w:sz w:val="20"/>
                <w:szCs w:val="20"/>
              </w:rPr>
              <w:t xml:space="preserve">(G) </w:t>
            </w:r>
            <w:r w:rsidRPr="003469BE">
              <w:rPr>
                <w:rFonts w:cstheme="minorHAnsi"/>
                <w:sz w:val="20"/>
                <w:szCs w:val="20"/>
              </w:rPr>
              <w:br/>
              <w:t>Clerical person hours per year (Ex0.1)</w:t>
            </w:r>
          </w:p>
        </w:tc>
        <w:tc>
          <w:tcPr>
            <w:tcW w:w="1342" w:type="dxa"/>
            <w:tcBorders>
              <w:top w:val="single" w:sz="4" w:space="0" w:color="auto"/>
              <w:left w:val="nil"/>
              <w:bottom w:val="single" w:sz="4" w:space="0" w:color="auto"/>
              <w:right w:val="single" w:sz="4" w:space="0" w:color="auto"/>
            </w:tcBorders>
            <w:shd w:val="clear" w:color="auto" w:fill="auto"/>
            <w:hideMark/>
          </w:tcPr>
          <w:p w:rsidR="003469BE" w:rsidRPr="003469BE" w:rsidP="003469BE" w14:paraId="7FE0F230" w14:textId="77777777">
            <w:pPr>
              <w:spacing w:line="259" w:lineRule="auto"/>
              <w:ind w:left="0" w:firstLine="0"/>
              <w:contextualSpacing/>
              <w:rPr>
                <w:rFonts w:cstheme="minorHAnsi"/>
                <w:sz w:val="20"/>
                <w:szCs w:val="20"/>
              </w:rPr>
            </w:pPr>
            <w:r w:rsidRPr="003469BE">
              <w:rPr>
                <w:rFonts w:cstheme="minorHAnsi"/>
                <w:sz w:val="20"/>
                <w:szCs w:val="20"/>
              </w:rPr>
              <w:t xml:space="preserve">(H) </w:t>
            </w:r>
            <w:r w:rsidRPr="003469BE">
              <w:rPr>
                <w:rFonts w:cstheme="minorHAnsi"/>
                <w:sz w:val="20"/>
                <w:szCs w:val="20"/>
              </w:rPr>
              <w:br/>
              <w:t xml:space="preserve">Cost, $ </w:t>
            </w:r>
            <w:r w:rsidRPr="003469BE">
              <w:rPr>
                <w:rFonts w:cstheme="minorHAnsi"/>
                <w:sz w:val="20"/>
                <w:szCs w:val="20"/>
                <w:vertAlign w:val="superscript"/>
              </w:rPr>
              <w:t>b</w:t>
            </w:r>
          </w:p>
        </w:tc>
      </w:tr>
      <w:tr w14:paraId="2876CC7F" w14:textId="77777777" w:rsidTr="003469BE">
        <w:tblPrEx>
          <w:tblW w:w="12955" w:type="dxa"/>
          <w:tblLook w:val="04A0"/>
        </w:tblPrEx>
        <w:trPr>
          <w:trHeight w:val="288"/>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7965302F" w14:textId="77777777">
            <w:pPr>
              <w:spacing w:line="259" w:lineRule="auto"/>
              <w:ind w:left="0" w:firstLine="0"/>
              <w:contextualSpacing/>
              <w:rPr>
                <w:rFonts w:cstheme="minorHAnsi"/>
                <w:sz w:val="20"/>
                <w:szCs w:val="20"/>
              </w:rPr>
            </w:pPr>
            <w:r w:rsidRPr="003469BE">
              <w:rPr>
                <w:rFonts w:cstheme="minorHAnsi"/>
                <w:sz w:val="20"/>
                <w:szCs w:val="20"/>
              </w:rPr>
              <w:t>Initial performance tests</w:t>
            </w:r>
          </w:p>
        </w:tc>
        <w:tc>
          <w:tcPr>
            <w:tcW w:w="1260" w:type="dxa"/>
            <w:tcBorders>
              <w:top w:val="nil"/>
              <w:left w:val="nil"/>
              <w:bottom w:val="single" w:sz="4" w:space="0" w:color="auto"/>
              <w:right w:val="single" w:sz="4" w:space="0" w:color="auto"/>
            </w:tcBorders>
            <w:shd w:val="clear" w:color="auto" w:fill="auto"/>
            <w:vAlign w:val="bottom"/>
            <w:hideMark/>
          </w:tcPr>
          <w:p w:rsidR="003469BE" w:rsidRPr="003469BE" w:rsidP="003469BE" w14:paraId="39F67116"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3469BE" w:rsidRPr="003469BE" w:rsidP="003469BE" w14:paraId="3E5D3621"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500" w:type="dxa"/>
            <w:tcBorders>
              <w:top w:val="nil"/>
              <w:left w:val="nil"/>
              <w:bottom w:val="single" w:sz="4" w:space="0" w:color="auto"/>
              <w:right w:val="single" w:sz="4" w:space="0" w:color="auto"/>
            </w:tcBorders>
            <w:shd w:val="clear" w:color="auto" w:fill="auto"/>
            <w:vAlign w:val="bottom"/>
            <w:hideMark/>
          </w:tcPr>
          <w:p w:rsidR="003469BE" w:rsidRPr="003469BE" w:rsidP="003469BE" w14:paraId="18F2615D"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bottom"/>
            <w:hideMark/>
          </w:tcPr>
          <w:p w:rsidR="003469BE" w:rsidRPr="003469BE" w:rsidP="003469BE" w14:paraId="258DEA4E"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242" w:type="dxa"/>
            <w:tcBorders>
              <w:top w:val="nil"/>
              <w:left w:val="nil"/>
              <w:bottom w:val="single" w:sz="4" w:space="0" w:color="auto"/>
              <w:right w:val="single" w:sz="4" w:space="0" w:color="auto"/>
            </w:tcBorders>
            <w:shd w:val="clear" w:color="auto" w:fill="auto"/>
            <w:vAlign w:val="bottom"/>
            <w:hideMark/>
          </w:tcPr>
          <w:p w:rsidR="003469BE" w:rsidRPr="003469BE" w:rsidP="003469BE" w14:paraId="50626AAE"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309" w:type="dxa"/>
            <w:tcBorders>
              <w:top w:val="nil"/>
              <w:left w:val="nil"/>
              <w:bottom w:val="single" w:sz="4" w:space="0" w:color="auto"/>
              <w:right w:val="single" w:sz="4" w:space="0" w:color="auto"/>
            </w:tcBorders>
            <w:shd w:val="clear" w:color="auto" w:fill="auto"/>
            <w:vAlign w:val="bottom"/>
            <w:hideMark/>
          </w:tcPr>
          <w:p w:rsidR="003469BE" w:rsidRPr="003469BE" w:rsidP="003469BE" w14:paraId="6AA385D3" w14:textId="77777777">
            <w:pPr>
              <w:spacing w:line="259" w:lineRule="auto"/>
              <w:ind w:left="0" w:firstLine="0"/>
              <w:contextualSpacing/>
              <w:rPr>
                <w:rFonts w:cstheme="minorHAnsi"/>
                <w:sz w:val="20"/>
                <w:szCs w:val="20"/>
              </w:rPr>
            </w:pPr>
            <w:r w:rsidRPr="003469BE">
              <w:rPr>
                <w:rFonts w:cstheme="minorHAnsi"/>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rsidR="003469BE" w:rsidRPr="003469BE" w:rsidP="003469BE" w14:paraId="1E51F015"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342" w:type="dxa"/>
            <w:tcBorders>
              <w:top w:val="nil"/>
              <w:left w:val="nil"/>
              <w:bottom w:val="single" w:sz="4" w:space="0" w:color="auto"/>
              <w:right w:val="single" w:sz="4" w:space="0" w:color="auto"/>
            </w:tcBorders>
            <w:shd w:val="clear" w:color="auto" w:fill="auto"/>
            <w:vAlign w:val="bottom"/>
            <w:hideMark/>
          </w:tcPr>
          <w:p w:rsidR="003469BE" w:rsidRPr="003469BE" w:rsidP="003469BE" w14:paraId="487415D8" w14:textId="77777777">
            <w:pPr>
              <w:spacing w:line="259" w:lineRule="auto"/>
              <w:ind w:left="0" w:firstLine="0"/>
              <w:contextualSpacing/>
              <w:rPr>
                <w:rFonts w:cstheme="minorHAnsi"/>
                <w:sz w:val="20"/>
                <w:szCs w:val="20"/>
              </w:rPr>
            </w:pPr>
            <w:r w:rsidRPr="003469BE">
              <w:rPr>
                <w:rFonts w:cstheme="minorHAnsi"/>
                <w:sz w:val="20"/>
                <w:szCs w:val="20"/>
              </w:rPr>
              <w:t> </w:t>
            </w:r>
          </w:p>
        </w:tc>
      </w:tr>
      <w:tr w14:paraId="2C634F09" w14:textId="77777777" w:rsidTr="003469BE">
        <w:tblPrEx>
          <w:tblW w:w="12955" w:type="dxa"/>
          <w:tblLook w:val="04A0"/>
        </w:tblPrEx>
        <w:trPr>
          <w:trHeight w:val="288"/>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708FF37C" w14:textId="77777777">
            <w:pPr>
              <w:spacing w:line="259" w:lineRule="auto"/>
              <w:ind w:left="0" w:firstLine="0"/>
              <w:contextualSpacing/>
              <w:rPr>
                <w:rFonts w:cstheme="minorHAnsi"/>
                <w:sz w:val="20"/>
                <w:szCs w:val="20"/>
              </w:rPr>
            </w:pPr>
            <w:r w:rsidRPr="003469BE">
              <w:rPr>
                <w:rFonts w:cstheme="minorHAnsi"/>
                <w:sz w:val="20"/>
                <w:szCs w:val="20"/>
              </w:rPr>
              <w:t xml:space="preserve"> New or modified facility</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5D7CC399" w14:textId="77777777">
            <w:pPr>
              <w:spacing w:line="259" w:lineRule="auto"/>
              <w:ind w:left="0" w:firstLine="0"/>
              <w:contextualSpacing/>
              <w:rPr>
                <w:rFonts w:cstheme="minorHAnsi"/>
                <w:sz w:val="20"/>
                <w:szCs w:val="20"/>
              </w:rPr>
            </w:pPr>
            <w:r w:rsidRPr="003469BE">
              <w:rPr>
                <w:rFonts w:cstheme="minorHAnsi"/>
                <w:sz w:val="20"/>
                <w:szCs w:val="20"/>
              </w:rPr>
              <w:t>40</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16689F9F" w14:textId="77777777">
            <w:pPr>
              <w:spacing w:line="259" w:lineRule="auto"/>
              <w:ind w:left="0" w:firstLine="0"/>
              <w:contextualSpacing/>
              <w:rPr>
                <w:rFonts w:cstheme="minorHAnsi"/>
                <w:sz w:val="20"/>
                <w:szCs w:val="20"/>
              </w:rPr>
            </w:pPr>
            <w:r w:rsidRPr="003469BE">
              <w:rPr>
                <w:rFonts w:cstheme="minorHAnsi"/>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46C064D6" w14:textId="77777777">
            <w:pPr>
              <w:spacing w:line="259" w:lineRule="auto"/>
              <w:ind w:left="0" w:firstLine="0"/>
              <w:contextualSpacing/>
              <w:rPr>
                <w:rFonts w:cstheme="minorHAnsi"/>
                <w:sz w:val="20"/>
                <w:szCs w:val="20"/>
              </w:rPr>
            </w:pPr>
            <w:r w:rsidRPr="003469BE">
              <w:rPr>
                <w:rFonts w:cstheme="minorHAnsi"/>
                <w:sz w:val="20"/>
                <w:szCs w:val="20"/>
              </w:rPr>
              <w:t>40</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5DE949EB"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59C5B6F4"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11088EC7"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105A1D7F"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6C2A4343"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78BA8EB1" w14:textId="77777777" w:rsidTr="003469BE">
        <w:tblPrEx>
          <w:tblW w:w="12955" w:type="dxa"/>
          <w:tblLook w:val="04A0"/>
        </w:tblPrEx>
        <w:trPr>
          <w:trHeight w:val="288"/>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78DBE31C" w14:textId="77777777">
            <w:pPr>
              <w:spacing w:line="259" w:lineRule="auto"/>
              <w:ind w:left="0" w:firstLine="0"/>
              <w:contextualSpacing/>
              <w:rPr>
                <w:rFonts w:cstheme="minorHAnsi"/>
                <w:sz w:val="20"/>
                <w:szCs w:val="20"/>
              </w:rPr>
            </w:pPr>
            <w:r w:rsidRPr="003469BE">
              <w:rPr>
                <w:rFonts w:cstheme="minorHAnsi"/>
                <w:sz w:val="20"/>
                <w:szCs w:val="20"/>
              </w:rPr>
              <w:t>Repeat performance tests</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26A49705"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13425962"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736BD1C6"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0A5B9C95"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7792B925"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52D5C969"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6E9C9C7B"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092C04A3"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19A11953" w14:textId="77777777" w:rsidTr="003469BE">
        <w:tblPrEx>
          <w:tblW w:w="12955" w:type="dxa"/>
          <w:tblLook w:val="04A0"/>
        </w:tblPrEx>
        <w:trPr>
          <w:trHeight w:val="288"/>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28012652" w14:textId="77777777">
            <w:pPr>
              <w:spacing w:line="259" w:lineRule="auto"/>
              <w:ind w:left="0" w:firstLine="0"/>
              <w:contextualSpacing/>
              <w:rPr>
                <w:rFonts w:cstheme="minorHAnsi"/>
                <w:sz w:val="20"/>
                <w:szCs w:val="20"/>
              </w:rPr>
            </w:pPr>
            <w:r w:rsidRPr="003469BE">
              <w:rPr>
                <w:rFonts w:cstheme="minorHAnsi"/>
                <w:sz w:val="20"/>
                <w:szCs w:val="20"/>
              </w:rPr>
              <w:t xml:space="preserve"> New or modified facility</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4F27E1BE" w14:textId="77777777">
            <w:pPr>
              <w:spacing w:line="259" w:lineRule="auto"/>
              <w:ind w:left="0" w:firstLine="0"/>
              <w:contextualSpacing/>
              <w:rPr>
                <w:rFonts w:cstheme="minorHAnsi"/>
                <w:sz w:val="20"/>
                <w:szCs w:val="20"/>
              </w:rPr>
            </w:pPr>
            <w:r w:rsidRPr="003469BE">
              <w:rPr>
                <w:rFonts w:cstheme="minorHAnsi"/>
                <w:sz w:val="20"/>
                <w:szCs w:val="20"/>
              </w:rPr>
              <w:t>40</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480C1A94" w14:textId="77777777">
            <w:pPr>
              <w:spacing w:line="259" w:lineRule="auto"/>
              <w:ind w:left="0" w:firstLine="0"/>
              <w:contextualSpacing/>
              <w:rPr>
                <w:rFonts w:cstheme="minorHAnsi"/>
                <w:sz w:val="20"/>
                <w:szCs w:val="20"/>
              </w:rPr>
            </w:pPr>
            <w:r w:rsidRPr="003469BE">
              <w:rPr>
                <w:rFonts w:cstheme="minorHAnsi"/>
                <w:sz w:val="20"/>
                <w:szCs w:val="20"/>
              </w:rPr>
              <w:t>0.2</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13647077" w14:textId="77777777">
            <w:pPr>
              <w:spacing w:line="259" w:lineRule="auto"/>
              <w:ind w:left="0" w:firstLine="0"/>
              <w:contextualSpacing/>
              <w:rPr>
                <w:rFonts w:cstheme="minorHAnsi"/>
                <w:sz w:val="20"/>
                <w:szCs w:val="20"/>
              </w:rPr>
            </w:pPr>
            <w:r w:rsidRPr="003469BE">
              <w:rPr>
                <w:rFonts w:cstheme="minorHAnsi"/>
                <w:sz w:val="20"/>
                <w:szCs w:val="20"/>
              </w:rPr>
              <w:t>8</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0F3B50C3"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7195FFE9"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22877AE4"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42825060"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1C523AA9"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62EE4156" w14:textId="77777777" w:rsidTr="003469BE">
        <w:tblPrEx>
          <w:tblW w:w="12955" w:type="dxa"/>
          <w:tblLook w:val="04A0"/>
        </w:tblPrEx>
        <w:trPr>
          <w:trHeight w:val="288"/>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545533E8" w14:textId="77777777">
            <w:pPr>
              <w:spacing w:line="259" w:lineRule="auto"/>
              <w:ind w:left="0" w:firstLine="0"/>
              <w:contextualSpacing/>
              <w:rPr>
                <w:rFonts w:cstheme="minorHAnsi"/>
                <w:sz w:val="20"/>
                <w:szCs w:val="20"/>
              </w:rPr>
            </w:pPr>
            <w:r w:rsidRPr="003469BE">
              <w:rPr>
                <w:rFonts w:cstheme="minorHAnsi"/>
                <w:sz w:val="20"/>
                <w:szCs w:val="20"/>
              </w:rPr>
              <w:t>Report review</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63B5324E"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3957D12C"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790061F8"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1EBB50E5"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131B26F4"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13B2163E"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320BF375"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0F87AC6B"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03BE9B3B" w14:textId="77777777" w:rsidTr="003469BE">
        <w:tblPrEx>
          <w:tblW w:w="12955" w:type="dxa"/>
          <w:tblLook w:val="04A0"/>
        </w:tblPrEx>
        <w:trPr>
          <w:trHeight w:val="288"/>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694D707C" w14:textId="77777777">
            <w:pPr>
              <w:spacing w:line="259" w:lineRule="auto"/>
              <w:ind w:left="0" w:firstLine="0"/>
              <w:contextualSpacing/>
              <w:rPr>
                <w:rFonts w:cstheme="minorHAnsi"/>
                <w:sz w:val="20"/>
                <w:szCs w:val="20"/>
              </w:rPr>
            </w:pPr>
            <w:r w:rsidRPr="003469BE">
              <w:rPr>
                <w:rFonts w:cstheme="minorHAnsi"/>
                <w:sz w:val="20"/>
                <w:szCs w:val="20"/>
              </w:rPr>
              <w:t xml:space="preserve"> New or modified facility</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5AE122A2"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09FA75AD"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688112A3"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3AB4D82C" w14:textId="77777777">
            <w:pPr>
              <w:spacing w:line="259" w:lineRule="auto"/>
              <w:ind w:left="0" w:firstLine="0"/>
              <w:contextualSpacing/>
              <w:rPr>
                <w:rFonts w:cstheme="minorHAnsi"/>
                <w:sz w:val="20"/>
                <w:szCs w:val="20"/>
              </w:rPr>
            </w:pPr>
            <w:r w:rsidRPr="003469BE">
              <w:rPr>
                <w:rFonts w:cstheme="minorHAnsi"/>
                <w:sz w:val="20"/>
                <w:szCs w:val="20"/>
              </w:rPr>
              <w:t> </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46D5EB79"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17B7527B"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6EE40422"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3C7F892F"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709156FF" w14:textId="77777777" w:rsidTr="003469BE">
        <w:tblPrEx>
          <w:tblW w:w="12955" w:type="dxa"/>
          <w:tblLook w:val="04A0"/>
        </w:tblPrEx>
        <w:trPr>
          <w:trHeight w:val="528"/>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4255E107" w14:textId="77777777">
            <w:pPr>
              <w:spacing w:line="259" w:lineRule="auto"/>
              <w:ind w:left="0" w:firstLine="0"/>
              <w:contextualSpacing/>
              <w:rPr>
                <w:rFonts w:cstheme="minorHAnsi"/>
                <w:sz w:val="20"/>
                <w:szCs w:val="20"/>
              </w:rPr>
            </w:pPr>
            <w:r w:rsidRPr="003469BE">
              <w:rPr>
                <w:rFonts w:cstheme="minorHAnsi"/>
                <w:sz w:val="20"/>
                <w:szCs w:val="20"/>
              </w:rPr>
              <w:t xml:space="preserve"> Modification of construction/reconstruction or modification</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73A6A507"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5B15F56D" w14:textId="77777777">
            <w:pPr>
              <w:spacing w:line="259" w:lineRule="auto"/>
              <w:ind w:left="0" w:firstLine="0"/>
              <w:contextualSpacing/>
              <w:rPr>
                <w:rFonts w:cstheme="minorHAnsi"/>
                <w:sz w:val="20"/>
                <w:szCs w:val="20"/>
              </w:rPr>
            </w:pPr>
            <w:r w:rsidRPr="003469BE">
              <w:rPr>
                <w:rFonts w:cstheme="minorHAnsi"/>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74754869"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5267E0F9"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762EA1F8"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7608AE69"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4617F425"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1FFE0EFA"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3680EFFB" w14:textId="77777777" w:rsidTr="003469BE">
        <w:tblPrEx>
          <w:tblW w:w="12955" w:type="dxa"/>
          <w:tblLook w:val="04A0"/>
        </w:tblPrEx>
        <w:trPr>
          <w:trHeight w:val="288"/>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12C36E19" w14:textId="77777777">
            <w:pPr>
              <w:spacing w:line="259" w:lineRule="auto"/>
              <w:ind w:left="0" w:firstLine="0"/>
              <w:contextualSpacing/>
              <w:rPr>
                <w:rFonts w:cstheme="minorHAnsi"/>
                <w:sz w:val="20"/>
                <w:szCs w:val="20"/>
              </w:rPr>
            </w:pPr>
            <w:r w:rsidRPr="003469BE">
              <w:rPr>
                <w:rFonts w:cstheme="minorHAnsi"/>
                <w:sz w:val="20"/>
                <w:szCs w:val="20"/>
              </w:rPr>
              <w:t xml:space="preserve"> Notification of actual startup</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6E63797D"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7938AA64" w14:textId="77777777">
            <w:pPr>
              <w:spacing w:line="259" w:lineRule="auto"/>
              <w:ind w:left="0" w:firstLine="0"/>
              <w:contextualSpacing/>
              <w:rPr>
                <w:rFonts w:cstheme="minorHAnsi"/>
                <w:sz w:val="20"/>
                <w:szCs w:val="20"/>
              </w:rPr>
            </w:pPr>
            <w:r w:rsidRPr="003469BE">
              <w:rPr>
                <w:rFonts w:cstheme="minorHAnsi"/>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0DEDB372"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7309CC4A"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59EF35B5"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48EC404A"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2A6B2110"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6AE035E8"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24DE5659" w14:textId="77777777" w:rsidTr="003469BE">
        <w:tblPrEx>
          <w:tblW w:w="12955" w:type="dxa"/>
          <w:tblLook w:val="04A0"/>
        </w:tblPrEx>
        <w:trPr>
          <w:trHeight w:val="288"/>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0B833CD7" w14:textId="77777777">
            <w:pPr>
              <w:spacing w:line="259" w:lineRule="auto"/>
              <w:ind w:left="0" w:firstLine="0"/>
              <w:contextualSpacing/>
              <w:rPr>
                <w:rFonts w:cstheme="minorHAnsi"/>
                <w:sz w:val="20"/>
                <w:szCs w:val="20"/>
              </w:rPr>
            </w:pPr>
            <w:r w:rsidRPr="003469BE">
              <w:rPr>
                <w:rFonts w:cstheme="minorHAnsi"/>
                <w:sz w:val="20"/>
                <w:szCs w:val="20"/>
              </w:rPr>
              <w:t xml:space="preserve"> Notification of demonstration of CMS</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44C1B09D"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55A14CD4" w14:textId="77777777">
            <w:pPr>
              <w:spacing w:line="259" w:lineRule="auto"/>
              <w:ind w:left="0" w:firstLine="0"/>
              <w:contextualSpacing/>
              <w:rPr>
                <w:rFonts w:cstheme="minorHAnsi"/>
                <w:sz w:val="20"/>
                <w:szCs w:val="20"/>
              </w:rPr>
            </w:pPr>
            <w:r w:rsidRPr="003469BE">
              <w:rPr>
                <w:rFonts w:cstheme="minorHAnsi"/>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280D3A08"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1E7816A8"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0009E508"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16A407A6"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2DC6376F"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28497370"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728DC9E3" w14:textId="77777777" w:rsidTr="003469BE">
        <w:tblPrEx>
          <w:tblW w:w="12955" w:type="dxa"/>
          <w:tblLook w:val="04A0"/>
        </w:tblPrEx>
        <w:trPr>
          <w:trHeight w:val="264"/>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00A352D4" w14:textId="77777777">
            <w:pPr>
              <w:spacing w:line="259" w:lineRule="auto"/>
              <w:ind w:left="0" w:firstLine="0"/>
              <w:contextualSpacing/>
              <w:rPr>
                <w:rFonts w:cstheme="minorHAnsi"/>
                <w:sz w:val="20"/>
                <w:szCs w:val="20"/>
              </w:rPr>
            </w:pPr>
            <w:r w:rsidRPr="003469BE">
              <w:rPr>
                <w:rFonts w:cstheme="minorHAnsi"/>
                <w:sz w:val="20"/>
                <w:szCs w:val="20"/>
              </w:rPr>
              <w:t xml:space="preserve"> Notification of physical or operational change </w:t>
            </w:r>
            <w:r w:rsidRPr="003469BE">
              <w:rPr>
                <w:rFonts w:cstheme="minorHAnsi"/>
                <w:sz w:val="20"/>
                <w:szCs w:val="20"/>
                <w:vertAlign w:val="superscript"/>
              </w:rPr>
              <w:t>c</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14AD2EDD"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52EB8F54" w14:textId="77777777">
            <w:pPr>
              <w:spacing w:line="259" w:lineRule="auto"/>
              <w:ind w:left="0" w:firstLine="0"/>
              <w:contextualSpacing/>
              <w:rPr>
                <w:rFonts w:cstheme="minorHAnsi"/>
                <w:sz w:val="20"/>
                <w:szCs w:val="20"/>
              </w:rPr>
            </w:pPr>
            <w:r w:rsidRPr="003469BE">
              <w:rPr>
                <w:rFonts w:cstheme="minorHAnsi"/>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31E673F4"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70FB1F1F" w14:textId="77777777">
            <w:pPr>
              <w:spacing w:line="259" w:lineRule="auto"/>
              <w:ind w:left="0" w:firstLine="0"/>
              <w:contextualSpacing/>
              <w:rPr>
                <w:rFonts w:cstheme="minorHAnsi"/>
                <w:sz w:val="20"/>
                <w:szCs w:val="20"/>
              </w:rPr>
            </w:pPr>
            <w:r w:rsidRPr="003469BE">
              <w:rPr>
                <w:rFonts w:cstheme="minorHAnsi"/>
                <w:sz w:val="20"/>
                <w:szCs w:val="20"/>
              </w:rPr>
              <w:t>1</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6CE5CD0A"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46F7DE4F" w14:textId="77777777">
            <w:pPr>
              <w:spacing w:line="259" w:lineRule="auto"/>
              <w:ind w:left="0" w:firstLine="0"/>
              <w:contextualSpacing/>
              <w:rPr>
                <w:rFonts w:cstheme="minorHAnsi"/>
                <w:sz w:val="20"/>
                <w:szCs w:val="20"/>
              </w:rPr>
            </w:pPr>
            <w:r w:rsidRPr="003469BE">
              <w:rPr>
                <w:rFonts w:cstheme="minorHAnsi"/>
                <w:sz w:val="20"/>
                <w:szCs w:val="20"/>
              </w:rPr>
              <w:t>0.1</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2E186946" w14:textId="77777777">
            <w:pPr>
              <w:spacing w:line="259" w:lineRule="auto"/>
              <w:ind w:left="0" w:firstLine="0"/>
              <w:contextualSpacing/>
              <w:rPr>
                <w:rFonts w:cstheme="minorHAnsi"/>
                <w:sz w:val="20"/>
                <w:szCs w:val="20"/>
              </w:rPr>
            </w:pPr>
            <w:r w:rsidRPr="003469BE">
              <w:rPr>
                <w:rFonts w:cstheme="minorHAnsi"/>
                <w:sz w:val="20"/>
                <w:szCs w:val="20"/>
              </w:rPr>
              <w:t>0.2</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798B5D78" w14:textId="77777777">
            <w:pPr>
              <w:spacing w:line="259" w:lineRule="auto"/>
              <w:ind w:left="0" w:firstLine="0"/>
              <w:contextualSpacing/>
              <w:rPr>
                <w:rFonts w:cstheme="minorHAnsi"/>
                <w:sz w:val="20"/>
                <w:szCs w:val="20"/>
              </w:rPr>
            </w:pPr>
            <w:r w:rsidRPr="003469BE">
              <w:rPr>
                <w:rFonts w:cstheme="minorHAnsi"/>
                <w:sz w:val="20"/>
                <w:szCs w:val="20"/>
              </w:rPr>
              <w:t xml:space="preserve">$122.27 </w:t>
            </w:r>
          </w:p>
        </w:tc>
      </w:tr>
      <w:tr w14:paraId="3D92FD33" w14:textId="77777777" w:rsidTr="003469BE">
        <w:tblPrEx>
          <w:tblW w:w="12955" w:type="dxa"/>
          <w:tblLook w:val="04A0"/>
        </w:tblPrEx>
        <w:trPr>
          <w:trHeight w:val="390"/>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44870F10" w14:textId="77777777">
            <w:pPr>
              <w:spacing w:line="259" w:lineRule="auto"/>
              <w:ind w:left="0" w:firstLine="0"/>
              <w:contextualSpacing/>
              <w:rPr>
                <w:rFonts w:cstheme="minorHAnsi"/>
                <w:sz w:val="20"/>
                <w:szCs w:val="20"/>
              </w:rPr>
            </w:pPr>
            <w:r w:rsidRPr="003469BE">
              <w:rPr>
                <w:rFonts w:cstheme="minorHAnsi"/>
                <w:sz w:val="20"/>
                <w:szCs w:val="20"/>
              </w:rPr>
              <w:t xml:space="preserve"> Notification of initial performance test</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0C59AD8F"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67640B22" w14:textId="77777777">
            <w:pPr>
              <w:spacing w:line="259" w:lineRule="auto"/>
              <w:ind w:left="0" w:firstLine="0"/>
              <w:contextualSpacing/>
              <w:rPr>
                <w:rFonts w:cstheme="minorHAnsi"/>
                <w:sz w:val="20"/>
                <w:szCs w:val="20"/>
              </w:rPr>
            </w:pPr>
            <w:r w:rsidRPr="003469BE">
              <w:rPr>
                <w:rFonts w:cstheme="minorHAnsi"/>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040BFC6F"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5ADFE313"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5A1724F2"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44F137F9"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74FD200C"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2DC36F56"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778B77CE" w14:textId="77777777" w:rsidTr="003469BE">
        <w:tblPrEx>
          <w:tblW w:w="12955" w:type="dxa"/>
          <w:tblLook w:val="04A0"/>
        </w:tblPrEx>
        <w:trPr>
          <w:trHeight w:val="312"/>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4B0867E4" w14:textId="77777777">
            <w:pPr>
              <w:spacing w:line="259" w:lineRule="auto"/>
              <w:ind w:left="0" w:firstLine="0"/>
              <w:contextualSpacing/>
              <w:rPr>
                <w:rFonts w:cstheme="minorHAnsi"/>
                <w:sz w:val="20"/>
                <w:szCs w:val="20"/>
              </w:rPr>
            </w:pPr>
            <w:r w:rsidRPr="003469BE">
              <w:rPr>
                <w:rFonts w:cstheme="minorHAnsi"/>
                <w:sz w:val="20"/>
                <w:szCs w:val="20"/>
              </w:rPr>
              <w:t xml:space="preserve"> Review demonstration of CMS </w:t>
            </w:r>
            <w:r w:rsidRPr="003469BE">
              <w:rPr>
                <w:rFonts w:cstheme="minorHAnsi"/>
                <w:sz w:val="20"/>
                <w:szCs w:val="20"/>
                <w:vertAlign w:val="superscript"/>
              </w:rPr>
              <w:t>d</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1C8671EB" w14:textId="77777777">
            <w:pPr>
              <w:spacing w:line="259" w:lineRule="auto"/>
              <w:ind w:left="0" w:firstLine="0"/>
              <w:contextualSpacing/>
              <w:rPr>
                <w:rFonts w:cstheme="minorHAnsi"/>
                <w:sz w:val="20"/>
                <w:szCs w:val="20"/>
              </w:rPr>
            </w:pPr>
            <w:r w:rsidRPr="003469BE">
              <w:rPr>
                <w:rFonts w:cstheme="minorHAnsi"/>
                <w:sz w:val="20"/>
                <w:szCs w:val="20"/>
              </w:rPr>
              <w:t>4</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6CCD00E9" w14:textId="77777777">
            <w:pPr>
              <w:spacing w:line="259" w:lineRule="auto"/>
              <w:ind w:left="0" w:firstLine="0"/>
              <w:contextualSpacing/>
              <w:rPr>
                <w:rFonts w:cstheme="minorHAnsi"/>
                <w:sz w:val="20"/>
                <w:szCs w:val="20"/>
              </w:rPr>
            </w:pPr>
            <w:r w:rsidRPr="003469BE">
              <w:rPr>
                <w:rFonts w:cstheme="minorHAnsi"/>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0FA8E1DC" w14:textId="77777777">
            <w:pPr>
              <w:spacing w:line="259" w:lineRule="auto"/>
              <w:ind w:left="0" w:firstLine="0"/>
              <w:contextualSpacing/>
              <w:rPr>
                <w:rFonts w:cstheme="minorHAnsi"/>
                <w:sz w:val="20"/>
                <w:szCs w:val="20"/>
              </w:rPr>
            </w:pPr>
            <w:r w:rsidRPr="003469BE">
              <w:rPr>
                <w:rFonts w:cstheme="minorHAnsi"/>
                <w:sz w:val="20"/>
                <w:szCs w:val="20"/>
              </w:rPr>
              <w:t>4</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5CED6819"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1ABF633F"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3B4F2B66"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6740B4C7"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3864367F"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31AB5969" w14:textId="77777777" w:rsidTr="003469BE">
        <w:tblPrEx>
          <w:tblW w:w="12955" w:type="dxa"/>
          <w:tblLook w:val="04A0"/>
        </w:tblPrEx>
        <w:trPr>
          <w:trHeight w:val="312"/>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3C801997" w14:textId="77777777">
            <w:pPr>
              <w:spacing w:line="259" w:lineRule="auto"/>
              <w:ind w:left="0" w:firstLine="0"/>
              <w:contextualSpacing/>
              <w:rPr>
                <w:rFonts w:cstheme="minorHAnsi"/>
                <w:sz w:val="20"/>
                <w:szCs w:val="20"/>
              </w:rPr>
            </w:pPr>
            <w:r w:rsidRPr="003469BE">
              <w:rPr>
                <w:rFonts w:cstheme="minorHAnsi"/>
                <w:sz w:val="20"/>
                <w:szCs w:val="20"/>
              </w:rPr>
              <w:t xml:space="preserve"> Review test results </w:t>
            </w:r>
            <w:r w:rsidRPr="003469BE">
              <w:rPr>
                <w:rFonts w:cstheme="minorHAnsi"/>
                <w:sz w:val="20"/>
                <w:szCs w:val="20"/>
                <w:vertAlign w:val="superscript"/>
              </w:rPr>
              <w:t>e</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19628429" w14:textId="77777777">
            <w:pPr>
              <w:spacing w:line="259" w:lineRule="auto"/>
              <w:ind w:left="0" w:firstLine="0"/>
              <w:contextualSpacing/>
              <w:rPr>
                <w:rFonts w:cstheme="minorHAnsi"/>
                <w:sz w:val="20"/>
                <w:szCs w:val="20"/>
              </w:rPr>
            </w:pPr>
            <w:r w:rsidRPr="003469BE">
              <w:rPr>
                <w:rFonts w:cstheme="minorHAnsi"/>
                <w:sz w:val="20"/>
                <w:szCs w:val="20"/>
              </w:rPr>
              <w:t>8</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7374C540" w14:textId="77777777">
            <w:pPr>
              <w:spacing w:line="259" w:lineRule="auto"/>
              <w:ind w:left="0" w:firstLine="0"/>
              <w:contextualSpacing/>
              <w:rPr>
                <w:rFonts w:cstheme="minorHAnsi"/>
                <w:sz w:val="20"/>
                <w:szCs w:val="20"/>
              </w:rPr>
            </w:pPr>
            <w:r w:rsidRPr="003469BE">
              <w:rPr>
                <w:rFonts w:cstheme="minorHAnsi"/>
                <w:sz w:val="20"/>
                <w:szCs w:val="20"/>
              </w:rPr>
              <w:t>1.2</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61C01678" w14:textId="77777777">
            <w:pPr>
              <w:spacing w:line="259" w:lineRule="auto"/>
              <w:ind w:left="0" w:firstLine="0"/>
              <w:contextualSpacing/>
              <w:rPr>
                <w:rFonts w:cstheme="minorHAnsi"/>
                <w:sz w:val="20"/>
                <w:szCs w:val="20"/>
              </w:rPr>
            </w:pPr>
            <w:r w:rsidRPr="003469BE">
              <w:rPr>
                <w:rFonts w:cstheme="minorHAnsi"/>
                <w:sz w:val="20"/>
                <w:szCs w:val="20"/>
              </w:rPr>
              <w:t>9.6</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212ADAEE"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041D8E11"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7CDFDF17" w14:textId="77777777">
            <w:pPr>
              <w:spacing w:line="259" w:lineRule="auto"/>
              <w:ind w:left="0" w:firstLine="0"/>
              <w:contextualSpacing/>
              <w:rPr>
                <w:rFonts w:cstheme="minorHAnsi"/>
                <w:sz w:val="20"/>
                <w:szCs w:val="20"/>
              </w:rPr>
            </w:pPr>
            <w:r w:rsidRPr="003469BE">
              <w:rPr>
                <w:rFonts w:cstheme="minorHAnsi"/>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337E690C" w14:textId="77777777">
            <w:pPr>
              <w:spacing w:line="259" w:lineRule="auto"/>
              <w:ind w:left="0" w:firstLine="0"/>
              <w:contextualSpacing/>
              <w:rPr>
                <w:rFonts w:cstheme="minorHAnsi"/>
                <w:sz w:val="20"/>
                <w:szCs w:val="20"/>
              </w:rPr>
            </w:pPr>
            <w:r w:rsidRPr="003469BE">
              <w:rPr>
                <w:rFonts w:cstheme="minorHAnsi"/>
                <w:sz w:val="20"/>
                <w:szCs w:val="20"/>
              </w:rPr>
              <w:t>0</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1390B639" w14:textId="77777777">
            <w:pPr>
              <w:spacing w:line="259" w:lineRule="auto"/>
              <w:ind w:left="0" w:firstLine="0"/>
              <w:contextualSpacing/>
              <w:rPr>
                <w:rFonts w:cstheme="minorHAnsi"/>
                <w:sz w:val="20"/>
                <w:szCs w:val="20"/>
              </w:rPr>
            </w:pPr>
            <w:r w:rsidRPr="003469BE">
              <w:rPr>
                <w:rFonts w:cstheme="minorHAnsi"/>
                <w:sz w:val="20"/>
                <w:szCs w:val="20"/>
              </w:rPr>
              <w:t xml:space="preserve">$0 </w:t>
            </w:r>
          </w:p>
        </w:tc>
      </w:tr>
      <w:tr w14:paraId="0EE8D9F7" w14:textId="77777777" w:rsidTr="003469BE">
        <w:tblPrEx>
          <w:tblW w:w="12955" w:type="dxa"/>
          <w:tblLook w:val="04A0"/>
        </w:tblPrEx>
        <w:trPr>
          <w:trHeight w:val="372"/>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3469BE" w:rsidRPr="003469BE" w:rsidP="003469BE" w14:paraId="1591ED89" w14:textId="77777777">
            <w:pPr>
              <w:spacing w:line="259" w:lineRule="auto"/>
              <w:ind w:left="0" w:firstLine="0"/>
              <w:contextualSpacing/>
              <w:rPr>
                <w:rFonts w:cstheme="minorHAnsi"/>
                <w:sz w:val="20"/>
                <w:szCs w:val="20"/>
              </w:rPr>
            </w:pPr>
            <w:r w:rsidRPr="003469BE">
              <w:rPr>
                <w:rFonts w:cstheme="minorHAnsi"/>
                <w:sz w:val="20"/>
                <w:szCs w:val="20"/>
              </w:rPr>
              <w:t xml:space="preserve"> Review of semiannual report of exceedances </w:t>
            </w:r>
            <w:r w:rsidRPr="003469BE">
              <w:rPr>
                <w:rFonts w:cstheme="minorHAnsi"/>
                <w:sz w:val="20"/>
                <w:szCs w:val="20"/>
                <w:vertAlign w:val="superscript"/>
              </w:rPr>
              <w:t>f</w:t>
            </w:r>
          </w:p>
        </w:tc>
        <w:tc>
          <w:tcPr>
            <w:tcW w:w="1260" w:type="dxa"/>
            <w:tcBorders>
              <w:top w:val="nil"/>
              <w:left w:val="nil"/>
              <w:bottom w:val="single" w:sz="4" w:space="0" w:color="auto"/>
              <w:right w:val="single" w:sz="4" w:space="0" w:color="auto"/>
            </w:tcBorders>
            <w:shd w:val="clear" w:color="auto" w:fill="auto"/>
            <w:vAlign w:val="center"/>
            <w:hideMark/>
          </w:tcPr>
          <w:p w:rsidR="003469BE" w:rsidRPr="003469BE" w:rsidP="003469BE" w14:paraId="1A5252D3" w14:textId="77777777">
            <w:pPr>
              <w:spacing w:line="259" w:lineRule="auto"/>
              <w:ind w:left="0" w:firstLine="0"/>
              <w:contextualSpacing/>
              <w:rPr>
                <w:rFonts w:cstheme="minorHAnsi"/>
                <w:sz w:val="20"/>
                <w:szCs w:val="20"/>
              </w:rPr>
            </w:pPr>
            <w:r w:rsidRPr="003469BE">
              <w:rPr>
                <w:rFonts w:cstheme="minorHAnsi"/>
                <w:sz w:val="20"/>
                <w:szCs w:val="20"/>
              </w:rPr>
              <w:t>8</w:t>
            </w:r>
          </w:p>
        </w:tc>
        <w:tc>
          <w:tcPr>
            <w:tcW w:w="1530" w:type="dxa"/>
            <w:tcBorders>
              <w:top w:val="nil"/>
              <w:left w:val="nil"/>
              <w:bottom w:val="single" w:sz="4" w:space="0" w:color="auto"/>
              <w:right w:val="single" w:sz="4" w:space="0" w:color="auto"/>
            </w:tcBorders>
            <w:shd w:val="clear" w:color="auto" w:fill="auto"/>
            <w:vAlign w:val="center"/>
            <w:hideMark/>
          </w:tcPr>
          <w:p w:rsidR="003469BE" w:rsidRPr="003469BE" w:rsidP="003469BE" w14:paraId="63402904" w14:textId="77777777">
            <w:pPr>
              <w:spacing w:line="259" w:lineRule="auto"/>
              <w:ind w:left="0" w:firstLine="0"/>
              <w:contextualSpacing/>
              <w:rPr>
                <w:rFonts w:cstheme="minorHAnsi"/>
                <w:sz w:val="20"/>
                <w:szCs w:val="20"/>
              </w:rPr>
            </w:pPr>
            <w:r w:rsidRPr="003469BE">
              <w:rPr>
                <w:rFonts w:cstheme="minorHAnsi"/>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rsidR="003469BE" w:rsidRPr="003469BE" w:rsidP="003469BE" w14:paraId="2F72596B" w14:textId="77777777">
            <w:pPr>
              <w:spacing w:line="259" w:lineRule="auto"/>
              <w:ind w:left="0" w:firstLine="0"/>
              <w:contextualSpacing/>
              <w:rPr>
                <w:rFonts w:cstheme="minorHAnsi"/>
                <w:sz w:val="20"/>
                <w:szCs w:val="20"/>
              </w:rPr>
            </w:pPr>
            <w:r w:rsidRPr="003469BE">
              <w:rPr>
                <w:rFonts w:cstheme="minorHAnsi"/>
                <w:sz w:val="20"/>
                <w:szCs w:val="20"/>
              </w:rPr>
              <w:t>16</w:t>
            </w:r>
          </w:p>
        </w:tc>
        <w:tc>
          <w:tcPr>
            <w:tcW w:w="1273" w:type="dxa"/>
            <w:tcBorders>
              <w:top w:val="nil"/>
              <w:left w:val="nil"/>
              <w:bottom w:val="single" w:sz="4" w:space="0" w:color="auto"/>
              <w:right w:val="single" w:sz="4" w:space="0" w:color="auto"/>
            </w:tcBorders>
            <w:shd w:val="clear" w:color="auto" w:fill="auto"/>
            <w:vAlign w:val="center"/>
            <w:hideMark/>
          </w:tcPr>
          <w:p w:rsidR="003469BE" w:rsidRPr="003469BE" w:rsidP="003469BE" w14:paraId="50DD24FA" w14:textId="77777777">
            <w:pPr>
              <w:spacing w:line="259" w:lineRule="auto"/>
              <w:ind w:left="0" w:firstLine="0"/>
              <w:contextualSpacing/>
              <w:rPr>
                <w:rFonts w:cstheme="minorHAnsi"/>
                <w:sz w:val="20"/>
                <w:szCs w:val="20"/>
              </w:rPr>
            </w:pPr>
            <w:r w:rsidRPr="003469BE">
              <w:rPr>
                <w:rFonts w:cstheme="minorHAnsi"/>
                <w:sz w:val="20"/>
                <w:szCs w:val="20"/>
              </w:rPr>
              <w:t>167</w:t>
            </w:r>
          </w:p>
        </w:tc>
        <w:tc>
          <w:tcPr>
            <w:tcW w:w="1242" w:type="dxa"/>
            <w:tcBorders>
              <w:top w:val="nil"/>
              <w:left w:val="nil"/>
              <w:bottom w:val="single" w:sz="4" w:space="0" w:color="auto"/>
              <w:right w:val="single" w:sz="4" w:space="0" w:color="auto"/>
            </w:tcBorders>
            <w:shd w:val="clear" w:color="auto" w:fill="auto"/>
            <w:vAlign w:val="center"/>
            <w:hideMark/>
          </w:tcPr>
          <w:p w:rsidR="003469BE" w:rsidRPr="003469BE" w:rsidP="003469BE" w14:paraId="4EE0731F" w14:textId="77777777">
            <w:pPr>
              <w:spacing w:line="259" w:lineRule="auto"/>
              <w:ind w:left="0" w:firstLine="0"/>
              <w:contextualSpacing/>
              <w:rPr>
                <w:rFonts w:cstheme="minorHAnsi"/>
                <w:sz w:val="20"/>
                <w:szCs w:val="20"/>
              </w:rPr>
            </w:pPr>
            <w:r w:rsidRPr="003469BE">
              <w:rPr>
                <w:rFonts w:cstheme="minorHAnsi"/>
                <w:sz w:val="20"/>
                <w:szCs w:val="20"/>
              </w:rPr>
              <w:t>2672</w:t>
            </w:r>
          </w:p>
        </w:tc>
        <w:tc>
          <w:tcPr>
            <w:tcW w:w="1309" w:type="dxa"/>
            <w:tcBorders>
              <w:top w:val="nil"/>
              <w:left w:val="nil"/>
              <w:bottom w:val="single" w:sz="4" w:space="0" w:color="auto"/>
              <w:right w:val="single" w:sz="4" w:space="0" w:color="auto"/>
            </w:tcBorders>
            <w:shd w:val="clear" w:color="auto" w:fill="auto"/>
            <w:vAlign w:val="center"/>
            <w:hideMark/>
          </w:tcPr>
          <w:p w:rsidR="003469BE" w:rsidRPr="003469BE" w:rsidP="003469BE" w14:paraId="13AD401C" w14:textId="77777777">
            <w:pPr>
              <w:spacing w:line="259" w:lineRule="auto"/>
              <w:ind w:left="0" w:firstLine="0"/>
              <w:contextualSpacing/>
              <w:rPr>
                <w:rFonts w:cstheme="minorHAnsi"/>
                <w:sz w:val="20"/>
                <w:szCs w:val="20"/>
              </w:rPr>
            </w:pPr>
            <w:r w:rsidRPr="003469BE">
              <w:rPr>
                <w:rFonts w:cstheme="minorHAnsi"/>
                <w:sz w:val="20"/>
                <w:szCs w:val="20"/>
              </w:rPr>
              <w:t>133.6</w:t>
            </w:r>
          </w:p>
        </w:tc>
        <w:tc>
          <w:tcPr>
            <w:tcW w:w="894" w:type="dxa"/>
            <w:tcBorders>
              <w:top w:val="nil"/>
              <w:left w:val="nil"/>
              <w:bottom w:val="single" w:sz="4" w:space="0" w:color="auto"/>
              <w:right w:val="single" w:sz="4" w:space="0" w:color="auto"/>
            </w:tcBorders>
            <w:shd w:val="clear" w:color="auto" w:fill="auto"/>
            <w:vAlign w:val="center"/>
            <w:hideMark/>
          </w:tcPr>
          <w:p w:rsidR="003469BE" w:rsidRPr="003469BE" w:rsidP="003469BE" w14:paraId="78812F76" w14:textId="77777777">
            <w:pPr>
              <w:spacing w:line="259" w:lineRule="auto"/>
              <w:ind w:left="0" w:firstLine="0"/>
              <w:contextualSpacing/>
              <w:rPr>
                <w:rFonts w:cstheme="minorHAnsi"/>
                <w:sz w:val="20"/>
                <w:szCs w:val="20"/>
              </w:rPr>
            </w:pPr>
            <w:r w:rsidRPr="003469BE">
              <w:rPr>
                <w:rFonts w:cstheme="minorHAnsi"/>
                <w:sz w:val="20"/>
                <w:szCs w:val="20"/>
              </w:rPr>
              <w:t>267.2</w:t>
            </w:r>
          </w:p>
        </w:tc>
        <w:tc>
          <w:tcPr>
            <w:tcW w:w="1342" w:type="dxa"/>
            <w:tcBorders>
              <w:top w:val="nil"/>
              <w:left w:val="nil"/>
              <w:bottom w:val="single" w:sz="4" w:space="0" w:color="auto"/>
              <w:right w:val="single" w:sz="4" w:space="0" w:color="auto"/>
            </w:tcBorders>
            <w:shd w:val="clear" w:color="auto" w:fill="auto"/>
            <w:vAlign w:val="center"/>
            <w:hideMark/>
          </w:tcPr>
          <w:p w:rsidR="003469BE" w:rsidRPr="003469BE" w:rsidP="003469BE" w14:paraId="0F06B20A" w14:textId="77777777">
            <w:pPr>
              <w:spacing w:line="259" w:lineRule="auto"/>
              <w:ind w:left="0" w:firstLine="0"/>
              <w:contextualSpacing/>
              <w:rPr>
                <w:rFonts w:cstheme="minorHAnsi"/>
                <w:sz w:val="20"/>
                <w:szCs w:val="20"/>
              </w:rPr>
            </w:pPr>
            <w:r w:rsidRPr="003469BE">
              <w:rPr>
                <w:rFonts w:cstheme="minorHAnsi"/>
                <w:sz w:val="20"/>
                <w:szCs w:val="20"/>
              </w:rPr>
              <w:t xml:space="preserve">$163,347.38 </w:t>
            </w:r>
          </w:p>
        </w:tc>
      </w:tr>
      <w:tr w14:paraId="31923DDB" w14:textId="77777777" w:rsidTr="003469BE">
        <w:tblPrEx>
          <w:tblW w:w="12955" w:type="dxa"/>
          <w:tblLook w:val="04A0"/>
        </w:tblPrEx>
        <w:trPr>
          <w:trHeight w:val="324"/>
        </w:trPr>
        <w:tc>
          <w:tcPr>
            <w:tcW w:w="2605" w:type="dxa"/>
            <w:tcBorders>
              <w:top w:val="nil"/>
              <w:left w:val="single" w:sz="4" w:space="0" w:color="auto"/>
              <w:bottom w:val="single" w:sz="4" w:space="0" w:color="auto"/>
              <w:right w:val="single" w:sz="4" w:space="0" w:color="auto"/>
            </w:tcBorders>
            <w:shd w:val="clear" w:color="auto" w:fill="auto"/>
            <w:vAlign w:val="bottom"/>
            <w:hideMark/>
          </w:tcPr>
          <w:p w:rsidR="003469BE" w:rsidRPr="003469BE" w:rsidP="003469BE" w14:paraId="15FE9247" w14:textId="77777777">
            <w:pPr>
              <w:spacing w:line="259" w:lineRule="auto"/>
              <w:ind w:left="0" w:firstLine="0"/>
              <w:contextualSpacing/>
              <w:rPr>
                <w:rFonts w:cstheme="minorHAnsi"/>
                <w:b/>
                <w:bCs/>
                <w:sz w:val="20"/>
                <w:szCs w:val="20"/>
              </w:rPr>
            </w:pPr>
            <w:r w:rsidRPr="003469BE">
              <w:rPr>
                <w:rFonts w:cstheme="minorHAnsi"/>
                <w:b/>
                <w:bCs/>
                <w:sz w:val="20"/>
                <w:szCs w:val="20"/>
              </w:rPr>
              <w:t xml:space="preserve">TOTAL (rounded) </w:t>
            </w:r>
            <w:r w:rsidRPr="003469BE">
              <w:rPr>
                <w:rFonts w:cstheme="minorHAnsi"/>
                <w:b/>
                <w:bCs/>
                <w:sz w:val="20"/>
                <w:szCs w:val="20"/>
                <w:vertAlign w:val="superscript"/>
              </w:rPr>
              <w:t>g</w:t>
            </w:r>
          </w:p>
        </w:tc>
        <w:tc>
          <w:tcPr>
            <w:tcW w:w="5563" w:type="dxa"/>
            <w:gridSpan w:val="4"/>
            <w:tcBorders>
              <w:top w:val="single" w:sz="4" w:space="0" w:color="auto"/>
              <w:left w:val="nil"/>
              <w:bottom w:val="single" w:sz="4" w:space="0" w:color="auto"/>
              <w:right w:val="single" w:sz="4" w:space="0" w:color="auto"/>
            </w:tcBorders>
            <w:shd w:val="clear" w:color="auto" w:fill="auto"/>
            <w:vAlign w:val="bottom"/>
            <w:hideMark/>
          </w:tcPr>
          <w:p w:rsidR="003469BE" w:rsidRPr="003469BE" w:rsidP="003469BE" w14:paraId="623E7473" w14:textId="77777777">
            <w:pPr>
              <w:spacing w:line="259" w:lineRule="auto"/>
              <w:ind w:left="0" w:firstLine="0"/>
              <w:contextualSpacing/>
              <w:rPr>
                <w:rFonts w:cstheme="minorHAnsi"/>
                <w:b/>
                <w:bCs/>
                <w:sz w:val="20"/>
                <w:szCs w:val="20"/>
              </w:rPr>
            </w:pPr>
            <w:r w:rsidRPr="003469BE">
              <w:rPr>
                <w:rFonts w:cstheme="minorHAnsi"/>
                <w:b/>
                <w:bCs/>
                <w:sz w:val="20"/>
                <w:szCs w:val="20"/>
              </w:rPr>
              <w:t> </w:t>
            </w:r>
          </w:p>
        </w:tc>
        <w:tc>
          <w:tcPr>
            <w:tcW w:w="3445" w:type="dxa"/>
            <w:gridSpan w:val="3"/>
            <w:tcBorders>
              <w:top w:val="single" w:sz="4" w:space="0" w:color="auto"/>
              <w:left w:val="nil"/>
              <w:bottom w:val="single" w:sz="4" w:space="0" w:color="auto"/>
              <w:right w:val="single" w:sz="4" w:space="0" w:color="auto"/>
            </w:tcBorders>
            <w:shd w:val="clear" w:color="auto" w:fill="auto"/>
            <w:vAlign w:val="bottom"/>
            <w:hideMark/>
          </w:tcPr>
          <w:p w:rsidR="003469BE" w:rsidRPr="003469BE" w:rsidP="003469BE" w14:paraId="110644A2" w14:textId="77777777">
            <w:pPr>
              <w:spacing w:line="259" w:lineRule="auto"/>
              <w:ind w:left="0" w:firstLine="0"/>
              <w:contextualSpacing/>
              <w:rPr>
                <w:rFonts w:cstheme="minorHAnsi"/>
                <w:b/>
                <w:bCs/>
                <w:sz w:val="20"/>
                <w:szCs w:val="20"/>
              </w:rPr>
            </w:pPr>
            <w:r w:rsidRPr="003469BE">
              <w:rPr>
                <w:rFonts w:cstheme="minorHAnsi"/>
                <w:b/>
                <w:bCs/>
                <w:sz w:val="20"/>
                <w:szCs w:val="20"/>
              </w:rPr>
              <w:t>3,080</w:t>
            </w:r>
          </w:p>
        </w:tc>
        <w:tc>
          <w:tcPr>
            <w:tcW w:w="1342" w:type="dxa"/>
            <w:tcBorders>
              <w:top w:val="nil"/>
              <w:left w:val="nil"/>
              <w:bottom w:val="single" w:sz="4" w:space="0" w:color="auto"/>
              <w:right w:val="single" w:sz="4" w:space="0" w:color="auto"/>
            </w:tcBorders>
            <w:shd w:val="clear" w:color="auto" w:fill="auto"/>
            <w:vAlign w:val="bottom"/>
            <w:hideMark/>
          </w:tcPr>
          <w:p w:rsidR="003469BE" w:rsidRPr="003469BE" w:rsidP="003469BE" w14:paraId="3883C10F" w14:textId="77777777">
            <w:pPr>
              <w:spacing w:line="259" w:lineRule="auto"/>
              <w:ind w:left="0" w:firstLine="0"/>
              <w:contextualSpacing/>
              <w:rPr>
                <w:rFonts w:cstheme="minorHAnsi"/>
                <w:b/>
                <w:bCs/>
                <w:sz w:val="20"/>
                <w:szCs w:val="20"/>
              </w:rPr>
            </w:pPr>
            <w:r w:rsidRPr="003469BE">
              <w:rPr>
                <w:rFonts w:cstheme="minorHAnsi"/>
                <w:b/>
                <w:bCs/>
                <w:sz w:val="20"/>
                <w:szCs w:val="20"/>
              </w:rPr>
              <w:t xml:space="preserve">$163,000 </w:t>
            </w:r>
          </w:p>
        </w:tc>
      </w:tr>
    </w:tbl>
    <w:p w:rsidR="00B25128" w:rsidRPr="00B25128" w:rsidP="00B25128" w14:paraId="71882EE8" w14:textId="77777777">
      <w:pPr>
        <w:spacing w:line="259" w:lineRule="auto"/>
        <w:ind w:left="0" w:firstLine="0"/>
        <w:contextualSpacing/>
        <w:rPr>
          <w:rFonts w:cstheme="minorHAnsi"/>
          <w:b/>
          <w:bCs/>
          <w:sz w:val="20"/>
          <w:szCs w:val="20"/>
        </w:rPr>
      </w:pPr>
      <w:r w:rsidRPr="00B25128">
        <w:rPr>
          <w:rFonts w:cstheme="minorHAnsi"/>
          <w:b/>
          <w:bCs/>
          <w:sz w:val="20"/>
          <w:szCs w:val="20"/>
        </w:rPr>
        <w:t>Assumptions:</w:t>
      </w:r>
      <w:r w:rsidRPr="00B25128">
        <w:rPr>
          <w:rFonts w:cstheme="minorHAnsi"/>
          <w:b/>
          <w:bCs/>
          <w:sz w:val="20"/>
          <w:szCs w:val="20"/>
        </w:rPr>
        <w:tab/>
      </w:r>
      <w:r w:rsidRPr="00B25128">
        <w:rPr>
          <w:rFonts w:cstheme="minorHAnsi"/>
          <w:b/>
          <w:bCs/>
          <w:sz w:val="20"/>
          <w:szCs w:val="20"/>
        </w:rPr>
        <w:tab/>
      </w:r>
      <w:r w:rsidRPr="00B25128">
        <w:rPr>
          <w:rFonts w:cstheme="minorHAnsi"/>
          <w:b/>
          <w:bCs/>
          <w:sz w:val="20"/>
          <w:szCs w:val="20"/>
        </w:rPr>
        <w:tab/>
      </w:r>
      <w:r w:rsidRPr="00B25128">
        <w:rPr>
          <w:rFonts w:cstheme="minorHAnsi"/>
          <w:b/>
          <w:bCs/>
          <w:sz w:val="20"/>
          <w:szCs w:val="20"/>
        </w:rPr>
        <w:tab/>
      </w:r>
      <w:r w:rsidRPr="00B25128">
        <w:rPr>
          <w:rFonts w:cstheme="minorHAnsi"/>
          <w:b/>
          <w:bCs/>
          <w:sz w:val="20"/>
          <w:szCs w:val="20"/>
        </w:rPr>
        <w:tab/>
      </w:r>
      <w:r w:rsidRPr="00B25128">
        <w:rPr>
          <w:rFonts w:cstheme="minorHAnsi"/>
          <w:b/>
          <w:bCs/>
          <w:sz w:val="20"/>
          <w:szCs w:val="20"/>
        </w:rPr>
        <w:tab/>
      </w:r>
      <w:r w:rsidRPr="00B25128">
        <w:rPr>
          <w:rFonts w:cstheme="minorHAnsi"/>
          <w:b/>
          <w:bCs/>
          <w:sz w:val="20"/>
          <w:szCs w:val="20"/>
        </w:rPr>
        <w:tab/>
      </w:r>
      <w:r w:rsidRPr="00B25128">
        <w:rPr>
          <w:rFonts w:cstheme="minorHAnsi"/>
          <w:b/>
          <w:bCs/>
          <w:sz w:val="20"/>
          <w:szCs w:val="20"/>
        </w:rPr>
        <w:tab/>
      </w:r>
    </w:p>
    <w:p w:rsidR="00B25128" w:rsidRPr="00B25128" w:rsidP="00B25128" w14:paraId="107C7804" w14:textId="77777777">
      <w:pPr>
        <w:spacing w:line="259" w:lineRule="auto"/>
        <w:ind w:left="0" w:firstLine="0"/>
        <w:contextualSpacing/>
        <w:rPr>
          <w:rFonts w:cstheme="minorHAnsi"/>
          <w:sz w:val="20"/>
          <w:szCs w:val="20"/>
        </w:rPr>
      </w:pPr>
      <w:r w:rsidRPr="00B25128">
        <w:rPr>
          <w:rFonts w:cstheme="minorHAnsi"/>
          <w:sz w:val="20"/>
          <w:szCs w:val="20"/>
          <w:vertAlign w:val="superscript"/>
        </w:rPr>
        <w:t>a</w:t>
      </w:r>
      <w:r w:rsidRPr="00B25128">
        <w:rPr>
          <w:rFonts w:cstheme="minorHAnsi"/>
          <w:sz w:val="20"/>
          <w:szCs w:val="20"/>
        </w:rPr>
        <w:t xml:space="preserve"> We have assumed that the average number of respondents that will be subject to the rule over the three-year period of this ICR will be 167. It is estimated that no additional respondents will become subject to the regulation in the next three years.</w:t>
      </w:r>
    </w:p>
    <w:p w:rsidR="00B25128" w:rsidRPr="00B25128" w:rsidP="00B25128" w14:paraId="1214DD24" w14:textId="77777777">
      <w:pPr>
        <w:spacing w:line="259" w:lineRule="auto"/>
        <w:ind w:left="0" w:firstLine="0"/>
        <w:contextualSpacing/>
        <w:rPr>
          <w:rFonts w:cstheme="minorHAnsi"/>
          <w:sz w:val="20"/>
          <w:szCs w:val="20"/>
        </w:rPr>
      </w:pPr>
      <w:r w:rsidRPr="00B25128">
        <w:rPr>
          <w:rFonts w:cstheme="minorHAnsi"/>
          <w:sz w:val="20"/>
          <w:szCs w:val="20"/>
          <w:vertAlign w:val="superscript"/>
        </w:rPr>
        <w:t>b</w:t>
      </w:r>
      <w:r w:rsidRPr="00B25128">
        <w:rPr>
          <w:rFonts w:cstheme="minorHAnsi"/>
          <w:sz w:val="20"/>
          <w:szCs w:val="20"/>
        </w:rPr>
        <w:t xml:space="preserve"> This cost is based on the average hourly labor rate as follows: Managerial $73.46 (GS-13, Step 5, $45.91 + 60%); Technical $54.51 (GS-12, Step 1, $34.07 + 60%); and Clerical $29.50 (GS-6, Step 3, $18.44 + 60%). This ICR assumes that Managerial hours are 5 percent of </w:t>
      </w:r>
      <w:r w:rsidRPr="00B25128">
        <w:rPr>
          <w:rFonts w:cstheme="minorHAnsi"/>
          <w:sz w:val="20"/>
          <w:szCs w:val="20"/>
        </w:rPr>
        <w:t>Technical</w:t>
      </w:r>
      <w:r w:rsidRPr="00B25128">
        <w:rPr>
          <w:rFonts w:cstheme="minorHAnsi"/>
          <w:sz w:val="20"/>
          <w:szCs w:val="20"/>
        </w:rPr>
        <w:t xml:space="preserve"> hours, and Clerical hours are 10 percent of Technical hours. These rates are from the Office of Personnel Management (OPM), 2023 General Schedule, which excludes locality, rates of pay. The rates have been increased by 60 percent to account for the benefit packages available to government employees.</w:t>
      </w:r>
    </w:p>
    <w:p w:rsidR="00B25128" w:rsidRPr="00B25128" w:rsidP="00B25128" w14:paraId="45745D95" w14:textId="77777777">
      <w:pPr>
        <w:spacing w:line="259" w:lineRule="auto"/>
        <w:ind w:left="0" w:firstLine="0"/>
        <w:contextualSpacing/>
        <w:rPr>
          <w:rFonts w:cstheme="minorHAnsi"/>
          <w:sz w:val="20"/>
          <w:szCs w:val="20"/>
        </w:rPr>
      </w:pPr>
      <w:r w:rsidRPr="00B25128">
        <w:rPr>
          <w:rFonts w:cstheme="minorHAnsi"/>
          <w:sz w:val="20"/>
          <w:szCs w:val="20"/>
          <w:vertAlign w:val="superscript"/>
        </w:rPr>
        <w:t>c</w:t>
      </w:r>
      <w:r w:rsidRPr="00B25128">
        <w:rPr>
          <w:rFonts w:cstheme="minorHAnsi"/>
          <w:sz w:val="20"/>
          <w:szCs w:val="20"/>
        </w:rPr>
        <w:t xml:space="preserve"> We have assumed that one respondent will submit a notification of physical or operational change.</w:t>
      </w:r>
    </w:p>
    <w:p w:rsidR="00B25128" w:rsidRPr="00B25128" w:rsidP="00B25128" w14:paraId="1C36FD1D" w14:textId="77777777">
      <w:pPr>
        <w:spacing w:line="259" w:lineRule="auto"/>
        <w:ind w:left="0" w:firstLine="0"/>
        <w:contextualSpacing/>
        <w:rPr>
          <w:rFonts w:cstheme="minorHAnsi"/>
          <w:sz w:val="20"/>
          <w:szCs w:val="20"/>
        </w:rPr>
      </w:pPr>
      <w:r w:rsidRPr="00B25128">
        <w:rPr>
          <w:rFonts w:cstheme="minorHAnsi"/>
          <w:sz w:val="20"/>
          <w:szCs w:val="20"/>
          <w:vertAlign w:val="superscript"/>
        </w:rPr>
        <w:t>d</w:t>
      </w:r>
      <w:r w:rsidRPr="00B25128">
        <w:rPr>
          <w:rFonts w:cstheme="minorHAnsi"/>
          <w:sz w:val="20"/>
          <w:szCs w:val="20"/>
        </w:rPr>
        <w:t xml:space="preserve"> We have assumed that it will take four hours to review the CMS demonstration report.</w:t>
      </w:r>
    </w:p>
    <w:p w:rsidR="00B25128" w:rsidRPr="00B25128" w:rsidP="00B25128" w14:paraId="04990F2A" w14:textId="77777777">
      <w:pPr>
        <w:spacing w:line="259" w:lineRule="auto"/>
        <w:ind w:left="0" w:firstLine="0"/>
        <w:contextualSpacing/>
        <w:rPr>
          <w:rFonts w:cstheme="minorHAnsi"/>
          <w:sz w:val="20"/>
          <w:szCs w:val="20"/>
        </w:rPr>
      </w:pPr>
      <w:r w:rsidRPr="00B25128">
        <w:rPr>
          <w:rFonts w:cstheme="minorHAnsi"/>
          <w:sz w:val="20"/>
          <w:szCs w:val="20"/>
          <w:vertAlign w:val="superscript"/>
        </w:rPr>
        <w:t>e</w:t>
      </w:r>
      <w:r w:rsidRPr="00B25128">
        <w:rPr>
          <w:rFonts w:cstheme="minorHAnsi"/>
          <w:sz w:val="20"/>
          <w:szCs w:val="20"/>
        </w:rPr>
        <w:t xml:space="preserve"> We have assumed that it will take eight hours to review the performance test results.</w:t>
      </w:r>
    </w:p>
    <w:p w:rsidR="00B25128" w:rsidRPr="00B25128" w:rsidP="00B25128" w14:paraId="7EE778A0" w14:textId="77777777">
      <w:pPr>
        <w:spacing w:line="259" w:lineRule="auto"/>
        <w:ind w:left="0" w:firstLine="0"/>
        <w:contextualSpacing/>
        <w:rPr>
          <w:rFonts w:cstheme="minorHAnsi"/>
          <w:sz w:val="20"/>
          <w:szCs w:val="20"/>
        </w:rPr>
      </w:pPr>
      <w:r w:rsidRPr="00B25128">
        <w:rPr>
          <w:rFonts w:cstheme="minorHAnsi"/>
          <w:sz w:val="20"/>
          <w:szCs w:val="20"/>
          <w:vertAlign w:val="superscript"/>
        </w:rPr>
        <w:t>f</w:t>
      </w:r>
      <w:r w:rsidRPr="00B25128">
        <w:rPr>
          <w:rFonts w:cstheme="minorHAnsi"/>
          <w:sz w:val="20"/>
          <w:szCs w:val="20"/>
        </w:rPr>
        <w:t xml:space="preserve"> We have assumed that it will take eight hours to review semiannual report of exceedances.</w:t>
      </w:r>
    </w:p>
    <w:p w:rsidR="003469BE" w:rsidRPr="00B25128" w:rsidP="00B25128" w14:paraId="33AC30AD" w14:textId="110B7F13">
      <w:pPr>
        <w:spacing w:line="259" w:lineRule="auto"/>
        <w:ind w:left="0" w:firstLine="0"/>
        <w:contextualSpacing/>
        <w:rPr>
          <w:rFonts w:cstheme="minorHAnsi"/>
          <w:sz w:val="20"/>
          <w:szCs w:val="20"/>
        </w:rPr>
      </w:pPr>
      <w:r w:rsidRPr="00B25128">
        <w:rPr>
          <w:rFonts w:cstheme="minorHAnsi"/>
          <w:sz w:val="20"/>
          <w:szCs w:val="20"/>
          <w:vertAlign w:val="superscript"/>
        </w:rPr>
        <w:t>g</w:t>
      </w:r>
      <w:r w:rsidRPr="00B25128">
        <w:rPr>
          <w:rFonts w:cstheme="minorHAnsi"/>
          <w:sz w:val="20"/>
          <w:szCs w:val="20"/>
        </w:rPr>
        <w:t xml:space="preserve"> Totals have been rounded to 3 significant figures. Figures may not add exactly due to rounding.</w:t>
      </w:r>
    </w:p>
    <w:sectPr w:rsidSect="00E458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E06D36"/>
    <w:multiLevelType w:val="hybridMultilevel"/>
    <w:tmpl w:val="EBD26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DA871CC"/>
    <w:multiLevelType w:val="hybridMultilevel"/>
    <w:tmpl w:val="042C5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2"/>
  </w:num>
  <w:num w:numId="4" w16cid:durableId="493573829">
    <w:abstractNumId w:val="29"/>
  </w:num>
  <w:num w:numId="5" w16cid:durableId="2055687918">
    <w:abstractNumId w:val="19"/>
  </w:num>
  <w:num w:numId="6" w16cid:durableId="1603025219">
    <w:abstractNumId w:val="26"/>
  </w:num>
  <w:num w:numId="7" w16cid:durableId="423957196">
    <w:abstractNumId w:val="15"/>
  </w:num>
  <w:num w:numId="8" w16cid:durableId="2031829208">
    <w:abstractNumId w:val="22"/>
  </w:num>
  <w:num w:numId="9" w16cid:durableId="218439549">
    <w:abstractNumId w:val="8"/>
  </w:num>
  <w:num w:numId="10" w16cid:durableId="1285231924">
    <w:abstractNumId w:val="3"/>
  </w:num>
  <w:num w:numId="11" w16cid:durableId="327370686">
    <w:abstractNumId w:val="7"/>
  </w:num>
  <w:num w:numId="12" w16cid:durableId="1802993385">
    <w:abstractNumId w:val="10"/>
  </w:num>
  <w:num w:numId="13" w16cid:durableId="1792938267">
    <w:abstractNumId w:val="30"/>
  </w:num>
  <w:num w:numId="14" w16cid:durableId="239490726">
    <w:abstractNumId w:val="6"/>
  </w:num>
  <w:num w:numId="15" w16cid:durableId="1395350314">
    <w:abstractNumId w:val="9"/>
  </w:num>
  <w:num w:numId="16" w16cid:durableId="441535906">
    <w:abstractNumId w:val="13"/>
  </w:num>
  <w:num w:numId="17" w16cid:durableId="2008243381">
    <w:abstractNumId w:val="23"/>
  </w:num>
  <w:num w:numId="18" w16cid:durableId="840463183">
    <w:abstractNumId w:val="21"/>
  </w:num>
  <w:num w:numId="19" w16cid:durableId="469980091">
    <w:abstractNumId w:val="25"/>
  </w:num>
  <w:num w:numId="20" w16cid:durableId="2126730031">
    <w:abstractNumId w:val="11"/>
  </w:num>
  <w:num w:numId="21" w16cid:durableId="106124704">
    <w:abstractNumId w:val="1"/>
  </w:num>
  <w:num w:numId="22" w16cid:durableId="1552418013">
    <w:abstractNumId w:val="14"/>
  </w:num>
  <w:num w:numId="23" w16cid:durableId="1598828334">
    <w:abstractNumId w:val="27"/>
  </w:num>
  <w:num w:numId="24" w16cid:durableId="2051031068">
    <w:abstractNumId w:val="0"/>
  </w:num>
  <w:num w:numId="25" w16cid:durableId="258569098">
    <w:abstractNumId w:val="16"/>
  </w:num>
  <w:num w:numId="26" w16cid:durableId="331181582">
    <w:abstractNumId w:val="20"/>
  </w:num>
  <w:num w:numId="27" w16cid:durableId="1015961391">
    <w:abstractNumId w:val="24"/>
  </w:num>
  <w:num w:numId="28" w16cid:durableId="1315645907">
    <w:abstractNumId w:val="18"/>
  </w:num>
  <w:num w:numId="29" w16cid:durableId="1456172683">
    <w:abstractNumId w:val="28"/>
  </w:num>
  <w:num w:numId="30" w16cid:durableId="750855607">
    <w:abstractNumId w:val="4"/>
  </w:num>
  <w:num w:numId="31" w16cid:durableId="106718824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5FF7"/>
    <w:rsid w:val="00036618"/>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5D14"/>
    <w:rsid w:val="000762A8"/>
    <w:rsid w:val="00076439"/>
    <w:rsid w:val="00076F0F"/>
    <w:rsid w:val="00077D8A"/>
    <w:rsid w:val="00082A72"/>
    <w:rsid w:val="00083D4A"/>
    <w:rsid w:val="00084BF3"/>
    <w:rsid w:val="00090627"/>
    <w:rsid w:val="00090750"/>
    <w:rsid w:val="000911D6"/>
    <w:rsid w:val="00091EB4"/>
    <w:rsid w:val="00091EBC"/>
    <w:rsid w:val="0009219E"/>
    <w:rsid w:val="000925BD"/>
    <w:rsid w:val="00093C6D"/>
    <w:rsid w:val="00093DC2"/>
    <w:rsid w:val="00094023"/>
    <w:rsid w:val="0009492C"/>
    <w:rsid w:val="00095F01"/>
    <w:rsid w:val="00095FDC"/>
    <w:rsid w:val="000978FD"/>
    <w:rsid w:val="000A1198"/>
    <w:rsid w:val="000A11F1"/>
    <w:rsid w:val="000A1353"/>
    <w:rsid w:val="000A170A"/>
    <w:rsid w:val="000A397C"/>
    <w:rsid w:val="000A4527"/>
    <w:rsid w:val="000A4A0E"/>
    <w:rsid w:val="000B3576"/>
    <w:rsid w:val="000B461B"/>
    <w:rsid w:val="000B7BBA"/>
    <w:rsid w:val="000C41A7"/>
    <w:rsid w:val="000C43C8"/>
    <w:rsid w:val="000C608D"/>
    <w:rsid w:val="000D0F02"/>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3E4D"/>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484"/>
    <w:rsid w:val="00161846"/>
    <w:rsid w:val="001636DA"/>
    <w:rsid w:val="00163C69"/>
    <w:rsid w:val="00164169"/>
    <w:rsid w:val="00165884"/>
    <w:rsid w:val="00166B27"/>
    <w:rsid w:val="00170329"/>
    <w:rsid w:val="00170689"/>
    <w:rsid w:val="00170EB8"/>
    <w:rsid w:val="00171DC0"/>
    <w:rsid w:val="00173422"/>
    <w:rsid w:val="00173E50"/>
    <w:rsid w:val="00176BA8"/>
    <w:rsid w:val="001775F3"/>
    <w:rsid w:val="00180511"/>
    <w:rsid w:val="0018193E"/>
    <w:rsid w:val="00184011"/>
    <w:rsid w:val="00185251"/>
    <w:rsid w:val="00186985"/>
    <w:rsid w:val="0019149E"/>
    <w:rsid w:val="0019182F"/>
    <w:rsid w:val="00191C72"/>
    <w:rsid w:val="001925B3"/>
    <w:rsid w:val="001929FB"/>
    <w:rsid w:val="00193C30"/>
    <w:rsid w:val="0019580A"/>
    <w:rsid w:val="00195BEB"/>
    <w:rsid w:val="00197A23"/>
    <w:rsid w:val="001A13F3"/>
    <w:rsid w:val="001A1EA6"/>
    <w:rsid w:val="001A20B0"/>
    <w:rsid w:val="001A21A7"/>
    <w:rsid w:val="001A3351"/>
    <w:rsid w:val="001A53A7"/>
    <w:rsid w:val="001A76B3"/>
    <w:rsid w:val="001A7DEF"/>
    <w:rsid w:val="001B1773"/>
    <w:rsid w:val="001B1962"/>
    <w:rsid w:val="001B2D25"/>
    <w:rsid w:val="001B3364"/>
    <w:rsid w:val="001B3772"/>
    <w:rsid w:val="001B4565"/>
    <w:rsid w:val="001B46D7"/>
    <w:rsid w:val="001B4BEC"/>
    <w:rsid w:val="001B7B47"/>
    <w:rsid w:val="001C0151"/>
    <w:rsid w:val="001C1FB7"/>
    <w:rsid w:val="001C260A"/>
    <w:rsid w:val="001C2D48"/>
    <w:rsid w:val="001C3106"/>
    <w:rsid w:val="001C3500"/>
    <w:rsid w:val="001C39C3"/>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6DC"/>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0D"/>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6FEA"/>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320"/>
    <w:rsid w:val="002E5BAD"/>
    <w:rsid w:val="002E6047"/>
    <w:rsid w:val="002E6D1D"/>
    <w:rsid w:val="002F0614"/>
    <w:rsid w:val="002F077A"/>
    <w:rsid w:val="002F10BE"/>
    <w:rsid w:val="002F13DA"/>
    <w:rsid w:val="002F15EB"/>
    <w:rsid w:val="002F3CE0"/>
    <w:rsid w:val="002F6A76"/>
    <w:rsid w:val="003005BB"/>
    <w:rsid w:val="00303DE5"/>
    <w:rsid w:val="00304842"/>
    <w:rsid w:val="0030598D"/>
    <w:rsid w:val="003059D0"/>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69BE"/>
    <w:rsid w:val="00347C3C"/>
    <w:rsid w:val="0035079F"/>
    <w:rsid w:val="00350BB8"/>
    <w:rsid w:val="003527C1"/>
    <w:rsid w:val="00352C25"/>
    <w:rsid w:val="00355952"/>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4F48"/>
    <w:rsid w:val="003856DC"/>
    <w:rsid w:val="00386276"/>
    <w:rsid w:val="003868BE"/>
    <w:rsid w:val="003901B8"/>
    <w:rsid w:val="00395842"/>
    <w:rsid w:val="00395931"/>
    <w:rsid w:val="003A1D0D"/>
    <w:rsid w:val="003A38FB"/>
    <w:rsid w:val="003A41A0"/>
    <w:rsid w:val="003A4AA4"/>
    <w:rsid w:val="003A6BEF"/>
    <w:rsid w:val="003B04B9"/>
    <w:rsid w:val="003B0A8F"/>
    <w:rsid w:val="003B153D"/>
    <w:rsid w:val="003B4D4F"/>
    <w:rsid w:val="003B6BB0"/>
    <w:rsid w:val="003C0DBC"/>
    <w:rsid w:val="003C2B04"/>
    <w:rsid w:val="003C309F"/>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3E79"/>
    <w:rsid w:val="0042409F"/>
    <w:rsid w:val="004240B9"/>
    <w:rsid w:val="0042474D"/>
    <w:rsid w:val="00424DDE"/>
    <w:rsid w:val="00424F93"/>
    <w:rsid w:val="004252C1"/>
    <w:rsid w:val="0042541E"/>
    <w:rsid w:val="00427079"/>
    <w:rsid w:val="004306A8"/>
    <w:rsid w:val="00430EDC"/>
    <w:rsid w:val="00431D3F"/>
    <w:rsid w:val="00432AC2"/>
    <w:rsid w:val="00434E78"/>
    <w:rsid w:val="0043515D"/>
    <w:rsid w:val="00436FD0"/>
    <w:rsid w:val="00441783"/>
    <w:rsid w:val="004420DA"/>
    <w:rsid w:val="00444707"/>
    <w:rsid w:val="004455F6"/>
    <w:rsid w:val="00445751"/>
    <w:rsid w:val="00446163"/>
    <w:rsid w:val="004468C2"/>
    <w:rsid w:val="00446B8D"/>
    <w:rsid w:val="00450C44"/>
    <w:rsid w:val="0045101F"/>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5F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0654"/>
    <w:rsid w:val="00570FB1"/>
    <w:rsid w:val="00571C92"/>
    <w:rsid w:val="00571D24"/>
    <w:rsid w:val="00571F41"/>
    <w:rsid w:val="005723B9"/>
    <w:rsid w:val="005726BA"/>
    <w:rsid w:val="0057299B"/>
    <w:rsid w:val="00574C83"/>
    <w:rsid w:val="005810DF"/>
    <w:rsid w:val="00583101"/>
    <w:rsid w:val="005836B3"/>
    <w:rsid w:val="00584D72"/>
    <w:rsid w:val="0058662D"/>
    <w:rsid w:val="005900C3"/>
    <w:rsid w:val="00590A21"/>
    <w:rsid w:val="005932EC"/>
    <w:rsid w:val="00594D4D"/>
    <w:rsid w:val="00594D98"/>
    <w:rsid w:val="005966D8"/>
    <w:rsid w:val="0059769C"/>
    <w:rsid w:val="005A0F75"/>
    <w:rsid w:val="005A129A"/>
    <w:rsid w:val="005A1F3E"/>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3D3"/>
    <w:rsid w:val="005D5624"/>
    <w:rsid w:val="005D5865"/>
    <w:rsid w:val="005D5F1D"/>
    <w:rsid w:val="005D6E97"/>
    <w:rsid w:val="005D7508"/>
    <w:rsid w:val="005E03A2"/>
    <w:rsid w:val="005E35C4"/>
    <w:rsid w:val="005E3A3A"/>
    <w:rsid w:val="005E4A7B"/>
    <w:rsid w:val="005E588F"/>
    <w:rsid w:val="005E5BEC"/>
    <w:rsid w:val="005E5D2D"/>
    <w:rsid w:val="005E6E31"/>
    <w:rsid w:val="005E6FAB"/>
    <w:rsid w:val="005E77D9"/>
    <w:rsid w:val="005F1234"/>
    <w:rsid w:val="005F13AA"/>
    <w:rsid w:val="005F31C1"/>
    <w:rsid w:val="005F3BEB"/>
    <w:rsid w:val="005F484B"/>
    <w:rsid w:val="0060025B"/>
    <w:rsid w:val="00600F47"/>
    <w:rsid w:val="00601B3B"/>
    <w:rsid w:val="00602636"/>
    <w:rsid w:val="006036CD"/>
    <w:rsid w:val="00603CAA"/>
    <w:rsid w:val="00603CC1"/>
    <w:rsid w:val="0060451D"/>
    <w:rsid w:val="00604681"/>
    <w:rsid w:val="00604D35"/>
    <w:rsid w:val="0060549C"/>
    <w:rsid w:val="006071E2"/>
    <w:rsid w:val="0060750F"/>
    <w:rsid w:val="006079C2"/>
    <w:rsid w:val="00611426"/>
    <w:rsid w:val="00612ABA"/>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2FF5"/>
    <w:rsid w:val="00635E63"/>
    <w:rsid w:val="006364B9"/>
    <w:rsid w:val="00637244"/>
    <w:rsid w:val="00640646"/>
    <w:rsid w:val="006406C5"/>
    <w:rsid w:val="00640DB6"/>
    <w:rsid w:val="00642467"/>
    <w:rsid w:val="00642CED"/>
    <w:rsid w:val="00642D76"/>
    <w:rsid w:val="00643FF8"/>
    <w:rsid w:val="00644EBE"/>
    <w:rsid w:val="00645B0D"/>
    <w:rsid w:val="006471AF"/>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056E"/>
    <w:rsid w:val="00691045"/>
    <w:rsid w:val="00691828"/>
    <w:rsid w:val="00691A07"/>
    <w:rsid w:val="00692B88"/>
    <w:rsid w:val="00693D40"/>
    <w:rsid w:val="006971C6"/>
    <w:rsid w:val="00697598"/>
    <w:rsid w:val="006A01ED"/>
    <w:rsid w:val="006A173F"/>
    <w:rsid w:val="006A1AC5"/>
    <w:rsid w:val="006A231D"/>
    <w:rsid w:val="006A29EB"/>
    <w:rsid w:val="006A2F53"/>
    <w:rsid w:val="006A6B18"/>
    <w:rsid w:val="006A6EDB"/>
    <w:rsid w:val="006A6EFF"/>
    <w:rsid w:val="006B102F"/>
    <w:rsid w:val="006B15F9"/>
    <w:rsid w:val="006B18D6"/>
    <w:rsid w:val="006B20E9"/>
    <w:rsid w:val="006B2749"/>
    <w:rsid w:val="006B41C5"/>
    <w:rsid w:val="006B42B0"/>
    <w:rsid w:val="006B490F"/>
    <w:rsid w:val="006B57A3"/>
    <w:rsid w:val="006B58DB"/>
    <w:rsid w:val="006B60BF"/>
    <w:rsid w:val="006B6448"/>
    <w:rsid w:val="006B6B7D"/>
    <w:rsid w:val="006B738C"/>
    <w:rsid w:val="006B770D"/>
    <w:rsid w:val="006C1677"/>
    <w:rsid w:val="006C4CAA"/>
    <w:rsid w:val="006C68A7"/>
    <w:rsid w:val="006C780F"/>
    <w:rsid w:val="006C79DB"/>
    <w:rsid w:val="006D09D6"/>
    <w:rsid w:val="006D1400"/>
    <w:rsid w:val="006D14C1"/>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27DF9"/>
    <w:rsid w:val="00730312"/>
    <w:rsid w:val="00730723"/>
    <w:rsid w:val="00732759"/>
    <w:rsid w:val="00732A40"/>
    <w:rsid w:val="00735197"/>
    <w:rsid w:val="00735C37"/>
    <w:rsid w:val="00735DEF"/>
    <w:rsid w:val="0073767D"/>
    <w:rsid w:val="0073788F"/>
    <w:rsid w:val="0074077E"/>
    <w:rsid w:val="00741CD7"/>
    <w:rsid w:val="00742631"/>
    <w:rsid w:val="00742DE0"/>
    <w:rsid w:val="007432CD"/>
    <w:rsid w:val="00743A10"/>
    <w:rsid w:val="00743BAD"/>
    <w:rsid w:val="00745A5F"/>
    <w:rsid w:val="00746F8F"/>
    <w:rsid w:val="00747678"/>
    <w:rsid w:val="00750796"/>
    <w:rsid w:val="007534F8"/>
    <w:rsid w:val="0075404F"/>
    <w:rsid w:val="00754672"/>
    <w:rsid w:val="007558ED"/>
    <w:rsid w:val="007560F1"/>
    <w:rsid w:val="00757C5C"/>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35B7"/>
    <w:rsid w:val="007B41DD"/>
    <w:rsid w:val="007B5199"/>
    <w:rsid w:val="007B74AA"/>
    <w:rsid w:val="007C285F"/>
    <w:rsid w:val="007C3A41"/>
    <w:rsid w:val="007C7191"/>
    <w:rsid w:val="007C7392"/>
    <w:rsid w:val="007D091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78E"/>
    <w:rsid w:val="007F1FD4"/>
    <w:rsid w:val="007F246C"/>
    <w:rsid w:val="007F2A90"/>
    <w:rsid w:val="007F5265"/>
    <w:rsid w:val="007F5542"/>
    <w:rsid w:val="007F60B7"/>
    <w:rsid w:val="007F7757"/>
    <w:rsid w:val="00800D32"/>
    <w:rsid w:val="0080187D"/>
    <w:rsid w:val="00802495"/>
    <w:rsid w:val="0080272E"/>
    <w:rsid w:val="0080293D"/>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937"/>
    <w:rsid w:val="00854AAE"/>
    <w:rsid w:val="00856CDB"/>
    <w:rsid w:val="00860243"/>
    <w:rsid w:val="00862ACA"/>
    <w:rsid w:val="00863B5C"/>
    <w:rsid w:val="00863E35"/>
    <w:rsid w:val="0086480C"/>
    <w:rsid w:val="008650B1"/>
    <w:rsid w:val="0086680C"/>
    <w:rsid w:val="00866A4F"/>
    <w:rsid w:val="00866F44"/>
    <w:rsid w:val="00867AF8"/>
    <w:rsid w:val="00870F86"/>
    <w:rsid w:val="00872792"/>
    <w:rsid w:val="00872F07"/>
    <w:rsid w:val="00873EFF"/>
    <w:rsid w:val="008749E8"/>
    <w:rsid w:val="00876774"/>
    <w:rsid w:val="008767DA"/>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4C63"/>
    <w:rsid w:val="008F5FAF"/>
    <w:rsid w:val="008F74C2"/>
    <w:rsid w:val="008F7CEE"/>
    <w:rsid w:val="0090099B"/>
    <w:rsid w:val="00900E6F"/>
    <w:rsid w:val="00901C53"/>
    <w:rsid w:val="00902767"/>
    <w:rsid w:val="00902BB7"/>
    <w:rsid w:val="009048BF"/>
    <w:rsid w:val="00911E06"/>
    <w:rsid w:val="009124E7"/>
    <w:rsid w:val="00912F15"/>
    <w:rsid w:val="00916658"/>
    <w:rsid w:val="00916674"/>
    <w:rsid w:val="00916D23"/>
    <w:rsid w:val="00916FAC"/>
    <w:rsid w:val="0091768B"/>
    <w:rsid w:val="00920FD0"/>
    <w:rsid w:val="00922AA7"/>
    <w:rsid w:val="00922C6F"/>
    <w:rsid w:val="00922D6B"/>
    <w:rsid w:val="00923155"/>
    <w:rsid w:val="009250BC"/>
    <w:rsid w:val="00925391"/>
    <w:rsid w:val="009254E0"/>
    <w:rsid w:val="00925CEA"/>
    <w:rsid w:val="00927A0F"/>
    <w:rsid w:val="00927A30"/>
    <w:rsid w:val="00927DC6"/>
    <w:rsid w:val="00931129"/>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61CD1"/>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17127"/>
    <w:rsid w:val="00A2127E"/>
    <w:rsid w:val="00A233E0"/>
    <w:rsid w:val="00A23C0F"/>
    <w:rsid w:val="00A24F5B"/>
    <w:rsid w:val="00A26353"/>
    <w:rsid w:val="00A26E89"/>
    <w:rsid w:val="00A274B4"/>
    <w:rsid w:val="00A27E5C"/>
    <w:rsid w:val="00A306EB"/>
    <w:rsid w:val="00A31484"/>
    <w:rsid w:val="00A352DB"/>
    <w:rsid w:val="00A358CC"/>
    <w:rsid w:val="00A35BC3"/>
    <w:rsid w:val="00A35F5B"/>
    <w:rsid w:val="00A361CE"/>
    <w:rsid w:val="00A4104A"/>
    <w:rsid w:val="00A45770"/>
    <w:rsid w:val="00A45865"/>
    <w:rsid w:val="00A50DAA"/>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302A"/>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C7B66"/>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5128"/>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06D4"/>
    <w:rsid w:val="00BA1A18"/>
    <w:rsid w:val="00BA45E6"/>
    <w:rsid w:val="00BA5E6F"/>
    <w:rsid w:val="00BB0D04"/>
    <w:rsid w:val="00BB104E"/>
    <w:rsid w:val="00BB29FA"/>
    <w:rsid w:val="00BB2B15"/>
    <w:rsid w:val="00BB3410"/>
    <w:rsid w:val="00BB432F"/>
    <w:rsid w:val="00BB49A7"/>
    <w:rsid w:val="00BB49C0"/>
    <w:rsid w:val="00BB6C98"/>
    <w:rsid w:val="00BB6F4C"/>
    <w:rsid w:val="00BB6FB5"/>
    <w:rsid w:val="00BB753F"/>
    <w:rsid w:val="00BB7DA0"/>
    <w:rsid w:val="00BB7FF2"/>
    <w:rsid w:val="00BC0B1A"/>
    <w:rsid w:val="00BC1522"/>
    <w:rsid w:val="00BC1BF0"/>
    <w:rsid w:val="00BC3541"/>
    <w:rsid w:val="00BC3DD2"/>
    <w:rsid w:val="00BD12E4"/>
    <w:rsid w:val="00BD1991"/>
    <w:rsid w:val="00BD326F"/>
    <w:rsid w:val="00BD3E52"/>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3E61"/>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56A8"/>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3C"/>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0EB5"/>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225D"/>
    <w:rsid w:val="00E2389F"/>
    <w:rsid w:val="00E25157"/>
    <w:rsid w:val="00E27F78"/>
    <w:rsid w:val="00E30F8E"/>
    <w:rsid w:val="00E3122D"/>
    <w:rsid w:val="00E33FC1"/>
    <w:rsid w:val="00E3518D"/>
    <w:rsid w:val="00E35BF8"/>
    <w:rsid w:val="00E37A2B"/>
    <w:rsid w:val="00E40D81"/>
    <w:rsid w:val="00E42EA6"/>
    <w:rsid w:val="00E439D8"/>
    <w:rsid w:val="00E4587B"/>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D69"/>
    <w:rsid w:val="00E74511"/>
    <w:rsid w:val="00E75438"/>
    <w:rsid w:val="00E75DBD"/>
    <w:rsid w:val="00E777B0"/>
    <w:rsid w:val="00E77E40"/>
    <w:rsid w:val="00E815E1"/>
    <w:rsid w:val="00E833F8"/>
    <w:rsid w:val="00E83D5C"/>
    <w:rsid w:val="00E85622"/>
    <w:rsid w:val="00E87F99"/>
    <w:rsid w:val="00E87FCD"/>
    <w:rsid w:val="00E91C6A"/>
    <w:rsid w:val="00E91EA2"/>
    <w:rsid w:val="00E94E34"/>
    <w:rsid w:val="00E957A4"/>
    <w:rsid w:val="00E97093"/>
    <w:rsid w:val="00EA0CF2"/>
    <w:rsid w:val="00EA0D20"/>
    <w:rsid w:val="00EA3AE4"/>
    <w:rsid w:val="00EA4A33"/>
    <w:rsid w:val="00EA58E6"/>
    <w:rsid w:val="00EA5A8E"/>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774"/>
    <w:rsid w:val="00EE68B7"/>
    <w:rsid w:val="00EE7609"/>
    <w:rsid w:val="00EE782C"/>
    <w:rsid w:val="00EF2E9D"/>
    <w:rsid w:val="00EF3B34"/>
    <w:rsid w:val="00EF46E9"/>
    <w:rsid w:val="00EF65DF"/>
    <w:rsid w:val="00EF71E8"/>
    <w:rsid w:val="00EF7A31"/>
    <w:rsid w:val="00EF7B2E"/>
    <w:rsid w:val="00F0015C"/>
    <w:rsid w:val="00F02003"/>
    <w:rsid w:val="00F028CE"/>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2A35"/>
    <w:rsid w:val="00F43533"/>
    <w:rsid w:val="00F440BC"/>
    <w:rsid w:val="00F462DB"/>
    <w:rsid w:val="00F47EAC"/>
    <w:rsid w:val="00F5019F"/>
    <w:rsid w:val="00F50C29"/>
    <w:rsid w:val="00F51F05"/>
    <w:rsid w:val="00F55831"/>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1CAB"/>
    <w:rsid w:val="00F823FF"/>
    <w:rsid w:val="00F84AF9"/>
    <w:rsid w:val="00F85BB1"/>
    <w:rsid w:val="00F8697C"/>
    <w:rsid w:val="00F904F9"/>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678D"/>
    <w:rsid w:val="00FB6E02"/>
    <w:rsid w:val="00FB72D9"/>
    <w:rsid w:val="00FB7CBF"/>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0FF6292"/>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regulation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2024-11-06T16:06:23+00:00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infopath/2007/PartnerControls"/>
    <ds:schemaRef ds:uri="4ffa91fb-a0ff-4ac5-b2db-65c790d184a4"/>
    <ds:schemaRef ds:uri="http://schemas.openxmlformats.org/package/2006/metadata/core-properties"/>
    <ds:schemaRef ds:uri="http://www.w3.org/XML/1998/namespace"/>
    <ds:schemaRef ds:uri="http://purl.org/dc/terms/"/>
    <ds:schemaRef ds:uri="http://purl.org/dc/elements/1.1/"/>
    <ds:schemaRef ds:uri="96fc5250-dc30-4f01-945b-7e46a880eeb3"/>
    <ds:schemaRef ds:uri="http://purl.org/dc/dcmitype/"/>
    <ds:schemaRef ds:uri="http://schemas.microsoft.com/office/2006/documentManagement/types"/>
    <ds:schemaRef ds:uri="http://schemas.microsoft.com/office/2006/metadata/properties"/>
    <ds:schemaRef ds:uri="http://schemas.microsoft.com/sharepoint/v3"/>
    <ds:schemaRef ds:uri="02fe02c4-dc41-46ff-9d52-90c0a1b1f611"/>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30BF9F5D-5631-44B5-812A-DE40E1AF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15156-B4BC-4674-AB69-7BC18B5A4AA8}">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18</Pages>
  <Words>6773</Words>
  <Characters>37051</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Basati, Hardeep</cp:lastModifiedBy>
  <cp:revision>133</cp:revision>
  <dcterms:created xsi:type="dcterms:W3CDTF">2024-08-23T18:11:00Z</dcterms:created>
  <dcterms:modified xsi:type="dcterms:W3CDTF">2024-11-06T21:18:00Z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