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0BA" w:rsidRPr="00AA5CC0" w:rsidP="00B850BA" w14:paraId="6512285E" w14:textId="77777777">
      <w:pPr>
        <w:pStyle w:val="Title"/>
        <w:spacing w:after="0"/>
        <w:rPr>
          <w:rFonts w:ascii="Calibri" w:hAnsi="Calibri" w:cs="Calibri"/>
          <w:szCs w:val="28"/>
        </w:rPr>
      </w:pPr>
      <w:r w:rsidRPr="00AA5CC0">
        <w:rPr>
          <w:rFonts w:ascii="Calibri" w:hAnsi="Calibri" w:cs="Calibri"/>
          <w:noProof/>
          <w:szCs w:val="28"/>
        </w:rPr>
        <mc:AlternateContent>
          <mc:Choice Requires="wps">
            <w:drawing>
              <wp:anchor distT="0" distB="0" distL="114300" distR="114300" simplePos="0" relativeHeight="251658240" behindDoc="0" locked="0" layoutInCell="1" allowOverlap="1">
                <wp:simplePos x="0" y="0"/>
                <wp:positionH relativeFrom="column">
                  <wp:posOffset>-69351</wp:posOffset>
                </wp:positionH>
                <wp:positionV relativeFrom="paragraph">
                  <wp:posOffset>516276</wp:posOffset>
                </wp:positionV>
                <wp:extent cx="6267236"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267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5.45pt,40.65pt" to="488.05pt,40.65pt" strokecolor="black"/>
            </w:pict>
          </mc:Fallback>
        </mc:AlternateContent>
      </w:r>
      <w:r w:rsidRPr="00AA5CC0" w:rsidR="00C240A7">
        <w:rPr>
          <w:rFonts w:ascii="Calibri" w:hAnsi="Calibri" w:cs="Calibri"/>
          <w:szCs w:val="28"/>
        </w:rPr>
        <w:t>Supporting Statement for a</w:t>
      </w:r>
      <w:r w:rsidRPr="00AA5CC0" w:rsidR="002F4C55">
        <w:rPr>
          <w:rFonts w:ascii="Calibri" w:hAnsi="Calibri" w:cs="Calibri"/>
          <w:szCs w:val="28"/>
        </w:rPr>
        <w:t xml:space="preserve">n Information Collection Request (ICR) </w:t>
      </w:r>
    </w:p>
    <w:p w:rsidR="00C240A7" w:rsidRPr="00AA5CC0" w:rsidP="00B850BA" w14:paraId="461A18CF" w14:textId="29C792B8">
      <w:pPr>
        <w:pStyle w:val="Title"/>
        <w:spacing w:after="0"/>
        <w:rPr>
          <w:rFonts w:ascii="Calibri" w:hAnsi="Calibri" w:cs="Calibri"/>
          <w:szCs w:val="28"/>
        </w:rPr>
      </w:pPr>
      <w:r w:rsidRPr="00AA5CC0">
        <w:rPr>
          <w:rFonts w:ascii="Calibri" w:hAnsi="Calibri" w:cs="Calibri"/>
          <w:szCs w:val="28"/>
        </w:rPr>
        <w:t>U</w:t>
      </w:r>
      <w:r w:rsidRPr="00AA5CC0">
        <w:rPr>
          <w:rFonts w:ascii="Calibri" w:hAnsi="Calibri" w:cs="Calibri"/>
          <w:szCs w:val="28"/>
        </w:rPr>
        <w:t>nder</w:t>
      </w:r>
      <w:r w:rsidRPr="00AA5CC0" w:rsidR="0064433A">
        <w:rPr>
          <w:rFonts w:ascii="Calibri" w:hAnsi="Calibri" w:cs="Calibri"/>
          <w:szCs w:val="28"/>
        </w:rPr>
        <w:t xml:space="preserve"> t</w:t>
      </w:r>
      <w:r w:rsidRPr="00AA5CC0">
        <w:rPr>
          <w:rFonts w:ascii="Calibri" w:hAnsi="Calibri" w:cs="Calibri"/>
          <w:szCs w:val="28"/>
        </w:rPr>
        <w:t>he Paperwork Reduction Act</w:t>
      </w:r>
    </w:p>
    <w:p w:rsidR="00B850BA" w:rsidRPr="00A70809" w:rsidP="00BC15B0" w14:paraId="76E31DEA" w14:textId="77777777">
      <w:pPr>
        <w:spacing w:after="0"/>
        <w:rPr>
          <w:rFonts w:ascii="Calibri" w:hAnsi="Calibri" w:cs="Calibri"/>
        </w:rPr>
      </w:pPr>
    </w:p>
    <w:p w:rsidR="000E6CB6" w:rsidRPr="00BC15B0" w:rsidP="00BC15B0" w14:paraId="32BBB072" w14:textId="77777777">
      <w:pPr>
        <w:pStyle w:val="Heading1"/>
        <w:spacing w:before="240"/>
        <w:rPr>
          <w:rFonts w:ascii="Calibri" w:hAnsi="Calibri" w:cs="Calibri"/>
        </w:rPr>
      </w:pPr>
      <w:r w:rsidRPr="00BC15B0">
        <w:rPr>
          <w:rFonts w:ascii="Calibri" w:hAnsi="Calibri" w:cs="Calibri"/>
        </w:rPr>
        <w:t>EXECUTIVE SUMMARY</w:t>
      </w:r>
    </w:p>
    <w:p w:rsidR="00C240A7" w:rsidRPr="00745CA8" w:rsidP="002135F5" w14:paraId="3F7F5563" w14:textId="1CFEE79E">
      <w:pPr>
        <w:pStyle w:val="Heading1"/>
        <w:spacing w:before="240" w:line="259" w:lineRule="auto"/>
        <w:rPr>
          <w:rFonts w:ascii="Calibri" w:hAnsi="Calibri" w:cs="Calibri"/>
          <w:i/>
          <w:iCs/>
        </w:rPr>
      </w:pPr>
      <w:bookmarkStart w:id="0" w:name="_Hlk174462192"/>
      <w:r w:rsidRPr="00745CA8">
        <w:rPr>
          <w:rFonts w:ascii="Calibri" w:hAnsi="Calibri" w:cs="Calibri"/>
          <w:i/>
          <w:iCs/>
        </w:rPr>
        <w:t>Identification of the Information Collection -Title and Numbers</w:t>
      </w:r>
    </w:p>
    <w:bookmarkEnd w:id="0"/>
    <w:p w:rsidR="001F0D81" w:rsidRPr="0024638E" w:rsidP="0024638E" w14:paraId="7510D021" w14:textId="561B1307">
      <w:pPr>
        <w:ind w:left="360" w:firstLine="0"/>
        <w:rPr>
          <w:rFonts w:asciiTheme="minorHAnsi" w:hAnsiTheme="minorHAnsi" w:cstheme="minorHAnsi"/>
        </w:rPr>
      </w:pPr>
      <w:r w:rsidRPr="0024638E">
        <w:rPr>
          <w:rFonts w:asciiTheme="minorHAnsi" w:hAnsiTheme="minorHAnsi" w:cstheme="minorHAnsi"/>
        </w:rPr>
        <w:t>Title</w:t>
      </w:r>
      <w:r w:rsidRPr="0024638E" w:rsidR="00C240A7">
        <w:rPr>
          <w:rFonts w:asciiTheme="minorHAnsi" w:hAnsiTheme="minorHAnsi" w:cstheme="minorHAnsi"/>
        </w:rPr>
        <w:t>:</w:t>
      </w:r>
      <w:bookmarkStart w:id="1" w:name="_Hlk152072169"/>
      <w:r w:rsidRPr="0024638E" w:rsidR="009548BA">
        <w:rPr>
          <w:rFonts w:asciiTheme="minorHAnsi" w:hAnsiTheme="minorHAnsi" w:cstheme="minorHAnsi"/>
        </w:rPr>
        <w:tab/>
      </w:r>
      <w:r w:rsidRPr="0024638E" w:rsidR="00C240A7">
        <w:rPr>
          <w:rFonts w:asciiTheme="minorHAnsi" w:hAnsiTheme="minorHAnsi" w:cstheme="minorHAnsi"/>
        </w:rPr>
        <w:t xml:space="preserve">Reporting and Recordkeeping for Asbestos Abatement Worker </w:t>
      </w:r>
      <w:r w:rsidRPr="0024638E" w:rsidR="000E7B49">
        <w:rPr>
          <w:rFonts w:asciiTheme="minorHAnsi" w:hAnsiTheme="minorHAnsi" w:cstheme="minorHAnsi"/>
        </w:rPr>
        <w:t>P</w:t>
      </w:r>
      <w:r w:rsidRPr="0024638E" w:rsidR="00C240A7">
        <w:rPr>
          <w:rFonts w:asciiTheme="minorHAnsi" w:hAnsiTheme="minorHAnsi" w:cstheme="minorHAnsi"/>
        </w:rPr>
        <w:t>rotection</w:t>
      </w:r>
      <w:bookmarkEnd w:id="1"/>
    </w:p>
    <w:p w:rsidR="00B279BE" w:rsidRPr="0024638E" w:rsidP="0024638E" w14:paraId="1165C7AF" w14:textId="125674BE">
      <w:pPr>
        <w:ind w:left="360" w:firstLine="0"/>
        <w:rPr>
          <w:rFonts w:asciiTheme="minorHAnsi" w:hAnsiTheme="minorHAnsi" w:cstheme="minorHAnsi"/>
        </w:rPr>
      </w:pPr>
      <w:r w:rsidRPr="0024638E">
        <w:rPr>
          <w:rFonts w:asciiTheme="minorHAnsi" w:hAnsiTheme="minorHAnsi" w:cstheme="minorHAnsi"/>
        </w:rPr>
        <w:t xml:space="preserve">EPA ICR No.: </w:t>
      </w:r>
      <w:r w:rsidRPr="0024638E" w:rsidR="000E7B49">
        <w:rPr>
          <w:rFonts w:asciiTheme="minorHAnsi" w:hAnsiTheme="minorHAnsi" w:cstheme="minorHAnsi"/>
        </w:rPr>
        <w:tab/>
      </w:r>
      <w:r w:rsidRPr="0024638E" w:rsidR="000E7B49">
        <w:rPr>
          <w:rFonts w:asciiTheme="minorHAnsi" w:hAnsiTheme="minorHAnsi" w:cstheme="minorHAnsi"/>
        </w:rPr>
        <w:tab/>
      </w:r>
      <w:r w:rsidRPr="0024638E" w:rsidR="000E7B49">
        <w:rPr>
          <w:rFonts w:asciiTheme="minorHAnsi" w:hAnsiTheme="minorHAnsi" w:cstheme="minorHAnsi"/>
        </w:rPr>
        <w:tab/>
      </w:r>
      <w:r w:rsidRPr="0024638E" w:rsidR="000E7B49">
        <w:rPr>
          <w:rFonts w:asciiTheme="minorHAnsi" w:hAnsiTheme="minorHAnsi" w:cstheme="minorHAnsi"/>
        </w:rPr>
        <w:tab/>
      </w:r>
      <w:r w:rsidRPr="0024638E" w:rsidR="00C240A7">
        <w:rPr>
          <w:rFonts w:asciiTheme="minorHAnsi" w:hAnsiTheme="minorHAnsi" w:cstheme="minorHAnsi"/>
        </w:rPr>
        <w:t>1246.1</w:t>
      </w:r>
      <w:r w:rsidRPr="0024638E" w:rsidR="00677FCA">
        <w:rPr>
          <w:rFonts w:asciiTheme="minorHAnsi" w:hAnsiTheme="minorHAnsi" w:cstheme="minorHAnsi"/>
        </w:rPr>
        <w:t>5</w:t>
      </w:r>
    </w:p>
    <w:p w:rsidR="001F0D81" w:rsidRPr="0024638E" w:rsidP="0024638E" w14:paraId="0F71349C" w14:textId="6A3E0A01">
      <w:pPr>
        <w:ind w:left="360" w:firstLine="0"/>
        <w:rPr>
          <w:rFonts w:asciiTheme="minorHAnsi" w:hAnsiTheme="minorHAnsi" w:cstheme="minorHAnsi"/>
        </w:rPr>
      </w:pPr>
      <w:r w:rsidRPr="0024638E">
        <w:rPr>
          <w:rFonts w:asciiTheme="minorHAnsi" w:hAnsiTheme="minorHAnsi" w:cstheme="minorHAnsi"/>
        </w:rPr>
        <w:t>OMB Control No.:</w:t>
      </w:r>
      <w:r w:rsidRPr="0024638E" w:rsidR="0839EC7A">
        <w:rPr>
          <w:rFonts w:asciiTheme="minorHAnsi" w:hAnsiTheme="minorHAnsi" w:cstheme="minorHAnsi"/>
        </w:rPr>
        <w:t xml:space="preserve"> </w:t>
      </w:r>
      <w:r w:rsidRPr="0024638E" w:rsidR="000E7B49">
        <w:rPr>
          <w:rFonts w:asciiTheme="minorHAnsi" w:hAnsiTheme="minorHAnsi" w:cstheme="minorHAnsi"/>
        </w:rPr>
        <w:tab/>
      </w:r>
      <w:r w:rsidRPr="0024638E" w:rsidR="000E7B49">
        <w:rPr>
          <w:rFonts w:asciiTheme="minorHAnsi" w:hAnsiTheme="minorHAnsi" w:cstheme="minorHAnsi"/>
        </w:rPr>
        <w:tab/>
      </w:r>
      <w:r w:rsidR="0083681E">
        <w:rPr>
          <w:rFonts w:asciiTheme="minorHAnsi" w:hAnsiTheme="minorHAnsi" w:cstheme="minorHAnsi"/>
        </w:rPr>
        <w:tab/>
      </w:r>
      <w:r w:rsidRPr="0024638E">
        <w:rPr>
          <w:rFonts w:asciiTheme="minorHAnsi" w:hAnsiTheme="minorHAnsi" w:cstheme="minorHAnsi"/>
        </w:rPr>
        <w:t>2070-0072</w:t>
      </w:r>
    </w:p>
    <w:p w:rsidR="003909C7" w:rsidRPr="0024638E" w:rsidP="0024638E" w14:paraId="5D0492BF" w14:textId="51879B4C">
      <w:pPr>
        <w:ind w:left="360" w:firstLine="0"/>
        <w:rPr>
          <w:rFonts w:eastAsia="Calibri" w:asciiTheme="minorHAnsi" w:hAnsiTheme="minorHAnsi" w:cstheme="minorHAnsi"/>
        </w:rPr>
      </w:pPr>
      <w:r w:rsidRPr="0024638E">
        <w:rPr>
          <w:rFonts w:eastAsia="Calibri" w:asciiTheme="minorHAnsi" w:hAnsiTheme="minorHAnsi" w:cstheme="minorHAnsi"/>
        </w:rPr>
        <w:t xml:space="preserve">Docket ID No.: </w:t>
      </w:r>
      <w:r w:rsidRPr="0024638E" w:rsidR="000E7B49">
        <w:rPr>
          <w:rFonts w:eastAsia="Calibri" w:asciiTheme="minorHAnsi" w:hAnsiTheme="minorHAnsi" w:cstheme="minorHAnsi"/>
        </w:rPr>
        <w:tab/>
      </w:r>
      <w:r w:rsidRPr="0024638E" w:rsidR="000E7B49">
        <w:rPr>
          <w:rFonts w:eastAsia="Calibri" w:asciiTheme="minorHAnsi" w:hAnsiTheme="minorHAnsi" w:cstheme="minorHAnsi"/>
        </w:rPr>
        <w:tab/>
      </w:r>
      <w:r w:rsidRPr="0024638E" w:rsidR="000E7B49">
        <w:rPr>
          <w:rFonts w:eastAsia="Calibri" w:asciiTheme="minorHAnsi" w:hAnsiTheme="minorHAnsi" w:cstheme="minorHAnsi"/>
        </w:rPr>
        <w:tab/>
      </w:r>
      <w:r w:rsidRPr="0024638E">
        <w:rPr>
          <w:rFonts w:eastAsia="Calibri" w:asciiTheme="minorHAnsi" w:hAnsiTheme="minorHAnsi" w:cstheme="minorHAnsi"/>
        </w:rPr>
        <w:t>EPA-HQ-OPPT-20</w:t>
      </w:r>
      <w:r w:rsidRPr="0024638E" w:rsidR="689B6E65">
        <w:rPr>
          <w:rFonts w:eastAsia="Calibri" w:asciiTheme="minorHAnsi" w:hAnsiTheme="minorHAnsi" w:cstheme="minorHAnsi"/>
        </w:rPr>
        <w:t>20-0262</w:t>
      </w:r>
    </w:p>
    <w:p w:rsidR="0024638E" w:rsidP="0024638E" w14:paraId="06FB096C" w14:textId="77777777">
      <w:pPr>
        <w:pStyle w:val="Heading1"/>
        <w:spacing w:before="240" w:line="276" w:lineRule="auto"/>
        <w:rPr>
          <w:rFonts w:ascii="Calibri" w:hAnsi="Calibri" w:cs="Calibri"/>
          <w:i/>
          <w:iCs/>
          <w:szCs w:val="24"/>
        </w:rPr>
      </w:pPr>
      <w:r w:rsidRPr="007A7788">
        <w:rPr>
          <w:rFonts w:ascii="Calibri" w:hAnsi="Calibri" w:cs="Calibri"/>
          <w:i/>
          <w:iCs/>
          <w:szCs w:val="24"/>
        </w:rPr>
        <w:t>Abstract</w:t>
      </w:r>
    </w:p>
    <w:p w:rsidR="001E226E" w:rsidRPr="0024638E" w:rsidP="00745CA8" w14:paraId="02F82E91" w14:textId="6C57FFBE">
      <w:pPr>
        <w:ind w:firstLine="0"/>
        <w:rPr>
          <w:rFonts w:asciiTheme="minorHAnsi" w:hAnsiTheme="minorHAnsi" w:cstheme="minorHAnsi"/>
        </w:rPr>
      </w:pPr>
      <w:r w:rsidRPr="0024638E">
        <w:rPr>
          <w:rFonts w:asciiTheme="minorHAnsi" w:hAnsiTheme="minorHAnsi" w:cstheme="minorHAnsi"/>
        </w:rPr>
        <w:t>This ICR covers reporting and recordkeeping requirements associated with EPA’s workplace standards for the protection of state and local government employees who work with asbestos and who are not covered by a state plan approved by the Occupational Safety and Health Administration.</w:t>
      </w:r>
      <w:r w:rsidRPr="0024638E" w:rsidR="007A7788">
        <w:rPr>
          <w:rFonts w:asciiTheme="minorHAnsi" w:hAnsiTheme="minorHAnsi" w:cstheme="minorHAnsi"/>
        </w:rPr>
        <w:t xml:space="preserve"> Currently, some 23 states and state equivalent territories </w:t>
      </w:r>
      <w:r w:rsidRPr="0024638E" w:rsidR="00E049DF">
        <w:rPr>
          <w:rFonts w:asciiTheme="minorHAnsi" w:hAnsiTheme="minorHAnsi" w:cstheme="minorHAnsi"/>
        </w:rPr>
        <w:t xml:space="preserve">have </w:t>
      </w:r>
      <w:r w:rsidRPr="0024638E" w:rsidR="004E25FE">
        <w:rPr>
          <w:rFonts w:asciiTheme="minorHAnsi" w:hAnsiTheme="minorHAnsi" w:cstheme="minorHAnsi"/>
        </w:rPr>
        <w:t>re</w:t>
      </w:r>
      <w:r w:rsidRPr="0024638E" w:rsidR="00E049DF">
        <w:rPr>
          <w:rFonts w:asciiTheme="minorHAnsi" w:hAnsiTheme="minorHAnsi" w:cstheme="minorHAnsi"/>
        </w:rPr>
        <w:t>porting and re</w:t>
      </w:r>
      <w:r w:rsidRPr="0024638E" w:rsidR="004E25FE">
        <w:rPr>
          <w:rFonts w:asciiTheme="minorHAnsi" w:hAnsiTheme="minorHAnsi" w:cstheme="minorHAnsi"/>
        </w:rPr>
        <w:t>cord</w:t>
      </w:r>
      <w:r w:rsidRPr="0024638E" w:rsidR="00E049DF">
        <w:rPr>
          <w:rFonts w:asciiTheme="minorHAnsi" w:hAnsiTheme="minorHAnsi" w:cstheme="minorHAnsi"/>
        </w:rPr>
        <w:t xml:space="preserve">keeping </w:t>
      </w:r>
      <w:r w:rsidRPr="0024638E" w:rsidR="004E25FE">
        <w:rPr>
          <w:rFonts w:asciiTheme="minorHAnsi" w:hAnsiTheme="minorHAnsi" w:cstheme="minorHAnsi"/>
        </w:rPr>
        <w:t xml:space="preserve">requirements under </w:t>
      </w:r>
      <w:r w:rsidRPr="0024638E" w:rsidR="00D85D80">
        <w:rPr>
          <w:rFonts w:asciiTheme="minorHAnsi" w:hAnsiTheme="minorHAnsi" w:cstheme="minorHAnsi"/>
        </w:rPr>
        <w:t xml:space="preserve">the </w:t>
      </w:r>
      <w:r w:rsidRPr="0024638E" w:rsidR="004E25FE">
        <w:rPr>
          <w:rFonts w:asciiTheme="minorHAnsi" w:hAnsiTheme="minorHAnsi" w:cstheme="minorHAnsi"/>
        </w:rPr>
        <w:t>Toxic Substances Control Act</w:t>
      </w:r>
      <w:r w:rsidRPr="0024638E" w:rsidR="00D85D80">
        <w:rPr>
          <w:rFonts w:asciiTheme="minorHAnsi" w:hAnsiTheme="minorHAnsi" w:cstheme="minorHAnsi"/>
        </w:rPr>
        <w:t xml:space="preserve">, Section 8, </w:t>
      </w:r>
      <w:r w:rsidRPr="0024638E" w:rsidR="00E049DF">
        <w:rPr>
          <w:rFonts w:asciiTheme="minorHAnsi" w:hAnsiTheme="minorHAnsi" w:cstheme="minorHAnsi"/>
        </w:rPr>
        <w:t xml:space="preserve">documenting </w:t>
      </w:r>
      <w:r w:rsidRPr="0024638E" w:rsidR="00B20D0D">
        <w:rPr>
          <w:rFonts w:asciiTheme="minorHAnsi" w:hAnsiTheme="minorHAnsi" w:cstheme="minorHAnsi"/>
        </w:rPr>
        <w:t xml:space="preserve">worker protection </w:t>
      </w:r>
      <w:r w:rsidRPr="0024638E" w:rsidR="00E049DF">
        <w:rPr>
          <w:rFonts w:asciiTheme="minorHAnsi" w:hAnsiTheme="minorHAnsi" w:cstheme="minorHAnsi"/>
        </w:rPr>
        <w:t xml:space="preserve">actions for </w:t>
      </w:r>
      <w:r w:rsidRPr="0024638E" w:rsidR="00B20D0D">
        <w:rPr>
          <w:rFonts w:asciiTheme="minorHAnsi" w:hAnsiTheme="minorHAnsi" w:cstheme="minorHAnsi"/>
        </w:rPr>
        <w:t>state and local government employees involved in asbestos work</w:t>
      </w:r>
      <w:r w:rsidRPr="0024638E" w:rsidR="00AD7778">
        <w:rPr>
          <w:rFonts w:asciiTheme="minorHAnsi" w:hAnsiTheme="minorHAnsi" w:cstheme="minorHAnsi"/>
        </w:rPr>
        <w:t>.</w:t>
      </w:r>
      <w:r w:rsidRPr="0024638E" w:rsidR="00B20D0D">
        <w:rPr>
          <w:rFonts w:asciiTheme="minorHAnsi" w:hAnsiTheme="minorHAnsi" w:cstheme="minorHAnsi"/>
        </w:rPr>
        <w:t xml:space="preserve"> </w:t>
      </w:r>
      <w:r w:rsidRPr="0024638E" w:rsidR="007A7788">
        <w:rPr>
          <w:rFonts w:asciiTheme="minorHAnsi" w:hAnsiTheme="minorHAnsi" w:cstheme="minorHAnsi"/>
        </w:rPr>
        <w:t xml:space="preserve">EPA's asbestos work protection regulations incorporate, by reference, the OSHA Construction Industry Standard for </w:t>
      </w:r>
      <w:r w:rsidRPr="0024638E" w:rsidR="006301E8">
        <w:rPr>
          <w:rFonts w:asciiTheme="minorHAnsi" w:hAnsiTheme="minorHAnsi" w:cstheme="minorHAnsi"/>
        </w:rPr>
        <w:t>Asbestos,</w:t>
      </w:r>
      <w:r w:rsidRPr="0024638E" w:rsidR="007A7788">
        <w:rPr>
          <w:rFonts w:asciiTheme="minorHAnsi" w:hAnsiTheme="minorHAnsi" w:cstheme="minorHAnsi"/>
        </w:rPr>
        <w:t xml:space="preserve"> and the General Industry Standard for Asbestos</w:t>
      </w:r>
      <w:r w:rsidRPr="0024638E" w:rsidR="00B20D0D">
        <w:rPr>
          <w:rFonts w:asciiTheme="minorHAnsi" w:hAnsiTheme="minorHAnsi" w:cstheme="minorHAnsi"/>
        </w:rPr>
        <w:t>.</w:t>
      </w:r>
      <w:r w:rsidRPr="0024638E" w:rsidR="00AD7778">
        <w:rPr>
          <w:rFonts w:asciiTheme="minorHAnsi" w:hAnsiTheme="minorHAnsi" w:cstheme="minorHAnsi"/>
        </w:rPr>
        <w:t xml:space="preserve"> EPA does not collect any information under this collection. All information subject to this collection request is to be gathered and maintained by the employer.</w:t>
      </w:r>
    </w:p>
    <w:p w:rsidR="00F06DF8" w:rsidRPr="00BC15B0" w:rsidP="008F708D" w14:paraId="034C6D76" w14:textId="77777777">
      <w:pPr>
        <w:pStyle w:val="Heading3"/>
        <w:spacing w:before="0" w:line="276" w:lineRule="auto"/>
        <w:rPr>
          <w:rFonts w:ascii="Calibri" w:hAnsi="Calibri" w:cs="Calibri"/>
          <w:b/>
          <w:bCs/>
          <w:i/>
          <w:iCs/>
          <w:color w:val="auto"/>
        </w:rPr>
      </w:pPr>
      <w:r w:rsidRPr="00BC15B0">
        <w:rPr>
          <w:rFonts w:ascii="Calibri" w:hAnsi="Calibri" w:cs="Calibri"/>
          <w:b/>
          <w:bCs/>
          <w:iCs/>
          <w:color w:val="auto"/>
        </w:rPr>
        <w:t>Summary Total Burden and Costs</w:t>
      </w: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50"/>
        <w:gridCol w:w="1609"/>
        <w:gridCol w:w="1580"/>
        <w:gridCol w:w="1461"/>
        <w:gridCol w:w="1862"/>
      </w:tblGrid>
      <w:tr w14:paraId="2DE940DE" w14:textId="77777777" w:rsidTr="00A8517E">
        <w:tblPrEx>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91"/>
        </w:trPr>
        <w:tc>
          <w:tcPr>
            <w:tcW w:w="1756" w:type="dxa"/>
            <w:shd w:val="clear" w:color="auto" w:fill="auto"/>
            <w:vAlign w:val="bottom"/>
          </w:tcPr>
          <w:p w:rsidR="00F06DF8" w:rsidRPr="009548BA" w:rsidP="000D5979" w14:paraId="260FEF0E" w14:textId="77777777">
            <w:pPr>
              <w:pStyle w:val="NoSpacing"/>
              <w:spacing w:after="0"/>
              <w:ind w:firstLine="0"/>
              <w:jc w:val="center"/>
              <w:rPr>
                <w:rFonts w:ascii="Calibri" w:hAnsi="Calibri" w:cs="Calibri"/>
                <w:b/>
                <w:bCs/>
                <w:sz w:val="22"/>
                <w:highlight w:val="yellow"/>
              </w:rPr>
            </w:pPr>
            <w:r w:rsidRPr="009548BA">
              <w:rPr>
                <w:rFonts w:ascii="Calibri" w:hAnsi="Calibri" w:cs="Calibri"/>
                <w:b/>
                <w:bCs/>
                <w:sz w:val="22"/>
              </w:rPr>
              <w:t>Information Collection</w:t>
            </w:r>
          </w:p>
        </w:tc>
        <w:tc>
          <w:tcPr>
            <w:tcW w:w="1450" w:type="dxa"/>
            <w:shd w:val="clear" w:color="auto" w:fill="auto"/>
            <w:vAlign w:val="bottom"/>
          </w:tcPr>
          <w:p w:rsidR="00F06DF8" w:rsidRPr="009548BA" w:rsidP="000D5979" w14:paraId="4C52C5DA" w14:textId="77777777">
            <w:pPr>
              <w:pStyle w:val="NoSpacing"/>
              <w:spacing w:after="0"/>
              <w:ind w:firstLine="0"/>
              <w:jc w:val="center"/>
              <w:rPr>
                <w:rFonts w:ascii="Calibri" w:hAnsi="Calibri" w:cs="Calibri"/>
                <w:sz w:val="22"/>
              </w:rPr>
            </w:pPr>
            <w:r w:rsidRPr="009548BA">
              <w:rPr>
                <w:rFonts w:ascii="Calibri" w:hAnsi="Calibri" w:cs="Calibri"/>
                <w:sz w:val="22"/>
              </w:rPr>
              <w:t>Number of Respondents</w:t>
            </w:r>
          </w:p>
        </w:tc>
        <w:tc>
          <w:tcPr>
            <w:tcW w:w="1609" w:type="dxa"/>
            <w:shd w:val="clear" w:color="auto" w:fill="auto"/>
            <w:vAlign w:val="bottom"/>
          </w:tcPr>
          <w:p w:rsidR="00F06DF8" w:rsidRPr="009548BA" w:rsidP="000D5979" w14:paraId="1E7D1DE7" w14:textId="77777777">
            <w:pPr>
              <w:pStyle w:val="NoSpacing"/>
              <w:spacing w:after="0"/>
              <w:ind w:firstLine="0"/>
              <w:jc w:val="center"/>
              <w:rPr>
                <w:rFonts w:ascii="Calibri" w:hAnsi="Calibri" w:cs="Calibri"/>
                <w:sz w:val="22"/>
              </w:rPr>
            </w:pPr>
            <w:r w:rsidRPr="009548BA">
              <w:rPr>
                <w:rFonts w:ascii="Calibri" w:hAnsi="Calibri" w:cs="Calibri"/>
                <w:sz w:val="22"/>
              </w:rPr>
              <w:t>Annual Number of Responses</w:t>
            </w:r>
          </w:p>
        </w:tc>
        <w:tc>
          <w:tcPr>
            <w:tcW w:w="1580" w:type="dxa"/>
            <w:vAlign w:val="bottom"/>
          </w:tcPr>
          <w:p w:rsidR="00F06DF8" w:rsidRPr="009548BA" w:rsidP="000D5979" w14:paraId="40F0FB5D" w14:textId="77777777">
            <w:pPr>
              <w:pStyle w:val="NoSpacing"/>
              <w:spacing w:after="0"/>
              <w:ind w:firstLine="0"/>
              <w:jc w:val="center"/>
              <w:rPr>
                <w:rFonts w:ascii="Calibri" w:hAnsi="Calibri" w:cs="Calibri"/>
                <w:sz w:val="22"/>
              </w:rPr>
            </w:pPr>
            <w:r w:rsidRPr="009548BA">
              <w:rPr>
                <w:rFonts w:ascii="Calibri" w:hAnsi="Calibri" w:cs="Calibri"/>
                <w:sz w:val="22"/>
              </w:rPr>
              <w:t>Responses per Respondent</w:t>
            </w:r>
          </w:p>
        </w:tc>
        <w:tc>
          <w:tcPr>
            <w:tcW w:w="1461" w:type="dxa"/>
            <w:shd w:val="clear" w:color="auto" w:fill="auto"/>
            <w:vAlign w:val="bottom"/>
          </w:tcPr>
          <w:p w:rsidR="00F06DF8" w:rsidRPr="009548BA" w:rsidP="000D5979" w14:paraId="77E7ED75" w14:textId="77777777">
            <w:pPr>
              <w:pStyle w:val="NoSpacing"/>
              <w:spacing w:after="0"/>
              <w:ind w:firstLine="0"/>
              <w:jc w:val="center"/>
              <w:rPr>
                <w:rFonts w:ascii="Calibri" w:hAnsi="Calibri" w:cs="Calibri"/>
                <w:sz w:val="22"/>
              </w:rPr>
            </w:pPr>
            <w:r w:rsidRPr="009548BA">
              <w:rPr>
                <w:rFonts w:ascii="Calibri" w:hAnsi="Calibri" w:cs="Calibri"/>
                <w:sz w:val="22"/>
              </w:rPr>
              <w:t>Annual Time Burden (Hours)</w:t>
            </w:r>
          </w:p>
        </w:tc>
        <w:tc>
          <w:tcPr>
            <w:tcW w:w="1862" w:type="dxa"/>
            <w:vAlign w:val="bottom"/>
          </w:tcPr>
          <w:p w:rsidR="00F06DF8" w:rsidRPr="009548BA" w:rsidP="000D5979" w14:paraId="178D9712" w14:textId="77777777">
            <w:pPr>
              <w:pStyle w:val="NoSpacing"/>
              <w:spacing w:after="0"/>
              <w:ind w:firstLine="0"/>
              <w:jc w:val="center"/>
              <w:rPr>
                <w:rFonts w:ascii="Calibri" w:hAnsi="Calibri" w:cs="Calibri"/>
                <w:sz w:val="22"/>
              </w:rPr>
            </w:pPr>
            <w:r w:rsidRPr="009548BA">
              <w:rPr>
                <w:rFonts w:ascii="Calibri" w:hAnsi="Calibri" w:cs="Calibri"/>
                <w:sz w:val="22"/>
              </w:rPr>
              <w:t>Annual Cost Burden (Dollars)</w:t>
            </w:r>
          </w:p>
        </w:tc>
      </w:tr>
      <w:tr w14:paraId="290364E4" w14:textId="77777777" w:rsidTr="00A8517E">
        <w:tblPrEx>
          <w:tblW w:w="5197" w:type="pct"/>
          <w:tblLook w:val="01E0"/>
        </w:tblPrEx>
        <w:trPr>
          <w:trHeight w:val="309"/>
        </w:trPr>
        <w:tc>
          <w:tcPr>
            <w:tcW w:w="1756" w:type="dxa"/>
            <w:shd w:val="clear" w:color="auto" w:fill="auto"/>
          </w:tcPr>
          <w:p w:rsidR="00F06DF8" w:rsidRPr="009548BA" w:rsidP="000D5979" w14:paraId="686A4862" w14:textId="77777777">
            <w:pPr>
              <w:pStyle w:val="NoSpacing"/>
              <w:spacing w:after="0"/>
              <w:ind w:firstLine="0"/>
              <w:jc w:val="center"/>
              <w:rPr>
                <w:rFonts w:asciiTheme="minorHAnsi" w:hAnsiTheme="minorHAnsi" w:cstheme="minorHAnsi"/>
                <w:b/>
                <w:bCs/>
                <w:szCs w:val="24"/>
              </w:rPr>
            </w:pPr>
            <w:r w:rsidRPr="009548BA">
              <w:rPr>
                <w:rFonts w:asciiTheme="minorHAnsi" w:hAnsiTheme="minorHAnsi" w:cstheme="minorHAnsi"/>
                <w:b/>
                <w:bCs/>
                <w:szCs w:val="24"/>
              </w:rPr>
              <w:t>Total Respondent</w:t>
            </w:r>
          </w:p>
        </w:tc>
        <w:tc>
          <w:tcPr>
            <w:tcW w:w="1450" w:type="dxa"/>
            <w:shd w:val="clear" w:color="auto" w:fill="auto"/>
          </w:tcPr>
          <w:p w:rsidR="00F06DF8" w:rsidRPr="00B850BA" w:rsidP="000D5979" w14:paraId="5067B93C" w14:textId="51A882FF">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34,1</w:t>
            </w:r>
            <w:r w:rsidRPr="00B850BA" w:rsidR="441F2DB9">
              <w:rPr>
                <w:rFonts w:asciiTheme="minorHAnsi" w:hAnsiTheme="minorHAnsi" w:cstheme="minorHAnsi"/>
                <w:szCs w:val="24"/>
              </w:rPr>
              <w:t>38</w:t>
            </w:r>
          </w:p>
        </w:tc>
        <w:tc>
          <w:tcPr>
            <w:tcW w:w="1609" w:type="dxa"/>
            <w:shd w:val="clear" w:color="auto" w:fill="auto"/>
          </w:tcPr>
          <w:p w:rsidR="00F06DF8" w:rsidRPr="00B850BA" w:rsidP="000D5979" w14:paraId="363A0046" w14:textId="46B66FCD">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1,123,</w:t>
            </w:r>
            <w:r w:rsidRPr="00B850BA" w:rsidR="441F2DB9">
              <w:rPr>
                <w:rFonts w:asciiTheme="minorHAnsi" w:hAnsiTheme="minorHAnsi" w:cstheme="minorHAnsi"/>
                <w:szCs w:val="24"/>
              </w:rPr>
              <w:t>669</w:t>
            </w:r>
          </w:p>
        </w:tc>
        <w:tc>
          <w:tcPr>
            <w:tcW w:w="1580" w:type="dxa"/>
          </w:tcPr>
          <w:p w:rsidR="00F06DF8" w:rsidRPr="00B850BA" w:rsidP="000D5979" w14:paraId="6A295039" w14:textId="784959E6">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3</w:t>
            </w:r>
            <w:r w:rsidR="003A6956">
              <w:rPr>
                <w:rFonts w:asciiTheme="minorHAnsi" w:hAnsiTheme="minorHAnsi" w:cstheme="minorHAnsi"/>
                <w:szCs w:val="24"/>
              </w:rPr>
              <w:t>2</w:t>
            </w:r>
          </w:p>
        </w:tc>
        <w:tc>
          <w:tcPr>
            <w:tcW w:w="1461" w:type="dxa"/>
            <w:shd w:val="clear" w:color="auto" w:fill="auto"/>
          </w:tcPr>
          <w:p w:rsidR="00F06DF8" w:rsidRPr="00B850BA" w:rsidP="000D5979" w14:paraId="4DF78FE5" w14:textId="49666496">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358,0</w:t>
            </w:r>
            <w:r w:rsidRPr="00B850BA" w:rsidR="441F2DB9">
              <w:rPr>
                <w:rFonts w:asciiTheme="minorHAnsi" w:hAnsiTheme="minorHAnsi" w:cstheme="minorHAnsi"/>
                <w:szCs w:val="24"/>
              </w:rPr>
              <w:t>49</w:t>
            </w:r>
          </w:p>
        </w:tc>
        <w:tc>
          <w:tcPr>
            <w:tcW w:w="1862" w:type="dxa"/>
          </w:tcPr>
          <w:p w:rsidR="00F06DF8" w:rsidRPr="00B850BA" w:rsidP="000D5979" w14:paraId="2D582154" w14:textId="6D64A0FA">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w:t>
            </w:r>
            <w:r w:rsidRPr="00B850BA" w:rsidR="31EC070A">
              <w:rPr>
                <w:rFonts w:asciiTheme="minorHAnsi" w:hAnsiTheme="minorHAnsi" w:cstheme="minorHAnsi"/>
                <w:szCs w:val="24"/>
              </w:rPr>
              <w:t>2</w:t>
            </w:r>
            <w:r w:rsidRPr="00B850BA" w:rsidR="4C161B2E">
              <w:rPr>
                <w:rFonts w:asciiTheme="minorHAnsi" w:hAnsiTheme="minorHAnsi" w:cstheme="minorHAnsi"/>
                <w:szCs w:val="24"/>
              </w:rPr>
              <w:t>1,</w:t>
            </w:r>
            <w:r w:rsidRPr="00B850BA" w:rsidR="150FC332">
              <w:rPr>
                <w:rFonts w:asciiTheme="minorHAnsi" w:hAnsiTheme="minorHAnsi" w:cstheme="minorHAnsi"/>
                <w:szCs w:val="24"/>
              </w:rPr>
              <w:t>175</w:t>
            </w:r>
            <w:r w:rsidRPr="00B850BA" w:rsidR="4C161B2E">
              <w:rPr>
                <w:rFonts w:asciiTheme="minorHAnsi" w:hAnsiTheme="minorHAnsi" w:cstheme="minorHAnsi"/>
                <w:szCs w:val="24"/>
              </w:rPr>
              <w:t>,</w:t>
            </w:r>
            <w:r w:rsidRPr="00B850BA" w:rsidR="0830318D">
              <w:rPr>
                <w:rFonts w:asciiTheme="minorHAnsi" w:hAnsiTheme="minorHAnsi" w:cstheme="minorHAnsi"/>
                <w:szCs w:val="24"/>
              </w:rPr>
              <w:t>96</w:t>
            </w:r>
            <w:r w:rsidRPr="00B850BA" w:rsidR="4C161B2E">
              <w:rPr>
                <w:rFonts w:asciiTheme="minorHAnsi" w:hAnsiTheme="minorHAnsi" w:cstheme="minorHAnsi"/>
                <w:szCs w:val="24"/>
              </w:rPr>
              <w:t>8</w:t>
            </w:r>
          </w:p>
        </w:tc>
      </w:tr>
      <w:tr w14:paraId="591014CF" w14:textId="77777777" w:rsidTr="00A8517E">
        <w:tblPrEx>
          <w:tblW w:w="5197" w:type="pct"/>
          <w:tblLook w:val="01E0"/>
        </w:tblPrEx>
        <w:trPr>
          <w:trHeight w:val="233"/>
        </w:trPr>
        <w:tc>
          <w:tcPr>
            <w:tcW w:w="1756" w:type="dxa"/>
            <w:shd w:val="clear" w:color="auto" w:fill="auto"/>
          </w:tcPr>
          <w:p w:rsidR="00F06DF8" w:rsidRPr="009548BA" w:rsidP="000D5979" w14:paraId="02423C59" w14:textId="6F9764BE">
            <w:pPr>
              <w:pStyle w:val="NoSpacing"/>
              <w:spacing w:after="0"/>
              <w:ind w:firstLine="0"/>
              <w:jc w:val="center"/>
              <w:rPr>
                <w:rFonts w:asciiTheme="minorHAnsi" w:hAnsiTheme="minorHAnsi" w:cstheme="minorHAnsi"/>
                <w:b/>
                <w:bCs/>
                <w:szCs w:val="24"/>
              </w:rPr>
            </w:pPr>
            <w:r w:rsidRPr="009548BA">
              <w:rPr>
                <w:rFonts w:asciiTheme="minorHAnsi" w:hAnsiTheme="minorHAnsi" w:cstheme="minorHAnsi"/>
                <w:b/>
                <w:bCs/>
                <w:szCs w:val="24"/>
              </w:rPr>
              <w:t>Total Agency</w:t>
            </w:r>
          </w:p>
        </w:tc>
        <w:tc>
          <w:tcPr>
            <w:tcW w:w="1450" w:type="dxa"/>
            <w:shd w:val="clear" w:color="auto" w:fill="auto"/>
          </w:tcPr>
          <w:p w:rsidR="00F06DF8" w:rsidRPr="00B850BA" w:rsidP="000D5979" w14:paraId="4211DAAE" w14:textId="70FEDD24">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w:t>
            </w:r>
          </w:p>
        </w:tc>
        <w:tc>
          <w:tcPr>
            <w:tcW w:w="1609" w:type="dxa"/>
            <w:shd w:val="clear" w:color="auto" w:fill="auto"/>
          </w:tcPr>
          <w:p w:rsidR="00F06DF8" w:rsidRPr="00B850BA" w:rsidP="000D5979" w14:paraId="41FF0F78" w14:textId="0DAD3817">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w:t>
            </w:r>
          </w:p>
        </w:tc>
        <w:tc>
          <w:tcPr>
            <w:tcW w:w="1580" w:type="dxa"/>
            <w:shd w:val="clear" w:color="auto" w:fill="auto"/>
          </w:tcPr>
          <w:p w:rsidR="00F06DF8" w:rsidRPr="00B850BA" w:rsidP="000D5979" w14:paraId="7101394B" w14:textId="6B5747F5">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w:t>
            </w:r>
          </w:p>
        </w:tc>
        <w:tc>
          <w:tcPr>
            <w:tcW w:w="1461" w:type="dxa"/>
            <w:shd w:val="clear" w:color="auto" w:fill="auto"/>
          </w:tcPr>
          <w:p w:rsidR="00F06DF8" w:rsidRPr="00B850BA" w:rsidP="000D5979" w14:paraId="56FFF61E" w14:textId="300F2536">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w:t>
            </w:r>
          </w:p>
        </w:tc>
        <w:tc>
          <w:tcPr>
            <w:tcW w:w="1862" w:type="dxa"/>
          </w:tcPr>
          <w:p w:rsidR="00F06DF8" w:rsidRPr="00B850BA" w:rsidP="000D5979" w14:paraId="3491D11D" w14:textId="5013612F">
            <w:pPr>
              <w:pStyle w:val="NoSpacing"/>
              <w:spacing w:after="0"/>
              <w:ind w:firstLine="0"/>
              <w:jc w:val="center"/>
              <w:rPr>
                <w:rFonts w:asciiTheme="minorHAnsi" w:hAnsiTheme="minorHAnsi" w:cstheme="minorHAnsi"/>
                <w:szCs w:val="24"/>
              </w:rPr>
            </w:pPr>
            <w:r w:rsidRPr="00B850BA">
              <w:rPr>
                <w:rFonts w:asciiTheme="minorHAnsi" w:hAnsiTheme="minorHAnsi" w:cstheme="minorHAnsi"/>
                <w:szCs w:val="24"/>
              </w:rPr>
              <w:t>-</w:t>
            </w:r>
          </w:p>
        </w:tc>
      </w:tr>
    </w:tbl>
    <w:p w:rsidR="00F06DF8" w:rsidRPr="00B850BA" w:rsidP="00E11B52" w14:paraId="19733104" w14:textId="03F841E8">
      <w:pPr>
        <w:pStyle w:val="Heading1"/>
        <w:spacing w:before="480"/>
        <w:rPr>
          <w:rFonts w:asciiTheme="minorHAnsi" w:hAnsiTheme="minorHAnsi" w:cstheme="minorHAnsi"/>
          <w:szCs w:val="24"/>
        </w:rPr>
      </w:pPr>
      <w:r w:rsidRPr="00B850BA">
        <w:rPr>
          <w:rFonts w:asciiTheme="minorHAnsi" w:hAnsiTheme="minorHAnsi" w:cstheme="minorHAnsi"/>
          <w:szCs w:val="24"/>
        </w:rPr>
        <w:t>SUPPORTING STATEMENT</w:t>
      </w:r>
    </w:p>
    <w:p w:rsidR="008F708D" w:rsidRPr="001E226E" w:rsidP="00E11B52" w14:paraId="0111B528" w14:textId="0026EB5C">
      <w:pPr>
        <w:pStyle w:val="Heading1"/>
        <w:spacing w:before="240"/>
        <w:rPr>
          <w:rFonts w:ascii="Calibri" w:hAnsi="Calibri" w:cs="Calibri"/>
          <w:i/>
          <w:iCs/>
          <w:szCs w:val="24"/>
        </w:rPr>
      </w:pPr>
      <w:r w:rsidRPr="001E226E">
        <w:rPr>
          <w:rFonts w:ascii="Calibri" w:hAnsi="Calibri" w:cs="Calibri"/>
          <w:i/>
          <w:iCs/>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50BA" w:rsidRPr="00B850BA" w:rsidP="00670158" w14:paraId="1EBD33B7" w14:textId="70AD7134">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This ICR covers reporting and recordkeeping requirements associated with EPA’s workplace standards for the protection of state and local government employees who work with asbestos and who are </w:t>
      </w:r>
      <w:r w:rsidRPr="00670158">
        <w:rPr>
          <w:rFonts w:asciiTheme="minorHAnsi" w:hAnsiTheme="minorHAnsi" w:cstheme="minorHAnsi"/>
          <w:szCs w:val="24"/>
          <w:u w:val="single"/>
        </w:rPr>
        <w:t>not</w:t>
      </w:r>
      <w:r w:rsidRPr="00B850BA">
        <w:rPr>
          <w:rFonts w:asciiTheme="minorHAnsi" w:hAnsiTheme="minorHAnsi" w:cstheme="minorHAnsi"/>
          <w:szCs w:val="24"/>
        </w:rPr>
        <w:t xml:space="preserve"> covered by a state plan approved by the Occupational Safety and Health Administration (OSHA). </w:t>
      </w:r>
      <w:r w:rsidRPr="00670158" w:rsidR="00670158">
        <w:rPr>
          <w:rFonts w:asciiTheme="minorHAnsi" w:hAnsiTheme="minorHAnsi" w:cstheme="minorHAnsi"/>
          <w:szCs w:val="24"/>
        </w:rPr>
        <w:t>The list of 23 states and state equivalent territories covered by this ICR include: Alabama, Arkansas, Colorado, Delaware, Florida, Georgia, Idaho, Kansas, Louisiana, Mississippi, Missouri, Montana, Nebraska, New Hampshire, North Dakota, Ohio, Oklahoma, Pennsylvania, Rhode Island, South Dakota, Texas, West Virginia, Wisconsin, District of Columbia, American Samoa, Guam, and the Commonwealth of the Northern Mariana Islands.</w:t>
      </w:r>
      <w:r w:rsidR="00670158">
        <w:rPr>
          <w:rFonts w:asciiTheme="minorHAnsi" w:hAnsiTheme="minorHAnsi" w:cstheme="minorHAnsi"/>
          <w:szCs w:val="24"/>
        </w:rPr>
        <w:t xml:space="preserve"> </w:t>
      </w:r>
      <w:r w:rsidRPr="00B850BA">
        <w:rPr>
          <w:rFonts w:asciiTheme="minorHAnsi" w:hAnsiTheme="minorHAnsi" w:cstheme="minorHAnsi"/>
          <w:szCs w:val="24"/>
        </w:rPr>
        <w:t xml:space="preserve">Currently, </w:t>
      </w:r>
      <w:r w:rsidRPr="00B850BA" w:rsidR="007333D1">
        <w:rPr>
          <w:rFonts w:asciiTheme="minorHAnsi" w:hAnsiTheme="minorHAnsi" w:cstheme="minorHAnsi"/>
          <w:szCs w:val="24"/>
        </w:rPr>
        <w:t>state,</w:t>
      </w:r>
      <w:r w:rsidRPr="00B850BA">
        <w:rPr>
          <w:rFonts w:asciiTheme="minorHAnsi" w:hAnsiTheme="minorHAnsi" w:cstheme="minorHAnsi"/>
          <w:szCs w:val="24"/>
        </w:rPr>
        <w:t xml:space="preserve"> and local government employees in 27 states, and two additional U.S. territories (D.C. and the territories are counted as one “state equivalent”) who perform construction work, including building construction, renovation, demolition, and maintenance activities, and employees who perform brake and clutch repair work, are subject to an OSHA-approved State Plan. EPA's asbestos work protection regulations</w:t>
      </w:r>
      <w:r w:rsidR="008E529B">
        <w:rPr>
          <w:rFonts w:asciiTheme="minorHAnsi" w:hAnsiTheme="minorHAnsi" w:cstheme="minorHAnsi"/>
          <w:szCs w:val="24"/>
        </w:rPr>
        <w:t xml:space="preserve"> (40 CFR 763, subpart</w:t>
      </w:r>
      <w:r w:rsidR="007A7788">
        <w:rPr>
          <w:rFonts w:asciiTheme="minorHAnsi" w:hAnsiTheme="minorHAnsi" w:cstheme="minorHAnsi"/>
          <w:szCs w:val="24"/>
        </w:rPr>
        <w:t xml:space="preserve"> </w:t>
      </w:r>
      <w:r w:rsidR="008E529B">
        <w:rPr>
          <w:rFonts w:asciiTheme="minorHAnsi" w:hAnsiTheme="minorHAnsi" w:cstheme="minorHAnsi"/>
          <w:szCs w:val="24"/>
        </w:rPr>
        <w:t>G)</w:t>
      </w:r>
      <w:r w:rsidRPr="00B850BA">
        <w:rPr>
          <w:rFonts w:asciiTheme="minorHAnsi" w:hAnsiTheme="minorHAnsi" w:cstheme="minorHAnsi"/>
          <w:szCs w:val="24"/>
        </w:rPr>
        <w:t xml:space="preserve"> incorporate, by reference, the OSHA Construction Industry Standard for Asbestos (29 CFR 1926.1101) and the General Industry Standard for Asbestos (29 CFR 1910.1001)</w:t>
      </w:r>
      <w:r w:rsidR="0024638E">
        <w:rPr>
          <w:rFonts w:asciiTheme="minorHAnsi" w:hAnsiTheme="minorHAnsi" w:cstheme="minorHAnsi"/>
          <w:szCs w:val="24"/>
        </w:rPr>
        <w:t>.</w:t>
      </w:r>
      <w:r w:rsidRPr="00B850BA">
        <w:rPr>
          <w:rFonts w:asciiTheme="minorHAnsi" w:hAnsiTheme="minorHAnsi" w:cstheme="minorHAnsi"/>
          <w:szCs w:val="24"/>
        </w:rPr>
        <w:t xml:space="preserve"> </w:t>
      </w:r>
    </w:p>
    <w:p w:rsidR="00B279BE" w:rsidRPr="00B850BA" w:rsidP="0039392C" w14:paraId="689744EC" w14:textId="78A891B9">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EPA requires state and local government employers to use engineering controls and appropriate work practices to control the release of asbestos fibers. Covered employers must also monitor employee exposure to asbestos and provide employees with personal protective equipment, training, and medical surveillance to reduce the risk of asbestos exposure. Exposure monitoring records must be maintained for 30 years, medical surveillance records for the duration of employment of the affected employees plus 30 years, and training records for the duration of employment plus one year. Employers must also establish written respiratory protection programs and maintain procedures and records of respirator fit tests for one year. </w:t>
      </w:r>
      <w:r w:rsidRPr="00B850BA" w:rsidR="00B95E08">
        <w:rPr>
          <w:rFonts w:asciiTheme="minorHAnsi" w:hAnsiTheme="minorHAnsi" w:cstheme="minorHAnsi"/>
          <w:szCs w:val="24"/>
        </w:rPr>
        <w:t xml:space="preserve">The purpose of the </w:t>
      </w:r>
      <w:r w:rsidRPr="00B850BA" w:rsidR="00253106">
        <w:rPr>
          <w:rFonts w:asciiTheme="minorHAnsi" w:hAnsiTheme="minorHAnsi" w:cstheme="minorHAnsi"/>
          <w:szCs w:val="24"/>
        </w:rPr>
        <w:t>Asbestos Worker Protection Rule (WPR)</w:t>
      </w:r>
      <w:r w:rsidRPr="00B850BA" w:rsidR="00B95E08">
        <w:rPr>
          <w:rFonts w:asciiTheme="minorHAnsi" w:hAnsiTheme="minorHAnsi" w:cstheme="minorHAnsi"/>
          <w:szCs w:val="24"/>
        </w:rPr>
        <w:t xml:space="preserve"> is to provide protection from adverse health effects associated with occupa</w:t>
      </w:r>
      <w:r w:rsidRPr="00B850BA" w:rsidR="00B95E08">
        <w:rPr>
          <w:rFonts w:asciiTheme="minorHAnsi" w:hAnsiTheme="minorHAnsi" w:cstheme="minorHAnsi"/>
          <w:szCs w:val="24"/>
        </w:rPr>
        <w:softHyphen/>
        <w:t>tional exposure to asbestos for state and local government employees who are engaged in asbestos-related construction, custodial, and brake and clutch repair activities in states</w:t>
      </w:r>
      <w:r w:rsidRPr="00B850BA" w:rsidR="0080631D">
        <w:rPr>
          <w:rFonts w:asciiTheme="minorHAnsi" w:hAnsiTheme="minorHAnsi" w:cstheme="minorHAnsi"/>
          <w:szCs w:val="24"/>
        </w:rPr>
        <w:t xml:space="preserve"> and territories</w:t>
      </w:r>
      <w:r w:rsidRPr="00B850BA" w:rsidR="00B95E08">
        <w:rPr>
          <w:rFonts w:asciiTheme="minorHAnsi" w:hAnsiTheme="minorHAnsi" w:cstheme="minorHAnsi"/>
          <w:szCs w:val="24"/>
        </w:rPr>
        <w:t xml:space="preserve"> that do not h</w:t>
      </w:r>
      <w:r w:rsidRPr="00B850BA" w:rsidR="00DD4A13">
        <w:rPr>
          <w:rFonts w:asciiTheme="minorHAnsi" w:hAnsiTheme="minorHAnsi" w:cstheme="minorHAnsi"/>
          <w:szCs w:val="24"/>
        </w:rPr>
        <w:t>ave plans</w:t>
      </w:r>
      <w:r w:rsidRPr="00B850BA" w:rsidR="00E65150">
        <w:rPr>
          <w:rFonts w:asciiTheme="minorHAnsi" w:hAnsiTheme="minorHAnsi" w:cstheme="minorHAnsi"/>
          <w:szCs w:val="24"/>
        </w:rPr>
        <w:t xml:space="preserve"> approved by OSHA</w:t>
      </w:r>
      <w:r w:rsidRPr="00B850BA" w:rsidR="00DD4A13">
        <w:rPr>
          <w:rFonts w:asciiTheme="minorHAnsi" w:hAnsiTheme="minorHAnsi" w:cstheme="minorHAnsi"/>
          <w:szCs w:val="24"/>
        </w:rPr>
        <w:t xml:space="preserve">. </w:t>
      </w:r>
      <w:r w:rsidRPr="00B850BA" w:rsidR="00B10A45">
        <w:rPr>
          <w:rFonts w:asciiTheme="minorHAnsi" w:hAnsiTheme="minorHAnsi" w:cstheme="minorHAnsi"/>
          <w:szCs w:val="24"/>
        </w:rPr>
        <w:t xml:space="preserve">Akin to </w:t>
      </w:r>
      <w:r w:rsidRPr="00B850BA" w:rsidR="00B95E08">
        <w:rPr>
          <w:rFonts w:asciiTheme="minorHAnsi" w:hAnsiTheme="minorHAnsi" w:cstheme="minorHAnsi"/>
          <w:szCs w:val="24"/>
        </w:rPr>
        <w:t xml:space="preserve">the OSHA standards, the </w:t>
      </w:r>
      <w:r w:rsidRPr="00B850BA" w:rsidR="00B10A45">
        <w:rPr>
          <w:rFonts w:asciiTheme="minorHAnsi" w:hAnsiTheme="minorHAnsi" w:cstheme="minorHAnsi"/>
          <w:szCs w:val="24"/>
        </w:rPr>
        <w:t>WPR</w:t>
      </w:r>
      <w:r w:rsidRPr="00B850BA" w:rsidR="00B95E08">
        <w:rPr>
          <w:rFonts w:asciiTheme="minorHAnsi" w:hAnsiTheme="minorHAnsi" w:cstheme="minorHAnsi"/>
          <w:szCs w:val="24"/>
        </w:rPr>
        <w:t xml:space="preserve"> requires employers (in this case, state and local governments) to monitor employee exposure to asbestos, to take action to reduce exposures to levels below the permissible exposure limits (PELs), to provide employees with personal protective equipment, </w:t>
      </w:r>
      <w:r w:rsidRPr="00B850BA" w:rsidR="00B95E08">
        <w:rPr>
          <w:rFonts w:asciiTheme="minorHAnsi" w:hAnsiTheme="minorHAnsi" w:cstheme="minorHAnsi"/>
          <w:szCs w:val="24"/>
        </w:rPr>
        <w:softHyphen/>
        <w:t>to monitor employee health, to train employees about the hazards of asbestos and how to minimize those hazards, and to provide employees with information about exposures to asbestos and the associated health effects.</w:t>
      </w:r>
    </w:p>
    <w:p w:rsidR="00C240A7" w:rsidRPr="00B850BA" w:rsidP="0039392C" w14:paraId="341B5DD6" w14:textId="60544CED">
      <w:pPr>
        <w:spacing w:line="276" w:lineRule="auto"/>
        <w:ind w:firstLine="0"/>
        <w:rPr>
          <w:rFonts w:asciiTheme="minorHAnsi" w:hAnsiTheme="minorHAnsi" w:cstheme="minorHAnsi"/>
          <w:szCs w:val="24"/>
        </w:rPr>
      </w:pPr>
      <w:r w:rsidRPr="00B850BA">
        <w:rPr>
          <w:rFonts w:asciiTheme="minorHAnsi" w:hAnsiTheme="minorHAnsi" w:cstheme="minorHAnsi"/>
          <w:szCs w:val="24"/>
        </w:rPr>
        <w:t>The records maintained as a result of this information collection will provide the EPA with the data necessary for effec</w:t>
      </w:r>
      <w:r w:rsidRPr="00B850BA">
        <w:rPr>
          <w:rFonts w:asciiTheme="minorHAnsi" w:hAnsiTheme="minorHAnsi" w:cstheme="minorHAnsi"/>
          <w:szCs w:val="24"/>
        </w:rPr>
        <w:softHyphen/>
        <w:t xml:space="preserve">tive enforcement of the WPR, as authorized under </w:t>
      </w:r>
      <w:r w:rsidRPr="00B850BA" w:rsidR="00B6129D">
        <w:rPr>
          <w:rFonts w:asciiTheme="minorHAnsi" w:hAnsiTheme="minorHAnsi" w:cstheme="minorHAnsi"/>
          <w:szCs w:val="24"/>
        </w:rPr>
        <w:t>s</w:t>
      </w:r>
      <w:r w:rsidRPr="00B850BA">
        <w:rPr>
          <w:rFonts w:asciiTheme="minorHAnsi" w:hAnsiTheme="minorHAnsi" w:cstheme="minorHAnsi"/>
          <w:szCs w:val="24"/>
        </w:rPr>
        <w:t>ections 6 and 8(a) of the Toxic Substances Control Act (TSCA) (15 U.S.C. 2605, 2607</w:t>
      </w:r>
      <w:r w:rsidRPr="00B850BA" w:rsidR="00FE41A7">
        <w:rPr>
          <w:rFonts w:asciiTheme="minorHAnsi" w:hAnsiTheme="minorHAnsi" w:cstheme="minorHAnsi"/>
          <w:szCs w:val="24"/>
        </w:rPr>
        <w:t>(a))</w:t>
      </w:r>
      <w:r w:rsidR="0024638E">
        <w:rPr>
          <w:rFonts w:asciiTheme="minorHAnsi" w:hAnsiTheme="minorHAnsi" w:cstheme="minorHAnsi"/>
          <w:szCs w:val="24"/>
        </w:rPr>
        <w:t xml:space="preserve">. </w:t>
      </w:r>
    </w:p>
    <w:p w:rsidR="00C240A7" w:rsidRPr="000D5979" w:rsidP="00E11B52" w14:paraId="22F1E708" w14:textId="28E1474C">
      <w:pPr>
        <w:pStyle w:val="Heading1"/>
        <w:spacing w:before="240"/>
        <w:rPr>
          <w:rFonts w:ascii="Calibri" w:hAnsi="Calibri" w:cs="Calibri"/>
          <w:i/>
          <w:iCs/>
          <w:szCs w:val="24"/>
        </w:rPr>
      </w:pPr>
      <w:r w:rsidRPr="000D5979">
        <w:rPr>
          <w:rFonts w:ascii="Calibri" w:hAnsi="Calibri" w:cs="Calibri"/>
          <w:i/>
          <w:iCs/>
          <w:szCs w:val="24"/>
        </w:rPr>
        <w:t>2. Indicate how, by whom, and for what purpose the information is to be used. Except for a new collection, indicate the actual use the agency has made of the information received from the current collection.</w:t>
      </w:r>
    </w:p>
    <w:p w:rsidR="00C240A7" w:rsidRPr="00B850BA" w:rsidP="0039392C" w14:paraId="614C5CAF" w14:textId="42427BD7">
      <w:pPr>
        <w:spacing w:line="276" w:lineRule="auto"/>
        <w:ind w:firstLine="0"/>
        <w:rPr>
          <w:rFonts w:asciiTheme="minorHAnsi" w:hAnsiTheme="minorHAnsi" w:cstheme="minorHAnsi"/>
          <w:szCs w:val="24"/>
        </w:rPr>
      </w:pPr>
      <w:r w:rsidRPr="00B850BA">
        <w:rPr>
          <w:rFonts w:asciiTheme="minorHAnsi" w:hAnsiTheme="minorHAnsi" w:cstheme="minorHAnsi"/>
          <w:szCs w:val="24"/>
        </w:rPr>
        <w:t>The recordkeeping provisions are designed to ensure that employers comply with applicable standards and that protection of employees exposed to asbestos is provide</w:t>
      </w:r>
      <w:r w:rsidRPr="00B850BA" w:rsidR="00C004A4">
        <w:rPr>
          <w:rFonts w:asciiTheme="minorHAnsi" w:hAnsiTheme="minorHAnsi" w:cstheme="minorHAnsi"/>
          <w:szCs w:val="24"/>
        </w:rPr>
        <w:t xml:space="preserve">d to the full extent required. </w:t>
      </w:r>
      <w:r w:rsidRPr="00B850BA">
        <w:rPr>
          <w:rFonts w:asciiTheme="minorHAnsi" w:hAnsiTheme="minorHAnsi" w:cstheme="minorHAnsi"/>
          <w:szCs w:val="24"/>
        </w:rPr>
        <w:t>EPA’s compliance officers examine the records for this purpos</w:t>
      </w:r>
      <w:r w:rsidRPr="00B850BA" w:rsidR="00C004A4">
        <w:rPr>
          <w:rFonts w:asciiTheme="minorHAnsi" w:hAnsiTheme="minorHAnsi" w:cstheme="minorHAnsi"/>
          <w:szCs w:val="24"/>
        </w:rPr>
        <w:t xml:space="preserve">e when conducting inspections. </w:t>
      </w:r>
      <w:r w:rsidRPr="00B850BA">
        <w:rPr>
          <w:rFonts w:asciiTheme="minorHAnsi" w:hAnsiTheme="minorHAnsi" w:cstheme="minorHAnsi"/>
          <w:szCs w:val="24"/>
        </w:rPr>
        <w:t>Additionally, the data contained in exposure measurements records are useful to employers in pinpointing areas of operation that may require addition</w:t>
      </w:r>
      <w:r w:rsidRPr="00B850BA" w:rsidR="00C004A4">
        <w:rPr>
          <w:rFonts w:asciiTheme="minorHAnsi" w:hAnsiTheme="minorHAnsi" w:cstheme="minorHAnsi"/>
          <w:szCs w:val="24"/>
        </w:rPr>
        <w:t xml:space="preserve">al efforts to reduce exposure. </w:t>
      </w:r>
      <w:r w:rsidRPr="00B850BA">
        <w:rPr>
          <w:rFonts w:asciiTheme="minorHAnsi" w:hAnsiTheme="minorHAnsi" w:cstheme="minorHAnsi"/>
          <w:szCs w:val="24"/>
        </w:rPr>
        <w:t>If these data were not collected and maintained, compliance monitoring would be very difficult for EPA, and failures of asbestos-control measures could easily go unde</w:t>
      </w:r>
      <w:r w:rsidRPr="00B850BA">
        <w:rPr>
          <w:rFonts w:asciiTheme="minorHAnsi" w:hAnsiTheme="minorHAnsi" w:cstheme="minorHAnsi"/>
          <w:szCs w:val="24"/>
        </w:rPr>
        <w:softHyphen/>
        <w:t>tected by the employer.</w:t>
      </w:r>
    </w:p>
    <w:p w:rsidR="00C240A7" w:rsidRPr="00B850BA" w:rsidP="0039392C" w14:paraId="302E7E17" w14:textId="30BDD893">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Records of medical examinations are used by physicians who must periodically examine </w:t>
      </w:r>
      <w:r w:rsidRPr="00B850BA" w:rsidR="00C004A4">
        <w:rPr>
          <w:rFonts w:asciiTheme="minorHAnsi" w:hAnsiTheme="minorHAnsi" w:cstheme="minorHAnsi"/>
          <w:szCs w:val="24"/>
        </w:rPr>
        <w:t xml:space="preserve">employees exposed to asbestos. </w:t>
      </w:r>
      <w:r w:rsidRPr="00B850BA">
        <w:rPr>
          <w:rFonts w:asciiTheme="minorHAnsi" w:hAnsiTheme="minorHAnsi" w:cstheme="minorHAnsi"/>
          <w:szCs w:val="24"/>
        </w:rPr>
        <w:t>Without records of previous medical exami</w:t>
      </w:r>
      <w:r w:rsidRPr="00B850BA">
        <w:rPr>
          <w:rFonts w:asciiTheme="minorHAnsi" w:hAnsiTheme="minorHAnsi" w:cstheme="minorHAnsi"/>
          <w:szCs w:val="24"/>
        </w:rPr>
        <w:softHyphen/>
        <w:t>nations, the physician may not be able to determine whether an employee has suf</w:t>
      </w:r>
      <w:r w:rsidRPr="00B850BA">
        <w:rPr>
          <w:rFonts w:asciiTheme="minorHAnsi" w:hAnsiTheme="minorHAnsi" w:cstheme="minorHAnsi"/>
          <w:szCs w:val="24"/>
        </w:rPr>
        <w:softHyphen/>
        <w:t>fered an adverse health effect sinc</w:t>
      </w:r>
      <w:r w:rsidRPr="00B850BA" w:rsidR="00C004A4">
        <w:rPr>
          <w:rFonts w:asciiTheme="minorHAnsi" w:hAnsiTheme="minorHAnsi" w:cstheme="minorHAnsi"/>
          <w:szCs w:val="24"/>
        </w:rPr>
        <w:t xml:space="preserve">e his or her last examination. </w:t>
      </w:r>
      <w:r w:rsidRPr="00B850BA">
        <w:rPr>
          <w:rFonts w:asciiTheme="minorHAnsi" w:hAnsiTheme="minorHAnsi" w:cstheme="minorHAnsi"/>
          <w:szCs w:val="24"/>
        </w:rPr>
        <w:t>Furthermore, when symptoms of organic damage appear, the physician often needs information regard</w:t>
      </w:r>
      <w:r w:rsidRPr="00B850BA">
        <w:rPr>
          <w:rFonts w:asciiTheme="minorHAnsi" w:hAnsiTheme="minorHAnsi" w:cstheme="minorHAnsi"/>
          <w:szCs w:val="24"/>
        </w:rPr>
        <w:softHyphen/>
        <w:t>ing the patient’s previous medical condition in order to make an accurate diagnosis of the new problem, its apparent cause, and the course of treatment required.</w:t>
      </w:r>
    </w:p>
    <w:p w:rsidR="00C240A7" w:rsidRPr="00B850BA" w:rsidP="0039392C" w14:paraId="4B6F2FD3" w14:textId="5A1EA5C1">
      <w:pPr>
        <w:spacing w:line="276" w:lineRule="auto"/>
        <w:ind w:firstLine="0"/>
        <w:rPr>
          <w:rFonts w:asciiTheme="minorHAnsi" w:hAnsiTheme="minorHAnsi" w:cstheme="minorHAnsi"/>
          <w:szCs w:val="24"/>
        </w:rPr>
      </w:pPr>
      <w:r w:rsidRPr="00B850BA">
        <w:rPr>
          <w:rFonts w:asciiTheme="minorHAnsi" w:hAnsiTheme="minorHAnsi" w:cstheme="minorHAnsi"/>
          <w:szCs w:val="24"/>
        </w:rPr>
        <w:t>In addition, the data and information contained in the records required to be kept and maintained by the WPR may be used by EPA for the development of a</w:t>
      </w:r>
      <w:r w:rsidRPr="00B850BA" w:rsidR="00C004A4">
        <w:rPr>
          <w:rFonts w:asciiTheme="minorHAnsi" w:hAnsiTheme="minorHAnsi" w:cstheme="minorHAnsi"/>
          <w:szCs w:val="24"/>
        </w:rPr>
        <w:t xml:space="preserve">sbestos exposure assessments. </w:t>
      </w:r>
      <w:r w:rsidRPr="00B850BA">
        <w:rPr>
          <w:rFonts w:asciiTheme="minorHAnsi" w:hAnsiTheme="minorHAnsi" w:cstheme="minorHAnsi"/>
          <w:szCs w:val="24"/>
        </w:rPr>
        <w:t>Exposure data and medical surveillance information may be used for epidemiological and diagnostic investigations to determine, for example, dose-response relationships in diseases caused by asbestos exposure.</w:t>
      </w:r>
    </w:p>
    <w:p w:rsidR="00C240A7" w:rsidRPr="001E226E" w:rsidP="0039392C" w14:paraId="038A8CFC" w14:textId="6315FDFE">
      <w:pPr>
        <w:pStyle w:val="Heading1"/>
        <w:spacing w:before="240"/>
        <w:rPr>
          <w:rFonts w:ascii="Calibri" w:hAnsi="Calibri" w:cs="Calibri"/>
          <w:i/>
          <w:iCs/>
          <w:szCs w:val="24"/>
        </w:rPr>
      </w:pPr>
      <w:r w:rsidRPr="001E226E">
        <w:rPr>
          <w:rFonts w:ascii="Calibri" w:hAnsi="Calibri" w:cs="Calibri"/>
          <w:i/>
          <w:iCs/>
          <w:szCs w:val="24"/>
        </w:rPr>
        <w:t>3. Describe whether, and to what extent, the collection of information involves the use of</w:t>
      </w:r>
      <w:r w:rsidRPr="001E226E" w:rsidR="00DC43A6">
        <w:rPr>
          <w:rFonts w:ascii="Calibri" w:hAnsi="Calibri" w:cs="Calibri"/>
          <w:i/>
          <w:iCs/>
          <w:szCs w:val="24"/>
        </w:rPr>
        <w:t xml:space="preserve"> </w:t>
      </w:r>
      <w:r w:rsidRPr="001E226E">
        <w:rPr>
          <w:rFonts w:ascii="Calibri" w:hAnsi="Calibri" w:cs="Calibri"/>
          <w:i/>
          <w:iCs/>
          <w:szCs w:val="24"/>
        </w:rPr>
        <w:t>automated, electronic, mechanical, or other technological collection techniques or other</w:t>
      </w:r>
      <w:r w:rsidRPr="001E226E" w:rsidR="00DC43A6">
        <w:rPr>
          <w:rFonts w:ascii="Calibri" w:hAnsi="Calibri" w:cs="Calibri"/>
          <w:i/>
          <w:iCs/>
          <w:szCs w:val="24"/>
        </w:rPr>
        <w:t xml:space="preserve"> </w:t>
      </w:r>
      <w:r w:rsidRPr="001E226E">
        <w:rPr>
          <w:rFonts w:ascii="Calibri" w:hAnsi="Calibri" w:cs="Calibri"/>
          <w:i/>
          <w:iCs/>
          <w:szCs w:val="24"/>
        </w:rPr>
        <w:t>forms of information technology, e.g., permitting electronic submission of responses, and the basis for the decision for adopting this means of collection. Also describe any consideration of using information technology to reduce burden.</w:t>
      </w:r>
    </w:p>
    <w:p w:rsidR="00F0304B" w:rsidRPr="00B850BA" w:rsidP="003E3F15" w14:paraId="3DE058B5" w14:textId="77936B24">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Not applicable. EPA does not collect any information under this information collection. All information subject to this collection request is to be gathered and maintained by the employer. </w:t>
      </w:r>
    </w:p>
    <w:p w:rsidR="00C240A7" w:rsidRPr="003E3F15" w:rsidP="003E3F15" w14:paraId="73D2DCE4" w14:textId="31677358">
      <w:pPr>
        <w:pStyle w:val="Heading1"/>
        <w:spacing w:before="240"/>
        <w:rPr>
          <w:rFonts w:ascii="Calibri" w:hAnsi="Calibri" w:cs="Calibri"/>
          <w:i/>
          <w:iCs/>
          <w:szCs w:val="24"/>
        </w:rPr>
      </w:pPr>
      <w:r w:rsidRPr="000D5979">
        <w:rPr>
          <w:rFonts w:ascii="Calibri" w:hAnsi="Calibri" w:cs="Calibri"/>
          <w:szCs w:val="24"/>
        </w:rPr>
        <w:t>4</w:t>
      </w:r>
      <w:r w:rsidRPr="003E3F15">
        <w:rPr>
          <w:rFonts w:ascii="Calibri" w:hAnsi="Calibri" w:cs="Calibri"/>
          <w:i/>
          <w:iCs/>
          <w:szCs w:val="24"/>
        </w:rPr>
        <w:t>. Describe efforts to identify duplication. Show specifically why any similar</w:t>
      </w:r>
      <w:r w:rsidRPr="003E3F15" w:rsidR="001F0D81">
        <w:rPr>
          <w:rFonts w:ascii="Calibri" w:hAnsi="Calibri" w:cs="Calibri"/>
          <w:i/>
          <w:iCs/>
          <w:szCs w:val="24"/>
        </w:rPr>
        <w:t xml:space="preserve"> i</w:t>
      </w:r>
      <w:r w:rsidRPr="003E3F15">
        <w:rPr>
          <w:rFonts w:ascii="Calibri" w:hAnsi="Calibri" w:cs="Calibri"/>
          <w:i/>
          <w:iCs/>
          <w:szCs w:val="24"/>
        </w:rPr>
        <w:t>nformation</w:t>
      </w:r>
      <w:r w:rsidRPr="003E3F15" w:rsidR="00DC43A6">
        <w:rPr>
          <w:rFonts w:ascii="Calibri" w:hAnsi="Calibri" w:cs="Calibri"/>
          <w:i/>
          <w:iCs/>
          <w:szCs w:val="24"/>
        </w:rPr>
        <w:t xml:space="preserve"> </w:t>
      </w:r>
      <w:r w:rsidRPr="003E3F15">
        <w:rPr>
          <w:rFonts w:ascii="Calibri" w:hAnsi="Calibri" w:cs="Calibri"/>
          <w:i/>
          <w:iCs/>
          <w:szCs w:val="24"/>
        </w:rPr>
        <w:t>already available cannot be used or modified for use for the purposes</w:t>
      </w:r>
      <w:r w:rsidRPr="003E3F15" w:rsidR="3B068FA9">
        <w:rPr>
          <w:rFonts w:ascii="Calibri" w:hAnsi="Calibri" w:cs="Calibri"/>
          <w:i/>
          <w:iCs/>
          <w:szCs w:val="24"/>
        </w:rPr>
        <w:t xml:space="preserve"> </w:t>
      </w:r>
      <w:r w:rsidRPr="003E3F15">
        <w:rPr>
          <w:rFonts w:ascii="Calibri" w:hAnsi="Calibri" w:cs="Calibri"/>
          <w:i/>
          <w:iCs/>
          <w:szCs w:val="24"/>
        </w:rPr>
        <w:t>described in Item 2</w:t>
      </w:r>
      <w:r w:rsidRPr="003E3F15" w:rsidR="00DC43A6">
        <w:rPr>
          <w:rFonts w:ascii="Calibri" w:hAnsi="Calibri" w:cs="Calibri"/>
          <w:i/>
          <w:iCs/>
          <w:szCs w:val="24"/>
        </w:rPr>
        <w:t xml:space="preserve"> </w:t>
      </w:r>
      <w:r w:rsidRPr="003E3F15">
        <w:rPr>
          <w:rFonts w:ascii="Calibri" w:hAnsi="Calibri" w:cs="Calibri"/>
          <w:i/>
          <w:iCs/>
          <w:szCs w:val="24"/>
        </w:rPr>
        <w:t>above.</w:t>
      </w:r>
    </w:p>
    <w:p w:rsidR="00C240A7" w:rsidRPr="00B850BA" w:rsidP="003E3F15" w14:paraId="77D057EC" w14:textId="0C633B51">
      <w:pPr>
        <w:spacing w:line="276" w:lineRule="auto"/>
        <w:ind w:firstLine="0"/>
        <w:rPr>
          <w:rFonts w:asciiTheme="minorHAnsi" w:hAnsiTheme="minorHAnsi" w:cstheme="minorHAnsi"/>
          <w:szCs w:val="24"/>
        </w:rPr>
      </w:pPr>
      <w:r w:rsidRPr="00B850BA">
        <w:rPr>
          <w:rFonts w:asciiTheme="minorHAnsi" w:hAnsiTheme="minorHAnsi" w:cstheme="minorHAnsi"/>
          <w:szCs w:val="24"/>
        </w:rPr>
        <w:t>EPA is not aware of any other laws or regulations that require the general compilation, maintenance, or provision of access to occupational exposure and medical records for state and local government workers in the 2</w:t>
      </w:r>
      <w:r w:rsidRPr="00B850BA" w:rsidR="004349F0">
        <w:rPr>
          <w:rFonts w:asciiTheme="minorHAnsi" w:hAnsiTheme="minorHAnsi" w:cstheme="minorHAnsi"/>
          <w:szCs w:val="24"/>
        </w:rPr>
        <w:t>3</w:t>
      </w:r>
      <w:r w:rsidRPr="00B850BA">
        <w:rPr>
          <w:rFonts w:asciiTheme="minorHAnsi" w:hAnsiTheme="minorHAnsi" w:cstheme="minorHAnsi"/>
          <w:szCs w:val="24"/>
        </w:rPr>
        <w:t xml:space="preserve"> states, </w:t>
      </w:r>
      <w:r w:rsidRPr="00B850BA" w:rsidR="00B6129D">
        <w:rPr>
          <w:rFonts w:asciiTheme="minorHAnsi" w:hAnsiTheme="minorHAnsi" w:cstheme="minorHAnsi"/>
          <w:szCs w:val="24"/>
        </w:rPr>
        <w:t>D.C.</w:t>
      </w:r>
      <w:r w:rsidRPr="00B850BA" w:rsidR="00E3166C">
        <w:rPr>
          <w:rFonts w:asciiTheme="minorHAnsi" w:hAnsiTheme="minorHAnsi" w:cstheme="minorHAnsi"/>
          <w:szCs w:val="24"/>
        </w:rPr>
        <w:t>,</w:t>
      </w:r>
      <w:r w:rsidRPr="00B850BA">
        <w:rPr>
          <w:rFonts w:asciiTheme="minorHAnsi" w:hAnsiTheme="minorHAnsi" w:cstheme="minorHAnsi"/>
          <w:szCs w:val="24"/>
        </w:rPr>
        <w:t xml:space="preserve"> and </w:t>
      </w:r>
      <w:r w:rsidRPr="00B850BA" w:rsidR="007B2D43">
        <w:rPr>
          <w:rFonts w:asciiTheme="minorHAnsi" w:hAnsiTheme="minorHAnsi" w:cstheme="minorHAnsi"/>
          <w:szCs w:val="24"/>
        </w:rPr>
        <w:t xml:space="preserve">the </w:t>
      </w:r>
      <w:r w:rsidRPr="00B850BA">
        <w:rPr>
          <w:rFonts w:asciiTheme="minorHAnsi" w:hAnsiTheme="minorHAnsi" w:cstheme="minorHAnsi"/>
          <w:szCs w:val="24"/>
        </w:rPr>
        <w:t>U.S. territories</w:t>
      </w:r>
      <w:r w:rsidRPr="00B850BA" w:rsidR="007B2D43">
        <w:rPr>
          <w:rFonts w:asciiTheme="minorHAnsi" w:hAnsiTheme="minorHAnsi" w:cstheme="minorHAnsi"/>
          <w:szCs w:val="24"/>
        </w:rPr>
        <w:t xml:space="preserve"> of American Samoa, Guam,</w:t>
      </w:r>
      <w:r w:rsidRPr="00B850BA" w:rsidR="000B045B">
        <w:rPr>
          <w:rFonts w:asciiTheme="minorHAnsi" w:hAnsiTheme="minorHAnsi" w:cstheme="minorHAnsi"/>
          <w:szCs w:val="24"/>
        </w:rPr>
        <w:t xml:space="preserve"> and the</w:t>
      </w:r>
      <w:r w:rsidRPr="00B850BA" w:rsidR="007B2D43">
        <w:rPr>
          <w:rFonts w:asciiTheme="minorHAnsi" w:hAnsiTheme="minorHAnsi" w:cstheme="minorHAnsi"/>
          <w:szCs w:val="24"/>
        </w:rPr>
        <w:t xml:space="preserve"> Northern Mariana Islands </w:t>
      </w:r>
      <w:r w:rsidRPr="00B850BA">
        <w:rPr>
          <w:rFonts w:asciiTheme="minorHAnsi" w:hAnsiTheme="minorHAnsi" w:cstheme="minorHAnsi"/>
          <w:szCs w:val="24"/>
        </w:rPr>
        <w:t>withou</w:t>
      </w:r>
      <w:r w:rsidRPr="00B850BA" w:rsidR="00C004A4">
        <w:rPr>
          <w:rFonts w:asciiTheme="minorHAnsi" w:hAnsiTheme="minorHAnsi" w:cstheme="minorHAnsi"/>
          <w:szCs w:val="24"/>
        </w:rPr>
        <w:t>t OSHA</w:t>
      </w:r>
      <w:r w:rsidR="00F051F3">
        <w:rPr>
          <w:rFonts w:asciiTheme="minorHAnsi" w:hAnsiTheme="minorHAnsi" w:cstheme="minorHAnsi"/>
          <w:szCs w:val="24"/>
        </w:rPr>
        <w:t xml:space="preserve"> </w:t>
      </w:r>
      <w:r w:rsidRPr="00B850BA" w:rsidR="00C004A4">
        <w:rPr>
          <w:rFonts w:asciiTheme="minorHAnsi" w:hAnsiTheme="minorHAnsi" w:cstheme="minorHAnsi"/>
          <w:szCs w:val="24"/>
        </w:rPr>
        <w:t>approved state plan</w:t>
      </w:r>
      <w:r w:rsidRPr="00B850BA" w:rsidR="00E3166C">
        <w:rPr>
          <w:rFonts w:asciiTheme="minorHAnsi" w:hAnsiTheme="minorHAnsi" w:cstheme="minorHAnsi"/>
          <w:szCs w:val="24"/>
        </w:rPr>
        <w:t>s</w:t>
      </w:r>
      <w:r w:rsidRPr="00B850BA" w:rsidR="00C004A4">
        <w:rPr>
          <w:rFonts w:asciiTheme="minorHAnsi" w:hAnsiTheme="minorHAnsi" w:cstheme="minorHAnsi"/>
          <w:szCs w:val="24"/>
        </w:rPr>
        <w:t xml:space="preserve">. </w:t>
      </w:r>
      <w:r w:rsidRPr="00B850BA">
        <w:rPr>
          <w:rFonts w:asciiTheme="minorHAnsi" w:hAnsiTheme="minorHAnsi" w:cstheme="minorHAnsi"/>
          <w:szCs w:val="24"/>
        </w:rPr>
        <w:t xml:space="preserve">Currently, all private sector workers as well as state and local government employees in the </w:t>
      </w:r>
      <w:r w:rsidRPr="00B850BA" w:rsidR="0080631D">
        <w:rPr>
          <w:rFonts w:asciiTheme="minorHAnsi" w:hAnsiTheme="minorHAnsi" w:cstheme="minorHAnsi"/>
          <w:szCs w:val="24"/>
        </w:rPr>
        <w:t>2</w:t>
      </w:r>
      <w:r w:rsidRPr="00B850BA" w:rsidR="63B7D0AA">
        <w:rPr>
          <w:rFonts w:asciiTheme="minorHAnsi" w:hAnsiTheme="minorHAnsi" w:cstheme="minorHAnsi"/>
          <w:szCs w:val="24"/>
        </w:rPr>
        <w:t>7</w:t>
      </w:r>
      <w:r w:rsidRPr="00B850BA" w:rsidR="00EF2FF3">
        <w:rPr>
          <w:rFonts w:asciiTheme="minorHAnsi" w:hAnsiTheme="minorHAnsi" w:cstheme="minorHAnsi"/>
          <w:szCs w:val="24"/>
        </w:rPr>
        <w:t xml:space="preserve"> </w:t>
      </w:r>
      <w:r w:rsidRPr="00B850BA">
        <w:rPr>
          <w:rFonts w:asciiTheme="minorHAnsi" w:hAnsiTheme="minorHAnsi" w:cstheme="minorHAnsi"/>
          <w:szCs w:val="24"/>
        </w:rPr>
        <w:t>states</w:t>
      </w:r>
      <w:r w:rsidRPr="00B850BA" w:rsidR="0080631D">
        <w:rPr>
          <w:rFonts w:asciiTheme="minorHAnsi" w:hAnsiTheme="minorHAnsi" w:cstheme="minorHAnsi"/>
          <w:szCs w:val="24"/>
        </w:rPr>
        <w:t xml:space="preserve"> and two territories</w:t>
      </w:r>
      <w:r w:rsidRPr="00B850BA" w:rsidR="005433B9">
        <w:rPr>
          <w:rFonts w:asciiTheme="minorHAnsi" w:hAnsiTheme="minorHAnsi" w:cstheme="minorHAnsi"/>
          <w:szCs w:val="24"/>
        </w:rPr>
        <w:t xml:space="preserve"> </w:t>
      </w:r>
      <w:r w:rsidRPr="00B850BA" w:rsidR="00D35F2E">
        <w:rPr>
          <w:rFonts w:asciiTheme="minorHAnsi" w:hAnsiTheme="minorHAnsi" w:cstheme="minorHAnsi"/>
          <w:szCs w:val="24"/>
        </w:rPr>
        <w:t xml:space="preserve">that have OSHA-approved </w:t>
      </w:r>
      <w:r w:rsidRPr="00B850BA" w:rsidR="005433B9">
        <w:rPr>
          <w:rFonts w:asciiTheme="minorHAnsi" w:hAnsiTheme="minorHAnsi" w:cstheme="minorHAnsi"/>
          <w:szCs w:val="24"/>
        </w:rPr>
        <w:t>plans</w:t>
      </w:r>
      <w:r w:rsidRPr="00B850BA">
        <w:rPr>
          <w:rFonts w:asciiTheme="minorHAnsi" w:hAnsiTheme="minorHAnsi" w:cstheme="minorHAnsi"/>
          <w:szCs w:val="24"/>
        </w:rPr>
        <w:t xml:space="preserve"> are protected by the OSHA regulations.  </w:t>
      </w:r>
    </w:p>
    <w:p w:rsidR="00F0304B" w:rsidRPr="000D5979" w:rsidP="004C3A65" w14:paraId="65E4C604" w14:textId="0344DF14">
      <w:pPr>
        <w:pStyle w:val="Heading1"/>
        <w:spacing w:before="240"/>
        <w:rPr>
          <w:rFonts w:asciiTheme="minorHAnsi" w:hAnsiTheme="minorHAnsi" w:cstheme="minorHAnsi"/>
          <w:i/>
          <w:iCs/>
          <w:szCs w:val="24"/>
        </w:rPr>
      </w:pPr>
      <w:r w:rsidRPr="000D5979">
        <w:rPr>
          <w:rFonts w:asciiTheme="minorHAnsi" w:hAnsiTheme="minorHAnsi" w:cstheme="minorHAnsi"/>
          <w:i/>
          <w:iCs/>
          <w:szCs w:val="24"/>
        </w:rPr>
        <w:t>5. If the collection of information impacts small businesses or other small entities, describe any methods used to minimize burden.</w:t>
      </w:r>
    </w:p>
    <w:p w:rsidR="00F0304B" w:rsidRPr="00B850BA" w:rsidP="004C3A65" w14:paraId="5B30B016" w14:textId="73D69FC6">
      <w:pPr>
        <w:spacing w:line="276" w:lineRule="auto"/>
        <w:ind w:firstLine="0"/>
        <w:rPr>
          <w:rFonts w:asciiTheme="minorHAnsi" w:hAnsiTheme="minorHAnsi" w:cstheme="minorHAnsi"/>
          <w:szCs w:val="24"/>
        </w:rPr>
      </w:pPr>
      <w:r w:rsidRPr="00B850BA">
        <w:rPr>
          <w:rFonts w:asciiTheme="minorHAnsi" w:hAnsiTheme="minorHAnsi" w:cstheme="minorHAnsi"/>
          <w:szCs w:val="24"/>
        </w:rPr>
        <w:t>The small entities potentially impacted by this rule are small government entities consisting of local governments (e.g., county, municipal, or towns) and school districts. The primary function of the statutory requirements of TSCA section</w:t>
      </w:r>
      <w:r w:rsidR="004C3A65">
        <w:rPr>
          <w:rFonts w:asciiTheme="minorHAnsi" w:hAnsiTheme="minorHAnsi" w:cstheme="minorHAnsi"/>
          <w:szCs w:val="24"/>
        </w:rPr>
        <w:t>s</w:t>
      </w:r>
      <w:r w:rsidRPr="00B850BA">
        <w:rPr>
          <w:rFonts w:asciiTheme="minorHAnsi" w:hAnsiTheme="minorHAnsi" w:cstheme="minorHAnsi"/>
          <w:szCs w:val="24"/>
        </w:rPr>
        <w:t xml:space="preserve"> 6 </w:t>
      </w:r>
      <w:r w:rsidR="004C3A65">
        <w:rPr>
          <w:rFonts w:asciiTheme="minorHAnsi" w:hAnsiTheme="minorHAnsi" w:cstheme="minorHAnsi"/>
          <w:szCs w:val="24"/>
        </w:rPr>
        <w:t>and 8</w:t>
      </w:r>
      <w:r w:rsidR="001C2C32">
        <w:rPr>
          <w:rFonts w:asciiTheme="minorHAnsi" w:hAnsiTheme="minorHAnsi" w:cstheme="minorHAnsi"/>
          <w:szCs w:val="24"/>
        </w:rPr>
        <w:t xml:space="preserve">(a) </w:t>
      </w:r>
      <w:r w:rsidR="004C3A65">
        <w:rPr>
          <w:rFonts w:asciiTheme="minorHAnsi" w:hAnsiTheme="minorHAnsi" w:cstheme="minorHAnsi"/>
          <w:szCs w:val="24"/>
        </w:rPr>
        <w:t>are</w:t>
      </w:r>
      <w:r w:rsidRPr="00B850BA">
        <w:rPr>
          <w:rFonts w:asciiTheme="minorHAnsi" w:hAnsiTheme="minorHAnsi" w:cstheme="minorHAnsi"/>
          <w:szCs w:val="24"/>
        </w:rPr>
        <w:t xml:space="preserve"> the protection of human health and the environment. Consequently, no specific provisions exist for easing the burden on small local government entities. The records required are as necessary for the protection of employees of small local governments as for other affected employees.</w:t>
      </w:r>
    </w:p>
    <w:p w:rsidR="00C240A7" w:rsidRPr="000D5979" w:rsidP="00F051F3" w14:paraId="0EC9F532" w14:textId="6E7F1729">
      <w:pPr>
        <w:pStyle w:val="Heading1"/>
        <w:spacing w:before="240"/>
        <w:rPr>
          <w:rFonts w:asciiTheme="minorHAnsi" w:hAnsiTheme="minorHAnsi" w:cstheme="minorHAnsi"/>
          <w:i/>
          <w:iCs/>
          <w:szCs w:val="24"/>
        </w:rPr>
      </w:pPr>
      <w:r w:rsidRPr="000D5979">
        <w:rPr>
          <w:rFonts w:asciiTheme="minorHAnsi" w:hAnsiTheme="minorHAnsi" w:cstheme="minorHAnsi"/>
          <w:i/>
          <w:iCs/>
          <w:szCs w:val="24"/>
        </w:rPr>
        <w:t>6. Describe the consequence to Federal program or policy activities if the collection is not</w:t>
      </w:r>
      <w:r w:rsidRPr="000D5979" w:rsidR="00DC43A6">
        <w:rPr>
          <w:rFonts w:asciiTheme="minorHAnsi" w:hAnsiTheme="minorHAnsi" w:cstheme="minorHAnsi"/>
          <w:i/>
          <w:iCs/>
          <w:szCs w:val="24"/>
        </w:rPr>
        <w:t xml:space="preserve"> </w:t>
      </w:r>
      <w:r w:rsidRPr="000D5979">
        <w:rPr>
          <w:rFonts w:asciiTheme="minorHAnsi" w:hAnsiTheme="minorHAnsi" w:cstheme="minorHAnsi"/>
          <w:i/>
          <w:iCs/>
          <w:szCs w:val="24"/>
        </w:rPr>
        <w:t>conducted or is conducted less frequently, as well as any technical or legal obstacles to</w:t>
      </w:r>
      <w:r w:rsidRPr="000D5979" w:rsidR="00DC43A6">
        <w:rPr>
          <w:rFonts w:asciiTheme="minorHAnsi" w:hAnsiTheme="minorHAnsi" w:cstheme="minorHAnsi"/>
          <w:i/>
          <w:iCs/>
          <w:szCs w:val="24"/>
        </w:rPr>
        <w:t xml:space="preserve"> </w:t>
      </w:r>
      <w:r w:rsidRPr="000D5979">
        <w:rPr>
          <w:rFonts w:asciiTheme="minorHAnsi" w:hAnsiTheme="minorHAnsi" w:cstheme="minorHAnsi"/>
          <w:i/>
          <w:iCs/>
          <w:szCs w:val="24"/>
        </w:rPr>
        <w:t>reducing burden.</w:t>
      </w:r>
    </w:p>
    <w:p w:rsidR="00F0304B" w:rsidRPr="00B850BA" w:rsidP="00F051F3" w14:paraId="470765D2" w14:textId="360B467E">
      <w:pPr>
        <w:spacing w:line="276" w:lineRule="auto"/>
        <w:ind w:firstLine="0"/>
        <w:rPr>
          <w:rFonts w:asciiTheme="minorHAnsi" w:hAnsiTheme="minorHAnsi" w:cstheme="minorHAnsi"/>
          <w:szCs w:val="24"/>
        </w:rPr>
      </w:pPr>
      <w:r w:rsidRPr="00B850BA">
        <w:rPr>
          <w:rFonts w:asciiTheme="minorHAnsi" w:hAnsiTheme="minorHAnsi" w:cstheme="minorHAnsi"/>
          <w:szCs w:val="24"/>
        </w:rPr>
        <w:t>The information collection frequencies specified by this rule are the minimum EPA considers necessary to ensure that the health of public employees engaged in asbestos abatement activities is adequately monitored. Initial exposure monitoring must be performed for most projects covered by this rule, but the employer will be able to rely on those results for approximately three years when performing similar projects. All employees covered by this rule must receive training on an annual basis. Most of these employees must also receive annual medical exams. These requirements are necessary to ensure that the employees are being adequately protected from asbestos hazards.</w:t>
      </w:r>
    </w:p>
    <w:p w:rsidR="00F0304B" w:rsidRPr="000D5979" w:rsidP="00F051F3" w14:paraId="3CC1E5B7" w14:textId="5A3EEE6C">
      <w:pPr>
        <w:pStyle w:val="Heading1"/>
        <w:spacing w:before="240"/>
        <w:contextualSpacing/>
        <w:rPr>
          <w:rFonts w:ascii="Calibri" w:hAnsi="Calibri" w:cs="Calibri"/>
          <w:i/>
          <w:iCs/>
          <w:szCs w:val="24"/>
        </w:rPr>
      </w:pPr>
      <w:r w:rsidRPr="000D5979">
        <w:rPr>
          <w:rFonts w:ascii="Calibri" w:hAnsi="Calibri" w:cs="Calibri"/>
          <w:i/>
          <w:iCs/>
          <w:szCs w:val="24"/>
        </w:rPr>
        <w:t>7. Explain any special circumstances that would cause an information collection to be</w:t>
      </w:r>
      <w:r w:rsidRPr="000D5979" w:rsidR="00DC43A6">
        <w:rPr>
          <w:rFonts w:ascii="Calibri" w:hAnsi="Calibri" w:cs="Calibri"/>
          <w:i/>
          <w:iCs/>
          <w:szCs w:val="24"/>
        </w:rPr>
        <w:t xml:space="preserve"> </w:t>
      </w:r>
      <w:r w:rsidRPr="000D5979">
        <w:rPr>
          <w:rFonts w:ascii="Calibri" w:hAnsi="Calibri" w:cs="Calibri"/>
          <w:i/>
          <w:iCs/>
          <w:szCs w:val="24"/>
        </w:rPr>
        <w:t>conducted in a manner:</w:t>
      </w:r>
    </w:p>
    <w:p w:rsidR="00CE5758" w:rsidRPr="00B850BA" w:rsidP="001F0D81" w14:paraId="5D3D0D30" w14:textId="77777777">
      <w:pPr>
        <w:numPr>
          <w:ilvl w:val="0"/>
          <w:numId w:val="30"/>
        </w:numPr>
        <w:contextualSpacing/>
        <w:rPr>
          <w:rFonts w:asciiTheme="minorHAnsi" w:hAnsiTheme="minorHAnsi" w:cstheme="minorHAnsi"/>
          <w:b/>
          <w:bCs/>
          <w:szCs w:val="24"/>
        </w:rPr>
      </w:pPr>
      <w:r w:rsidRPr="00B850BA">
        <w:rPr>
          <w:rFonts w:asciiTheme="minorHAnsi" w:hAnsiTheme="minorHAnsi" w:cstheme="minorHAnsi"/>
          <w:b/>
          <w:bCs/>
          <w:szCs w:val="24"/>
        </w:rPr>
        <w:t>requiring respondents to report information to the agency more often than quarterly;</w:t>
      </w:r>
    </w:p>
    <w:p w:rsidR="00CE5758" w:rsidRPr="00B850BA" w:rsidP="001F0D81" w14:paraId="749601F4" w14:textId="77777777">
      <w:pPr>
        <w:numPr>
          <w:ilvl w:val="0"/>
          <w:numId w:val="30"/>
        </w:numPr>
        <w:contextualSpacing/>
        <w:rPr>
          <w:rFonts w:asciiTheme="minorHAnsi" w:hAnsiTheme="minorHAnsi" w:cstheme="minorHAnsi"/>
          <w:b/>
          <w:bCs/>
          <w:szCs w:val="24"/>
        </w:rPr>
      </w:pPr>
      <w:r w:rsidRPr="00B850BA">
        <w:rPr>
          <w:rFonts w:asciiTheme="minorHAnsi" w:hAnsiTheme="minorHAnsi" w:cstheme="minorHAnsi"/>
          <w:b/>
          <w:bCs/>
          <w:szCs w:val="24"/>
        </w:rPr>
        <w:t>requiring respondents to prepare a written response to a collection of information in</w:t>
      </w:r>
      <w:r w:rsidRPr="00B850BA">
        <w:rPr>
          <w:rFonts w:asciiTheme="minorHAnsi" w:hAnsiTheme="minorHAnsi" w:cstheme="minorHAnsi"/>
          <w:b/>
          <w:bCs/>
          <w:szCs w:val="24"/>
        </w:rPr>
        <w:t xml:space="preserve"> </w:t>
      </w:r>
      <w:r w:rsidRPr="00B850BA">
        <w:rPr>
          <w:rFonts w:asciiTheme="minorHAnsi" w:hAnsiTheme="minorHAnsi" w:cstheme="minorHAnsi"/>
          <w:b/>
          <w:bCs/>
          <w:szCs w:val="24"/>
        </w:rPr>
        <w:t>fewer than 30 days after receipt of it;</w:t>
      </w:r>
    </w:p>
    <w:p w:rsidR="00CE5758" w:rsidRPr="00B850BA" w:rsidP="001F0D81" w14:paraId="13BDE3B6" w14:textId="77777777">
      <w:pPr>
        <w:numPr>
          <w:ilvl w:val="0"/>
          <w:numId w:val="30"/>
        </w:numPr>
        <w:contextualSpacing/>
        <w:rPr>
          <w:rFonts w:asciiTheme="minorHAnsi" w:hAnsiTheme="minorHAnsi" w:cstheme="minorHAnsi"/>
          <w:b/>
          <w:bCs/>
          <w:szCs w:val="24"/>
        </w:rPr>
      </w:pPr>
      <w:r w:rsidRPr="00B850BA">
        <w:rPr>
          <w:rFonts w:asciiTheme="minorHAnsi" w:hAnsiTheme="minorHAnsi" w:cstheme="minorHAnsi"/>
          <w:b/>
          <w:bCs/>
          <w:szCs w:val="24"/>
        </w:rPr>
        <w:t>requiring respondents to submit more than an original and two copies of any document;</w:t>
      </w:r>
    </w:p>
    <w:p w:rsidR="00CE5758" w:rsidRPr="00B850BA" w:rsidP="001F0D81" w14:paraId="3A38C39E" w14:textId="77777777">
      <w:pPr>
        <w:numPr>
          <w:ilvl w:val="0"/>
          <w:numId w:val="30"/>
        </w:numPr>
        <w:contextualSpacing/>
        <w:rPr>
          <w:rFonts w:asciiTheme="minorHAnsi" w:hAnsiTheme="minorHAnsi" w:cstheme="minorHAnsi"/>
          <w:b/>
          <w:bCs/>
          <w:szCs w:val="24"/>
        </w:rPr>
      </w:pPr>
      <w:r w:rsidRPr="00B850BA">
        <w:rPr>
          <w:rFonts w:asciiTheme="minorHAnsi" w:hAnsiTheme="minorHAnsi" w:cstheme="minorHAnsi"/>
          <w:b/>
          <w:bCs/>
          <w:szCs w:val="24"/>
        </w:rPr>
        <w:t>requiring respondents to retain records, other than health, medical, government contract,</w:t>
      </w:r>
      <w:r w:rsidRPr="00B850BA">
        <w:rPr>
          <w:rFonts w:asciiTheme="minorHAnsi" w:hAnsiTheme="minorHAnsi" w:cstheme="minorHAnsi"/>
          <w:b/>
          <w:bCs/>
          <w:szCs w:val="24"/>
        </w:rPr>
        <w:t xml:space="preserve"> </w:t>
      </w:r>
      <w:r w:rsidRPr="00B850BA">
        <w:rPr>
          <w:rFonts w:asciiTheme="minorHAnsi" w:hAnsiTheme="minorHAnsi" w:cstheme="minorHAnsi"/>
          <w:b/>
          <w:bCs/>
          <w:szCs w:val="24"/>
        </w:rPr>
        <w:t>grant-in-aid, or tax records, for more than three years;</w:t>
      </w:r>
    </w:p>
    <w:p w:rsidR="00CE5758" w:rsidRPr="00B850BA" w:rsidP="001F0D81" w14:paraId="261FDC26" w14:textId="77777777">
      <w:pPr>
        <w:numPr>
          <w:ilvl w:val="0"/>
          <w:numId w:val="30"/>
        </w:numPr>
        <w:contextualSpacing/>
        <w:rPr>
          <w:rFonts w:asciiTheme="minorHAnsi" w:hAnsiTheme="minorHAnsi" w:cstheme="minorHAnsi"/>
          <w:b/>
          <w:bCs/>
          <w:szCs w:val="24"/>
        </w:rPr>
      </w:pPr>
      <w:r w:rsidRPr="00B850BA">
        <w:rPr>
          <w:rFonts w:asciiTheme="minorHAnsi" w:hAnsiTheme="minorHAnsi" w:cstheme="minorHAnsi"/>
          <w:b/>
          <w:bCs/>
          <w:szCs w:val="24"/>
        </w:rPr>
        <w:t>in connection with a statistical survey, that is not designed to produce valid and reliable</w:t>
      </w:r>
      <w:r w:rsidRPr="00B850BA">
        <w:rPr>
          <w:rFonts w:asciiTheme="minorHAnsi" w:hAnsiTheme="minorHAnsi" w:cstheme="minorHAnsi"/>
          <w:b/>
          <w:bCs/>
          <w:szCs w:val="24"/>
        </w:rPr>
        <w:t xml:space="preserve"> </w:t>
      </w:r>
      <w:r w:rsidRPr="00B850BA">
        <w:rPr>
          <w:rFonts w:asciiTheme="minorHAnsi" w:hAnsiTheme="minorHAnsi" w:cstheme="minorHAnsi"/>
          <w:b/>
          <w:bCs/>
          <w:szCs w:val="24"/>
        </w:rPr>
        <w:t>results that can be generalized to the universe of study;</w:t>
      </w:r>
    </w:p>
    <w:p w:rsidR="00CE5758" w:rsidRPr="00B850BA" w:rsidP="001F0D81" w14:paraId="2C7135CB" w14:textId="77777777">
      <w:pPr>
        <w:numPr>
          <w:ilvl w:val="0"/>
          <w:numId w:val="30"/>
        </w:numPr>
        <w:contextualSpacing/>
        <w:rPr>
          <w:rFonts w:asciiTheme="minorHAnsi" w:hAnsiTheme="minorHAnsi" w:cstheme="minorHAnsi"/>
          <w:b/>
          <w:bCs/>
          <w:szCs w:val="24"/>
        </w:rPr>
      </w:pPr>
      <w:r w:rsidRPr="00B850BA">
        <w:rPr>
          <w:rFonts w:asciiTheme="minorHAnsi" w:hAnsiTheme="minorHAnsi" w:cstheme="minorHAnsi"/>
          <w:b/>
          <w:bCs/>
          <w:szCs w:val="24"/>
        </w:rPr>
        <w:t>requiring the use of a statistical data classification that has not been reviewed and</w:t>
      </w:r>
      <w:r w:rsidRPr="00B850BA">
        <w:rPr>
          <w:rFonts w:asciiTheme="minorHAnsi" w:hAnsiTheme="minorHAnsi" w:cstheme="minorHAnsi"/>
          <w:b/>
          <w:bCs/>
          <w:szCs w:val="24"/>
        </w:rPr>
        <w:t xml:space="preserve"> </w:t>
      </w:r>
      <w:r w:rsidRPr="00B850BA">
        <w:rPr>
          <w:rFonts w:asciiTheme="minorHAnsi" w:hAnsiTheme="minorHAnsi" w:cstheme="minorHAnsi"/>
          <w:b/>
          <w:bCs/>
          <w:szCs w:val="24"/>
        </w:rPr>
        <w:t>approved by OMB;</w:t>
      </w:r>
    </w:p>
    <w:p w:rsidR="00CE5758" w:rsidRPr="00B850BA" w:rsidP="001F0D81" w14:paraId="79E73D4A" w14:textId="77777777">
      <w:pPr>
        <w:numPr>
          <w:ilvl w:val="0"/>
          <w:numId w:val="30"/>
        </w:numPr>
        <w:contextualSpacing/>
        <w:rPr>
          <w:rFonts w:asciiTheme="minorHAnsi" w:hAnsiTheme="minorHAnsi" w:cstheme="minorHAnsi"/>
          <w:b/>
          <w:bCs/>
          <w:szCs w:val="24"/>
        </w:rPr>
      </w:pPr>
      <w:r w:rsidRPr="00B850BA">
        <w:rPr>
          <w:rFonts w:asciiTheme="minorHAnsi" w:hAnsiTheme="minorHAnsi" w:cstheme="minorHAnsi"/>
          <w:b/>
          <w:bCs/>
          <w:szCs w:val="24"/>
        </w:rPr>
        <w:t>that includes a pledge of confidentiality that is not supported by authority established in</w:t>
      </w:r>
      <w:r w:rsidRPr="00B850BA">
        <w:rPr>
          <w:rFonts w:asciiTheme="minorHAnsi" w:hAnsiTheme="minorHAnsi" w:cstheme="minorHAnsi"/>
          <w:b/>
          <w:bCs/>
          <w:szCs w:val="24"/>
        </w:rPr>
        <w:t xml:space="preserve"> </w:t>
      </w:r>
      <w:r w:rsidRPr="00B850BA">
        <w:rPr>
          <w:rFonts w:asciiTheme="minorHAnsi" w:hAnsiTheme="minorHAnsi" w:cstheme="minorHAnsi"/>
          <w:b/>
          <w:bCs/>
          <w:szCs w:val="24"/>
        </w:rPr>
        <w:t>statute or regulation, that is not supported by disclosure and data security policies that are</w:t>
      </w:r>
      <w:r w:rsidRPr="00B850BA">
        <w:rPr>
          <w:rFonts w:asciiTheme="minorHAnsi" w:hAnsiTheme="minorHAnsi" w:cstheme="minorHAnsi"/>
          <w:b/>
          <w:bCs/>
          <w:szCs w:val="24"/>
        </w:rPr>
        <w:t xml:space="preserve"> </w:t>
      </w:r>
      <w:r w:rsidRPr="00B850BA">
        <w:rPr>
          <w:rFonts w:asciiTheme="minorHAnsi" w:hAnsiTheme="minorHAnsi" w:cstheme="minorHAnsi"/>
          <w:b/>
          <w:bCs/>
          <w:szCs w:val="24"/>
        </w:rPr>
        <w:t>consistent with the pledge, or which unnecessarily impedes sharing of data with other</w:t>
      </w:r>
      <w:r w:rsidRPr="00B850BA">
        <w:rPr>
          <w:rFonts w:asciiTheme="minorHAnsi" w:hAnsiTheme="minorHAnsi" w:cstheme="minorHAnsi"/>
          <w:b/>
          <w:bCs/>
          <w:szCs w:val="24"/>
        </w:rPr>
        <w:t xml:space="preserve"> </w:t>
      </w:r>
      <w:r w:rsidRPr="00B850BA">
        <w:rPr>
          <w:rFonts w:asciiTheme="minorHAnsi" w:hAnsiTheme="minorHAnsi" w:cstheme="minorHAnsi"/>
          <w:b/>
          <w:bCs/>
          <w:szCs w:val="24"/>
        </w:rPr>
        <w:t>agencies for compatible confidential use; or</w:t>
      </w:r>
    </w:p>
    <w:p w:rsidR="00CE5758" w:rsidRPr="00B850BA" w:rsidP="004A27F8" w14:paraId="1BADEE49" w14:textId="14649A32">
      <w:pPr>
        <w:numPr>
          <w:ilvl w:val="0"/>
          <w:numId w:val="30"/>
        </w:numPr>
        <w:rPr>
          <w:rFonts w:asciiTheme="minorHAnsi" w:hAnsiTheme="minorHAnsi" w:cstheme="minorHAnsi"/>
          <w:b/>
          <w:bCs/>
          <w:szCs w:val="24"/>
        </w:rPr>
      </w:pPr>
      <w:r w:rsidRPr="00B850BA">
        <w:rPr>
          <w:rFonts w:asciiTheme="minorHAnsi" w:hAnsiTheme="minorHAnsi" w:cstheme="minorHAnsi"/>
          <w:b/>
          <w:bCs/>
          <w:szCs w:val="24"/>
        </w:rPr>
        <w:t>requiring respondents to submit proprietary trade secrets, or other confidential</w:t>
      </w:r>
      <w:r w:rsidRPr="00B850BA">
        <w:rPr>
          <w:rFonts w:asciiTheme="minorHAnsi" w:hAnsiTheme="minorHAnsi" w:cstheme="minorHAnsi"/>
          <w:b/>
          <w:bCs/>
          <w:szCs w:val="24"/>
        </w:rPr>
        <w:t xml:space="preserve"> </w:t>
      </w:r>
      <w:r w:rsidRPr="00B850BA">
        <w:rPr>
          <w:rFonts w:asciiTheme="minorHAnsi" w:hAnsiTheme="minorHAnsi" w:cstheme="minorHAnsi"/>
          <w:b/>
          <w:bCs/>
          <w:szCs w:val="24"/>
        </w:rPr>
        <w:t>information unless the agency can demonstrate that it has instituted procedures to protect</w:t>
      </w:r>
      <w:r w:rsidRPr="00B850BA">
        <w:rPr>
          <w:rFonts w:asciiTheme="minorHAnsi" w:hAnsiTheme="minorHAnsi" w:cstheme="minorHAnsi"/>
          <w:b/>
          <w:bCs/>
          <w:szCs w:val="24"/>
        </w:rPr>
        <w:t xml:space="preserve"> </w:t>
      </w:r>
      <w:r w:rsidRPr="00B850BA">
        <w:rPr>
          <w:rFonts w:asciiTheme="minorHAnsi" w:hAnsiTheme="minorHAnsi" w:cstheme="minorHAnsi"/>
          <w:b/>
          <w:bCs/>
          <w:szCs w:val="24"/>
        </w:rPr>
        <w:t>the information's confidentiality to the extent permitted by law.</w:t>
      </w:r>
    </w:p>
    <w:p w:rsidR="00CE5758" w:rsidRPr="00B850BA" w:rsidP="00F051F3" w14:paraId="411367EA" w14:textId="32F626A7">
      <w:pPr>
        <w:spacing w:line="276" w:lineRule="auto"/>
        <w:ind w:firstLine="0"/>
        <w:rPr>
          <w:rFonts w:asciiTheme="minorHAnsi" w:hAnsiTheme="minorHAnsi" w:cstheme="minorHAnsi"/>
          <w:szCs w:val="24"/>
        </w:rPr>
      </w:pPr>
      <w:r w:rsidRPr="00B850BA">
        <w:rPr>
          <w:rFonts w:asciiTheme="minorHAnsi" w:hAnsiTheme="minorHAnsi" w:cstheme="minorHAnsi"/>
          <w:szCs w:val="24"/>
        </w:rPr>
        <w:t>Information collected as a result of this request does not violate any of the guidelines imposed by 5 CFR part 1320.6. The requirement that records for medical surveillance and exposure monitoring be retained for more than three years is permis</w:t>
      </w:r>
      <w:r w:rsidRPr="00B850BA">
        <w:rPr>
          <w:rFonts w:asciiTheme="minorHAnsi" w:hAnsiTheme="minorHAnsi" w:cstheme="minorHAnsi"/>
          <w:szCs w:val="24"/>
        </w:rPr>
        <w:softHyphen/>
        <w:t>sible under a provision contained in 5 CFR part 1320.6 that expressly exempts the retention of health and medical records from limitations otherwise imposed by the regulation.</w:t>
      </w:r>
    </w:p>
    <w:p w:rsidR="00DC43A6" w:rsidRPr="000D5979" w:rsidP="00E509F0" w14:paraId="5B0241A3" w14:textId="2E28C038">
      <w:pPr>
        <w:pStyle w:val="Heading1"/>
        <w:spacing w:before="240"/>
        <w:rPr>
          <w:rFonts w:ascii="Calibri" w:hAnsi="Calibri" w:cs="Calibri"/>
          <w:i/>
          <w:iCs/>
          <w:szCs w:val="24"/>
        </w:rPr>
      </w:pPr>
      <w:r w:rsidRPr="000D5979">
        <w:rPr>
          <w:rFonts w:ascii="Calibri" w:hAnsi="Calibri" w:cs="Calibri"/>
          <w:i/>
          <w:iCs/>
          <w:szCs w:val="24"/>
        </w:rPr>
        <w:t>8. If applicable, provide a copy and identify the date and page number of</w:t>
      </w:r>
      <w:r w:rsidRPr="000D5979" w:rsidR="001F0D81">
        <w:rPr>
          <w:rFonts w:ascii="Calibri" w:hAnsi="Calibri" w:cs="Calibri"/>
          <w:i/>
          <w:iCs/>
          <w:szCs w:val="24"/>
        </w:rPr>
        <w:t xml:space="preserve"> publications</w:t>
      </w:r>
      <w:r w:rsidRPr="000D5979">
        <w:rPr>
          <w:rFonts w:ascii="Calibri" w:hAnsi="Calibri" w:cs="Calibri"/>
          <w:i/>
          <w:iCs/>
          <w:szCs w:val="24"/>
        </w:rPr>
        <w:t xml:space="preserve"> in the</w:t>
      </w:r>
      <w:r w:rsidRPr="000D5979">
        <w:rPr>
          <w:rFonts w:ascii="Calibri" w:hAnsi="Calibri" w:cs="Calibri"/>
          <w:i/>
          <w:iCs/>
          <w:szCs w:val="24"/>
        </w:rPr>
        <w:t xml:space="preserve"> </w:t>
      </w:r>
      <w:r w:rsidRPr="000D5979">
        <w:rPr>
          <w:rFonts w:ascii="Calibri" w:hAnsi="Calibri" w:cs="Calibri"/>
          <w:i/>
          <w:iCs/>
          <w:szCs w:val="24"/>
        </w:rPr>
        <w:t>Federal Register of the agency's notice, required by 5 CFR1320.8(d), soliciting comments</w:t>
      </w:r>
      <w:r w:rsidRPr="000D5979">
        <w:rPr>
          <w:rFonts w:ascii="Calibri" w:hAnsi="Calibri" w:cs="Calibri"/>
          <w:i/>
          <w:iCs/>
          <w:szCs w:val="24"/>
        </w:rPr>
        <w:t xml:space="preserve"> </w:t>
      </w:r>
      <w:r w:rsidRPr="000D5979" w:rsidR="00B279BE">
        <w:rPr>
          <w:rFonts w:ascii="Calibri" w:hAnsi="Calibri" w:cs="Calibri"/>
          <w:i/>
          <w:iCs/>
          <w:szCs w:val="24"/>
        </w:rPr>
        <w:t>o</w:t>
      </w:r>
      <w:r w:rsidRPr="000D5979">
        <w:rPr>
          <w:rFonts w:ascii="Calibri" w:hAnsi="Calibri" w:cs="Calibri"/>
          <w:i/>
          <w:iCs/>
          <w:szCs w:val="24"/>
        </w:rPr>
        <w:t>n</w:t>
      </w:r>
      <w:r w:rsidRPr="000D5979" w:rsidR="00B279BE">
        <w:rPr>
          <w:rFonts w:ascii="Calibri" w:hAnsi="Calibri" w:cs="Calibri"/>
          <w:i/>
          <w:iCs/>
          <w:szCs w:val="24"/>
        </w:rPr>
        <w:t xml:space="preserve"> </w:t>
      </w:r>
      <w:r w:rsidRPr="000D5979">
        <w:rPr>
          <w:rFonts w:ascii="Calibri" w:hAnsi="Calibri" w:cs="Calibri"/>
          <w:i/>
          <w:iCs/>
          <w:szCs w:val="24"/>
        </w:rPr>
        <w:t>the information collection prior to submission</w:t>
      </w:r>
      <w:r w:rsidRPr="000D5979" w:rsidR="00113790">
        <w:rPr>
          <w:rFonts w:ascii="Calibri" w:hAnsi="Calibri" w:cs="Calibri"/>
          <w:i/>
          <w:iCs/>
          <w:szCs w:val="24"/>
        </w:rPr>
        <w:t xml:space="preserve"> </w:t>
      </w:r>
      <w:r w:rsidRPr="000D5979">
        <w:rPr>
          <w:rFonts w:ascii="Calibri" w:hAnsi="Calibri" w:cs="Calibri"/>
          <w:i/>
          <w:iCs/>
          <w:szCs w:val="24"/>
        </w:rPr>
        <w:t>to OMB. Summarize public comments</w:t>
      </w:r>
      <w:r w:rsidRPr="000D5979">
        <w:rPr>
          <w:rFonts w:ascii="Calibri" w:hAnsi="Calibri" w:cs="Calibri"/>
          <w:i/>
          <w:iCs/>
          <w:szCs w:val="24"/>
        </w:rPr>
        <w:t xml:space="preserve"> </w:t>
      </w:r>
      <w:r w:rsidRPr="000D5979">
        <w:rPr>
          <w:rFonts w:ascii="Calibri" w:hAnsi="Calibri" w:cs="Calibri"/>
          <w:i/>
          <w:iCs/>
          <w:szCs w:val="24"/>
        </w:rPr>
        <w:t>received in response to that notice and</w:t>
      </w:r>
      <w:r w:rsidRPr="000D5979" w:rsidR="001F0D81">
        <w:rPr>
          <w:rFonts w:ascii="Calibri" w:hAnsi="Calibri" w:cs="Calibri"/>
          <w:i/>
          <w:iCs/>
          <w:szCs w:val="24"/>
        </w:rPr>
        <w:t xml:space="preserve"> </w:t>
      </w:r>
      <w:r w:rsidRPr="000D5979">
        <w:rPr>
          <w:rFonts w:ascii="Calibri" w:hAnsi="Calibri" w:cs="Calibri"/>
          <w:i/>
          <w:iCs/>
          <w:szCs w:val="24"/>
        </w:rPr>
        <w:t>describe actions taken by the agency in response to</w:t>
      </w:r>
      <w:r w:rsidRPr="000D5979">
        <w:rPr>
          <w:rFonts w:ascii="Calibri" w:hAnsi="Calibri" w:cs="Calibri"/>
          <w:i/>
          <w:iCs/>
          <w:szCs w:val="24"/>
        </w:rPr>
        <w:t xml:space="preserve"> </w:t>
      </w:r>
      <w:r w:rsidRPr="000D5979">
        <w:rPr>
          <w:rFonts w:ascii="Calibri" w:hAnsi="Calibri" w:cs="Calibri"/>
          <w:i/>
          <w:iCs/>
          <w:szCs w:val="24"/>
        </w:rPr>
        <w:t>these comments.</w:t>
      </w:r>
    </w:p>
    <w:p w:rsidR="00CE5758" w:rsidRPr="00B850BA" w:rsidP="004A27F8" w14:paraId="02EEE54F" w14:textId="58128EEF">
      <w:pPr>
        <w:contextualSpacing/>
        <w:rPr>
          <w:rFonts w:asciiTheme="minorHAnsi" w:hAnsiTheme="minorHAnsi" w:cstheme="minorHAnsi"/>
          <w:b/>
          <w:bCs/>
          <w:szCs w:val="24"/>
        </w:rPr>
      </w:pPr>
      <w:r w:rsidRPr="00B850BA">
        <w:rPr>
          <w:rFonts w:asciiTheme="minorHAnsi" w:hAnsiTheme="minorHAnsi" w:cstheme="minorHAnsi"/>
          <w:b/>
          <w:bCs/>
          <w:szCs w:val="24"/>
        </w:rPr>
        <w:t>Specifically address comments received on cost and hour burden.</w:t>
      </w:r>
    </w:p>
    <w:p w:rsidR="00CE5758" w:rsidRPr="00B850BA" w:rsidP="004A27F8" w14:paraId="7EA3414D" w14:textId="3BB09F6B">
      <w:pPr>
        <w:numPr>
          <w:ilvl w:val="0"/>
          <w:numId w:val="31"/>
        </w:numPr>
        <w:contextualSpacing/>
        <w:rPr>
          <w:rFonts w:asciiTheme="minorHAnsi" w:hAnsiTheme="minorHAnsi" w:cstheme="minorHAnsi"/>
          <w:b/>
          <w:bCs/>
          <w:szCs w:val="24"/>
        </w:rPr>
      </w:pPr>
      <w:r w:rsidRPr="00B850BA">
        <w:rPr>
          <w:rFonts w:asciiTheme="minorHAnsi" w:hAnsiTheme="minorHAnsi" w:cstheme="minorHAnsi"/>
          <w:b/>
          <w:bCs/>
          <w:szCs w:val="24"/>
        </w:rPr>
        <w:t>Describe efforts to consult with persons outside the agency to obtain their views</w:t>
      </w:r>
      <w:r w:rsidRPr="00B850BA" w:rsidR="00113790">
        <w:rPr>
          <w:rFonts w:asciiTheme="minorHAnsi" w:hAnsiTheme="minorHAnsi" w:cstheme="minorHAnsi"/>
          <w:b/>
          <w:bCs/>
          <w:szCs w:val="24"/>
        </w:rPr>
        <w:t xml:space="preserve"> </w:t>
      </w:r>
      <w:r w:rsidRPr="00B850BA">
        <w:rPr>
          <w:rFonts w:asciiTheme="minorHAnsi" w:hAnsiTheme="minorHAnsi" w:cstheme="minorHAnsi"/>
          <w:b/>
          <w:bCs/>
          <w:szCs w:val="24"/>
        </w:rPr>
        <w:t>on the</w:t>
      </w:r>
      <w:r w:rsidRPr="00B850BA" w:rsidR="00DC43A6">
        <w:rPr>
          <w:rFonts w:asciiTheme="minorHAnsi" w:hAnsiTheme="minorHAnsi" w:cstheme="minorHAnsi"/>
          <w:b/>
          <w:bCs/>
          <w:szCs w:val="24"/>
        </w:rPr>
        <w:t xml:space="preserve"> </w:t>
      </w:r>
      <w:r w:rsidRPr="00B850BA">
        <w:rPr>
          <w:rFonts w:asciiTheme="minorHAnsi" w:hAnsiTheme="minorHAnsi" w:cstheme="minorHAnsi"/>
          <w:b/>
          <w:bCs/>
          <w:szCs w:val="24"/>
        </w:rPr>
        <w:t>availability of data, frequency of collection, the clarity of instructions and</w:t>
      </w:r>
      <w:r w:rsidRPr="00B850BA" w:rsidR="001F0D81">
        <w:rPr>
          <w:rFonts w:asciiTheme="minorHAnsi" w:hAnsiTheme="minorHAnsi" w:cstheme="minorHAnsi"/>
          <w:b/>
          <w:bCs/>
          <w:szCs w:val="24"/>
        </w:rPr>
        <w:t xml:space="preserve"> </w:t>
      </w:r>
      <w:r w:rsidRPr="00B850BA">
        <w:rPr>
          <w:rFonts w:asciiTheme="minorHAnsi" w:hAnsiTheme="minorHAnsi" w:cstheme="minorHAnsi"/>
          <w:b/>
          <w:bCs/>
          <w:szCs w:val="24"/>
        </w:rPr>
        <w:t>recordkeeping,</w:t>
      </w:r>
      <w:r w:rsidRPr="00B850BA" w:rsidR="00DC43A6">
        <w:rPr>
          <w:rFonts w:asciiTheme="minorHAnsi" w:hAnsiTheme="minorHAnsi" w:cstheme="minorHAnsi"/>
          <w:b/>
          <w:bCs/>
          <w:szCs w:val="24"/>
        </w:rPr>
        <w:t xml:space="preserve"> </w:t>
      </w:r>
      <w:r w:rsidRPr="00B850BA">
        <w:rPr>
          <w:rFonts w:asciiTheme="minorHAnsi" w:hAnsiTheme="minorHAnsi" w:cstheme="minorHAnsi"/>
          <w:b/>
          <w:bCs/>
          <w:szCs w:val="24"/>
        </w:rPr>
        <w:t>disclosure, or reporting format (if any), and on the data elements</w:t>
      </w:r>
      <w:r w:rsidRPr="00B850BA" w:rsidR="00113790">
        <w:rPr>
          <w:rFonts w:asciiTheme="minorHAnsi" w:hAnsiTheme="minorHAnsi" w:cstheme="minorHAnsi"/>
          <w:b/>
          <w:bCs/>
          <w:szCs w:val="24"/>
        </w:rPr>
        <w:t xml:space="preserve"> </w:t>
      </w:r>
      <w:r w:rsidRPr="00B850BA">
        <w:rPr>
          <w:rFonts w:asciiTheme="minorHAnsi" w:hAnsiTheme="minorHAnsi" w:cstheme="minorHAnsi"/>
          <w:b/>
          <w:bCs/>
          <w:szCs w:val="24"/>
        </w:rPr>
        <w:t>to be recorded,</w:t>
      </w:r>
      <w:r w:rsidRPr="00B850BA" w:rsidR="00DC43A6">
        <w:rPr>
          <w:rFonts w:asciiTheme="minorHAnsi" w:hAnsiTheme="minorHAnsi" w:cstheme="minorHAnsi"/>
          <w:b/>
          <w:bCs/>
          <w:szCs w:val="24"/>
        </w:rPr>
        <w:t xml:space="preserve"> </w:t>
      </w:r>
      <w:r w:rsidRPr="00B850BA">
        <w:rPr>
          <w:rFonts w:asciiTheme="minorHAnsi" w:hAnsiTheme="minorHAnsi" w:cstheme="minorHAnsi"/>
          <w:b/>
          <w:bCs/>
          <w:szCs w:val="24"/>
        </w:rPr>
        <w:t>disclosed,</w:t>
      </w:r>
      <w:r w:rsidRPr="00B850BA" w:rsidR="00B279BE">
        <w:rPr>
          <w:rFonts w:asciiTheme="minorHAnsi" w:hAnsiTheme="minorHAnsi" w:cstheme="minorHAnsi"/>
          <w:b/>
          <w:bCs/>
          <w:szCs w:val="24"/>
        </w:rPr>
        <w:t xml:space="preserve"> </w:t>
      </w:r>
      <w:r w:rsidRPr="00B850BA">
        <w:rPr>
          <w:rFonts w:asciiTheme="minorHAnsi" w:hAnsiTheme="minorHAnsi" w:cstheme="minorHAnsi"/>
          <w:b/>
          <w:bCs/>
          <w:szCs w:val="24"/>
        </w:rPr>
        <w:t>or</w:t>
      </w:r>
      <w:r w:rsidRPr="00B850BA" w:rsidR="00B279BE">
        <w:rPr>
          <w:rFonts w:asciiTheme="minorHAnsi" w:hAnsiTheme="minorHAnsi" w:cstheme="minorHAnsi"/>
          <w:b/>
          <w:bCs/>
          <w:szCs w:val="24"/>
        </w:rPr>
        <w:t xml:space="preserve"> </w:t>
      </w:r>
      <w:r w:rsidRPr="00B850BA">
        <w:rPr>
          <w:rFonts w:asciiTheme="minorHAnsi" w:hAnsiTheme="minorHAnsi" w:cstheme="minorHAnsi"/>
          <w:b/>
          <w:bCs/>
          <w:szCs w:val="24"/>
        </w:rPr>
        <w:t>reported.</w:t>
      </w:r>
    </w:p>
    <w:p w:rsidR="00B279BE" w:rsidRPr="00B850BA" w:rsidP="004A27F8" w14:paraId="2964E94F" w14:textId="1A514DBB">
      <w:pPr>
        <w:numPr>
          <w:ilvl w:val="0"/>
          <w:numId w:val="31"/>
        </w:numPr>
        <w:rPr>
          <w:rFonts w:asciiTheme="minorHAnsi" w:hAnsiTheme="minorHAnsi" w:cstheme="minorHAnsi"/>
          <w:b/>
          <w:bCs/>
          <w:szCs w:val="24"/>
        </w:rPr>
      </w:pPr>
      <w:r w:rsidRPr="00B850BA">
        <w:rPr>
          <w:rFonts w:asciiTheme="minorHAnsi" w:hAnsiTheme="minorHAnsi" w:cstheme="minorHAnsi"/>
          <w:b/>
          <w:bCs/>
          <w:szCs w:val="24"/>
        </w:rPr>
        <w:t>Consultation with representatives of those from whom information is to be</w:t>
      </w:r>
      <w:r w:rsidRPr="00B850BA" w:rsidR="00113790">
        <w:rPr>
          <w:rFonts w:asciiTheme="minorHAnsi" w:hAnsiTheme="minorHAnsi" w:cstheme="minorHAnsi"/>
          <w:b/>
          <w:bCs/>
          <w:szCs w:val="24"/>
        </w:rPr>
        <w:t xml:space="preserve"> </w:t>
      </w:r>
      <w:r w:rsidRPr="00B850BA">
        <w:rPr>
          <w:rFonts w:asciiTheme="minorHAnsi" w:hAnsiTheme="minorHAnsi" w:cstheme="minorHAnsi"/>
          <w:b/>
          <w:bCs/>
          <w:szCs w:val="24"/>
        </w:rPr>
        <w:t>obtained or</w:t>
      </w:r>
      <w:r w:rsidRPr="00B850BA" w:rsidR="00DC43A6">
        <w:rPr>
          <w:rFonts w:asciiTheme="minorHAnsi" w:hAnsiTheme="minorHAnsi" w:cstheme="minorHAnsi"/>
          <w:b/>
          <w:bCs/>
          <w:szCs w:val="24"/>
        </w:rPr>
        <w:t xml:space="preserve"> </w:t>
      </w:r>
      <w:r w:rsidRPr="00B850BA">
        <w:rPr>
          <w:rFonts w:asciiTheme="minorHAnsi" w:hAnsiTheme="minorHAnsi" w:cstheme="minorHAnsi"/>
          <w:b/>
          <w:bCs/>
          <w:szCs w:val="24"/>
        </w:rPr>
        <w:t>t</w:t>
      </w:r>
      <w:r w:rsidRPr="00B850BA">
        <w:rPr>
          <w:rFonts w:asciiTheme="minorHAnsi" w:hAnsiTheme="minorHAnsi" w:cstheme="minorHAnsi"/>
          <w:b/>
          <w:bCs/>
          <w:szCs w:val="24"/>
        </w:rPr>
        <w:t>hose</w:t>
      </w:r>
      <w:r w:rsidRPr="00B850BA">
        <w:rPr>
          <w:rFonts w:asciiTheme="minorHAnsi" w:hAnsiTheme="minorHAnsi" w:cstheme="minorHAnsi"/>
          <w:b/>
          <w:bCs/>
          <w:szCs w:val="24"/>
        </w:rPr>
        <w:t xml:space="preserve"> </w:t>
      </w:r>
      <w:r w:rsidRPr="00B850BA">
        <w:rPr>
          <w:rFonts w:asciiTheme="minorHAnsi" w:hAnsiTheme="minorHAnsi" w:cstheme="minorHAnsi"/>
          <w:b/>
          <w:bCs/>
          <w:szCs w:val="24"/>
        </w:rPr>
        <w:t>who must compile records should occur at least once every 3</w:t>
      </w:r>
      <w:r w:rsidRPr="00B850BA" w:rsidR="00113790">
        <w:rPr>
          <w:rFonts w:asciiTheme="minorHAnsi" w:hAnsiTheme="minorHAnsi" w:cstheme="minorHAnsi"/>
          <w:b/>
          <w:bCs/>
          <w:szCs w:val="24"/>
        </w:rPr>
        <w:t xml:space="preserve"> </w:t>
      </w:r>
      <w:r w:rsidRPr="00B850BA">
        <w:rPr>
          <w:rFonts w:asciiTheme="minorHAnsi" w:hAnsiTheme="minorHAnsi" w:cstheme="minorHAnsi"/>
          <w:b/>
          <w:bCs/>
          <w:szCs w:val="24"/>
        </w:rPr>
        <w:t>years - even if the</w:t>
      </w:r>
      <w:r w:rsidRPr="00B850BA" w:rsidR="00DC43A6">
        <w:rPr>
          <w:rFonts w:asciiTheme="minorHAnsi" w:hAnsiTheme="minorHAnsi" w:cstheme="minorHAnsi"/>
          <w:b/>
          <w:bCs/>
          <w:szCs w:val="24"/>
        </w:rPr>
        <w:t xml:space="preserve"> </w:t>
      </w:r>
      <w:r w:rsidRPr="00B850BA">
        <w:rPr>
          <w:rFonts w:asciiTheme="minorHAnsi" w:hAnsiTheme="minorHAnsi" w:cstheme="minorHAnsi"/>
          <w:b/>
          <w:bCs/>
          <w:szCs w:val="24"/>
        </w:rPr>
        <w:t>collection of</w:t>
      </w:r>
      <w:r w:rsidRPr="00B850BA">
        <w:rPr>
          <w:rFonts w:asciiTheme="minorHAnsi" w:hAnsiTheme="minorHAnsi" w:cstheme="minorHAnsi"/>
          <w:b/>
          <w:bCs/>
          <w:szCs w:val="24"/>
        </w:rPr>
        <w:t xml:space="preserve"> </w:t>
      </w:r>
      <w:r w:rsidRPr="00B850BA">
        <w:rPr>
          <w:rFonts w:asciiTheme="minorHAnsi" w:hAnsiTheme="minorHAnsi" w:cstheme="minorHAnsi"/>
          <w:b/>
          <w:bCs/>
          <w:szCs w:val="24"/>
        </w:rPr>
        <w:t>information activity is the same as in prior</w:t>
      </w:r>
      <w:r w:rsidRPr="00B850BA" w:rsidR="00113790">
        <w:rPr>
          <w:rFonts w:asciiTheme="minorHAnsi" w:hAnsiTheme="minorHAnsi" w:cstheme="minorHAnsi"/>
          <w:b/>
          <w:bCs/>
          <w:szCs w:val="24"/>
        </w:rPr>
        <w:t xml:space="preserve"> </w:t>
      </w:r>
      <w:r w:rsidRPr="00B850BA">
        <w:rPr>
          <w:rFonts w:asciiTheme="minorHAnsi" w:hAnsiTheme="minorHAnsi" w:cstheme="minorHAnsi"/>
          <w:b/>
          <w:bCs/>
          <w:szCs w:val="24"/>
        </w:rPr>
        <w:t>periods. There may be</w:t>
      </w:r>
      <w:r w:rsidRPr="00B850BA" w:rsidR="00DC43A6">
        <w:rPr>
          <w:rFonts w:asciiTheme="minorHAnsi" w:hAnsiTheme="minorHAnsi" w:cstheme="minorHAnsi"/>
          <w:b/>
          <w:bCs/>
          <w:szCs w:val="24"/>
        </w:rPr>
        <w:t xml:space="preserve"> </w:t>
      </w:r>
      <w:r w:rsidRPr="00B850BA">
        <w:rPr>
          <w:rFonts w:asciiTheme="minorHAnsi" w:hAnsiTheme="minorHAnsi" w:cstheme="minorHAnsi"/>
          <w:b/>
          <w:bCs/>
          <w:szCs w:val="24"/>
        </w:rPr>
        <w:t>circumstances that may</w:t>
      </w:r>
      <w:r w:rsidRPr="00B850BA">
        <w:rPr>
          <w:rFonts w:asciiTheme="minorHAnsi" w:hAnsiTheme="minorHAnsi" w:cstheme="minorHAnsi"/>
          <w:b/>
          <w:bCs/>
          <w:szCs w:val="24"/>
        </w:rPr>
        <w:t xml:space="preserve"> </w:t>
      </w:r>
      <w:r w:rsidRPr="00B850BA">
        <w:rPr>
          <w:rFonts w:asciiTheme="minorHAnsi" w:hAnsiTheme="minorHAnsi" w:cstheme="minorHAnsi"/>
          <w:b/>
          <w:bCs/>
          <w:szCs w:val="24"/>
        </w:rPr>
        <w:t>preclude consultation in a specific</w:t>
      </w:r>
      <w:r w:rsidRPr="00B850BA" w:rsidR="79AB74DA">
        <w:rPr>
          <w:rFonts w:asciiTheme="minorHAnsi" w:hAnsiTheme="minorHAnsi" w:cstheme="minorHAnsi"/>
          <w:b/>
          <w:bCs/>
          <w:szCs w:val="24"/>
        </w:rPr>
        <w:t xml:space="preserve"> s</w:t>
      </w:r>
      <w:r w:rsidRPr="00B850BA">
        <w:rPr>
          <w:rFonts w:asciiTheme="minorHAnsi" w:hAnsiTheme="minorHAnsi" w:cstheme="minorHAnsi"/>
          <w:b/>
          <w:bCs/>
          <w:szCs w:val="24"/>
        </w:rPr>
        <w:t>ituation. These circumstances should be explained.</w:t>
      </w:r>
    </w:p>
    <w:p w:rsidR="00E81FFA" w:rsidRPr="00B850BA" w:rsidP="00970199" w14:paraId="790E6D9D" w14:textId="550CD59D">
      <w:pPr>
        <w:ind w:firstLine="0"/>
        <w:rPr>
          <w:rFonts w:asciiTheme="minorHAnsi" w:hAnsiTheme="minorHAnsi" w:cstheme="minorHAnsi"/>
          <w:szCs w:val="24"/>
        </w:rPr>
      </w:pPr>
      <w:r w:rsidRPr="00F40C25">
        <w:rPr>
          <w:rFonts w:asciiTheme="minorHAnsi" w:hAnsiTheme="minorHAnsi" w:cstheme="minorHAnsi"/>
          <w:szCs w:val="24"/>
        </w:rPr>
        <w:t xml:space="preserve">Pursuant to 5 CFR 1320.8(d), EPA published a notice in the </w:t>
      </w:r>
      <w:r w:rsidRPr="0024638E">
        <w:rPr>
          <w:rFonts w:asciiTheme="minorHAnsi" w:hAnsiTheme="minorHAnsi" w:cstheme="minorHAnsi"/>
          <w:b/>
          <w:bCs/>
          <w:szCs w:val="24"/>
        </w:rPr>
        <w:t>Federal Register</w:t>
      </w:r>
      <w:r w:rsidRPr="00F40C25">
        <w:rPr>
          <w:rFonts w:asciiTheme="minorHAnsi" w:hAnsiTheme="minorHAnsi" w:cstheme="minorHAnsi"/>
          <w:szCs w:val="24"/>
        </w:rPr>
        <w:t xml:space="preserve">, on Tuesday, April 23, 2024 (89 FR 30358), announcing the planned renewal of this information collection activity, soliciting public comment on specific aspects of the ICR and providing a 60-day public comment period. </w:t>
      </w:r>
      <w:r w:rsidRPr="00F40C25" w:rsidR="0057481F">
        <w:rPr>
          <w:rFonts w:asciiTheme="minorHAnsi" w:hAnsiTheme="minorHAnsi" w:cstheme="minorHAnsi"/>
          <w:szCs w:val="24"/>
        </w:rPr>
        <w:t xml:space="preserve"> </w:t>
      </w:r>
    </w:p>
    <w:p w:rsidR="00257F5F" w:rsidP="00970199" w14:paraId="4B9A611C" w14:textId="3DE48674">
      <w:pPr>
        <w:ind w:firstLine="0"/>
        <w:rPr>
          <w:rFonts w:asciiTheme="minorHAnsi" w:hAnsiTheme="minorHAnsi" w:cstheme="minorHAnsi"/>
          <w:szCs w:val="24"/>
        </w:rPr>
      </w:pPr>
      <w:r w:rsidRPr="00B850BA">
        <w:rPr>
          <w:rFonts w:asciiTheme="minorHAnsi" w:hAnsiTheme="minorHAnsi" w:cstheme="minorHAnsi"/>
          <w:szCs w:val="24"/>
        </w:rPr>
        <w:t>Under 5 CFR 1320.8(d)(1)</w:t>
      </w:r>
      <w:r w:rsidR="009523D4">
        <w:rPr>
          <w:rFonts w:asciiTheme="minorHAnsi" w:hAnsiTheme="minorHAnsi" w:cstheme="minorHAnsi"/>
          <w:szCs w:val="24"/>
        </w:rPr>
        <w:t>,</w:t>
      </w:r>
      <w:r w:rsidRPr="00B850BA">
        <w:rPr>
          <w:rFonts w:asciiTheme="minorHAnsi" w:hAnsiTheme="minorHAnsi" w:cstheme="minorHAnsi"/>
          <w:szCs w:val="24"/>
        </w:rPr>
        <w:t xml:space="preserve"> OMB requires agencies to consult with potential ICR respondents and data users about specific aspects of ICRs before submitting an original or renewal ICR to OMB for review and approval. EPA </w:t>
      </w:r>
      <w:r>
        <w:rPr>
          <w:rFonts w:asciiTheme="minorHAnsi" w:hAnsiTheme="minorHAnsi" w:cstheme="minorHAnsi"/>
          <w:szCs w:val="24"/>
        </w:rPr>
        <w:t xml:space="preserve">also </w:t>
      </w:r>
      <w:r w:rsidRPr="00B850BA">
        <w:rPr>
          <w:rFonts w:asciiTheme="minorHAnsi" w:hAnsiTheme="minorHAnsi" w:cstheme="minorHAnsi"/>
          <w:szCs w:val="24"/>
        </w:rPr>
        <w:t>consult</w:t>
      </w:r>
      <w:r>
        <w:rPr>
          <w:rFonts w:asciiTheme="minorHAnsi" w:hAnsiTheme="minorHAnsi" w:cstheme="minorHAnsi"/>
          <w:szCs w:val="24"/>
        </w:rPr>
        <w:t>ed w</w:t>
      </w:r>
      <w:r w:rsidRPr="00B850BA">
        <w:rPr>
          <w:rFonts w:asciiTheme="minorHAnsi" w:hAnsiTheme="minorHAnsi" w:cstheme="minorHAnsi"/>
          <w:szCs w:val="24"/>
        </w:rPr>
        <w:t xml:space="preserve">ith </w:t>
      </w:r>
      <w:r w:rsidRPr="00F40C25">
        <w:rPr>
          <w:rFonts w:asciiTheme="minorHAnsi" w:hAnsiTheme="minorHAnsi" w:cstheme="minorHAnsi"/>
          <w:szCs w:val="24"/>
        </w:rPr>
        <w:t xml:space="preserve">state officials in </w:t>
      </w:r>
      <w:r w:rsidRPr="00F40C25" w:rsidR="00F40C25">
        <w:rPr>
          <w:rFonts w:asciiTheme="minorHAnsi" w:hAnsiTheme="minorHAnsi" w:cstheme="minorHAnsi"/>
          <w:szCs w:val="24"/>
        </w:rPr>
        <w:t xml:space="preserve">six </w:t>
      </w:r>
      <w:r w:rsidRPr="00F40C25">
        <w:rPr>
          <w:rFonts w:asciiTheme="minorHAnsi" w:hAnsiTheme="minorHAnsi" w:cstheme="minorHAnsi"/>
          <w:szCs w:val="24"/>
        </w:rPr>
        <w:t xml:space="preserve">states </w:t>
      </w:r>
      <w:r w:rsidRPr="00F40C25" w:rsidR="00F40C25">
        <w:rPr>
          <w:rFonts w:asciiTheme="minorHAnsi" w:hAnsiTheme="minorHAnsi" w:cstheme="minorHAnsi"/>
          <w:szCs w:val="24"/>
        </w:rPr>
        <w:t xml:space="preserve">and one territory </w:t>
      </w:r>
      <w:r>
        <w:rPr>
          <w:rFonts w:asciiTheme="minorHAnsi" w:hAnsiTheme="minorHAnsi" w:cstheme="minorHAnsi"/>
          <w:szCs w:val="24"/>
        </w:rPr>
        <w:t xml:space="preserve">specifically asking them for their assessment of the regulatory burden estimates expressed by the agency in this ICR. </w:t>
      </w:r>
      <w:r w:rsidRPr="00F40C25" w:rsidR="005274CB">
        <w:rPr>
          <w:rFonts w:asciiTheme="minorHAnsi" w:hAnsiTheme="minorHAnsi" w:cstheme="minorHAnsi"/>
          <w:szCs w:val="24"/>
        </w:rPr>
        <w:t xml:space="preserve">(Attachment </w:t>
      </w:r>
      <w:r w:rsidR="0024638E">
        <w:rPr>
          <w:rFonts w:asciiTheme="minorHAnsi" w:hAnsiTheme="minorHAnsi" w:cstheme="minorHAnsi"/>
          <w:szCs w:val="24"/>
        </w:rPr>
        <w:t>A</w:t>
      </w:r>
      <w:r w:rsidRPr="00F40C25" w:rsidR="005274CB">
        <w:rPr>
          <w:rFonts w:asciiTheme="minorHAnsi" w:hAnsiTheme="minorHAnsi" w:cstheme="minorHAnsi"/>
          <w:szCs w:val="24"/>
        </w:rPr>
        <w:t xml:space="preserve">). </w:t>
      </w:r>
      <w:r w:rsidRPr="00F40C25" w:rsidR="004504FE">
        <w:rPr>
          <w:rFonts w:asciiTheme="minorHAnsi" w:hAnsiTheme="minorHAnsi" w:cstheme="minorHAnsi"/>
          <w:szCs w:val="24"/>
        </w:rPr>
        <w:t xml:space="preserve">The </w:t>
      </w:r>
      <w:r w:rsidR="0024638E">
        <w:rPr>
          <w:rFonts w:asciiTheme="minorHAnsi" w:hAnsiTheme="minorHAnsi" w:cstheme="minorHAnsi"/>
          <w:szCs w:val="24"/>
        </w:rPr>
        <w:t>following state governments were consulted</w:t>
      </w:r>
      <w:r>
        <w:rPr>
          <w:rFonts w:asciiTheme="minorHAnsi" w:hAnsiTheme="minorHAnsi" w:cstheme="minorHAnsi"/>
          <w:szCs w:val="24"/>
        </w:rPr>
        <w:t>:</w:t>
      </w:r>
    </w:p>
    <w:p w:rsidR="00257F5F" w:rsidRPr="00257F5F" w:rsidP="00257F5F" w14:paraId="10CB1996" w14:textId="241E0182">
      <w:pPr>
        <w:pStyle w:val="ListParagraph"/>
        <w:numPr>
          <w:ilvl w:val="0"/>
          <w:numId w:val="41"/>
        </w:numPr>
        <w:spacing w:after="0"/>
        <w:rPr>
          <w:rFonts w:asciiTheme="minorHAnsi" w:hAnsiTheme="minorHAnsi" w:cstheme="minorHAnsi"/>
          <w:szCs w:val="24"/>
        </w:rPr>
      </w:pPr>
      <w:r w:rsidRPr="00257F5F">
        <w:rPr>
          <w:rFonts w:asciiTheme="minorHAnsi" w:hAnsiTheme="minorHAnsi" w:cstheme="minorHAnsi"/>
          <w:szCs w:val="24"/>
        </w:rPr>
        <w:t>Colorado</w:t>
      </w:r>
      <w:r w:rsidRPr="00257F5F">
        <w:rPr>
          <w:rFonts w:asciiTheme="minorHAnsi" w:hAnsiTheme="minorHAnsi" w:cstheme="minorHAnsi"/>
          <w:szCs w:val="24"/>
        </w:rPr>
        <w:t xml:space="preserve"> </w:t>
      </w:r>
    </w:p>
    <w:p w:rsidR="00257F5F" w:rsidRPr="00257F5F" w:rsidP="00257F5F" w14:paraId="7B336BFD" w14:textId="5373FF82">
      <w:pPr>
        <w:pStyle w:val="ListParagraph"/>
        <w:numPr>
          <w:ilvl w:val="0"/>
          <w:numId w:val="41"/>
        </w:numPr>
        <w:spacing w:after="0"/>
        <w:rPr>
          <w:rFonts w:asciiTheme="minorHAnsi" w:hAnsiTheme="minorHAnsi" w:cstheme="minorHAnsi"/>
          <w:szCs w:val="24"/>
        </w:rPr>
      </w:pPr>
      <w:r w:rsidRPr="00257F5F">
        <w:rPr>
          <w:rFonts w:asciiTheme="minorHAnsi" w:hAnsiTheme="minorHAnsi" w:cstheme="minorHAnsi"/>
          <w:szCs w:val="24"/>
        </w:rPr>
        <w:t>F</w:t>
      </w:r>
      <w:r w:rsidRPr="00257F5F" w:rsidR="004F7A5E">
        <w:rPr>
          <w:rFonts w:asciiTheme="minorHAnsi" w:hAnsiTheme="minorHAnsi" w:cstheme="minorHAnsi"/>
          <w:szCs w:val="24"/>
        </w:rPr>
        <w:t xml:space="preserve">lorida </w:t>
      </w:r>
    </w:p>
    <w:p w:rsidR="00257F5F" w:rsidRPr="00257F5F" w:rsidP="00257F5F" w14:paraId="13567BF1" w14:textId="5A06D707">
      <w:pPr>
        <w:pStyle w:val="ListParagraph"/>
        <w:numPr>
          <w:ilvl w:val="0"/>
          <w:numId w:val="41"/>
        </w:numPr>
        <w:spacing w:after="0"/>
        <w:rPr>
          <w:rFonts w:asciiTheme="minorHAnsi" w:hAnsiTheme="minorHAnsi" w:cstheme="minorHAnsi"/>
          <w:szCs w:val="24"/>
        </w:rPr>
      </w:pPr>
      <w:r w:rsidRPr="00257F5F">
        <w:rPr>
          <w:rFonts w:asciiTheme="minorHAnsi" w:hAnsiTheme="minorHAnsi" w:cstheme="minorHAnsi"/>
          <w:szCs w:val="24"/>
        </w:rPr>
        <w:t xml:space="preserve">Louisiana </w:t>
      </w:r>
    </w:p>
    <w:p w:rsidR="00257F5F" w:rsidRPr="00257F5F" w:rsidP="00257F5F" w14:paraId="076E5F41" w14:textId="35C4CD5A">
      <w:pPr>
        <w:pStyle w:val="ListParagraph"/>
        <w:numPr>
          <w:ilvl w:val="0"/>
          <w:numId w:val="41"/>
        </w:numPr>
        <w:spacing w:after="0"/>
        <w:rPr>
          <w:rFonts w:asciiTheme="minorHAnsi" w:hAnsiTheme="minorHAnsi" w:cstheme="minorHAnsi"/>
          <w:szCs w:val="24"/>
        </w:rPr>
      </w:pPr>
      <w:r w:rsidRPr="00257F5F">
        <w:rPr>
          <w:rFonts w:asciiTheme="minorHAnsi" w:hAnsiTheme="minorHAnsi" w:cstheme="minorHAnsi"/>
          <w:szCs w:val="24"/>
        </w:rPr>
        <w:t xml:space="preserve">New Hampshire </w:t>
      </w:r>
    </w:p>
    <w:p w:rsidR="00257F5F" w:rsidRPr="00257F5F" w:rsidP="00257F5F" w14:paraId="78EE71DA" w14:textId="707AE58A">
      <w:pPr>
        <w:pStyle w:val="ListParagraph"/>
        <w:numPr>
          <w:ilvl w:val="0"/>
          <w:numId w:val="41"/>
        </w:numPr>
        <w:rPr>
          <w:rFonts w:asciiTheme="minorHAnsi" w:hAnsiTheme="minorHAnsi" w:cstheme="minorHAnsi"/>
          <w:szCs w:val="24"/>
        </w:rPr>
      </w:pPr>
      <w:r w:rsidRPr="00257F5F">
        <w:rPr>
          <w:rFonts w:asciiTheme="minorHAnsi" w:hAnsiTheme="minorHAnsi" w:cstheme="minorHAnsi"/>
          <w:szCs w:val="24"/>
        </w:rPr>
        <w:t xml:space="preserve">Oklahoma </w:t>
      </w:r>
    </w:p>
    <w:p w:rsidR="00257F5F" w:rsidRPr="00257F5F" w:rsidP="00257F5F" w14:paraId="0E9928B8" w14:textId="69294CF9">
      <w:pPr>
        <w:pStyle w:val="ListParagraph"/>
        <w:numPr>
          <w:ilvl w:val="0"/>
          <w:numId w:val="41"/>
        </w:numPr>
        <w:rPr>
          <w:rFonts w:asciiTheme="minorHAnsi" w:hAnsiTheme="minorHAnsi" w:cstheme="minorHAnsi"/>
          <w:szCs w:val="24"/>
        </w:rPr>
      </w:pPr>
      <w:r w:rsidRPr="00257F5F">
        <w:rPr>
          <w:rFonts w:asciiTheme="minorHAnsi" w:hAnsiTheme="minorHAnsi" w:cstheme="minorHAnsi"/>
          <w:szCs w:val="24"/>
        </w:rPr>
        <w:t xml:space="preserve">Rhode Island </w:t>
      </w:r>
    </w:p>
    <w:p w:rsidR="00257F5F" w:rsidRPr="00257F5F" w:rsidP="00257F5F" w14:paraId="52B63F2B" w14:textId="47AD9491">
      <w:pPr>
        <w:pStyle w:val="ListParagraph"/>
        <w:numPr>
          <w:ilvl w:val="0"/>
          <w:numId w:val="41"/>
        </w:numPr>
        <w:rPr>
          <w:rFonts w:asciiTheme="minorHAnsi" w:hAnsiTheme="minorHAnsi" w:cstheme="minorHAnsi"/>
          <w:szCs w:val="24"/>
        </w:rPr>
      </w:pPr>
      <w:r w:rsidRPr="00257F5F">
        <w:rPr>
          <w:rFonts w:asciiTheme="minorHAnsi" w:hAnsiTheme="minorHAnsi" w:cstheme="minorHAnsi"/>
          <w:szCs w:val="24"/>
        </w:rPr>
        <w:t>District of Columbia</w:t>
      </w:r>
    </w:p>
    <w:p w:rsidR="004504FE" w:rsidRPr="00B850BA" w:rsidP="00257F5F" w14:paraId="0A85BBB7" w14:textId="1938C8D8">
      <w:pPr>
        <w:ind w:firstLine="0"/>
        <w:rPr>
          <w:rFonts w:asciiTheme="minorHAnsi" w:hAnsiTheme="minorHAnsi" w:cstheme="minorHAnsi"/>
          <w:szCs w:val="24"/>
        </w:rPr>
      </w:pPr>
      <w:r w:rsidRPr="00F40C25">
        <w:rPr>
          <w:rFonts w:asciiTheme="minorHAnsi" w:hAnsiTheme="minorHAnsi" w:cstheme="minorHAnsi"/>
          <w:szCs w:val="24"/>
        </w:rPr>
        <w:t>EPA did not receive any responses during the consultation process.</w:t>
      </w:r>
    </w:p>
    <w:p w:rsidR="00CE5758" w:rsidRPr="00B909B5" w:rsidP="00970199" w14:paraId="6491B30A" w14:textId="0DE55FDD">
      <w:pPr>
        <w:pStyle w:val="Heading1"/>
        <w:spacing w:before="240"/>
        <w:rPr>
          <w:rFonts w:ascii="Calibri" w:hAnsi="Calibri" w:cs="Calibri"/>
          <w:i/>
          <w:iCs/>
          <w:szCs w:val="24"/>
        </w:rPr>
      </w:pPr>
      <w:r w:rsidRPr="00B909B5">
        <w:rPr>
          <w:rFonts w:ascii="Calibri" w:hAnsi="Calibri" w:cs="Calibri"/>
          <w:i/>
          <w:iCs/>
          <w:szCs w:val="24"/>
        </w:rPr>
        <w:t>9. Explain any decision to provide any payment or gift to respondents, other than remuneration of contractors or grantees.</w:t>
      </w:r>
    </w:p>
    <w:p w:rsidR="005644DA" w:rsidRPr="00B850BA" w:rsidP="00970199" w14:paraId="23291DAA" w14:textId="0136C14A">
      <w:pPr>
        <w:spacing w:line="276" w:lineRule="auto"/>
        <w:ind w:firstLine="0"/>
        <w:rPr>
          <w:rFonts w:asciiTheme="minorHAnsi" w:hAnsiTheme="minorHAnsi" w:cstheme="minorHAnsi"/>
          <w:bCs/>
          <w:szCs w:val="24"/>
        </w:rPr>
      </w:pPr>
      <w:r w:rsidRPr="00B850BA">
        <w:rPr>
          <w:rFonts w:asciiTheme="minorHAnsi" w:hAnsiTheme="minorHAnsi" w:cstheme="minorHAnsi"/>
          <w:bCs/>
          <w:szCs w:val="24"/>
        </w:rPr>
        <w:t xml:space="preserve">Not applicable. </w:t>
      </w:r>
    </w:p>
    <w:p w:rsidR="00C240A7" w:rsidRPr="00B909B5" w:rsidP="00970199" w14:paraId="63FB546E" w14:textId="6BE5C70E">
      <w:pPr>
        <w:pStyle w:val="Heading1"/>
        <w:spacing w:before="240"/>
        <w:rPr>
          <w:rFonts w:ascii="Calibri" w:hAnsi="Calibri" w:cs="Calibri"/>
          <w:i/>
          <w:iCs/>
          <w:szCs w:val="24"/>
        </w:rPr>
      </w:pPr>
      <w:r w:rsidRPr="00B909B5">
        <w:rPr>
          <w:rFonts w:ascii="Calibri" w:hAnsi="Calibri" w:cs="Calibri"/>
          <w:i/>
          <w:iCs/>
          <w:szCs w:val="24"/>
        </w:rPr>
        <w:t>10. Describe any assurance of confidentiality provided to respondents and the basis for the</w:t>
      </w:r>
      <w:r w:rsidRPr="00B909B5" w:rsidR="0060529D">
        <w:rPr>
          <w:rFonts w:ascii="Calibri" w:hAnsi="Calibri" w:cs="Calibri"/>
          <w:i/>
          <w:iCs/>
          <w:szCs w:val="24"/>
        </w:rPr>
        <w:t xml:space="preserve"> </w:t>
      </w:r>
      <w:r w:rsidRPr="00B909B5">
        <w:rPr>
          <w:rFonts w:ascii="Calibri" w:hAnsi="Calibri" w:cs="Calibri"/>
          <w:i/>
          <w:iCs/>
          <w:szCs w:val="24"/>
        </w:rPr>
        <w:t>assurance in statute, regulation, or agency policy. If the collection requires a systems of</w:t>
      </w:r>
      <w:r w:rsidRPr="00B909B5" w:rsidR="0060529D">
        <w:rPr>
          <w:rFonts w:ascii="Calibri" w:hAnsi="Calibri" w:cs="Calibri"/>
          <w:i/>
          <w:iCs/>
          <w:szCs w:val="24"/>
        </w:rPr>
        <w:t xml:space="preserve"> </w:t>
      </w:r>
      <w:r w:rsidRPr="00B909B5">
        <w:rPr>
          <w:rFonts w:ascii="Calibri" w:hAnsi="Calibri" w:cs="Calibri"/>
          <w:i/>
          <w:iCs/>
          <w:szCs w:val="24"/>
        </w:rPr>
        <w:t>records notice (SORN) or privacy impact assessment (PIA), those should be cited and</w:t>
      </w:r>
      <w:r w:rsidRPr="00B909B5" w:rsidR="0060529D">
        <w:rPr>
          <w:rFonts w:ascii="Calibri" w:hAnsi="Calibri" w:cs="Calibri"/>
          <w:i/>
          <w:iCs/>
          <w:szCs w:val="24"/>
        </w:rPr>
        <w:t xml:space="preserve"> </w:t>
      </w:r>
      <w:r w:rsidRPr="00B909B5">
        <w:rPr>
          <w:rFonts w:ascii="Calibri" w:hAnsi="Calibri" w:cs="Calibri"/>
          <w:i/>
          <w:iCs/>
          <w:szCs w:val="24"/>
        </w:rPr>
        <w:t>described here.</w:t>
      </w:r>
    </w:p>
    <w:p w:rsidR="00C240A7" w:rsidRPr="00B850BA" w:rsidP="00970199" w14:paraId="0B00A5AC" w14:textId="69CC9CBC">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The Agency has instituted procedures to avoid the inappropriate release of confidential information as specified by 5 CFR </w:t>
      </w:r>
      <w:r w:rsidRPr="00B850BA" w:rsidR="003821EA">
        <w:rPr>
          <w:rFonts w:asciiTheme="minorHAnsi" w:hAnsiTheme="minorHAnsi" w:cstheme="minorHAnsi"/>
          <w:szCs w:val="24"/>
        </w:rPr>
        <w:t xml:space="preserve">part 1320.8(b)(3)(v). </w:t>
      </w:r>
      <w:r w:rsidRPr="00B850BA">
        <w:rPr>
          <w:rFonts w:asciiTheme="minorHAnsi" w:hAnsiTheme="minorHAnsi" w:cstheme="minorHAnsi"/>
          <w:szCs w:val="24"/>
        </w:rPr>
        <w:t>The confidentiality of collected information will be maintained p</w:t>
      </w:r>
      <w:r w:rsidRPr="00B850BA" w:rsidR="002B223E">
        <w:rPr>
          <w:rFonts w:asciiTheme="minorHAnsi" w:hAnsiTheme="minorHAnsi" w:cstheme="minorHAnsi"/>
          <w:szCs w:val="24"/>
        </w:rPr>
        <w:t>ursuant to the provisions of TSCA</w:t>
      </w:r>
      <w:r w:rsidRPr="00B850BA">
        <w:rPr>
          <w:rFonts w:asciiTheme="minorHAnsi" w:hAnsiTheme="minorHAnsi" w:cstheme="minorHAnsi"/>
          <w:szCs w:val="24"/>
        </w:rPr>
        <w:t xml:space="preserve"> </w:t>
      </w:r>
      <w:r w:rsidRPr="00B850BA" w:rsidR="00B95E08">
        <w:rPr>
          <w:rFonts w:asciiTheme="minorHAnsi" w:hAnsiTheme="minorHAnsi" w:cstheme="minorHAnsi"/>
          <w:szCs w:val="24"/>
        </w:rPr>
        <w:t>(</w:t>
      </w:r>
      <w:r w:rsidRPr="00B850BA">
        <w:rPr>
          <w:rFonts w:asciiTheme="minorHAnsi" w:hAnsiTheme="minorHAnsi" w:cstheme="minorHAnsi"/>
          <w:szCs w:val="24"/>
        </w:rPr>
        <w:t xml:space="preserve">15 </w:t>
      </w:r>
      <w:r w:rsidRPr="00B850BA" w:rsidR="00B95E08">
        <w:rPr>
          <w:rFonts w:asciiTheme="minorHAnsi" w:hAnsiTheme="minorHAnsi" w:cstheme="minorHAnsi"/>
          <w:szCs w:val="24"/>
        </w:rPr>
        <w:t xml:space="preserve">U.S.C. </w:t>
      </w:r>
      <w:r w:rsidRPr="00B850BA">
        <w:rPr>
          <w:rFonts w:asciiTheme="minorHAnsi" w:hAnsiTheme="minorHAnsi" w:cstheme="minorHAnsi"/>
          <w:szCs w:val="24"/>
        </w:rPr>
        <w:t>2613</w:t>
      </w:r>
      <w:r w:rsidRPr="00B850BA" w:rsidR="00B95E08">
        <w:rPr>
          <w:rFonts w:asciiTheme="minorHAnsi" w:hAnsiTheme="minorHAnsi" w:cstheme="minorHAnsi"/>
          <w:szCs w:val="24"/>
        </w:rPr>
        <w:t>)</w:t>
      </w:r>
      <w:r w:rsidRPr="00B850BA">
        <w:rPr>
          <w:rFonts w:asciiTheme="minorHAnsi" w:hAnsiTheme="minorHAnsi" w:cstheme="minorHAnsi"/>
          <w:szCs w:val="24"/>
        </w:rPr>
        <w:t>,</w:t>
      </w:r>
      <w:r w:rsidRPr="00B850BA" w:rsidR="00B95E08">
        <w:rPr>
          <w:rFonts w:asciiTheme="minorHAnsi" w:hAnsiTheme="minorHAnsi" w:cstheme="minorHAnsi"/>
          <w:szCs w:val="24"/>
        </w:rPr>
        <w:t xml:space="preserve"> EPA regulations in 40 CFR part 2,</w:t>
      </w:r>
      <w:r w:rsidRPr="00B850BA">
        <w:rPr>
          <w:rFonts w:asciiTheme="minorHAnsi" w:hAnsiTheme="minorHAnsi" w:cstheme="minorHAnsi"/>
          <w:szCs w:val="24"/>
        </w:rPr>
        <w:t xml:space="preserve"> the Privacy Act of 1974</w:t>
      </w:r>
      <w:r w:rsidRPr="00B850BA" w:rsidR="00B95E08">
        <w:rPr>
          <w:rFonts w:asciiTheme="minorHAnsi" w:hAnsiTheme="minorHAnsi" w:cstheme="minorHAnsi"/>
          <w:szCs w:val="24"/>
        </w:rPr>
        <w:t>,</w:t>
      </w:r>
      <w:r w:rsidRPr="00B850BA">
        <w:rPr>
          <w:rFonts w:asciiTheme="minorHAnsi" w:hAnsiTheme="minorHAnsi" w:cstheme="minorHAnsi"/>
          <w:szCs w:val="24"/>
        </w:rPr>
        <w:t xml:space="preserve"> and OMB Circular A-108.</w:t>
      </w:r>
    </w:p>
    <w:p w:rsidR="00C240A7" w:rsidRPr="00B909B5" w:rsidP="00970199" w14:paraId="3359A05C" w14:textId="7DF1BF06">
      <w:pPr>
        <w:pStyle w:val="Heading1"/>
        <w:spacing w:before="240"/>
        <w:rPr>
          <w:rFonts w:ascii="Calibri" w:hAnsi="Calibri" w:cs="Calibri"/>
          <w:i/>
          <w:iCs/>
          <w:szCs w:val="24"/>
        </w:rPr>
      </w:pPr>
      <w:r w:rsidRPr="00B909B5">
        <w:rPr>
          <w:rFonts w:ascii="Calibri" w:hAnsi="Calibri" w:cs="Calibri"/>
          <w:i/>
          <w:iCs/>
          <w:szCs w:val="24"/>
        </w:rPr>
        <w:t>11. Provide additional justification for any questions of a sensitive nature, such as sexual</w:t>
      </w:r>
      <w:r w:rsidRPr="00B909B5" w:rsidR="0060529D">
        <w:rPr>
          <w:rFonts w:ascii="Calibri" w:hAnsi="Calibri" w:cs="Calibri"/>
          <w:i/>
          <w:iCs/>
          <w:szCs w:val="24"/>
        </w:rPr>
        <w:t xml:space="preserve"> </w:t>
      </w:r>
      <w:r w:rsidRPr="00B909B5">
        <w:rPr>
          <w:rFonts w:ascii="Calibri" w:hAnsi="Calibri" w:cs="Calibri"/>
          <w:i/>
          <w:iCs/>
          <w:szCs w:val="24"/>
        </w:rPr>
        <w:t>behavior and attitudes, religious beliefs, and other matters that are commonly considered</w:t>
      </w:r>
      <w:r w:rsidRPr="00B909B5" w:rsidR="00D65D35">
        <w:rPr>
          <w:rFonts w:ascii="Calibri" w:hAnsi="Calibri" w:cs="Calibri"/>
          <w:i/>
          <w:iCs/>
          <w:szCs w:val="24"/>
        </w:rPr>
        <w:t xml:space="preserve"> </w:t>
      </w:r>
      <w:r w:rsidRPr="00B909B5">
        <w:rPr>
          <w:rFonts w:ascii="Calibri" w:hAnsi="Calibri" w:cs="Calibri"/>
          <w:i/>
          <w:iCs/>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E08" w:rsidRPr="00B850BA" w:rsidP="00970199" w14:paraId="1069BBB2" w14:textId="0D8A3B44">
      <w:pPr>
        <w:spacing w:line="276" w:lineRule="auto"/>
        <w:ind w:firstLine="0"/>
        <w:rPr>
          <w:rFonts w:asciiTheme="minorHAnsi" w:hAnsiTheme="minorHAnsi" w:cstheme="minorHAnsi"/>
          <w:szCs w:val="24"/>
        </w:rPr>
      </w:pPr>
      <w:r w:rsidRPr="00B850BA">
        <w:rPr>
          <w:rFonts w:asciiTheme="minorHAnsi" w:hAnsiTheme="minorHAnsi" w:cstheme="minorHAnsi"/>
          <w:szCs w:val="24"/>
        </w:rPr>
        <w:t>The rule requires employers to allow EPA access to</w:t>
      </w:r>
      <w:r w:rsidRPr="00B850BA" w:rsidR="00FE41A7">
        <w:rPr>
          <w:rFonts w:asciiTheme="minorHAnsi" w:hAnsiTheme="minorHAnsi" w:cstheme="minorHAnsi"/>
          <w:szCs w:val="24"/>
        </w:rPr>
        <w:t xml:space="preserve"> medical records upon request. </w:t>
      </w:r>
      <w:r w:rsidRPr="00B850BA">
        <w:rPr>
          <w:rFonts w:asciiTheme="minorHAnsi" w:hAnsiTheme="minorHAnsi" w:cstheme="minorHAnsi"/>
          <w:szCs w:val="24"/>
        </w:rPr>
        <w:t xml:space="preserve">EPA primarily intends to use this information to determine whether the employer has complied with the medical surveillance requirements of the rule, although EPA may also use this information in epidemiological </w:t>
      </w:r>
      <w:r w:rsidRPr="00B850BA" w:rsidR="00FE41A7">
        <w:rPr>
          <w:rFonts w:asciiTheme="minorHAnsi" w:hAnsiTheme="minorHAnsi" w:cstheme="minorHAnsi"/>
          <w:szCs w:val="24"/>
        </w:rPr>
        <w:t xml:space="preserve">and diagnostic investigations. </w:t>
      </w:r>
      <w:r w:rsidRPr="00B850BA">
        <w:rPr>
          <w:rFonts w:asciiTheme="minorHAnsi" w:hAnsiTheme="minorHAnsi" w:cstheme="minorHAnsi"/>
          <w:szCs w:val="24"/>
        </w:rPr>
        <w:t>EPA will treat this information as confidential and exempt from disclosure under the Freedom of Information Act pursuant to 40 CFR 2.119(b).</w:t>
      </w:r>
    </w:p>
    <w:p w:rsidR="00D867AA" w:rsidRPr="00B909B5" w:rsidP="00970199" w14:paraId="2871C435" w14:textId="77777777">
      <w:pPr>
        <w:pStyle w:val="Heading1"/>
        <w:spacing w:before="240"/>
        <w:contextualSpacing/>
        <w:rPr>
          <w:rFonts w:asciiTheme="minorHAnsi" w:hAnsiTheme="minorHAnsi" w:cstheme="minorHAnsi"/>
          <w:i/>
          <w:iCs/>
          <w:szCs w:val="24"/>
        </w:rPr>
      </w:pPr>
      <w:r w:rsidRPr="00B909B5">
        <w:rPr>
          <w:rFonts w:asciiTheme="minorHAnsi" w:hAnsiTheme="minorHAnsi" w:cstheme="minorHAnsi"/>
          <w:i/>
          <w:iCs/>
          <w:szCs w:val="24"/>
        </w:rPr>
        <w:t>12. Provide estimates of the hour burden of the collection of information. The statement should:</w:t>
      </w:r>
    </w:p>
    <w:p w:rsidR="00D867AA" w:rsidRPr="00B850BA" w:rsidP="004A27F8" w14:paraId="1395301E" w14:textId="77777777">
      <w:pPr>
        <w:numPr>
          <w:ilvl w:val="0"/>
          <w:numId w:val="32"/>
        </w:numPr>
        <w:contextualSpacing/>
        <w:rPr>
          <w:rFonts w:asciiTheme="minorHAnsi" w:hAnsiTheme="minorHAnsi" w:cstheme="minorHAnsi"/>
          <w:b/>
          <w:bCs/>
          <w:szCs w:val="24"/>
        </w:rPr>
      </w:pPr>
      <w:r w:rsidRPr="00B850BA">
        <w:rPr>
          <w:rFonts w:asciiTheme="minorHAnsi" w:hAnsiTheme="minorHAnsi" w:cstheme="minorHAnsi"/>
          <w:b/>
          <w:bCs/>
          <w:szCs w:val="24"/>
        </w:rPr>
        <w:t xml:space="preserve">Indicate the number of respondents, frequency of response, annual hour burden, and an explanation of how the burden was estimated. Unless directed to do so, agencies should not conduct special surveys to obtain information on which to base hour </w:t>
      </w:r>
      <w:r w:rsidRPr="00B850BA">
        <w:rPr>
          <w:rFonts w:asciiTheme="minorHAnsi" w:hAnsiTheme="minorHAnsi" w:cstheme="minorHAnsi"/>
          <w:b/>
          <w:bCs/>
          <w:szCs w:val="24"/>
        </w:rPr>
        <w:t>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867AA" w:rsidRPr="00B850BA" w:rsidP="004A27F8" w14:paraId="3B663F2B" w14:textId="77777777">
      <w:pPr>
        <w:numPr>
          <w:ilvl w:val="0"/>
          <w:numId w:val="32"/>
        </w:numPr>
        <w:contextualSpacing/>
        <w:rPr>
          <w:rFonts w:asciiTheme="minorHAnsi" w:hAnsiTheme="minorHAnsi" w:cstheme="minorHAnsi"/>
          <w:b/>
          <w:bCs/>
          <w:szCs w:val="24"/>
        </w:rPr>
      </w:pPr>
      <w:r w:rsidRPr="00B850BA">
        <w:rPr>
          <w:rFonts w:asciiTheme="minorHAnsi" w:hAnsiTheme="minorHAnsi" w:cstheme="minorHAnsi"/>
          <w:b/>
          <w:bCs/>
          <w:szCs w:val="24"/>
        </w:rPr>
        <w:t>If this request for approval covers more than one form, provide separate hour burden estimates for each form and aggregate the hour burdens.</w:t>
      </w:r>
    </w:p>
    <w:p w:rsidR="00D867AA" w:rsidRPr="00B850BA" w:rsidP="004A27F8" w14:paraId="24F06333" w14:textId="3DBBBE24">
      <w:pPr>
        <w:numPr>
          <w:ilvl w:val="0"/>
          <w:numId w:val="32"/>
        </w:numPr>
        <w:rPr>
          <w:rFonts w:asciiTheme="minorHAnsi" w:hAnsiTheme="minorHAnsi" w:cstheme="minorHAnsi"/>
          <w:b/>
          <w:bCs/>
          <w:szCs w:val="24"/>
        </w:rPr>
      </w:pPr>
      <w:r w:rsidRPr="00B850BA">
        <w:rPr>
          <w:rFonts w:asciiTheme="minorHAnsi" w:hAnsiTheme="minorHAnsi" w:cstheme="minorHAnsi"/>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A4593" w:rsidRPr="00B850BA" w:rsidP="00970199" w14:paraId="729B98DD" w14:textId="226BD413">
      <w:pPr>
        <w:spacing w:line="276" w:lineRule="auto"/>
        <w:ind w:firstLine="0"/>
        <w:rPr>
          <w:rFonts w:asciiTheme="minorHAnsi" w:hAnsiTheme="minorHAnsi" w:cstheme="minorHAnsi"/>
          <w:szCs w:val="24"/>
        </w:rPr>
      </w:pPr>
      <w:bookmarkStart w:id="2" w:name="_Hlk152157417"/>
      <w:r w:rsidRPr="00B850BA">
        <w:rPr>
          <w:rFonts w:asciiTheme="minorHAnsi" w:hAnsiTheme="minorHAnsi" w:cstheme="minorHAnsi"/>
          <w:szCs w:val="24"/>
        </w:rPr>
        <w:t>Respondents for this information collection include states and local government employers in the 2</w:t>
      </w:r>
      <w:r w:rsidRPr="00B850BA" w:rsidR="009978CF">
        <w:rPr>
          <w:rFonts w:asciiTheme="minorHAnsi" w:hAnsiTheme="minorHAnsi" w:cstheme="minorHAnsi"/>
          <w:szCs w:val="24"/>
        </w:rPr>
        <w:t xml:space="preserve">3 </w:t>
      </w:r>
      <w:r w:rsidRPr="00B850BA">
        <w:rPr>
          <w:rFonts w:asciiTheme="minorHAnsi" w:hAnsiTheme="minorHAnsi" w:cstheme="minorHAnsi"/>
          <w:szCs w:val="24"/>
        </w:rPr>
        <w:t>states</w:t>
      </w:r>
      <w:r w:rsidRPr="00B850BA" w:rsidR="00103DCE">
        <w:rPr>
          <w:rFonts w:asciiTheme="minorHAnsi" w:hAnsiTheme="minorHAnsi" w:cstheme="minorHAnsi"/>
          <w:szCs w:val="24"/>
        </w:rPr>
        <w:t>, D.C.</w:t>
      </w:r>
      <w:r w:rsidRPr="00B850BA" w:rsidR="004305F2">
        <w:rPr>
          <w:rFonts w:asciiTheme="minorHAnsi" w:hAnsiTheme="minorHAnsi" w:cstheme="minorHAnsi"/>
          <w:szCs w:val="24"/>
        </w:rPr>
        <w:t>,</w:t>
      </w:r>
      <w:r w:rsidRPr="00B850BA">
        <w:rPr>
          <w:rFonts w:asciiTheme="minorHAnsi" w:hAnsiTheme="minorHAnsi" w:cstheme="minorHAnsi"/>
          <w:szCs w:val="24"/>
        </w:rPr>
        <w:t xml:space="preserve"> and </w:t>
      </w:r>
      <w:r w:rsidRPr="00B850BA" w:rsidR="007725E8">
        <w:rPr>
          <w:rFonts w:asciiTheme="minorHAnsi" w:hAnsiTheme="minorHAnsi" w:cstheme="minorHAnsi"/>
          <w:szCs w:val="24"/>
        </w:rPr>
        <w:t>the</w:t>
      </w:r>
      <w:r w:rsidRPr="00B850BA" w:rsidR="007B2D43">
        <w:rPr>
          <w:rFonts w:asciiTheme="minorHAnsi" w:hAnsiTheme="minorHAnsi" w:cstheme="minorHAnsi"/>
          <w:szCs w:val="24"/>
        </w:rPr>
        <w:t xml:space="preserve"> </w:t>
      </w:r>
      <w:r w:rsidRPr="00B850BA">
        <w:rPr>
          <w:rFonts w:asciiTheme="minorHAnsi" w:hAnsiTheme="minorHAnsi" w:cstheme="minorHAnsi"/>
          <w:szCs w:val="24"/>
        </w:rPr>
        <w:t xml:space="preserve">U.S. territories </w:t>
      </w:r>
      <w:r w:rsidRPr="00B850BA" w:rsidR="007725E8">
        <w:rPr>
          <w:rFonts w:asciiTheme="minorHAnsi" w:hAnsiTheme="minorHAnsi" w:cstheme="minorHAnsi"/>
          <w:szCs w:val="24"/>
        </w:rPr>
        <w:t xml:space="preserve">of American Samoa, Guam, </w:t>
      </w:r>
      <w:r w:rsidRPr="00B850BA" w:rsidR="004563DA">
        <w:rPr>
          <w:rFonts w:asciiTheme="minorHAnsi" w:hAnsiTheme="minorHAnsi" w:cstheme="minorHAnsi"/>
          <w:szCs w:val="24"/>
        </w:rPr>
        <w:t xml:space="preserve">and </w:t>
      </w:r>
      <w:r w:rsidRPr="00B850BA" w:rsidR="00B70625">
        <w:rPr>
          <w:rFonts w:asciiTheme="minorHAnsi" w:hAnsiTheme="minorHAnsi" w:cstheme="minorHAnsi"/>
          <w:szCs w:val="24"/>
        </w:rPr>
        <w:t xml:space="preserve">the </w:t>
      </w:r>
      <w:r w:rsidRPr="00B850BA" w:rsidR="007725E8">
        <w:rPr>
          <w:rFonts w:asciiTheme="minorHAnsi" w:hAnsiTheme="minorHAnsi" w:cstheme="minorHAnsi"/>
          <w:szCs w:val="24"/>
        </w:rPr>
        <w:t xml:space="preserve">Northern Mariana Islands </w:t>
      </w:r>
      <w:r w:rsidRPr="00B850BA">
        <w:rPr>
          <w:rFonts w:asciiTheme="minorHAnsi" w:hAnsiTheme="minorHAnsi" w:cstheme="minorHAnsi"/>
          <w:szCs w:val="24"/>
        </w:rPr>
        <w:t>that have employees engaged in asbestos</w:t>
      </w:r>
      <w:r w:rsidR="00970199">
        <w:rPr>
          <w:rFonts w:asciiTheme="minorHAnsi" w:hAnsiTheme="minorHAnsi" w:cstheme="minorHAnsi"/>
          <w:szCs w:val="24"/>
        </w:rPr>
        <w:t xml:space="preserve"> </w:t>
      </w:r>
      <w:r w:rsidRPr="00B850BA">
        <w:rPr>
          <w:rFonts w:asciiTheme="minorHAnsi" w:hAnsiTheme="minorHAnsi" w:cstheme="minorHAnsi"/>
          <w:szCs w:val="24"/>
        </w:rPr>
        <w:t>related construction, custodial, and brake and clutch repair activities with</w:t>
      </w:r>
      <w:r w:rsidRPr="00B850BA" w:rsidR="0089533E">
        <w:rPr>
          <w:rFonts w:asciiTheme="minorHAnsi" w:hAnsiTheme="minorHAnsi" w:cstheme="minorHAnsi"/>
          <w:szCs w:val="24"/>
        </w:rPr>
        <w:t xml:space="preserve">out OSHA-approved state plans. </w:t>
      </w:r>
      <w:bookmarkEnd w:id="2"/>
      <w:r w:rsidRPr="00B850BA">
        <w:rPr>
          <w:rFonts w:asciiTheme="minorHAnsi" w:hAnsiTheme="minorHAnsi" w:cstheme="minorHAnsi"/>
          <w:szCs w:val="24"/>
        </w:rPr>
        <w:t>The following table is intended to help identify potentially aff</w:t>
      </w:r>
      <w:r w:rsidRPr="00B850BA" w:rsidR="00F868C5">
        <w:rPr>
          <w:rFonts w:asciiTheme="minorHAnsi" w:hAnsiTheme="minorHAnsi" w:cstheme="minorHAnsi"/>
          <w:szCs w:val="24"/>
        </w:rPr>
        <w:t xml:space="preserve">ected categories and entities. </w:t>
      </w:r>
      <w:r w:rsidRPr="00B850BA">
        <w:rPr>
          <w:rFonts w:asciiTheme="minorHAnsi" w:hAnsiTheme="minorHAnsi" w:cstheme="minorHAnsi"/>
          <w:szCs w:val="24"/>
        </w:rPr>
        <w:t>This listing is not, howev</w:t>
      </w:r>
      <w:r w:rsidRPr="00B850BA" w:rsidR="00F868C5">
        <w:rPr>
          <w:rFonts w:asciiTheme="minorHAnsi" w:hAnsiTheme="minorHAnsi" w:cstheme="minorHAnsi"/>
          <w:szCs w:val="24"/>
        </w:rPr>
        <w:t xml:space="preserve">er, intended to be exhaustive. </w:t>
      </w:r>
      <w:r w:rsidRPr="00B850BA">
        <w:rPr>
          <w:rFonts w:asciiTheme="minorHAnsi" w:hAnsiTheme="minorHAnsi" w:cstheme="minorHAnsi"/>
          <w:szCs w:val="24"/>
        </w:rPr>
        <w:t>The North American Industrial Classification System (NAICS</w:t>
      </w:r>
      <w:r w:rsidRPr="00B850BA" w:rsidR="00F868C5">
        <w:rPr>
          <w:rFonts w:asciiTheme="minorHAnsi" w:hAnsiTheme="minorHAnsi" w:cstheme="minorHAnsi"/>
          <w:szCs w:val="24"/>
        </w:rPr>
        <w:t xml:space="preserve">) applies to certain entities. </w:t>
      </w:r>
      <w:r w:rsidRPr="00B850BA">
        <w:rPr>
          <w:rFonts w:asciiTheme="minorHAnsi" w:hAnsiTheme="minorHAnsi" w:cstheme="minorHAnsi"/>
          <w:szCs w:val="24"/>
        </w:rPr>
        <w:t>To determine whether a state or local government employer is subject to the WPR, employers must carefully examine the applicability provisions in the regulation at 40 CFR</w:t>
      </w:r>
      <w:r w:rsidRPr="00B850BA" w:rsidR="00F868C5">
        <w:rPr>
          <w:rFonts w:asciiTheme="minorHAnsi" w:hAnsiTheme="minorHAnsi" w:cstheme="minorHAnsi"/>
          <w:szCs w:val="24"/>
        </w:rPr>
        <w:t xml:space="preserve"> part</w:t>
      </w:r>
      <w:r w:rsidRPr="00B850BA">
        <w:rPr>
          <w:rFonts w:asciiTheme="minorHAnsi" w:hAnsiTheme="minorHAnsi" w:cstheme="minorHAnsi"/>
          <w:szCs w:val="24"/>
        </w:rPr>
        <w:t xml:space="preserve"> 763.121.</w:t>
      </w:r>
    </w:p>
    <w:p w:rsidR="00B279BE" w:rsidRPr="00B850BA" w:rsidP="001F0D81" w14:paraId="716CF366" w14:textId="6DA1A828">
      <w:pPr>
        <w:pStyle w:val="Heading1"/>
        <w:rPr>
          <w:rFonts w:asciiTheme="minorHAnsi" w:hAnsiTheme="minorHAnsi" w:cstheme="minorHAnsi"/>
          <w:szCs w:val="24"/>
        </w:rPr>
      </w:pPr>
      <w:r w:rsidRPr="00B850BA">
        <w:rPr>
          <w:rFonts w:asciiTheme="minorHAnsi" w:hAnsiTheme="minorHAnsi" w:cstheme="minorHAnsi"/>
          <w:szCs w:val="24"/>
        </w:rPr>
        <w:t xml:space="preserve">Table 1. Potentially Affected Entities </w:t>
      </w:r>
    </w:p>
    <w:tbl>
      <w:tblPr>
        <w:tblW w:w="9800" w:type="dxa"/>
        <w:tblInd w:w="2" w:type="dxa"/>
        <w:tblLayout w:type="fixed"/>
        <w:tblLook w:val="04A0"/>
      </w:tblPr>
      <w:tblGrid>
        <w:gridCol w:w="1519"/>
        <w:gridCol w:w="990"/>
        <w:gridCol w:w="5759"/>
        <w:gridCol w:w="1532"/>
      </w:tblGrid>
      <w:tr w14:paraId="2D82DB9F" w14:textId="77777777" w:rsidTr="12C045B5">
        <w:tblPrEx>
          <w:tblW w:w="9800" w:type="dxa"/>
          <w:tblInd w:w="2" w:type="dxa"/>
          <w:tblLayout w:type="fixed"/>
          <w:tblLook w:val="04A0"/>
        </w:tblPrEx>
        <w:trPr>
          <w:trHeight w:val="506"/>
        </w:trPr>
        <w:tc>
          <w:tcPr>
            <w:tcW w:w="1519" w:type="dxa"/>
            <w:tcBorders>
              <w:top w:val="single" w:sz="8" w:space="0" w:color="auto"/>
              <w:left w:val="single" w:sz="8" w:space="0" w:color="auto"/>
              <w:bottom w:val="nil"/>
              <w:right w:val="nil"/>
            </w:tcBorders>
            <w:shd w:val="clear" w:color="auto" w:fill="FFFFFF" w:themeFill="background1"/>
            <w:vAlign w:val="center"/>
            <w:hideMark/>
          </w:tcPr>
          <w:p w:rsidR="004A4233" w:rsidRPr="00B850BA" w:rsidP="004A27F8" w14:paraId="3A2544A0" w14:textId="77777777">
            <w:pPr>
              <w:pStyle w:val="NoSpacing"/>
              <w:rPr>
                <w:rFonts w:asciiTheme="minorHAnsi" w:hAnsiTheme="minorHAnsi" w:cstheme="minorHAnsi"/>
                <w:b/>
                <w:bCs/>
                <w:color w:val="000000"/>
                <w:szCs w:val="24"/>
              </w:rPr>
            </w:pPr>
            <w:r w:rsidRPr="00B850BA">
              <w:rPr>
                <w:rFonts w:asciiTheme="minorHAnsi" w:hAnsiTheme="minorHAnsi" w:cstheme="minorHAnsi"/>
                <w:b/>
                <w:bCs/>
                <w:szCs w:val="24"/>
              </w:rPr>
              <w:t>Categories</w:t>
            </w:r>
          </w:p>
        </w:tc>
        <w:tc>
          <w:tcPr>
            <w:tcW w:w="990" w:type="dxa"/>
            <w:tcBorders>
              <w:top w:val="single" w:sz="8" w:space="0" w:color="auto"/>
              <w:left w:val="single" w:sz="8" w:space="0" w:color="000000" w:themeColor="text1"/>
              <w:bottom w:val="nil"/>
              <w:right w:val="nil"/>
            </w:tcBorders>
            <w:shd w:val="clear" w:color="auto" w:fill="FFFFFF" w:themeFill="background1"/>
            <w:vAlign w:val="center"/>
            <w:hideMark/>
          </w:tcPr>
          <w:p w:rsidR="004A4233" w:rsidRPr="00B850BA" w:rsidP="004A27F8" w14:paraId="42C692C1" w14:textId="77777777">
            <w:pPr>
              <w:pStyle w:val="NoSpacing"/>
              <w:rPr>
                <w:rFonts w:asciiTheme="minorHAnsi" w:hAnsiTheme="minorHAnsi" w:cstheme="minorHAnsi"/>
                <w:b/>
                <w:bCs/>
                <w:color w:val="000000"/>
                <w:szCs w:val="24"/>
              </w:rPr>
            </w:pPr>
            <w:r w:rsidRPr="00B850BA">
              <w:rPr>
                <w:rFonts w:asciiTheme="minorHAnsi" w:hAnsiTheme="minorHAnsi" w:cstheme="minorHAnsi"/>
                <w:b/>
                <w:bCs/>
                <w:szCs w:val="24"/>
              </w:rPr>
              <w:t>NAICS Codes</w:t>
            </w:r>
          </w:p>
        </w:tc>
        <w:tc>
          <w:tcPr>
            <w:tcW w:w="5759" w:type="dxa"/>
            <w:tcBorders>
              <w:top w:val="single" w:sz="8" w:space="0" w:color="auto"/>
              <w:left w:val="single" w:sz="8" w:space="0" w:color="000000" w:themeColor="text1"/>
              <w:bottom w:val="nil"/>
              <w:right w:val="single" w:sz="8" w:space="0" w:color="000000" w:themeColor="text1"/>
            </w:tcBorders>
            <w:shd w:val="clear" w:color="auto" w:fill="FFFFFF" w:themeFill="background1"/>
            <w:vAlign w:val="center"/>
            <w:hideMark/>
          </w:tcPr>
          <w:p w:rsidR="004A4233" w:rsidRPr="00B850BA" w:rsidP="004A27F8" w14:paraId="56F8CDC7" w14:textId="77777777">
            <w:pPr>
              <w:pStyle w:val="NoSpacing"/>
              <w:rPr>
                <w:rFonts w:asciiTheme="minorHAnsi" w:hAnsiTheme="minorHAnsi" w:cstheme="minorHAnsi"/>
                <w:b/>
                <w:bCs/>
                <w:color w:val="000000"/>
                <w:szCs w:val="24"/>
              </w:rPr>
            </w:pPr>
            <w:r w:rsidRPr="00B850BA">
              <w:rPr>
                <w:rFonts w:asciiTheme="minorHAnsi" w:hAnsiTheme="minorHAnsi" w:cstheme="minorHAnsi"/>
                <w:b/>
                <w:bCs/>
                <w:szCs w:val="24"/>
              </w:rPr>
              <w:t>Examples of Potentially Affected Entities</w:t>
            </w:r>
          </w:p>
        </w:tc>
        <w:tc>
          <w:tcPr>
            <w:tcW w:w="1532" w:type="dxa"/>
            <w:tcBorders>
              <w:top w:val="single" w:sz="8" w:space="0" w:color="auto"/>
              <w:left w:val="nil"/>
              <w:bottom w:val="nil"/>
              <w:right w:val="single" w:sz="8" w:space="0" w:color="auto"/>
            </w:tcBorders>
            <w:shd w:val="clear" w:color="auto" w:fill="FFFFFF" w:themeFill="background1"/>
            <w:vAlign w:val="center"/>
            <w:hideMark/>
          </w:tcPr>
          <w:p w:rsidR="004A4233" w:rsidRPr="00B850BA" w:rsidP="004A27F8" w14:paraId="21FB3911" w14:textId="77777777">
            <w:pPr>
              <w:pStyle w:val="NoSpacing"/>
              <w:rPr>
                <w:rFonts w:asciiTheme="minorHAnsi" w:hAnsiTheme="minorHAnsi" w:cstheme="minorHAnsi"/>
                <w:b/>
                <w:bCs/>
                <w:color w:val="000000"/>
                <w:szCs w:val="24"/>
              </w:rPr>
            </w:pPr>
            <w:r w:rsidRPr="00B850BA">
              <w:rPr>
                <w:rFonts w:asciiTheme="minorHAnsi" w:hAnsiTheme="minorHAnsi" w:cstheme="minorHAnsi"/>
                <w:b/>
                <w:bCs/>
                <w:szCs w:val="24"/>
              </w:rPr>
              <w:t xml:space="preserve">Number of Respondents </w:t>
            </w:r>
          </w:p>
        </w:tc>
      </w:tr>
      <w:tr w14:paraId="51BEF1A7" w14:textId="77777777" w:rsidTr="12C045B5">
        <w:tblPrEx>
          <w:tblW w:w="9800" w:type="dxa"/>
          <w:tblInd w:w="2" w:type="dxa"/>
          <w:tblLayout w:type="fixed"/>
          <w:tblLook w:val="04A0"/>
        </w:tblPrEx>
        <w:trPr>
          <w:trHeight w:val="1252"/>
        </w:trPr>
        <w:tc>
          <w:tcPr>
            <w:tcW w:w="1519" w:type="dxa"/>
            <w:tcBorders>
              <w:top w:val="single" w:sz="8" w:space="0" w:color="000000" w:themeColor="text1"/>
              <w:left w:val="single" w:sz="8" w:space="0" w:color="auto"/>
              <w:bottom w:val="nil"/>
              <w:right w:val="nil"/>
            </w:tcBorders>
            <w:shd w:val="clear" w:color="auto" w:fill="auto"/>
            <w:vAlign w:val="center"/>
            <w:hideMark/>
          </w:tcPr>
          <w:p w:rsidR="004A4233" w:rsidRPr="00B850BA" w:rsidP="004A27F8" w14:paraId="61F6D57C" w14:textId="77777777">
            <w:pPr>
              <w:pStyle w:val="NoSpacing"/>
              <w:rPr>
                <w:rFonts w:asciiTheme="minorHAnsi" w:hAnsiTheme="minorHAnsi" w:cstheme="minorHAnsi"/>
                <w:color w:val="000000"/>
                <w:szCs w:val="24"/>
              </w:rPr>
            </w:pPr>
            <w:r w:rsidRPr="00B850BA">
              <w:rPr>
                <w:rFonts w:asciiTheme="minorHAnsi" w:hAnsiTheme="minorHAnsi" w:cstheme="minorHAnsi"/>
                <w:szCs w:val="24"/>
              </w:rPr>
              <w:t>Public Administration</w:t>
            </w:r>
          </w:p>
        </w:tc>
        <w:tc>
          <w:tcPr>
            <w:tcW w:w="990" w:type="dxa"/>
            <w:tcBorders>
              <w:top w:val="single" w:sz="8" w:space="0" w:color="000000" w:themeColor="text1"/>
              <w:left w:val="single" w:sz="8" w:space="0" w:color="000000" w:themeColor="text1"/>
              <w:bottom w:val="nil"/>
              <w:right w:val="nil"/>
            </w:tcBorders>
            <w:shd w:val="clear" w:color="auto" w:fill="auto"/>
            <w:vAlign w:val="center"/>
            <w:hideMark/>
          </w:tcPr>
          <w:p w:rsidR="004A4233" w:rsidRPr="00B850BA" w:rsidP="004A27F8" w14:paraId="5568DB33" w14:textId="77777777">
            <w:pPr>
              <w:pStyle w:val="NoSpacing"/>
              <w:rPr>
                <w:rFonts w:asciiTheme="minorHAnsi" w:hAnsiTheme="minorHAnsi" w:cstheme="minorHAnsi"/>
                <w:color w:val="000000"/>
                <w:szCs w:val="24"/>
              </w:rPr>
            </w:pPr>
            <w:r w:rsidRPr="00B850BA">
              <w:rPr>
                <w:rFonts w:asciiTheme="minorHAnsi" w:hAnsiTheme="minorHAnsi" w:cstheme="minorHAnsi"/>
                <w:szCs w:val="24"/>
              </w:rPr>
              <w:t>92</w:t>
            </w:r>
          </w:p>
        </w:tc>
        <w:tc>
          <w:tcPr>
            <w:tcW w:w="5759" w:type="dxa"/>
            <w:tcBorders>
              <w:top w:val="single" w:sz="8" w:space="0" w:color="000000" w:themeColor="text1"/>
              <w:left w:val="single" w:sz="8" w:space="0" w:color="000000" w:themeColor="text1"/>
              <w:bottom w:val="nil"/>
              <w:right w:val="single" w:sz="8" w:space="0" w:color="000000" w:themeColor="text1"/>
            </w:tcBorders>
            <w:shd w:val="clear" w:color="auto" w:fill="auto"/>
            <w:vAlign w:val="center"/>
            <w:hideMark/>
          </w:tcPr>
          <w:p w:rsidR="004A4233" w:rsidRPr="00B850BA" w:rsidP="004A27F8" w14:paraId="32AE159C" w14:textId="77777777">
            <w:pPr>
              <w:pStyle w:val="NoSpacing"/>
              <w:rPr>
                <w:rFonts w:asciiTheme="minorHAnsi" w:hAnsiTheme="minorHAnsi" w:cstheme="minorHAnsi"/>
                <w:color w:val="000000"/>
                <w:szCs w:val="24"/>
              </w:rPr>
            </w:pPr>
            <w:r w:rsidRPr="00B850BA">
              <w:rPr>
                <w:rFonts w:asciiTheme="minorHAnsi" w:hAnsiTheme="minorHAnsi" w:cstheme="minorHAnsi"/>
                <w:szCs w:val="24"/>
              </w:rPr>
              <w:t>State or local government employers not subject to an OSHA-approved state asbestos plan or a state asbestos worker protection plan that the EPA has determined is exempt from the requirements of the Worker Protection Rule and whose employees work with or near asbestos-containing material.</w:t>
            </w:r>
          </w:p>
        </w:tc>
        <w:tc>
          <w:tcPr>
            <w:tcW w:w="1532" w:type="dxa"/>
            <w:tcBorders>
              <w:top w:val="single" w:sz="8" w:space="0" w:color="000000" w:themeColor="text1"/>
              <w:left w:val="nil"/>
              <w:bottom w:val="nil"/>
              <w:right w:val="single" w:sz="8" w:space="0" w:color="auto"/>
            </w:tcBorders>
            <w:shd w:val="clear" w:color="auto" w:fill="auto"/>
            <w:vAlign w:val="center"/>
            <w:hideMark/>
          </w:tcPr>
          <w:p w:rsidR="004A4233" w:rsidRPr="00B850BA" w:rsidP="004A27F8" w14:paraId="5B7FD298" w14:textId="77777777">
            <w:pPr>
              <w:pStyle w:val="NoSpacing"/>
              <w:rPr>
                <w:rFonts w:asciiTheme="minorHAnsi" w:hAnsiTheme="minorHAnsi" w:cstheme="minorHAnsi"/>
                <w:color w:val="000000"/>
                <w:szCs w:val="24"/>
              </w:rPr>
            </w:pPr>
            <w:r w:rsidRPr="00B850BA">
              <w:rPr>
                <w:rFonts w:asciiTheme="minorHAnsi" w:hAnsiTheme="minorHAnsi" w:cstheme="minorHAnsi"/>
                <w:szCs w:val="24"/>
              </w:rPr>
              <w:t>24</w:t>
            </w:r>
          </w:p>
        </w:tc>
      </w:tr>
      <w:tr w14:paraId="361395A9" w14:textId="77777777" w:rsidTr="12C045B5">
        <w:tblPrEx>
          <w:tblW w:w="9800" w:type="dxa"/>
          <w:tblInd w:w="2" w:type="dxa"/>
          <w:tblLayout w:type="fixed"/>
          <w:tblLook w:val="04A0"/>
        </w:tblPrEx>
        <w:trPr>
          <w:trHeight w:val="789"/>
        </w:trPr>
        <w:tc>
          <w:tcPr>
            <w:tcW w:w="1519" w:type="dxa"/>
            <w:tcBorders>
              <w:top w:val="single" w:sz="8" w:space="0" w:color="000000" w:themeColor="text1"/>
              <w:left w:val="single" w:sz="8" w:space="0" w:color="auto"/>
              <w:bottom w:val="single" w:sz="8" w:space="0" w:color="000000" w:themeColor="text1"/>
              <w:right w:val="nil"/>
            </w:tcBorders>
            <w:shd w:val="clear" w:color="auto" w:fill="auto"/>
            <w:vAlign w:val="center"/>
            <w:hideMark/>
          </w:tcPr>
          <w:p w:rsidR="004A4233" w:rsidRPr="00B850BA" w:rsidP="004A27F8" w14:paraId="254964BE" w14:textId="77777777">
            <w:pPr>
              <w:pStyle w:val="NoSpacing"/>
              <w:rPr>
                <w:rFonts w:asciiTheme="minorHAnsi" w:hAnsiTheme="minorHAnsi" w:cstheme="minorHAnsi"/>
                <w:color w:val="000000"/>
                <w:szCs w:val="24"/>
              </w:rPr>
            </w:pPr>
            <w:r w:rsidRPr="00B850BA">
              <w:rPr>
                <w:rFonts w:asciiTheme="minorHAnsi" w:hAnsiTheme="minorHAnsi" w:cstheme="minorHAnsi"/>
                <w:szCs w:val="24"/>
              </w:rPr>
              <w:t>Educational Services</w:t>
            </w:r>
          </w:p>
        </w:tc>
        <w:tc>
          <w:tcPr>
            <w:tcW w:w="990" w:type="dxa"/>
            <w:tcBorders>
              <w:top w:val="single" w:sz="8" w:space="0" w:color="000000" w:themeColor="text1"/>
              <w:left w:val="single" w:sz="8" w:space="0" w:color="000000" w:themeColor="text1"/>
              <w:bottom w:val="single" w:sz="8" w:space="0" w:color="000000" w:themeColor="text1"/>
              <w:right w:val="nil"/>
            </w:tcBorders>
            <w:shd w:val="clear" w:color="auto" w:fill="auto"/>
            <w:vAlign w:val="center"/>
            <w:hideMark/>
          </w:tcPr>
          <w:p w:rsidR="004A4233" w:rsidRPr="00B850BA" w:rsidP="004A27F8" w14:paraId="0BAA9508" w14:textId="77777777">
            <w:pPr>
              <w:pStyle w:val="NoSpacing"/>
              <w:rPr>
                <w:rFonts w:asciiTheme="minorHAnsi" w:hAnsiTheme="minorHAnsi" w:cstheme="minorHAnsi"/>
                <w:color w:val="000000"/>
                <w:szCs w:val="24"/>
              </w:rPr>
            </w:pPr>
            <w:r w:rsidRPr="00B850BA">
              <w:rPr>
                <w:rFonts w:asciiTheme="minorHAnsi" w:hAnsiTheme="minorHAnsi" w:cstheme="minorHAnsi"/>
                <w:szCs w:val="24"/>
              </w:rPr>
              <w:t>61</w:t>
            </w:r>
          </w:p>
        </w:tc>
        <w:tc>
          <w:tcPr>
            <w:tcW w:w="5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4A4233" w:rsidRPr="00B850BA" w:rsidP="004A27F8" w14:paraId="2A241CBD" w14:textId="4D0384B6">
            <w:pPr>
              <w:pStyle w:val="NoSpacing"/>
              <w:rPr>
                <w:rFonts w:asciiTheme="minorHAnsi" w:hAnsiTheme="minorHAnsi" w:cstheme="minorHAnsi"/>
                <w:color w:val="000000"/>
                <w:szCs w:val="24"/>
              </w:rPr>
            </w:pPr>
            <w:r w:rsidRPr="00B850BA">
              <w:rPr>
                <w:rFonts w:asciiTheme="minorHAnsi" w:hAnsiTheme="minorHAnsi" w:cstheme="minorHAnsi"/>
                <w:szCs w:val="24"/>
              </w:rPr>
              <w:t xml:space="preserve">School districts (subset of local government employers identified above) whose employees work with or near asbestos-containing material. </w:t>
            </w:r>
            <w:r w:rsidRPr="00B850BA">
              <w:rPr>
                <w:rFonts w:asciiTheme="minorHAnsi" w:hAnsiTheme="minorHAnsi" w:cstheme="minorHAnsi"/>
                <w:szCs w:val="24"/>
                <w:vertAlign w:val="superscript"/>
              </w:rPr>
              <w:t>a</w:t>
            </w:r>
          </w:p>
        </w:tc>
        <w:tc>
          <w:tcPr>
            <w:tcW w:w="1532" w:type="dxa"/>
            <w:tcBorders>
              <w:top w:val="single" w:sz="8" w:space="0" w:color="000000" w:themeColor="text1"/>
              <w:left w:val="nil"/>
              <w:bottom w:val="single" w:sz="8" w:space="0" w:color="000000" w:themeColor="text1"/>
              <w:right w:val="single" w:sz="8" w:space="0" w:color="auto"/>
            </w:tcBorders>
            <w:shd w:val="clear" w:color="auto" w:fill="auto"/>
            <w:vAlign w:val="center"/>
            <w:hideMark/>
          </w:tcPr>
          <w:p w:rsidR="004A4233" w:rsidRPr="00B850BA" w:rsidP="004A27F8" w14:paraId="466F476A" w14:textId="5394729E">
            <w:pPr>
              <w:pStyle w:val="NoSpacing"/>
              <w:rPr>
                <w:rFonts w:asciiTheme="minorHAnsi" w:hAnsiTheme="minorHAnsi" w:cstheme="minorHAnsi"/>
                <w:color w:val="000000"/>
                <w:szCs w:val="24"/>
              </w:rPr>
            </w:pPr>
            <w:r w:rsidRPr="00B850BA">
              <w:rPr>
                <w:rFonts w:asciiTheme="minorHAnsi" w:hAnsiTheme="minorHAnsi" w:cstheme="minorHAnsi"/>
                <w:szCs w:val="24"/>
              </w:rPr>
              <w:t>831</w:t>
            </w:r>
            <w:r w:rsidRPr="00B850BA" w:rsidR="13721222">
              <w:rPr>
                <w:rFonts w:asciiTheme="minorHAnsi" w:hAnsiTheme="minorHAnsi" w:cstheme="minorHAnsi"/>
                <w:szCs w:val="24"/>
              </w:rPr>
              <w:t>6</w:t>
            </w:r>
          </w:p>
        </w:tc>
      </w:tr>
      <w:tr w14:paraId="350687DF" w14:textId="77777777" w:rsidTr="12C045B5">
        <w:tblPrEx>
          <w:tblW w:w="9800" w:type="dxa"/>
          <w:tblInd w:w="2" w:type="dxa"/>
          <w:tblLayout w:type="fixed"/>
          <w:tblLook w:val="04A0"/>
        </w:tblPrEx>
        <w:trPr>
          <w:trHeight w:val="292"/>
        </w:trPr>
        <w:tc>
          <w:tcPr>
            <w:tcW w:w="9800" w:type="dxa"/>
            <w:gridSpan w:val="4"/>
            <w:tcBorders>
              <w:top w:val="single" w:sz="8" w:space="0" w:color="000000" w:themeColor="text1"/>
              <w:left w:val="single" w:sz="8" w:space="0" w:color="auto"/>
              <w:bottom w:val="nil"/>
              <w:right w:val="single" w:sz="8" w:space="0" w:color="000000" w:themeColor="text1"/>
            </w:tcBorders>
            <w:shd w:val="clear" w:color="auto" w:fill="auto"/>
            <w:hideMark/>
          </w:tcPr>
          <w:p w:rsidR="004A4233" w:rsidRPr="00B850BA" w:rsidP="004A27F8" w14:paraId="28613A4E" w14:textId="2DC75A7D">
            <w:pPr>
              <w:pStyle w:val="NoSpacing"/>
              <w:rPr>
                <w:rFonts w:asciiTheme="minorHAnsi" w:hAnsiTheme="minorHAnsi" w:cstheme="minorHAnsi"/>
                <w:color w:val="000000"/>
                <w:szCs w:val="24"/>
              </w:rPr>
            </w:pPr>
            <w:r w:rsidRPr="00B850BA">
              <w:rPr>
                <w:rFonts w:asciiTheme="minorHAnsi" w:hAnsiTheme="minorHAnsi" w:cstheme="minorHAnsi"/>
                <w:szCs w:val="24"/>
              </w:rPr>
              <w:t xml:space="preserve">Table </w:t>
            </w:r>
            <w:r w:rsidRPr="00B850BA">
              <w:rPr>
                <w:rFonts w:asciiTheme="minorHAnsi" w:hAnsiTheme="minorHAnsi" w:cstheme="minorHAnsi"/>
                <w:szCs w:val="24"/>
              </w:rPr>
              <w:t>notes</w:t>
            </w:r>
            <w:r w:rsidRPr="00B850BA">
              <w:rPr>
                <w:rFonts w:asciiTheme="minorHAnsi" w:hAnsiTheme="minorHAnsi" w:cstheme="minorHAnsi"/>
                <w:szCs w:val="24"/>
              </w:rPr>
              <w:t>:</w:t>
            </w:r>
          </w:p>
        </w:tc>
      </w:tr>
      <w:tr w14:paraId="035B4CD7" w14:textId="77777777" w:rsidTr="12C045B5">
        <w:tblPrEx>
          <w:tblW w:w="9800" w:type="dxa"/>
          <w:tblInd w:w="2" w:type="dxa"/>
          <w:tblLayout w:type="fixed"/>
          <w:tblLook w:val="04A0"/>
        </w:tblPrEx>
        <w:trPr>
          <w:trHeight w:val="660"/>
        </w:trPr>
        <w:tc>
          <w:tcPr>
            <w:tcW w:w="9800" w:type="dxa"/>
            <w:gridSpan w:val="4"/>
            <w:tcBorders>
              <w:top w:val="nil"/>
              <w:left w:val="single" w:sz="8" w:space="0" w:color="auto"/>
              <w:bottom w:val="single" w:sz="8" w:space="0" w:color="auto"/>
              <w:right w:val="single" w:sz="8" w:space="0" w:color="000000" w:themeColor="text1"/>
            </w:tcBorders>
            <w:shd w:val="clear" w:color="auto" w:fill="auto"/>
            <w:hideMark/>
          </w:tcPr>
          <w:p w:rsidR="004A4233" w:rsidRPr="00B850BA" w:rsidP="004A27F8" w14:paraId="56973F11" w14:textId="73040160">
            <w:pPr>
              <w:pStyle w:val="NoSpacing"/>
              <w:rPr>
                <w:rFonts w:asciiTheme="minorHAnsi" w:hAnsiTheme="minorHAnsi" w:cstheme="minorHAnsi"/>
                <w:color w:val="000000"/>
                <w:szCs w:val="24"/>
              </w:rPr>
            </w:pPr>
            <w:r w:rsidRPr="00B850BA">
              <w:rPr>
                <w:rFonts w:asciiTheme="minorHAnsi" w:hAnsiTheme="minorHAnsi" w:cstheme="minorHAnsi"/>
                <w:szCs w:val="24"/>
              </w:rPr>
              <w:t xml:space="preserve">a Source: </w:t>
            </w:r>
            <w:r w:rsidRPr="00B850BA">
              <w:rPr>
                <w:rFonts w:asciiTheme="minorHAnsi" w:hAnsiTheme="minorHAnsi" w:cstheme="minorHAnsi"/>
                <w:i/>
                <w:iCs/>
                <w:szCs w:val="24"/>
              </w:rPr>
              <w:t xml:space="preserve">National Center for Education Statistics, Common Core of Data (CCD), "Public Elementary/ Secondary School Universe Survey" </w:t>
            </w:r>
            <w:r w:rsidRPr="00B850BA">
              <w:rPr>
                <w:rFonts w:asciiTheme="minorHAnsi" w:hAnsiTheme="minorHAnsi" w:cstheme="minorHAnsi"/>
                <w:szCs w:val="24"/>
              </w:rPr>
              <w:t>(U.S. Department of Education, 202</w:t>
            </w:r>
            <w:r w:rsidRPr="00B850BA" w:rsidR="4553B5BF">
              <w:rPr>
                <w:rFonts w:asciiTheme="minorHAnsi" w:hAnsiTheme="minorHAnsi" w:cstheme="minorHAnsi"/>
                <w:szCs w:val="24"/>
              </w:rPr>
              <w:t>2</w:t>
            </w:r>
            <w:r w:rsidRPr="00B850BA">
              <w:rPr>
                <w:rFonts w:asciiTheme="minorHAnsi" w:hAnsiTheme="minorHAnsi" w:cstheme="minorHAnsi"/>
                <w:szCs w:val="24"/>
              </w:rPr>
              <w:t xml:space="preserve">). Available via </w:t>
            </w:r>
            <w:hyperlink r:id="rId10" w:history="1">
              <w:r w:rsidRPr="004C6D74">
                <w:rPr>
                  <w:rStyle w:val="Hyperlink"/>
                  <w:rFonts w:asciiTheme="minorHAnsi" w:hAnsiTheme="minorHAnsi" w:cstheme="minorHAnsi"/>
                  <w:szCs w:val="24"/>
                </w:rPr>
                <w:t>https://nces.ed.gov/ccd/tables/202</w:t>
              </w:r>
              <w:r w:rsidRPr="004C6D74" w:rsidR="26E36E96">
                <w:rPr>
                  <w:rStyle w:val="Hyperlink"/>
                  <w:rFonts w:asciiTheme="minorHAnsi" w:hAnsiTheme="minorHAnsi" w:cstheme="minorHAnsi"/>
                  <w:szCs w:val="24"/>
                </w:rPr>
                <w:t>1</w:t>
              </w:r>
              <w:r w:rsidRPr="004C6D74">
                <w:rPr>
                  <w:rStyle w:val="Hyperlink"/>
                  <w:rFonts w:asciiTheme="minorHAnsi" w:hAnsiTheme="minorHAnsi" w:cstheme="minorHAnsi"/>
                  <w:szCs w:val="24"/>
                </w:rPr>
                <w:t>2</w:t>
              </w:r>
              <w:r w:rsidRPr="004C6D74" w:rsidR="0D75F66D">
                <w:rPr>
                  <w:rStyle w:val="Hyperlink"/>
                  <w:rFonts w:asciiTheme="minorHAnsi" w:hAnsiTheme="minorHAnsi" w:cstheme="minorHAnsi"/>
                  <w:szCs w:val="24"/>
                </w:rPr>
                <w:t>2</w:t>
              </w:r>
              <w:r w:rsidRPr="004C6D74">
                <w:rPr>
                  <w:rStyle w:val="Hyperlink"/>
                  <w:rFonts w:asciiTheme="minorHAnsi" w:hAnsiTheme="minorHAnsi" w:cstheme="minorHAnsi"/>
                  <w:szCs w:val="24"/>
                </w:rPr>
                <w:t>_summary_2.asp</w:t>
              </w:r>
            </w:hyperlink>
            <w:r w:rsidRPr="00B850BA">
              <w:rPr>
                <w:rFonts w:asciiTheme="minorHAnsi" w:hAnsiTheme="minorHAnsi" w:cstheme="minorHAnsi"/>
                <w:szCs w:val="24"/>
              </w:rPr>
              <w:t xml:space="preserve"> (accessed 0</w:t>
            </w:r>
            <w:r w:rsidRPr="00B850BA" w:rsidR="6DADA8A5">
              <w:rPr>
                <w:rFonts w:asciiTheme="minorHAnsi" w:hAnsiTheme="minorHAnsi" w:cstheme="minorHAnsi"/>
                <w:szCs w:val="24"/>
              </w:rPr>
              <w:t>7</w:t>
            </w:r>
            <w:r w:rsidRPr="00B850BA">
              <w:rPr>
                <w:rFonts w:asciiTheme="minorHAnsi" w:hAnsiTheme="minorHAnsi" w:cstheme="minorHAnsi"/>
                <w:szCs w:val="24"/>
              </w:rPr>
              <w:t>_</w:t>
            </w:r>
            <w:r w:rsidRPr="00B850BA" w:rsidR="7FF35E53">
              <w:rPr>
                <w:rFonts w:asciiTheme="minorHAnsi" w:hAnsiTheme="minorHAnsi" w:cstheme="minorHAnsi"/>
                <w:szCs w:val="24"/>
              </w:rPr>
              <w:t>15</w:t>
            </w:r>
            <w:r w:rsidRPr="00B850BA">
              <w:rPr>
                <w:rFonts w:asciiTheme="minorHAnsi" w:hAnsiTheme="minorHAnsi" w:cstheme="minorHAnsi"/>
                <w:szCs w:val="24"/>
              </w:rPr>
              <w:t>_2024).</w:t>
            </w:r>
          </w:p>
        </w:tc>
      </w:tr>
    </w:tbl>
    <w:p w:rsidR="00C240A7" w:rsidRPr="00B850BA" w:rsidP="00C240A7" w14:paraId="5F813A16" w14:textId="77777777">
      <w:pPr>
        <w:rPr>
          <w:rFonts w:asciiTheme="minorHAnsi" w:hAnsiTheme="minorHAnsi" w:cstheme="minorHAnsi"/>
          <w:szCs w:val="24"/>
        </w:rPr>
      </w:pPr>
    </w:p>
    <w:p w:rsidR="0074053C" w:rsidRPr="00B850BA" w:rsidP="00970199" w14:paraId="527D29E6" w14:textId="77A37FD2">
      <w:pPr>
        <w:spacing w:line="276" w:lineRule="auto"/>
        <w:ind w:firstLine="0"/>
        <w:rPr>
          <w:rFonts w:asciiTheme="minorHAnsi" w:hAnsiTheme="minorHAnsi" w:cstheme="minorHAnsi"/>
          <w:szCs w:val="24"/>
        </w:rPr>
      </w:pPr>
      <w:r w:rsidRPr="00B850BA">
        <w:rPr>
          <w:rFonts w:asciiTheme="minorHAnsi" w:hAnsiTheme="minorHAnsi" w:cstheme="minorHAnsi"/>
          <w:szCs w:val="24"/>
        </w:rPr>
        <w:t>Th</w:t>
      </w:r>
      <w:r w:rsidRPr="00B850BA" w:rsidR="00B25ADD">
        <w:rPr>
          <w:rFonts w:asciiTheme="minorHAnsi" w:hAnsiTheme="minorHAnsi" w:cstheme="minorHAnsi"/>
          <w:szCs w:val="24"/>
        </w:rPr>
        <w:t xml:space="preserve">e </w:t>
      </w:r>
      <w:r w:rsidRPr="00B850BA" w:rsidR="002B5403">
        <w:rPr>
          <w:rFonts w:asciiTheme="minorHAnsi" w:hAnsiTheme="minorHAnsi" w:cstheme="minorHAnsi"/>
          <w:szCs w:val="24"/>
        </w:rPr>
        <w:t>WPR contains several paperwork-</w:t>
      </w:r>
      <w:r w:rsidRPr="00B850BA">
        <w:rPr>
          <w:rFonts w:asciiTheme="minorHAnsi" w:hAnsiTheme="minorHAnsi" w:cstheme="minorHAnsi"/>
          <w:szCs w:val="24"/>
        </w:rPr>
        <w:t>related requirements for state and local government employers in the 2</w:t>
      </w:r>
      <w:r w:rsidRPr="00B850BA" w:rsidR="009978CF">
        <w:rPr>
          <w:rFonts w:asciiTheme="minorHAnsi" w:hAnsiTheme="minorHAnsi" w:cstheme="minorHAnsi"/>
          <w:szCs w:val="24"/>
        </w:rPr>
        <w:t>3</w:t>
      </w:r>
      <w:r w:rsidRPr="00B850BA">
        <w:rPr>
          <w:rFonts w:asciiTheme="minorHAnsi" w:hAnsiTheme="minorHAnsi" w:cstheme="minorHAnsi"/>
          <w:szCs w:val="24"/>
        </w:rPr>
        <w:t xml:space="preserve"> states, </w:t>
      </w:r>
      <w:r w:rsidRPr="00B850BA" w:rsidR="00B6129D">
        <w:rPr>
          <w:rFonts w:asciiTheme="minorHAnsi" w:hAnsiTheme="minorHAnsi" w:cstheme="minorHAnsi"/>
          <w:szCs w:val="24"/>
        </w:rPr>
        <w:t>D.C.</w:t>
      </w:r>
      <w:r w:rsidRPr="00B850BA" w:rsidR="004305F2">
        <w:rPr>
          <w:rFonts w:asciiTheme="minorHAnsi" w:hAnsiTheme="minorHAnsi" w:cstheme="minorHAnsi"/>
          <w:szCs w:val="24"/>
        </w:rPr>
        <w:t>,</w:t>
      </w:r>
      <w:r w:rsidRPr="00B850BA">
        <w:rPr>
          <w:rFonts w:asciiTheme="minorHAnsi" w:hAnsiTheme="minorHAnsi" w:cstheme="minorHAnsi"/>
          <w:szCs w:val="24"/>
        </w:rPr>
        <w:t xml:space="preserve"> and </w:t>
      </w:r>
      <w:r w:rsidRPr="00B850BA" w:rsidR="007B2D43">
        <w:rPr>
          <w:rFonts w:asciiTheme="minorHAnsi" w:hAnsiTheme="minorHAnsi" w:cstheme="minorHAnsi"/>
          <w:szCs w:val="24"/>
        </w:rPr>
        <w:t xml:space="preserve">three </w:t>
      </w:r>
      <w:r w:rsidRPr="00B850BA">
        <w:rPr>
          <w:rFonts w:asciiTheme="minorHAnsi" w:hAnsiTheme="minorHAnsi" w:cstheme="minorHAnsi"/>
          <w:szCs w:val="24"/>
        </w:rPr>
        <w:t>U.S. t</w:t>
      </w:r>
      <w:r w:rsidRPr="00B850BA" w:rsidR="00C8234B">
        <w:rPr>
          <w:rFonts w:asciiTheme="minorHAnsi" w:hAnsiTheme="minorHAnsi" w:cstheme="minorHAnsi"/>
          <w:szCs w:val="24"/>
        </w:rPr>
        <w:t>erritories</w:t>
      </w:r>
      <w:r w:rsidRPr="00B850BA" w:rsidR="005B5FFD">
        <w:rPr>
          <w:rFonts w:asciiTheme="minorHAnsi" w:hAnsiTheme="minorHAnsi" w:cstheme="minorHAnsi"/>
          <w:szCs w:val="24"/>
        </w:rPr>
        <w:t>.</w:t>
      </w:r>
      <w:r w:rsidRPr="00B850BA" w:rsidR="007B3879">
        <w:rPr>
          <w:rFonts w:asciiTheme="minorHAnsi" w:hAnsiTheme="minorHAnsi" w:cstheme="minorHAnsi"/>
          <w:szCs w:val="24"/>
        </w:rPr>
        <w:t xml:space="preserve"> T</w:t>
      </w:r>
      <w:r w:rsidRPr="00B850BA" w:rsidR="003E6706">
        <w:rPr>
          <w:rFonts w:asciiTheme="minorHAnsi" w:hAnsiTheme="minorHAnsi" w:cstheme="minorHAnsi"/>
          <w:szCs w:val="24"/>
        </w:rPr>
        <w:t>he group of D.C. and the territories count</w:t>
      </w:r>
      <w:r w:rsidRPr="00B850BA" w:rsidR="002B5403">
        <w:rPr>
          <w:rFonts w:asciiTheme="minorHAnsi" w:hAnsiTheme="minorHAnsi" w:cstheme="minorHAnsi"/>
          <w:szCs w:val="24"/>
        </w:rPr>
        <w:t>s</w:t>
      </w:r>
      <w:r w:rsidRPr="00B850BA" w:rsidR="003E6706">
        <w:rPr>
          <w:rFonts w:asciiTheme="minorHAnsi" w:hAnsiTheme="minorHAnsi" w:cstheme="minorHAnsi"/>
          <w:szCs w:val="24"/>
        </w:rPr>
        <w:t xml:space="preserve"> as one “state equivalent,” yielding 2</w:t>
      </w:r>
      <w:r w:rsidRPr="00B850BA" w:rsidR="009978CF">
        <w:rPr>
          <w:rFonts w:asciiTheme="minorHAnsi" w:hAnsiTheme="minorHAnsi" w:cstheme="minorHAnsi"/>
          <w:szCs w:val="24"/>
        </w:rPr>
        <w:t>4</w:t>
      </w:r>
      <w:r w:rsidRPr="00B850BA" w:rsidR="003E6706">
        <w:rPr>
          <w:rFonts w:asciiTheme="minorHAnsi" w:hAnsiTheme="minorHAnsi" w:cstheme="minorHAnsi"/>
          <w:szCs w:val="24"/>
        </w:rPr>
        <w:t xml:space="preserve"> states for purposes of estimates in this analysis</w:t>
      </w:r>
      <w:r w:rsidRPr="00B850BA" w:rsidR="00C8234B">
        <w:rPr>
          <w:rFonts w:asciiTheme="minorHAnsi" w:hAnsiTheme="minorHAnsi" w:cstheme="minorHAnsi"/>
          <w:szCs w:val="24"/>
        </w:rPr>
        <w:t xml:space="preserve">. </w:t>
      </w:r>
      <w:r w:rsidRPr="00B850BA" w:rsidR="00B95E08">
        <w:rPr>
          <w:rFonts w:asciiTheme="minorHAnsi" w:hAnsiTheme="minorHAnsi" w:cstheme="minorHAnsi"/>
          <w:szCs w:val="24"/>
        </w:rPr>
        <w:t>The</w:t>
      </w:r>
      <w:r w:rsidRPr="00B850BA">
        <w:rPr>
          <w:rFonts w:asciiTheme="minorHAnsi" w:hAnsiTheme="minorHAnsi" w:cstheme="minorHAnsi"/>
          <w:szCs w:val="24"/>
        </w:rPr>
        <w:t xml:space="preserve"> rule requires employers to collect, disseminate, and maintain information relating to employee asbestos exposures, respiratory protection, medic</w:t>
      </w:r>
      <w:r w:rsidRPr="00B850BA" w:rsidR="000076E0">
        <w:rPr>
          <w:rFonts w:asciiTheme="minorHAnsi" w:hAnsiTheme="minorHAnsi" w:cstheme="minorHAnsi"/>
          <w:szCs w:val="24"/>
        </w:rPr>
        <w:t xml:space="preserve">al surveillance, and training. </w:t>
      </w:r>
      <w:r w:rsidRPr="00B850BA">
        <w:rPr>
          <w:rFonts w:asciiTheme="minorHAnsi" w:hAnsiTheme="minorHAnsi" w:cstheme="minorHAnsi"/>
          <w:szCs w:val="24"/>
        </w:rPr>
        <w:t>The records maintained as a result of this information collection will provide EPA with the data necessary for effective enforcement of the WPR as authorize</w:t>
      </w:r>
      <w:r w:rsidRPr="00B850BA" w:rsidR="00B95E08">
        <w:rPr>
          <w:rFonts w:asciiTheme="minorHAnsi" w:hAnsiTheme="minorHAnsi" w:cstheme="minorHAnsi"/>
          <w:szCs w:val="24"/>
        </w:rPr>
        <w:t>d under TSCA sections 6 and 8.</w:t>
      </w:r>
    </w:p>
    <w:p w:rsidR="00C240A7" w:rsidRPr="00B850BA" w:rsidP="004A27F8" w14:paraId="3FB012B1" w14:textId="65C4448B">
      <w:pPr>
        <w:pStyle w:val="Heading1"/>
        <w:rPr>
          <w:rFonts w:asciiTheme="minorHAnsi" w:hAnsiTheme="minorHAnsi" w:cstheme="minorHAnsi"/>
          <w:szCs w:val="24"/>
        </w:rPr>
      </w:pPr>
      <w:r w:rsidRPr="00B850BA">
        <w:rPr>
          <w:rFonts w:asciiTheme="minorHAnsi" w:hAnsiTheme="minorHAnsi" w:cstheme="minorHAnsi"/>
          <w:szCs w:val="24"/>
        </w:rPr>
        <w:t>Data Items</w:t>
      </w:r>
    </w:p>
    <w:p w:rsidR="00600524" w:rsidRPr="00B850BA" w:rsidP="00970199" w14:paraId="60C9D5FB" w14:textId="35867CA3">
      <w:pPr>
        <w:spacing w:line="276" w:lineRule="auto"/>
        <w:ind w:firstLine="0"/>
        <w:contextualSpacing/>
        <w:rPr>
          <w:rFonts w:asciiTheme="minorHAnsi" w:hAnsiTheme="minorHAnsi" w:cstheme="minorHAnsi"/>
          <w:szCs w:val="24"/>
        </w:rPr>
      </w:pPr>
      <w:r w:rsidRPr="00B850BA">
        <w:rPr>
          <w:rFonts w:asciiTheme="minorHAnsi" w:hAnsiTheme="minorHAnsi" w:cstheme="minorHAnsi"/>
          <w:szCs w:val="24"/>
        </w:rPr>
        <w:t>40 CFR part 763</w:t>
      </w:r>
      <w:r w:rsidRPr="00B850BA" w:rsidR="004D511A">
        <w:rPr>
          <w:rFonts w:asciiTheme="minorHAnsi" w:hAnsiTheme="minorHAnsi" w:cstheme="minorHAnsi"/>
          <w:szCs w:val="24"/>
        </w:rPr>
        <w:t>, subpart G,</w:t>
      </w:r>
      <w:r w:rsidRPr="00B850BA">
        <w:rPr>
          <w:rFonts w:asciiTheme="minorHAnsi" w:hAnsiTheme="minorHAnsi" w:cstheme="minorHAnsi"/>
          <w:szCs w:val="24"/>
        </w:rPr>
        <w:t xml:space="preserve"> </w:t>
      </w:r>
      <w:r w:rsidRPr="00B850BA" w:rsidR="00C240A7">
        <w:rPr>
          <w:rFonts w:asciiTheme="minorHAnsi" w:hAnsiTheme="minorHAnsi" w:cstheme="minorHAnsi"/>
          <w:szCs w:val="24"/>
        </w:rPr>
        <w:t>requires state and local government employers to develop and maintain a written respiratory protection pro</w:t>
      </w:r>
      <w:r w:rsidRPr="00B850BA" w:rsidR="00C240A7">
        <w:rPr>
          <w:rFonts w:asciiTheme="minorHAnsi" w:hAnsiTheme="minorHAnsi" w:cstheme="minorHAnsi"/>
          <w:szCs w:val="24"/>
        </w:rPr>
        <w:softHyphen/>
        <w:t>gram if th</w:t>
      </w:r>
      <w:r w:rsidRPr="00B850BA" w:rsidR="000076E0">
        <w:rPr>
          <w:rFonts w:asciiTheme="minorHAnsi" w:hAnsiTheme="minorHAnsi" w:cstheme="minorHAnsi"/>
          <w:szCs w:val="24"/>
        </w:rPr>
        <w:t xml:space="preserve">eir employees use respirators. </w:t>
      </w:r>
      <w:r w:rsidRPr="00B850BA" w:rsidR="00C240A7">
        <w:rPr>
          <w:rFonts w:asciiTheme="minorHAnsi" w:hAnsiTheme="minorHAnsi" w:cstheme="minorHAnsi"/>
          <w:szCs w:val="24"/>
        </w:rPr>
        <w:t>Employers must provide information and guidance on the selection, use, and care of respirators, give annual fit tests, and maintain reco</w:t>
      </w:r>
      <w:r w:rsidRPr="00B850BA" w:rsidR="0033031C">
        <w:rPr>
          <w:rFonts w:asciiTheme="minorHAnsi" w:hAnsiTheme="minorHAnsi" w:cstheme="minorHAnsi"/>
          <w:szCs w:val="24"/>
        </w:rPr>
        <w:t xml:space="preserve">rds of fit tests for one year. </w:t>
      </w:r>
      <w:r w:rsidRPr="00B850BA" w:rsidR="00C240A7">
        <w:rPr>
          <w:rFonts w:asciiTheme="minorHAnsi" w:hAnsiTheme="minorHAnsi" w:cstheme="minorHAnsi"/>
          <w:szCs w:val="24"/>
        </w:rPr>
        <w:t>Fit</w:t>
      </w:r>
      <w:r w:rsidRPr="00B850BA" w:rsidR="0092051D">
        <w:rPr>
          <w:rFonts w:asciiTheme="minorHAnsi" w:hAnsiTheme="minorHAnsi" w:cstheme="minorHAnsi"/>
          <w:szCs w:val="24"/>
        </w:rPr>
        <w:t xml:space="preserve"> </w:t>
      </w:r>
      <w:r w:rsidRPr="00B850BA" w:rsidR="00C240A7">
        <w:rPr>
          <w:rFonts w:asciiTheme="minorHAnsi" w:hAnsiTheme="minorHAnsi" w:cstheme="minorHAnsi"/>
          <w:szCs w:val="24"/>
        </w:rPr>
        <w:t>testing record summaries must include the follow</w:t>
      </w:r>
      <w:r w:rsidRPr="00B850BA" w:rsidR="00C240A7">
        <w:rPr>
          <w:rFonts w:asciiTheme="minorHAnsi" w:hAnsiTheme="minorHAnsi" w:cstheme="minorHAnsi"/>
          <w:szCs w:val="24"/>
        </w:rPr>
        <w:softHyphen/>
        <w:t>ing information:</w:t>
      </w:r>
    </w:p>
    <w:p w:rsidR="00C240A7" w:rsidRPr="00B850BA" w:rsidP="004A27F8" w14:paraId="6B18B28C" w14:textId="6D0B66E8">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B279BE">
        <w:rPr>
          <w:rFonts w:asciiTheme="minorHAnsi" w:hAnsiTheme="minorHAnsi" w:cstheme="minorHAnsi"/>
          <w:szCs w:val="24"/>
        </w:rPr>
        <w:t xml:space="preserve"> </w:t>
      </w:r>
      <w:r w:rsidRPr="00B850BA">
        <w:rPr>
          <w:rFonts w:asciiTheme="minorHAnsi" w:hAnsiTheme="minorHAnsi" w:cstheme="minorHAnsi"/>
          <w:szCs w:val="24"/>
        </w:rPr>
        <w:t xml:space="preserve">Name or identification of the employee tested; </w:t>
      </w:r>
    </w:p>
    <w:p w:rsidR="00C240A7" w:rsidRPr="00B850BA" w:rsidP="004A27F8" w14:paraId="2D86A7C3" w14:textId="346B3573">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B279BE">
        <w:rPr>
          <w:rFonts w:asciiTheme="minorHAnsi" w:hAnsiTheme="minorHAnsi" w:cstheme="minorHAnsi"/>
          <w:szCs w:val="24"/>
        </w:rPr>
        <w:t xml:space="preserve"> </w:t>
      </w:r>
      <w:r w:rsidRPr="00B850BA">
        <w:rPr>
          <w:rFonts w:asciiTheme="minorHAnsi" w:hAnsiTheme="minorHAnsi" w:cstheme="minorHAnsi"/>
          <w:szCs w:val="24"/>
        </w:rPr>
        <w:t xml:space="preserve">Type of fit test performed; </w:t>
      </w:r>
    </w:p>
    <w:p w:rsidR="00C240A7" w:rsidRPr="00B850BA" w:rsidP="004A27F8" w14:paraId="21DEA3E8" w14:textId="45B45A9D">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B279BE">
        <w:rPr>
          <w:rFonts w:asciiTheme="minorHAnsi" w:hAnsiTheme="minorHAnsi" w:cstheme="minorHAnsi"/>
          <w:szCs w:val="24"/>
        </w:rPr>
        <w:t xml:space="preserve"> </w:t>
      </w:r>
      <w:r w:rsidRPr="00B850BA">
        <w:rPr>
          <w:rFonts w:asciiTheme="minorHAnsi" w:hAnsiTheme="minorHAnsi" w:cstheme="minorHAnsi"/>
          <w:szCs w:val="24"/>
        </w:rPr>
        <w:t>Specific make, model, style, and size of respirator tested;</w:t>
      </w:r>
    </w:p>
    <w:p w:rsidR="00C240A7" w:rsidRPr="00B850BA" w:rsidP="004A27F8" w14:paraId="7542BA5E" w14:textId="64645089">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B279BE">
        <w:rPr>
          <w:rFonts w:asciiTheme="minorHAnsi" w:hAnsiTheme="minorHAnsi" w:cstheme="minorHAnsi"/>
          <w:szCs w:val="24"/>
        </w:rPr>
        <w:t xml:space="preserve"> </w:t>
      </w:r>
      <w:r w:rsidRPr="00B850BA">
        <w:rPr>
          <w:rFonts w:asciiTheme="minorHAnsi" w:hAnsiTheme="minorHAnsi" w:cstheme="minorHAnsi"/>
          <w:szCs w:val="24"/>
        </w:rPr>
        <w:t>Date of test; and</w:t>
      </w:r>
    </w:p>
    <w:p w:rsidR="00C240A7" w:rsidRPr="00B850BA" w:rsidP="008F708D" w14:paraId="1BF4A61B" w14:textId="01992481">
      <w:pPr>
        <w:tabs>
          <w:tab w:val="left" w:pos="720"/>
          <w:tab w:val="left" w:pos="1440"/>
        </w:tabs>
        <w:spacing w:line="276" w:lineRule="auto"/>
        <w:ind w:left="1440" w:hanging="1440"/>
        <w:rPr>
          <w:rFonts w:asciiTheme="minorHAnsi" w:hAnsiTheme="minorHAnsi" w:cstheme="minorHAnsi"/>
          <w:szCs w:val="24"/>
        </w:rPr>
      </w:pPr>
      <w:r w:rsidRPr="00B850BA">
        <w:rPr>
          <w:rFonts w:asciiTheme="minorHAnsi" w:hAnsiTheme="minorHAnsi" w:cstheme="minorHAnsi"/>
          <w:szCs w:val="24"/>
        </w:rPr>
        <w:tab/>
        <w:t>•</w:t>
      </w:r>
      <w:r w:rsidRPr="00B850BA" w:rsidR="00B279BE">
        <w:rPr>
          <w:rFonts w:asciiTheme="minorHAnsi" w:hAnsiTheme="minorHAnsi" w:cstheme="minorHAnsi"/>
          <w:szCs w:val="24"/>
        </w:rPr>
        <w:t xml:space="preserve"> </w:t>
      </w:r>
      <w:r w:rsidRPr="00B850BA">
        <w:rPr>
          <w:rFonts w:asciiTheme="minorHAnsi" w:hAnsiTheme="minorHAnsi" w:cstheme="minorHAnsi"/>
          <w:szCs w:val="24"/>
        </w:rPr>
        <w:t>The test results.</w:t>
      </w:r>
    </w:p>
    <w:p w:rsidR="00C240A7" w:rsidRPr="00B850BA" w:rsidP="00970199" w14:paraId="5A1FA4B0" w14:textId="056775C9">
      <w:pPr>
        <w:spacing w:line="276" w:lineRule="auto"/>
        <w:ind w:firstLine="0"/>
        <w:rPr>
          <w:rFonts w:asciiTheme="minorHAnsi" w:hAnsiTheme="minorHAnsi" w:cstheme="minorHAnsi"/>
          <w:szCs w:val="24"/>
        </w:rPr>
      </w:pPr>
      <w:r w:rsidRPr="00B850BA">
        <w:rPr>
          <w:rFonts w:asciiTheme="minorHAnsi" w:hAnsiTheme="minorHAnsi" w:cstheme="minorHAnsi"/>
          <w:szCs w:val="24"/>
        </w:rPr>
        <w:t>40 CFR part 763</w:t>
      </w:r>
      <w:r w:rsidRPr="00B850BA" w:rsidR="00417A2A">
        <w:rPr>
          <w:rFonts w:asciiTheme="minorHAnsi" w:hAnsiTheme="minorHAnsi" w:cstheme="minorHAnsi"/>
          <w:szCs w:val="24"/>
        </w:rPr>
        <w:t>, subpart G</w:t>
      </w:r>
      <w:r w:rsidRPr="00B850BA" w:rsidR="002B5403">
        <w:rPr>
          <w:rFonts w:asciiTheme="minorHAnsi" w:hAnsiTheme="minorHAnsi" w:cstheme="minorHAnsi"/>
          <w:szCs w:val="24"/>
        </w:rPr>
        <w:t>,</w:t>
      </w:r>
      <w:r w:rsidRPr="00B850BA">
        <w:rPr>
          <w:rFonts w:asciiTheme="minorHAnsi" w:hAnsiTheme="minorHAnsi" w:cstheme="minorHAnsi"/>
          <w:szCs w:val="24"/>
        </w:rPr>
        <w:t xml:space="preserve"> </w:t>
      </w:r>
      <w:r w:rsidRPr="00B850BA">
        <w:rPr>
          <w:rFonts w:asciiTheme="minorHAnsi" w:hAnsiTheme="minorHAnsi" w:cstheme="minorHAnsi"/>
          <w:szCs w:val="24"/>
        </w:rPr>
        <w:t xml:space="preserve">requires an exposure assessment to determine accurately the airborne concentrations of asbestos to </w:t>
      </w:r>
      <w:r w:rsidRPr="00B850BA" w:rsidR="009220FF">
        <w:rPr>
          <w:rFonts w:asciiTheme="minorHAnsi" w:hAnsiTheme="minorHAnsi" w:cstheme="minorHAnsi"/>
          <w:szCs w:val="24"/>
        </w:rPr>
        <w:t>which em</w:t>
      </w:r>
      <w:r w:rsidRPr="00B850BA" w:rsidR="009220FF">
        <w:rPr>
          <w:rFonts w:asciiTheme="minorHAnsi" w:hAnsiTheme="minorHAnsi" w:cstheme="minorHAnsi"/>
          <w:szCs w:val="24"/>
        </w:rPr>
        <w:softHyphen/>
        <w:t>ploy</w:t>
      </w:r>
      <w:r w:rsidRPr="00B850BA" w:rsidR="009220FF">
        <w:rPr>
          <w:rFonts w:asciiTheme="minorHAnsi" w:hAnsiTheme="minorHAnsi" w:cstheme="minorHAnsi"/>
          <w:szCs w:val="24"/>
        </w:rPr>
        <w:softHyphen/>
        <w:t xml:space="preserve">ees are exposed. </w:t>
      </w:r>
      <w:r w:rsidRPr="00B850BA">
        <w:rPr>
          <w:rFonts w:asciiTheme="minorHAnsi" w:hAnsiTheme="minorHAnsi" w:cstheme="minorHAnsi"/>
          <w:szCs w:val="24"/>
        </w:rPr>
        <w:t xml:space="preserve">Employers can meet this requirement through </w:t>
      </w:r>
      <w:r w:rsidRPr="00B850BA" w:rsidR="003925E2">
        <w:rPr>
          <w:rFonts w:asciiTheme="minorHAnsi" w:hAnsiTheme="minorHAnsi" w:cstheme="minorHAnsi"/>
          <w:szCs w:val="24"/>
        </w:rPr>
        <w:t xml:space="preserve">the collection and analysis of </w:t>
      </w:r>
      <w:r w:rsidRPr="00B850BA">
        <w:rPr>
          <w:rFonts w:asciiTheme="minorHAnsi" w:hAnsiTheme="minorHAnsi" w:cstheme="minorHAnsi"/>
          <w:szCs w:val="24"/>
        </w:rPr>
        <w:t>objective data</w:t>
      </w:r>
      <w:r w:rsidRPr="00B850BA" w:rsidR="003925E2">
        <w:rPr>
          <w:rFonts w:asciiTheme="minorHAnsi" w:hAnsiTheme="minorHAnsi" w:cstheme="minorHAnsi"/>
          <w:szCs w:val="24"/>
        </w:rPr>
        <w:t>, historical data monitoring, and/or initial monitoring results.</w:t>
      </w:r>
      <w:r w:rsidRPr="00B850BA">
        <w:rPr>
          <w:rFonts w:asciiTheme="minorHAnsi" w:hAnsiTheme="minorHAnsi" w:cstheme="minorHAnsi"/>
          <w:szCs w:val="24"/>
        </w:rPr>
        <w:t xml:space="preserve"> </w:t>
      </w:r>
      <w:r w:rsidRPr="00B850BA" w:rsidR="003925E2">
        <w:rPr>
          <w:rFonts w:asciiTheme="minorHAnsi" w:hAnsiTheme="minorHAnsi" w:cstheme="minorHAnsi"/>
          <w:szCs w:val="24"/>
        </w:rPr>
        <w:t xml:space="preserve">Objective data must </w:t>
      </w:r>
      <w:r w:rsidRPr="00B850BA">
        <w:rPr>
          <w:rFonts w:asciiTheme="minorHAnsi" w:hAnsiTheme="minorHAnsi" w:cstheme="minorHAnsi"/>
          <w:szCs w:val="24"/>
        </w:rPr>
        <w:t xml:space="preserve">demonstrate that the product or material containing the asbestos cannot release airborne fibers in concentrations exceeding the </w:t>
      </w:r>
      <w:r w:rsidRPr="00B850BA" w:rsidR="002B223E">
        <w:rPr>
          <w:rFonts w:asciiTheme="minorHAnsi" w:hAnsiTheme="minorHAnsi" w:cstheme="minorHAnsi"/>
          <w:szCs w:val="24"/>
        </w:rPr>
        <w:t>PELs</w:t>
      </w:r>
      <w:r w:rsidRPr="00B850BA" w:rsidR="003925E2">
        <w:rPr>
          <w:rFonts w:asciiTheme="minorHAnsi" w:hAnsiTheme="minorHAnsi" w:cstheme="minorHAnsi"/>
          <w:szCs w:val="24"/>
        </w:rPr>
        <w:t>.</w:t>
      </w:r>
      <w:r w:rsidRPr="00B850BA">
        <w:rPr>
          <w:rFonts w:asciiTheme="minorHAnsi" w:hAnsiTheme="minorHAnsi" w:cstheme="minorHAnsi"/>
          <w:szCs w:val="24"/>
        </w:rPr>
        <w:t xml:space="preserve"> </w:t>
      </w:r>
      <w:r w:rsidRPr="00B850BA" w:rsidR="003925E2">
        <w:rPr>
          <w:rFonts w:asciiTheme="minorHAnsi" w:hAnsiTheme="minorHAnsi" w:cstheme="minorHAnsi"/>
          <w:szCs w:val="24"/>
        </w:rPr>
        <w:t>H</w:t>
      </w:r>
      <w:r w:rsidRPr="00B850BA">
        <w:rPr>
          <w:rFonts w:asciiTheme="minorHAnsi" w:hAnsiTheme="minorHAnsi" w:cstheme="minorHAnsi"/>
          <w:szCs w:val="24"/>
        </w:rPr>
        <w:t xml:space="preserve">istorical monitoring data </w:t>
      </w:r>
      <w:r w:rsidRPr="00B850BA" w:rsidR="003925E2">
        <w:rPr>
          <w:rFonts w:asciiTheme="minorHAnsi" w:hAnsiTheme="minorHAnsi" w:cstheme="minorHAnsi"/>
          <w:szCs w:val="24"/>
        </w:rPr>
        <w:t xml:space="preserve">obtained </w:t>
      </w:r>
      <w:r w:rsidRPr="00B850BA">
        <w:rPr>
          <w:rFonts w:asciiTheme="minorHAnsi" w:hAnsiTheme="minorHAnsi" w:cstheme="minorHAnsi"/>
          <w:szCs w:val="24"/>
        </w:rPr>
        <w:t xml:space="preserve">from similar projects </w:t>
      </w:r>
      <w:r w:rsidRPr="00B850BA" w:rsidR="003925E2">
        <w:rPr>
          <w:rFonts w:asciiTheme="minorHAnsi" w:hAnsiTheme="minorHAnsi" w:cstheme="minorHAnsi"/>
          <w:szCs w:val="24"/>
        </w:rPr>
        <w:t xml:space="preserve">must </w:t>
      </w:r>
      <w:r w:rsidRPr="00B850BA">
        <w:rPr>
          <w:rFonts w:asciiTheme="minorHAnsi" w:hAnsiTheme="minorHAnsi" w:cstheme="minorHAnsi"/>
          <w:szCs w:val="24"/>
        </w:rPr>
        <w:t>indicate that the PELs will not be exceeded</w:t>
      </w:r>
      <w:r w:rsidRPr="00B850BA" w:rsidR="003925E2">
        <w:rPr>
          <w:rFonts w:asciiTheme="minorHAnsi" w:hAnsiTheme="minorHAnsi" w:cstheme="minorHAnsi"/>
          <w:szCs w:val="24"/>
        </w:rPr>
        <w:t>. I</w:t>
      </w:r>
      <w:r w:rsidRPr="00B850BA">
        <w:rPr>
          <w:rFonts w:asciiTheme="minorHAnsi" w:hAnsiTheme="minorHAnsi" w:cstheme="minorHAnsi"/>
          <w:szCs w:val="24"/>
        </w:rPr>
        <w:t xml:space="preserve">nitial monitoring results </w:t>
      </w:r>
      <w:r w:rsidRPr="00B850BA" w:rsidR="003925E2">
        <w:rPr>
          <w:rFonts w:asciiTheme="minorHAnsi" w:hAnsiTheme="minorHAnsi" w:cstheme="minorHAnsi"/>
          <w:szCs w:val="24"/>
        </w:rPr>
        <w:t xml:space="preserve">must </w:t>
      </w:r>
      <w:r w:rsidRPr="00B850BA">
        <w:rPr>
          <w:rFonts w:asciiTheme="minorHAnsi" w:hAnsiTheme="minorHAnsi" w:cstheme="minorHAnsi"/>
          <w:szCs w:val="24"/>
        </w:rPr>
        <w:t>demonstrate that employee</w:t>
      </w:r>
      <w:r w:rsidRPr="00B850BA" w:rsidR="009220FF">
        <w:rPr>
          <w:rFonts w:asciiTheme="minorHAnsi" w:hAnsiTheme="minorHAnsi" w:cstheme="minorHAnsi"/>
          <w:szCs w:val="24"/>
        </w:rPr>
        <w:t xml:space="preserve"> exposures are below the PELs. </w:t>
      </w:r>
      <w:r w:rsidRPr="00B850BA">
        <w:rPr>
          <w:rFonts w:asciiTheme="minorHAnsi" w:hAnsiTheme="minorHAnsi" w:cstheme="minorHAnsi"/>
          <w:szCs w:val="24"/>
        </w:rPr>
        <w:t xml:space="preserve">However, employers </w:t>
      </w:r>
      <w:r w:rsidRPr="00B850BA" w:rsidR="003925E2">
        <w:rPr>
          <w:rFonts w:asciiTheme="minorHAnsi" w:hAnsiTheme="minorHAnsi" w:cstheme="minorHAnsi"/>
          <w:szCs w:val="24"/>
        </w:rPr>
        <w:t>are required to</w:t>
      </w:r>
      <w:r w:rsidRPr="00B850BA">
        <w:rPr>
          <w:rFonts w:asciiTheme="minorHAnsi" w:hAnsiTheme="minorHAnsi" w:cstheme="minorHAnsi"/>
          <w:szCs w:val="24"/>
        </w:rPr>
        <w:t xml:space="preserve"> continue periodic exposure monitoring for employees who work in areas where exposures exceed</w:t>
      </w:r>
      <w:r w:rsidRPr="00B850BA" w:rsidR="003925E2">
        <w:rPr>
          <w:rFonts w:asciiTheme="minorHAnsi" w:hAnsiTheme="minorHAnsi" w:cstheme="minorHAnsi"/>
          <w:szCs w:val="24"/>
        </w:rPr>
        <w:t>,</w:t>
      </w:r>
      <w:r w:rsidRPr="00B850BA">
        <w:rPr>
          <w:rFonts w:asciiTheme="minorHAnsi" w:hAnsiTheme="minorHAnsi" w:cstheme="minorHAnsi"/>
          <w:szCs w:val="24"/>
        </w:rPr>
        <w:t xml:space="preserve"> or can reasonably b</w:t>
      </w:r>
      <w:r w:rsidRPr="00B850BA" w:rsidR="009220FF">
        <w:rPr>
          <w:rFonts w:asciiTheme="minorHAnsi" w:hAnsiTheme="minorHAnsi" w:cstheme="minorHAnsi"/>
          <w:szCs w:val="24"/>
        </w:rPr>
        <w:t>e expected to exceed</w:t>
      </w:r>
      <w:r w:rsidRPr="00B850BA" w:rsidR="003925E2">
        <w:rPr>
          <w:rFonts w:asciiTheme="minorHAnsi" w:hAnsiTheme="minorHAnsi" w:cstheme="minorHAnsi"/>
          <w:szCs w:val="24"/>
        </w:rPr>
        <w:t>,</w:t>
      </w:r>
      <w:r w:rsidRPr="00B850BA" w:rsidR="009220FF">
        <w:rPr>
          <w:rFonts w:asciiTheme="minorHAnsi" w:hAnsiTheme="minorHAnsi" w:cstheme="minorHAnsi"/>
          <w:szCs w:val="24"/>
        </w:rPr>
        <w:t xml:space="preserve"> the PELs. </w:t>
      </w:r>
      <w:r w:rsidRPr="00B850BA">
        <w:rPr>
          <w:rFonts w:asciiTheme="minorHAnsi" w:hAnsiTheme="minorHAnsi" w:cstheme="minorHAnsi"/>
          <w:szCs w:val="24"/>
        </w:rPr>
        <w:t xml:space="preserve">Employers may forgo periodic monitoring if affected employees are equipped with supplied-air respirators, </w:t>
      </w:r>
      <w:r w:rsidRPr="00B850BA" w:rsidR="003925E2">
        <w:rPr>
          <w:rFonts w:asciiTheme="minorHAnsi" w:hAnsiTheme="minorHAnsi" w:cstheme="minorHAnsi"/>
          <w:szCs w:val="24"/>
        </w:rPr>
        <w:t xml:space="preserve">which </w:t>
      </w:r>
      <w:r w:rsidRPr="00B850BA">
        <w:rPr>
          <w:rFonts w:asciiTheme="minorHAnsi" w:hAnsiTheme="minorHAnsi" w:cstheme="minorHAnsi"/>
          <w:szCs w:val="24"/>
        </w:rPr>
        <w:t>EPA assumes will</w:t>
      </w:r>
      <w:r w:rsidRPr="00B850BA" w:rsidR="00B444A0">
        <w:rPr>
          <w:rFonts w:asciiTheme="minorHAnsi" w:hAnsiTheme="minorHAnsi" w:cstheme="minorHAnsi"/>
          <w:szCs w:val="24"/>
        </w:rPr>
        <w:t xml:space="preserve"> be</w:t>
      </w:r>
      <w:r w:rsidRPr="00B850BA">
        <w:rPr>
          <w:rFonts w:asciiTheme="minorHAnsi" w:hAnsiTheme="minorHAnsi" w:cstheme="minorHAnsi"/>
          <w:szCs w:val="24"/>
        </w:rPr>
        <w:t xml:space="preserve"> provide</w:t>
      </w:r>
      <w:r w:rsidRPr="00B850BA" w:rsidR="00B444A0">
        <w:rPr>
          <w:rFonts w:asciiTheme="minorHAnsi" w:hAnsiTheme="minorHAnsi" w:cstheme="minorHAnsi"/>
          <w:szCs w:val="24"/>
        </w:rPr>
        <w:t>d by the employer.</w:t>
      </w:r>
    </w:p>
    <w:p w:rsidR="00C240A7" w:rsidRPr="00B850BA" w:rsidP="00970199" w14:paraId="4781094F" w14:textId="2BB9CC1F">
      <w:pPr>
        <w:spacing w:line="276" w:lineRule="auto"/>
        <w:ind w:firstLine="0"/>
        <w:contextualSpacing/>
        <w:rPr>
          <w:rFonts w:asciiTheme="minorHAnsi" w:hAnsiTheme="minorHAnsi" w:cstheme="minorHAnsi"/>
          <w:szCs w:val="24"/>
        </w:rPr>
      </w:pPr>
      <w:r w:rsidRPr="00B850BA">
        <w:rPr>
          <w:rFonts w:asciiTheme="minorHAnsi" w:hAnsiTheme="minorHAnsi" w:cstheme="minorHAnsi"/>
          <w:szCs w:val="24"/>
        </w:rPr>
        <w:t>Employers who use objective data to demonstrate that the PELs will not be exceeded are required to main</w:t>
      </w:r>
      <w:r w:rsidRPr="00B850BA">
        <w:rPr>
          <w:rFonts w:asciiTheme="minorHAnsi" w:hAnsiTheme="minorHAnsi" w:cstheme="minorHAnsi"/>
          <w:szCs w:val="24"/>
        </w:rPr>
        <w:softHyphen/>
        <w:t>tain records for the duration of the emplo</w:t>
      </w:r>
      <w:r w:rsidRPr="00B850BA" w:rsidR="009220FF">
        <w:rPr>
          <w:rFonts w:asciiTheme="minorHAnsi" w:hAnsiTheme="minorHAnsi" w:cstheme="minorHAnsi"/>
          <w:szCs w:val="24"/>
        </w:rPr>
        <w:t xml:space="preserve">yer’s reliance upon such data. </w:t>
      </w:r>
      <w:r w:rsidRPr="00B850BA">
        <w:rPr>
          <w:rFonts w:asciiTheme="minorHAnsi" w:hAnsiTheme="minorHAnsi" w:cstheme="minorHAnsi"/>
          <w:szCs w:val="24"/>
        </w:rPr>
        <w:t>The records must include the following information:</w:t>
      </w:r>
    </w:p>
    <w:p w:rsidR="00C240A7" w:rsidRPr="00B850BA" w:rsidP="004A27F8" w14:paraId="3A3A574F" w14:textId="2DF740D8">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The product qualifying for exemption;</w:t>
      </w:r>
    </w:p>
    <w:p w:rsidR="00C240A7" w:rsidRPr="00B850BA" w:rsidP="004A27F8" w14:paraId="6B343F3F" w14:textId="0E3DAE28">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The source of the objective data;</w:t>
      </w:r>
    </w:p>
    <w:p w:rsidR="0060529D" w:rsidRPr="00B850BA" w:rsidP="004A27F8" w14:paraId="4B0D4952" w14:textId="77777777">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The testing protocol, results of testing, and/or analysis of the material for</w:t>
      </w:r>
    </w:p>
    <w:p w:rsidR="00C240A7" w:rsidRPr="00B850BA" w:rsidP="004A27F8" w14:paraId="4E6B5403" w14:textId="57C2A0C2">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r>
      <w:r w:rsidRPr="00B850BA">
        <w:rPr>
          <w:rFonts w:asciiTheme="minorHAnsi" w:hAnsiTheme="minorHAnsi" w:cstheme="minorHAnsi"/>
          <w:szCs w:val="24"/>
        </w:rPr>
        <w:t>asbestos release;</w:t>
      </w:r>
    </w:p>
    <w:p w:rsidR="0060529D" w:rsidRPr="00B850BA" w:rsidP="004A27F8" w14:paraId="4F1E6974" w14:textId="77777777">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A description of the operation exempted and how the data support the</w:t>
      </w:r>
    </w:p>
    <w:p w:rsidR="00C240A7" w:rsidRPr="00B850BA" w:rsidP="004A27F8" w14:paraId="0682E84F" w14:textId="5CC06B65">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r>
      <w:r w:rsidRPr="00B850BA">
        <w:rPr>
          <w:rFonts w:asciiTheme="minorHAnsi" w:hAnsiTheme="minorHAnsi" w:cstheme="minorHAnsi"/>
          <w:szCs w:val="24"/>
        </w:rPr>
        <w:t>exemption; and</w:t>
      </w:r>
    </w:p>
    <w:p w:rsidR="00C240A7" w:rsidRPr="00B850BA" w:rsidP="004A27F8" w14:paraId="6716E3C8" w14:textId="6A3086AF">
      <w:pPr>
        <w:tabs>
          <w:tab w:val="left" w:pos="720"/>
        </w:tabs>
        <w:spacing w:line="276" w:lineRule="auto"/>
        <w:ind w:left="720" w:hanging="720"/>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Other data relevant to the operations, materials, pro</w:t>
      </w:r>
      <w:r w:rsidRPr="00B850BA">
        <w:rPr>
          <w:rFonts w:asciiTheme="minorHAnsi" w:hAnsiTheme="minorHAnsi" w:cstheme="minorHAnsi"/>
          <w:szCs w:val="24"/>
        </w:rPr>
        <w:softHyphen/>
        <w:t>cessing or employe</w:t>
      </w:r>
      <w:r w:rsidRPr="00B850BA" w:rsidR="0060529D">
        <w:rPr>
          <w:rFonts w:asciiTheme="minorHAnsi" w:hAnsiTheme="minorHAnsi" w:cstheme="minorHAnsi"/>
          <w:szCs w:val="24"/>
        </w:rPr>
        <w:t>e</w:t>
      </w:r>
      <w:r w:rsidRPr="00B850BA" w:rsidR="004A27F8">
        <w:rPr>
          <w:rFonts w:asciiTheme="minorHAnsi" w:hAnsiTheme="minorHAnsi" w:cstheme="minorHAnsi"/>
          <w:szCs w:val="24"/>
        </w:rPr>
        <w:t xml:space="preserve"> </w:t>
      </w:r>
      <w:r w:rsidRPr="00B850BA" w:rsidR="0060529D">
        <w:rPr>
          <w:rFonts w:asciiTheme="minorHAnsi" w:hAnsiTheme="minorHAnsi" w:cstheme="minorHAnsi"/>
          <w:szCs w:val="24"/>
        </w:rPr>
        <w:tab/>
      </w:r>
      <w:r w:rsidRPr="00B850BA">
        <w:rPr>
          <w:rFonts w:asciiTheme="minorHAnsi" w:hAnsiTheme="minorHAnsi" w:cstheme="minorHAnsi"/>
          <w:szCs w:val="24"/>
        </w:rPr>
        <w:t>exposures</w:t>
      </w:r>
      <w:r w:rsidRPr="00B850BA" w:rsidR="004A27F8">
        <w:rPr>
          <w:rFonts w:asciiTheme="minorHAnsi" w:hAnsiTheme="minorHAnsi" w:cstheme="minorHAnsi"/>
          <w:szCs w:val="24"/>
        </w:rPr>
        <w:t xml:space="preserve"> </w:t>
      </w:r>
      <w:r w:rsidRPr="00B850BA">
        <w:rPr>
          <w:rFonts w:asciiTheme="minorHAnsi" w:hAnsiTheme="minorHAnsi" w:cstheme="minorHAnsi"/>
          <w:szCs w:val="24"/>
        </w:rPr>
        <w:t>covered by the exemption.</w:t>
      </w:r>
    </w:p>
    <w:p w:rsidR="00C240A7" w:rsidRPr="00B850BA" w:rsidP="00970199" w14:paraId="0B20FF84" w14:textId="049946BB">
      <w:pPr>
        <w:spacing w:line="276" w:lineRule="auto"/>
        <w:ind w:firstLine="0"/>
        <w:contextualSpacing/>
        <w:rPr>
          <w:rFonts w:asciiTheme="minorHAnsi" w:hAnsiTheme="minorHAnsi" w:cstheme="minorHAnsi"/>
          <w:szCs w:val="24"/>
        </w:rPr>
      </w:pPr>
      <w:r w:rsidRPr="00B850BA">
        <w:rPr>
          <w:rFonts w:asciiTheme="minorHAnsi" w:hAnsiTheme="minorHAnsi" w:cstheme="minorHAnsi"/>
          <w:szCs w:val="24"/>
        </w:rPr>
        <w:t xml:space="preserve">Employers must notify all affected employees of the monitoring results, and they must </w:t>
      </w:r>
      <w:r w:rsidRPr="00B850BA" w:rsidR="000B22A5">
        <w:rPr>
          <w:rFonts w:asciiTheme="minorHAnsi" w:hAnsiTheme="minorHAnsi" w:cstheme="minorHAnsi"/>
          <w:szCs w:val="24"/>
        </w:rPr>
        <w:t xml:space="preserve">also </w:t>
      </w:r>
      <w:r w:rsidRPr="00B850BA">
        <w:rPr>
          <w:rFonts w:asciiTheme="minorHAnsi" w:hAnsiTheme="minorHAnsi" w:cstheme="minorHAnsi"/>
          <w:szCs w:val="24"/>
        </w:rPr>
        <w:t>notify individual employees of monitoring results represen</w:t>
      </w:r>
      <w:r w:rsidRPr="00B850BA" w:rsidR="00417A2A">
        <w:rPr>
          <w:rFonts w:asciiTheme="minorHAnsi" w:hAnsiTheme="minorHAnsi" w:cstheme="minorHAnsi"/>
          <w:szCs w:val="24"/>
        </w:rPr>
        <w:t xml:space="preserve">ting their personal exposures. </w:t>
      </w:r>
      <w:r w:rsidRPr="00B850BA" w:rsidR="000B22A5">
        <w:rPr>
          <w:rFonts w:asciiTheme="minorHAnsi" w:hAnsiTheme="minorHAnsi" w:cstheme="minorHAnsi"/>
          <w:szCs w:val="24"/>
        </w:rPr>
        <w:t>T</w:t>
      </w:r>
      <w:r w:rsidRPr="00B850BA">
        <w:rPr>
          <w:rFonts w:asciiTheme="minorHAnsi" w:hAnsiTheme="minorHAnsi" w:cstheme="minorHAnsi"/>
          <w:szCs w:val="24"/>
        </w:rPr>
        <w:t xml:space="preserve">he employer must maintain records of </w:t>
      </w:r>
      <w:r w:rsidRPr="00B850BA" w:rsidR="000B22A5">
        <w:rPr>
          <w:rFonts w:asciiTheme="minorHAnsi" w:hAnsiTheme="minorHAnsi" w:cstheme="minorHAnsi"/>
          <w:szCs w:val="24"/>
        </w:rPr>
        <w:t>all</w:t>
      </w:r>
      <w:r w:rsidRPr="00B850BA">
        <w:rPr>
          <w:rFonts w:asciiTheme="minorHAnsi" w:hAnsiTheme="minorHAnsi" w:cstheme="minorHAnsi"/>
          <w:szCs w:val="24"/>
        </w:rPr>
        <w:t xml:space="preserve"> measure</w:t>
      </w:r>
      <w:r w:rsidRPr="00B850BA" w:rsidR="00417A2A">
        <w:rPr>
          <w:rFonts w:asciiTheme="minorHAnsi" w:hAnsiTheme="minorHAnsi" w:cstheme="minorHAnsi"/>
          <w:szCs w:val="24"/>
        </w:rPr>
        <w:t>ment</w:t>
      </w:r>
      <w:r w:rsidRPr="00B850BA" w:rsidR="0070686D">
        <w:rPr>
          <w:rFonts w:asciiTheme="minorHAnsi" w:hAnsiTheme="minorHAnsi" w:cstheme="minorHAnsi"/>
          <w:szCs w:val="24"/>
        </w:rPr>
        <w:t>s</w:t>
      </w:r>
      <w:r w:rsidRPr="00B850BA" w:rsidR="00417A2A">
        <w:rPr>
          <w:rFonts w:asciiTheme="minorHAnsi" w:hAnsiTheme="minorHAnsi" w:cstheme="minorHAnsi"/>
          <w:szCs w:val="24"/>
        </w:rPr>
        <w:t xml:space="preserve"> </w:t>
      </w:r>
      <w:r w:rsidRPr="00B850BA" w:rsidR="0070686D">
        <w:rPr>
          <w:rFonts w:asciiTheme="minorHAnsi" w:hAnsiTheme="minorHAnsi" w:cstheme="minorHAnsi"/>
          <w:szCs w:val="24"/>
        </w:rPr>
        <w:t>taken in support of</w:t>
      </w:r>
      <w:r w:rsidRPr="00B850BA" w:rsidR="000B22A5">
        <w:rPr>
          <w:rFonts w:asciiTheme="minorHAnsi" w:hAnsiTheme="minorHAnsi" w:cstheme="minorHAnsi"/>
          <w:szCs w:val="24"/>
        </w:rPr>
        <w:t xml:space="preserve"> asbestos</w:t>
      </w:r>
      <w:r w:rsidRPr="00B850BA" w:rsidR="00911CCF">
        <w:rPr>
          <w:rFonts w:asciiTheme="minorHAnsi" w:hAnsiTheme="minorHAnsi" w:cstheme="minorHAnsi"/>
          <w:szCs w:val="24"/>
        </w:rPr>
        <w:t xml:space="preserve"> exposure</w:t>
      </w:r>
      <w:r w:rsidRPr="00B850BA" w:rsidR="0070686D">
        <w:rPr>
          <w:rFonts w:asciiTheme="minorHAnsi" w:hAnsiTheme="minorHAnsi" w:cstheme="minorHAnsi"/>
          <w:szCs w:val="24"/>
        </w:rPr>
        <w:t xml:space="preserve"> monitoring</w:t>
      </w:r>
      <w:r w:rsidRPr="00B850BA" w:rsidR="000B22A5">
        <w:rPr>
          <w:rFonts w:asciiTheme="minorHAnsi" w:hAnsiTheme="minorHAnsi" w:cstheme="minorHAnsi"/>
          <w:szCs w:val="24"/>
        </w:rPr>
        <w:t xml:space="preserve"> </w:t>
      </w:r>
      <w:r w:rsidRPr="00B850BA" w:rsidR="00417A2A">
        <w:rPr>
          <w:rFonts w:asciiTheme="minorHAnsi" w:hAnsiTheme="minorHAnsi" w:cstheme="minorHAnsi"/>
          <w:szCs w:val="24"/>
        </w:rPr>
        <w:t>for a period of 30 years</w:t>
      </w:r>
      <w:r w:rsidRPr="00B850BA" w:rsidR="00911CCF">
        <w:rPr>
          <w:rFonts w:asciiTheme="minorHAnsi" w:hAnsiTheme="minorHAnsi" w:cstheme="minorHAnsi"/>
          <w:szCs w:val="24"/>
        </w:rPr>
        <w:t>, and</w:t>
      </w:r>
      <w:r w:rsidRPr="00B850BA">
        <w:rPr>
          <w:rFonts w:asciiTheme="minorHAnsi" w:hAnsiTheme="minorHAnsi" w:cstheme="minorHAnsi"/>
          <w:szCs w:val="24"/>
        </w:rPr>
        <w:t xml:space="preserve"> </w:t>
      </w:r>
      <w:r w:rsidRPr="00B850BA" w:rsidR="00911CCF">
        <w:rPr>
          <w:rFonts w:asciiTheme="minorHAnsi" w:hAnsiTheme="minorHAnsi" w:cstheme="minorHAnsi"/>
          <w:szCs w:val="24"/>
        </w:rPr>
        <w:t xml:space="preserve">these </w:t>
      </w:r>
      <w:r w:rsidRPr="00B850BA">
        <w:rPr>
          <w:rFonts w:asciiTheme="minorHAnsi" w:hAnsiTheme="minorHAnsi" w:cstheme="minorHAnsi"/>
          <w:szCs w:val="24"/>
        </w:rPr>
        <w:t>records must be available upon requ</w:t>
      </w:r>
      <w:r w:rsidRPr="00B850BA" w:rsidR="00417A2A">
        <w:rPr>
          <w:rFonts w:asciiTheme="minorHAnsi" w:hAnsiTheme="minorHAnsi" w:cstheme="minorHAnsi"/>
          <w:szCs w:val="24"/>
        </w:rPr>
        <w:t>est to the affected employees.</w:t>
      </w:r>
      <w:r w:rsidRPr="00B850BA">
        <w:rPr>
          <w:rFonts w:asciiTheme="minorHAnsi" w:hAnsiTheme="minorHAnsi" w:cstheme="minorHAnsi"/>
          <w:szCs w:val="24"/>
        </w:rPr>
        <w:t xml:space="preserve"> The records must include the following</w:t>
      </w:r>
      <w:r w:rsidRPr="00B850BA" w:rsidR="001F30CD">
        <w:rPr>
          <w:rFonts w:asciiTheme="minorHAnsi" w:hAnsiTheme="minorHAnsi" w:cstheme="minorHAnsi"/>
          <w:szCs w:val="24"/>
        </w:rPr>
        <w:t xml:space="preserve"> information for each exposure </w:t>
      </w:r>
      <w:r w:rsidRPr="00B850BA">
        <w:rPr>
          <w:rFonts w:asciiTheme="minorHAnsi" w:hAnsiTheme="minorHAnsi" w:cstheme="minorHAnsi"/>
          <w:szCs w:val="24"/>
        </w:rPr>
        <w:t>measurement:</w:t>
      </w:r>
    </w:p>
    <w:p w:rsidR="00C240A7" w:rsidRPr="00B850BA" w:rsidP="004A27F8" w14:paraId="224BB427" w14:textId="6A526D26">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The date of measurement;</w:t>
      </w:r>
    </w:p>
    <w:p w:rsidR="00C240A7" w:rsidRPr="00B850BA" w:rsidP="004A27F8" w14:paraId="4D4AFFAE" w14:textId="5A55985F">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The operation involving exposure to asbestos being monitored;</w:t>
      </w:r>
    </w:p>
    <w:p w:rsidR="00C240A7" w:rsidRPr="00B850BA" w:rsidP="004A27F8" w14:paraId="513F82F0" w14:textId="7F7F25EA">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Sampling and analytical methods used and evidence of accuracy;</w:t>
      </w:r>
    </w:p>
    <w:p w:rsidR="00C240A7" w:rsidRPr="00B850BA" w:rsidP="004A27F8" w14:paraId="0C8F0B08" w14:textId="33CE5100">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Number, duration, and results of samples taken;</w:t>
      </w:r>
    </w:p>
    <w:p w:rsidR="00C240A7" w:rsidRPr="00B850BA" w:rsidP="004A27F8" w14:paraId="66A6DD36" w14:textId="445CDD57">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Type of protective devices worn, if any; and</w:t>
      </w:r>
    </w:p>
    <w:p w:rsidR="00C240A7" w:rsidRPr="00B850BA" w:rsidP="004A27F8" w14:paraId="2A81605F" w14:textId="0F7753B3">
      <w:pPr>
        <w:tabs>
          <w:tab w:val="left" w:pos="720"/>
        </w:tabs>
        <w:spacing w:line="276" w:lineRule="auto"/>
        <w:ind w:left="720" w:hanging="720"/>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Name, social security number, and exposure of the employees whose</w:t>
      </w:r>
      <w:r w:rsidRPr="00B850BA" w:rsidR="004A27F8">
        <w:rPr>
          <w:rFonts w:asciiTheme="minorHAnsi" w:hAnsiTheme="minorHAnsi" w:cstheme="minorHAnsi"/>
          <w:szCs w:val="24"/>
        </w:rPr>
        <w:t xml:space="preserve"> </w:t>
      </w:r>
      <w:r w:rsidRPr="00B850BA">
        <w:rPr>
          <w:rFonts w:asciiTheme="minorHAnsi" w:hAnsiTheme="minorHAnsi" w:cstheme="minorHAnsi"/>
          <w:szCs w:val="24"/>
        </w:rPr>
        <w:t>exposures are</w:t>
      </w:r>
      <w:r w:rsidRPr="00B850BA" w:rsidR="008A2383">
        <w:rPr>
          <w:rFonts w:asciiTheme="minorHAnsi" w:hAnsiTheme="minorHAnsi" w:cstheme="minorHAnsi"/>
          <w:szCs w:val="24"/>
        </w:rPr>
        <w:t xml:space="preserve"> </w:t>
      </w:r>
      <w:r w:rsidRPr="00B850BA">
        <w:rPr>
          <w:rFonts w:asciiTheme="minorHAnsi" w:hAnsiTheme="minorHAnsi" w:cstheme="minorHAnsi"/>
          <w:szCs w:val="24"/>
        </w:rPr>
        <w:t>represented.</w:t>
      </w:r>
    </w:p>
    <w:p w:rsidR="00C240A7" w:rsidRPr="00B850BA" w:rsidP="00970199" w14:paraId="7AEC2069" w14:textId="70BA7DD2">
      <w:pPr>
        <w:spacing w:line="276" w:lineRule="auto"/>
        <w:ind w:firstLine="0"/>
        <w:contextualSpacing/>
        <w:rPr>
          <w:rFonts w:asciiTheme="minorHAnsi" w:hAnsiTheme="minorHAnsi" w:cstheme="minorHAnsi"/>
          <w:szCs w:val="24"/>
        </w:rPr>
      </w:pPr>
      <w:r w:rsidRPr="00B850BA">
        <w:rPr>
          <w:rFonts w:asciiTheme="minorHAnsi" w:hAnsiTheme="minorHAnsi" w:cstheme="minorHAnsi"/>
          <w:szCs w:val="24"/>
        </w:rPr>
        <w:t>40 CFR part 763</w:t>
      </w:r>
      <w:r w:rsidRPr="00B850BA" w:rsidR="00417A2A">
        <w:rPr>
          <w:rFonts w:asciiTheme="minorHAnsi" w:hAnsiTheme="minorHAnsi" w:cstheme="minorHAnsi"/>
          <w:szCs w:val="24"/>
        </w:rPr>
        <w:t>, subpart G</w:t>
      </w:r>
      <w:r w:rsidRPr="00B850BA" w:rsidR="002B5403">
        <w:rPr>
          <w:rFonts w:asciiTheme="minorHAnsi" w:hAnsiTheme="minorHAnsi" w:cstheme="minorHAnsi"/>
          <w:szCs w:val="24"/>
        </w:rPr>
        <w:t>,</w:t>
      </w:r>
      <w:r w:rsidRPr="00B850BA">
        <w:rPr>
          <w:rFonts w:asciiTheme="minorHAnsi" w:hAnsiTheme="minorHAnsi" w:cstheme="minorHAnsi"/>
          <w:szCs w:val="24"/>
        </w:rPr>
        <w:t xml:space="preserve"> </w:t>
      </w:r>
      <w:r w:rsidRPr="00B850BA">
        <w:rPr>
          <w:rFonts w:asciiTheme="minorHAnsi" w:hAnsiTheme="minorHAnsi" w:cstheme="minorHAnsi"/>
          <w:szCs w:val="24"/>
        </w:rPr>
        <w:t>requires employers to institute a medical surveillance program for all</w:t>
      </w:r>
      <w:r w:rsidRPr="00B850BA" w:rsidR="00680D8E">
        <w:rPr>
          <w:rFonts w:asciiTheme="minorHAnsi" w:hAnsiTheme="minorHAnsi" w:cstheme="minorHAnsi"/>
          <w:szCs w:val="24"/>
        </w:rPr>
        <w:t xml:space="preserve"> state and local government</w:t>
      </w:r>
      <w:r w:rsidRPr="00B850BA">
        <w:rPr>
          <w:rFonts w:asciiTheme="minorHAnsi" w:hAnsiTheme="minorHAnsi" w:cstheme="minorHAnsi"/>
          <w:szCs w:val="24"/>
        </w:rPr>
        <w:t xml:space="preserve"> employees </w:t>
      </w:r>
      <w:r w:rsidRPr="00B850BA" w:rsidR="00680D8E">
        <w:rPr>
          <w:rFonts w:asciiTheme="minorHAnsi" w:hAnsiTheme="minorHAnsi" w:cstheme="minorHAnsi"/>
          <w:szCs w:val="24"/>
        </w:rPr>
        <w:t xml:space="preserve">(in states without OSHA state plans) </w:t>
      </w:r>
      <w:r w:rsidRPr="00B850BA">
        <w:rPr>
          <w:rFonts w:asciiTheme="minorHAnsi" w:hAnsiTheme="minorHAnsi" w:cstheme="minorHAnsi"/>
          <w:szCs w:val="24"/>
        </w:rPr>
        <w:t>who engage in asbestos removal, renovation, and maintenance</w:t>
      </w:r>
      <w:r w:rsidRPr="00B850BA" w:rsidR="001F30CD">
        <w:rPr>
          <w:rFonts w:asciiTheme="minorHAnsi" w:hAnsiTheme="minorHAnsi" w:cstheme="minorHAnsi"/>
          <w:szCs w:val="24"/>
        </w:rPr>
        <w:t xml:space="preserve"> </w:t>
      </w:r>
      <w:r w:rsidRPr="00B850BA">
        <w:rPr>
          <w:rFonts w:asciiTheme="minorHAnsi" w:hAnsiTheme="minorHAnsi" w:cstheme="minorHAnsi"/>
          <w:szCs w:val="24"/>
        </w:rPr>
        <w:t>projects</w:t>
      </w:r>
      <w:r w:rsidRPr="00B850BA" w:rsidR="00EC4C7C">
        <w:rPr>
          <w:rFonts w:asciiTheme="minorHAnsi" w:hAnsiTheme="minorHAnsi" w:cstheme="minorHAnsi"/>
          <w:szCs w:val="24"/>
        </w:rPr>
        <w:t xml:space="preserve"> a</w:t>
      </w:r>
      <w:r w:rsidRPr="00B850BA" w:rsidR="00145C97">
        <w:rPr>
          <w:rFonts w:asciiTheme="minorHAnsi" w:hAnsiTheme="minorHAnsi" w:cstheme="minorHAnsi"/>
          <w:szCs w:val="24"/>
        </w:rPr>
        <w:t>s well as</w:t>
      </w:r>
      <w:r w:rsidRPr="00B850BA" w:rsidR="00EC4C7C">
        <w:rPr>
          <w:rFonts w:asciiTheme="minorHAnsi" w:hAnsiTheme="minorHAnsi" w:cstheme="minorHAnsi"/>
          <w:szCs w:val="24"/>
        </w:rPr>
        <w:t xml:space="preserve"> employees </w:t>
      </w:r>
      <w:r w:rsidRPr="00B850BA">
        <w:rPr>
          <w:rFonts w:asciiTheme="minorHAnsi" w:hAnsiTheme="minorHAnsi" w:cstheme="minorHAnsi"/>
          <w:szCs w:val="24"/>
        </w:rPr>
        <w:t>exposed</w:t>
      </w:r>
      <w:r w:rsidRPr="00B850BA" w:rsidR="00EC4C7C">
        <w:rPr>
          <w:rFonts w:asciiTheme="minorHAnsi" w:hAnsiTheme="minorHAnsi" w:cstheme="minorHAnsi"/>
          <w:szCs w:val="24"/>
        </w:rPr>
        <w:t xml:space="preserve"> to asbestos</w:t>
      </w:r>
      <w:r w:rsidRPr="00B850BA">
        <w:rPr>
          <w:rFonts w:asciiTheme="minorHAnsi" w:hAnsiTheme="minorHAnsi" w:cstheme="minorHAnsi"/>
          <w:szCs w:val="24"/>
        </w:rPr>
        <w:t xml:space="preserve"> at or above a PEL </w:t>
      </w:r>
      <w:r w:rsidRPr="00B850BA" w:rsidR="00417A2A">
        <w:rPr>
          <w:rFonts w:asciiTheme="minorHAnsi" w:hAnsiTheme="minorHAnsi" w:cstheme="minorHAnsi"/>
          <w:szCs w:val="24"/>
        </w:rPr>
        <w:t xml:space="preserve">for 30 or more days each year. </w:t>
      </w:r>
      <w:r w:rsidRPr="00B850BA">
        <w:rPr>
          <w:rFonts w:asciiTheme="minorHAnsi" w:hAnsiTheme="minorHAnsi" w:cstheme="minorHAnsi"/>
          <w:szCs w:val="24"/>
        </w:rPr>
        <w:t>For each employee subject to medical surveil</w:t>
      </w:r>
      <w:r w:rsidRPr="00B850BA">
        <w:rPr>
          <w:rFonts w:asciiTheme="minorHAnsi" w:hAnsiTheme="minorHAnsi" w:cstheme="minorHAnsi"/>
          <w:szCs w:val="24"/>
        </w:rPr>
        <w:softHyphen/>
        <w:t xml:space="preserve">lance, the employer is required to maintain </w:t>
      </w:r>
      <w:r w:rsidRPr="00B850BA" w:rsidR="00EC4C7C">
        <w:rPr>
          <w:rFonts w:asciiTheme="minorHAnsi" w:hAnsiTheme="minorHAnsi" w:cstheme="minorHAnsi"/>
          <w:szCs w:val="24"/>
        </w:rPr>
        <w:t xml:space="preserve">employee medical records </w:t>
      </w:r>
      <w:r w:rsidRPr="00B850BA">
        <w:rPr>
          <w:rFonts w:asciiTheme="minorHAnsi" w:hAnsiTheme="minorHAnsi" w:cstheme="minorHAnsi"/>
          <w:szCs w:val="24"/>
        </w:rPr>
        <w:t>for the duration of employment plus 30 years</w:t>
      </w:r>
      <w:r w:rsidRPr="00B850BA" w:rsidR="00ED521C">
        <w:rPr>
          <w:rFonts w:asciiTheme="minorHAnsi" w:hAnsiTheme="minorHAnsi" w:cstheme="minorHAnsi"/>
          <w:szCs w:val="24"/>
        </w:rPr>
        <w:t>. These medical</w:t>
      </w:r>
      <w:r w:rsidRPr="00B850BA">
        <w:rPr>
          <w:rFonts w:asciiTheme="minorHAnsi" w:hAnsiTheme="minorHAnsi" w:cstheme="minorHAnsi"/>
          <w:szCs w:val="24"/>
        </w:rPr>
        <w:t xml:space="preserve"> records </w:t>
      </w:r>
      <w:r w:rsidRPr="00B850BA" w:rsidR="00ED521C">
        <w:rPr>
          <w:rFonts w:asciiTheme="minorHAnsi" w:hAnsiTheme="minorHAnsi" w:cstheme="minorHAnsi"/>
          <w:szCs w:val="24"/>
        </w:rPr>
        <w:t xml:space="preserve">must </w:t>
      </w:r>
      <w:r w:rsidRPr="00B850BA">
        <w:rPr>
          <w:rFonts w:asciiTheme="minorHAnsi" w:hAnsiTheme="minorHAnsi" w:cstheme="minorHAnsi"/>
          <w:szCs w:val="24"/>
        </w:rPr>
        <w:t>contain the following information:</w:t>
      </w:r>
    </w:p>
    <w:p w:rsidR="00C240A7" w:rsidRPr="00B850BA" w:rsidP="004A27F8" w14:paraId="6D63CC14" w14:textId="38963EE3">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The name and social security number of the employee;</w:t>
      </w:r>
    </w:p>
    <w:p w:rsidR="00C240A7" w:rsidRPr="00B850BA" w:rsidP="004A27F8" w14:paraId="2898FDB9" w14:textId="71DC75EC">
      <w:pPr>
        <w:tabs>
          <w:tab w:val="left" w:pos="720"/>
        </w:tabs>
        <w:spacing w:line="276" w:lineRule="auto"/>
        <w:ind w:left="720" w:hanging="72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A copy of the employee’s medical examination results, including the medical</w:t>
      </w:r>
      <w:r w:rsidRPr="00B850BA" w:rsidR="004A27F8">
        <w:rPr>
          <w:rFonts w:asciiTheme="minorHAnsi" w:hAnsiTheme="minorHAnsi" w:cstheme="minorHAnsi"/>
          <w:szCs w:val="24"/>
        </w:rPr>
        <w:t xml:space="preserve"> </w:t>
      </w:r>
      <w:r w:rsidRPr="00B850BA">
        <w:rPr>
          <w:rFonts w:asciiTheme="minorHAnsi" w:hAnsiTheme="minorHAnsi" w:cstheme="minorHAnsi"/>
          <w:szCs w:val="24"/>
        </w:rPr>
        <w:t>history,</w:t>
      </w:r>
      <w:r w:rsidRPr="00B850BA" w:rsidR="004A27F8">
        <w:rPr>
          <w:rFonts w:asciiTheme="minorHAnsi" w:hAnsiTheme="minorHAnsi" w:cstheme="minorHAnsi"/>
          <w:szCs w:val="24"/>
        </w:rPr>
        <w:t xml:space="preserve"> </w:t>
      </w:r>
      <w:r w:rsidRPr="00B850BA">
        <w:rPr>
          <w:rFonts w:asciiTheme="minorHAnsi" w:hAnsiTheme="minorHAnsi" w:cstheme="minorHAnsi"/>
          <w:szCs w:val="24"/>
        </w:rPr>
        <w:t>questionnaire responses, results of any tests, and physician</w:t>
      </w:r>
      <w:r w:rsidRPr="00B850BA" w:rsidR="00481FB2">
        <w:rPr>
          <w:rFonts w:asciiTheme="minorHAnsi" w:hAnsiTheme="minorHAnsi" w:cstheme="minorHAnsi"/>
          <w:szCs w:val="24"/>
        </w:rPr>
        <w:t>’</w:t>
      </w:r>
      <w:r w:rsidRPr="00B850BA">
        <w:rPr>
          <w:rFonts w:asciiTheme="minorHAnsi" w:hAnsiTheme="minorHAnsi" w:cstheme="minorHAnsi"/>
          <w:szCs w:val="24"/>
        </w:rPr>
        <w:t>s recommendations;</w:t>
      </w:r>
    </w:p>
    <w:p w:rsidR="00C240A7" w:rsidRPr="00B850BA" w:rsidP="004A27F8" w14:paraId="104A6FC3" w14:textId="1D1CD717">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Physician</w:t>
      </w:r>
      <w:r w:rsidRPr="00B850BA" w:rsidR="00481FB2">
        <w:rPr>
          <w:rFonts w:asciiTheme="minorHAnsi" w:hAnsiTheme="minorHAnsi" w:cstheme="minorHAnsi"/>
          <w:szCs w:val="24"/>
        </w:rPr>
        <w:t>’</w:t>
      </w:r>
      <w:r w:rsidRPr="00B850BA">
        <w:rPr>
          <w:rFonts w:asciiTheme="minorHAnsi" w:hAnsiTheme="minorHAnsi" w:cstheme="minorHAnsi"/>
          <w:szCs w:val="24"/>
        </w:rPr>
        <w:t>s written opinions;</w:t>
      </w:r>
    </w:p>
    <w:p w:rsidR="00C240A7" w:rsidRPr="00B850BA" w:rsidP="004A27F8" w14:paraId="12AE3F3E" w14:textId="66B9BF1A">
      <w:pPr>
        <w:tabs>
          <w:tab w:val="left" w:pos="720"/>
          <w:tab w:val="left" w:pos="1440"/>
        </w:tabs>
        <w:spacing w:line="276" w:lineRule="auto"/>
        <w:ind w:left="1440" w:hanging="1440"/>
        <w:contextualSpacing/>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Any employee medical complaints related to exposure to asbestos; and</w:t>
      </w:r>
    </w:p>
    <w:p w:rsidR="00C240A7" w:rsidRPr="00B850BA" w:rsidP="008F708D" w14:paraId="41BCF83A" w14:textId="396684EA">
      <w:pPr>
        <w:tabs>
          <w:tab w:val="left" w:pos="720"/>
          <w:tab w:val="left" w:pos="1440"/>
        </w:tabs>
        <w:spacing w:line="276" w:lineRule="auto"/>
        <w:ind w:left="1440" w:hanging="1440"/>
        <w:rPr>
          <w:rFonts w:asciiTheme="minorHAnsi" w:hAnsiTheme="minorHAnsi" w:cstheme="minorHAnsi"/>
          <w:szCs w:val="24"/>
        </w:rPr>
      </w:pPr>
      <w:r w:rsidRPr="00B850BA">
        <w:rPr>
          <w:rFonts w:asciiTheme="minorHAnsi" w:hAnsiTheme="minorHAnsi" w:cstheme="minorHAnsi"/>
          <w:szCs w:val="24"/>
        </w:rPr>
        <w:tab/>
        <w:t>•</w:t>
      </w:r>
      <w:r w:rsidRPr="00B850BA" w:rsidR="008A2383">
        <w:rPr>
          <w:rFonts w:asciiTheme="minorHAnsi" w:hAnsiTheme="minorHAnsi" w:cstheme="minorHAnsi"/>
          <w:szCs w:val="24"/>
        </w:rPr>
        <w:t xml:space="preserve"> </w:t>
      </w:r>
      <w:r w:rsidRPr="00B850BA">
        <w:rPr>
          <w:rFonts w:asciiTheme="minorHAnsi" w:hAnsiTheme="minorHAnsi" w:cstheme="minorHAnsi"/>
          <w:szCs w:val="24"/>
        </w:rPr>
        <w:t>A copy of the information provided to the physician.</w:t>
      </w:r>
    </w:p>
    <w:p w:rsidR="00C240A7" w:rsidRPr="00B850BA" w:rsidP="00970199" w14:paraId="4D826FFB" w14:textId="11C515C5">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The employer must provide a copy of the physician’s written opinion to the employee within 30 days of </w:t>
      </w:r>
      <w:r w:rsidRPr="00B850BA" w:rsidR="00417A2A">
        <w:rPr>
          <w:rFonts w:asciiTheme="minorHAnsi" w:hAnsiTheme="minorHAnsi" w:cstheme="minorHAnsi"/>
          <w:szCs w:val="24"/>
        </w:rPr>
        <w:t xml:space="preserve">receipt of the opinion. </w:t>
      </w:r>
      <w:r w:rsidRPr="00B850BA">
        <w:rPr>
          <w:rFonts w:asciiTheme="minorHAnsi" w:hAnsiTheme="minorHAnsi" w:cstheme="minorHAnsi"/>
          <w:szCs w:val="24"/>
        </w:rPr>
        <w:t>In addition, medical surveillance records must be made available to the affected employee upon request.</w:t>
      </w:r>
    </w:p>
    <w:p w:rsidR="00C240A7" w:rsidRPr="00B850BA" w:rsidP="00970199" w14:paraId="70D3CC15" w14:textId="5CC08DAD">
      <w:pPr>
        <w:spacing w:line="276" w:lineRule="auto"/>
        <w:ind w:firstLine="0"/>
        <w:rPr>
          <w:rFonts w:asciiTheme="minorHAnsi" w:hAnsiTheme="minorHAnsi" w:cstheme="minorHAnsi"/>
          <w:szCs w:val="24"/>
        </w:rPr>
      </w:pPr>
      <w:r w:rsidRPr="00B850BA">
        <w:rPr>
          <w:rFonts w:asciiTheme="minorHAnsi" w:hAnsiTheme="minorHAnsi" w:cstheme="minorHAnsi"/>
          <w:szCs w:val="24"/>
        </w:rPr>
        <w:t>40 CFR part 763, subpart G</w:t>
      </w:r>
      <w:r w:rsidRPr="00B850BA" w:rsidR="002B5403">
        <w:rPr>
          <w:rFonts w:asciiTheme="minorHAnsi" w:hAnsiTheme="minorHAnsi" w:cstheme="minorHAnsi"/>
          <w:szCs w:val="24"/>
        </w:rPr>
        <w:t>,</w:t>
      </w:r>
      <w:r w:rsidRPr="00B850BA">
        <w:rPr>
          <w:rFonts w:asciiTheme="minorHAnsi" w:hAnsiTheme="minorHAnsi" w:cstheme="minorHAnsi"/>
          <w:szCs w:val="24"/>
        </w:rPr>
        <w:t xml:space="preserve"> </w:t>
      </w:r>
      <w:r w:rsidRPr="00B850BA">
        <w:rPr>
          <w:rFonts w:asciiTheme="minorHAnsi" w:hAnsiTheme="minorHAnsi" w:cstheme="minorHAnsi"/>
          <w:szCs w:val="24"/>
        </w:rPr>
        <w:t>r</w:t>
      </w:r>
      <w:r w:rsidRPr="00B850BA">
        <w:rPr>
          <w:rFonts w:asciiTheme="minorHAnsi" w:hAnsiTheme="minorHAnsi" w:cstheme="minorHAnsi"/>
          <w:szCs w:val="24"/>
        </w:rPr>
        <w:t xml:space="preserve">equires that a training program </w:t>
      </w:r>
      <w:r w:rsidRPr="00B850BA">
        <w:rPr>
          <w:rFonts w:asciiTheme="minorHAnsi" w:hAnsiTheme="minorHAnsi" w:cstheme="minorHAnsi"/>
          <w:szCs w:val="24"/>
        </w:rPr>
        <w:t xml:space="preserve">be instituted for all </w:t>
      </w:r>
      <w:r w:rsidRPr="00B850BA" w:rsidR="00680D8E">
        <w:rPr>
          <w:rFonts w:asciiTheme="minorHAnsi" w:hAnsiTheme="minorHAnsi" w:cstheme="minorHAnsi"/>
          <w:szCs w:val="24"/>
        </w:rPr>
        <w:t xml:space="preserve">state and local </w:t>
      </w:r>
      <w:r w:rsidRPr="00B850BA">
        <w:rPr>
          <w:rFonts w:asciiTheme="minorHAnsi" w:hAnsiTheme="minorHAnsi" w:cstheme="minorHAnsi"/>
          <w:szCs w:val="24"/>
        </w:rPr>
        <w:t>employees</w:t>
      </w:r>
      <w:r w:rsidRPr="00B850BA" w:rsidR="00680D8E">
        <w:rPr>
          <w:rFonts w:asciiTheme="minorHAnsi" w:hAnsiTheme="minorHAnsi" w:cstheme="minorHAnsi"/>
          <w:szCs w:val="24"/>
        </w:rPr>
        <w:t xml:space="preserve"> (in states without OSHA state plans)</w:t>
      </w:r>
      <w:r w:rsidRPr="00B850BA">
        <w:rPr>
          <w:rFonts w:asciiTheme="minorHAnsi" w:hAnsiTheme="minorHAnsi" w:cstheme="minorHAnsi"/>
          <w:szCs w:val="24"/>
        </w:rPr>
        <w:t xml:space="preserve"> who are likely to be exposed above the PELs and for those employees who perform asbestos removal, renovation, maintenance </w:t>
      </w:r>
      <w:r w:rsidRPr="00B850BA" w:rsidR="009E7C6D">
        <w:rPr>
          <w:rFonts w:asciiTheme="minorHAnsi" w:hAnsiTheme="minorHAnsi" w:cstheme="minorHAnsi"/>
          <w:szCs w:val="24"/>
        </w:rPr>
        <w:t>and/</w:t>
      </w:r>
      <w:r w:rsidRPr="00B850BA">
        <w:rPr>
          <w:rFonts w:asciiTheme="minorHAnsi" w:hAnsiTheme="minorHAnsi" w:cstheme="minorHAnsi"/>
          <w:szCs w:val="24"/>
        </w:rPr>
        <w:t>or construction</w:t>
      </w:r>
      <w:r w:rsidRPr="00B850BA" w:rsidR="00481FB2">
        <w:rPr>
          <w:rFonts w:asciiTheme="minorHAnsi" w:hAnsiTheme="minorHAnsi" w:cstheme="minorHAnsi"/>
          <w:szCs w:val="24"/>
        </w:rPr>
        <w:t xml:space="preserve"> </w:t>
      </w:r>
      <w:r w:rsidRPr="00B850BA">
        <w:rPr>
          <w:rFonts w:asciiTheme="minorHAnsi" w:hAnsiTheme="minorHAnsi" w:cstheme="minorHAnsi"/>
          <w:szCs w:val="24"/>
        </w:rPr>
        <w:t>related custodia</w:t>
      </w:r>
      <w:r w:rsidRPr="00B850BA" w:rsidR="00262912">
        <w:rPr>
          <w:rFonts w:asciiTheme="minorHAnsi" w:hAnsiTheme="minorHAnsi" w:cstheme="minorHAnsi"/>
          <w:szCs w:val="24"/>
        </w:rPr>
        <w:t xml:space="preserve">l tasks. </w:t>
      </w:r>
      <w:r w:rsidRPr="00B850BA">
        <w:rPr>
          <w:rFonts w:asciiTheme="minorHAnsi" w:hAnsiTheme="minorHAnsi" w:cstheme="minorHAnsi"/>
          <w:szCs w:val="24"/>
        </w:rPr>
        <w:t xml:space="preserve">Employees must be provided access to the training materials, including self-help </w:t>
      </w:r>
      <w:r w:rsidRPr="00B850BA" w:rsidR="00262912">
        <w:rPr>
          <w:rFonts w:asciiTheme="minorHAnsi" w:hAnsiTheme="minorHAnsi" w:cstheme="minorHAnsi"/>
          <w:szCs w:val="24"/>
        </w:rPr>
        <w:t xml:space="preserve">smoking cessation information. </w:t>
      </w:r>
      <w:r w:rsidRPr="00B850BA">
        <w:rPr>
          <w:rFonts w:asciiTheme="minorHAnsi" w:hAnsiTheme="minorHAnsi" w:cstheme="minorHAnsi"/>
          <w:szCs w:val="24"/>
        </w:rPr>
        <w:t>In addition, each construction project must be supervised by a competent person, who, in most cases,</w:t>
      </w:r>
      <w:r w:rsidRPr="00B850BA" w:rsidR="00FA6099">
        <w:rPr>
          <w:rFonts w:asciiTheme="minorHAnsi" w:hAnsiTheme="minorHAnsi" w:cstheme="minorHAnsi"/>
          <w:szCs w:val="24"/>
        </w:rPr>
        <w:t xml:space="preserve"> must have</w:t>
      </w:r>
      <w:r w:rsidRPr="00B850BA">
        <w:rPr>
          <w:rFonts w:asciiTheme="minorHAnsi" w:hAnsiTheme="minorHAnsi" w:cstheme="minorHAnsi"/>
          <w:szCs w:val="24"/>
        </w:rPr>
        <w:t xml:space="preserve"> additional training. Employers are required to maintain records of training for one year beyond the last date of the worker’s employment.</w:t>
      </w:r>
    </w:p>
    <w:p w:rsidR="00C240A7" w:rsidRPr="00B850BA" w:rsidP="00970199" w14:paraId="7E35B120" w14:textId="62080BE6">
      <w:pPr>
        <w:spacing w:line="276" w:lineRule="auto"/>
        <w:ind w:firstLine="0"/>
        <w:rPr>
          <w:rFonts w:asciiTheme="minorHAnsi" w:hAnsiTheme="minorHAnsi" w:cstheme="minorHAnsi"/>
          <w:szCs w:val="24"/>
        </w:rPr>
      </w:pPr>
      <w:r w:rsidRPr="00B850BA">
        <w:rPr>
          <w:rFonts w:asciiTheme="minorHAnsi" w:hAnsiTheme="minorHAnsi" w:cstheme="minorHAnsi"/>
          <w:szCs w:val="24"/>
        </w:rPr>
        <w:t>Under</w:t>
      </w:r>
      <w:r w:rsidRPr="00B850BA" w:rsidR="00045846">
        <w:rPr>
          <w:rFonts w:asciiTheme="minorHAnsi" w:hAnsiTheme="minorHAnsi" w:cstheme="minorHAnsi"/>
          <w:szCs w:val="24"/>
        </w:rPr>
        <w:t xml:space="preserve"> 40 CFR part 763,</w:t>
      </w:r>
      <w:r w:rsidRPr="00B850BA" w:rsidR="00737C20">
        <w:rPr>
          <w:rFonts w:asciiTheme="minorHAnsi" w:hAnsiTheme="minorHAnsi" w:cstheme="minorHAnsi"/>
          <w:szCs w:val="24"/>
        </w:rPr>
        <w:t xml:space="preserve"> subpart G,</w:t>
      </w:r>
      <w:r w:rsidRPr="00B850BA" w:rsidR="00045846">
        <w:rPr>
          <w:rFonts w:asciiTheme="minorHAnsi" w:hAnsiTheme="minorHAnsi" w:cstheme="minorHAnsi"/>
          <w:szCs w:val="24"/>
        </w:rPr>
        <w:t xml:space="preserve"> </w:t>
      </w:r>
      <w:r w:rsidRPr="00B850BA">
        <w:rPr>
          <w:rFonts w:asciiTheme="minorHAnsi" w:hAnsiTheme="minorHAnsi" w:cstheme="minorHAnsi"/>
          <w:szCs w:val="24"/>
        </w:rPr>
        <w:t xml:space="preserve">employers must presume that asbestos is present in thermal system insulation (TSI) and surfacing material installed in buildings </w:t>
      </w:r>
      <w:r w:rsidRPr="00B850BA" w:rsidR="00FA6099">
        <w:rPr>
          <w:rFonts w:asciiTheme="minorHAnsi" w:hAnsiTheme="minorHAnsi" w:cstheme="minorHAnsi"/>
          <w:szCs w:val="24"/>
        </w:rPr>
        <w:t>constructed</w:t>
      </w:r>
      <w:r w:rsidRPr="00B850BA">
        <w:rPr>
          <w:rFonts w:asciiTheme="minorHAnsi" w:hAnsiTheme="minorHAnsi" w:cstheme="minorHAnsi"/>
          <w:szCs w:val="24"/>
        </w:rPr>
        <w:t xml:space="preserve"> prior to 1981. Employers may rebut this presumption in two ways</w:t>
      </w:r>
      <w:r w:rsidRPr="00B850BA" w:rsidR="00C06D0F">
        <w:rPr>
          <w:rFonts w:asciiTheme="minorHAnsi" w:hAnsiTheme="minorHAnsi" w:cstheme="minorHAnsi"/>
          <w:szCs w:val="24"/>
        </w:rPr>
        <w:t>:</w:t>
      </w:r>
      <w:r w:rsidRPr="00B850BA">
        <w:rPr>
          <w:rFonts w:asciiTheme="minorHAnsi" w:hAnsiTheme="minorHAnsi" w:cstheme="minorHAnsi"/>
          <w:szCs w:val="24"/>
        </w:rPr>
        <w:t xml:space="preserve"> through the results of a building inspection that meets the requirements of the Asbestos Hazard Emergency Response Act (AHERA) regulations at 40 CFR 763.85 or by testi</w:t>
      </w:r>
      <w:r w:rsidRPr="00B850BA" w:rsidR="00737C20">
        <w:rPr>
          <w:rFonts w:asciiTheme="minorHAnsi" w:hAnsiTheme="minorHAnsi" w:cstheme="minorHAnsi"/>
          <w:szCs w:val="24"/>
        </w:rPr>
        <w:t xml:space="preserve">ng the material. </w:t>
      </w:r>
      <w:r w:rsidRPr="00B850BA">
        <w:rPr>
          <w:rFonts w:asciiTheme="minorHAnsi" w:hAnsiTheme="minorHAnsi" w:cstheme="minorHAnsi"/>
          <w:szCs w:val="24"/>
        </w:rPr>
        <w:t>Such records must be maintained for as long as they are relied upon to rebut the presumption.</w:t>
      </w:r>
    </w:p>
    <w:p w:rsidR="008A2383" w:rsidRPr="00B850BA" w:rsidP="00E407C9" w14:paraId="64EEC4F0" w14:textId="386C0E6A">
      <w:pPr>
        <w:spacing w:line="276" w:lineRule="auto"/>
        <w:ind w:firstLine="0"/>
        <w:rPr>
          <w:rFonts w:asciiTheme="minorHAnsi" w:hAnsiTheme="minorHAnsi" w:cstheme="minorHAnsi"/>
          <w:szCs w:val="24"/>
        </w:rPr>
      </w:pPr>
      <w:r w:rsidRPr="00B850BA">
        <w:rPr>
          <w:rFonts w:asciiTheme="minorHAnsi" w:hAnsiTheme="minorHAnsi" w:cstheme="minorHAnsi"/>
          <w:szCs w:val="24"/>
        </w:rPr>
        <w:t>Finally, the</w:t>
      </w:r>
      <w:r w:rsidRPr="00B850BA" w:rsidR="005818B6">
        <w:rPr>
          <w:rFonts w:asciiTheme="minorHAnsi" w:hAnsiTheme="minorHAnsi" w:cstheme="minorHAnsi"/>
          <w:szCs w:val="24"/>
        </w:rPr>
        <w:t xml:space="preserve"> </w:t>
      </w:r>
      <w:r w:rsidRPr="00B850BA" w:rsidR="00FA6099">
        <w:rPr>
          <w:rFonts w:asciiTheme="minorHAnsi" w:hAnsiTheme="minorHAnsi" w:cstheme="minorHAnsi"/>
          <w:szCs w:val="24"/>
        </w:rPr>
        <w:t>WPR</w:t>
      </w:r>
      <w:r w:rsidRPr="00B850BA">
        <w:rPr>
          <w:rFonts w:asciiTheme="minorHAnsi" w:hAnsiTheme="minorHAnsi" w:cstheme="minorHAnsi"/>
          <w:szCs w:val="24"/>
        </w:rPr>
        <w:t xml:space="preserve"> requires specific engineering control and work practice met</w:t>
      </w:r>
      <w:r w:rsidRPr="00B850BA" w:rsidR="00885397">
        <w:rPr>
          <w:rFonts w:asciiTheme="minorHAnsi" w:hAnsiTheme="minorHAnsi" w:cstheme="minorHAnsi"/>
          <w:szCs w:val="24"/>
        </w:rPr>
        <w:t xml:space="preserve">hods for each type of project. </w:t>
      </w:r>
      <w:r w:rsidRPr="00B850BA">
        <w:rPr>
          <w:rFonts w:asciiTheme="minorHAnsi" w:hAnsiTheme="minorHAnsi" w:cstheme="minorHAnsi"/>
          <w:szCs w:val="24"/>
        </w:rPr>
        <w:t>Employers are permitted to use alternative control methods if it is determined in advance that the alternative control method is adequate to reduce empl</w:t>
      </w:r>
      <w:r w:rsidRPr="00B850BA" w:rsidR="00885397">
        <w:rPr>
          <w:rFonts w:asciiTheme="minorHAnsi" w:hAnsiTheme="minorHAnsi" w:cstheme="minorHAnsi"/>
          <w:szCs w:val="24"/>
        </w:rPr>
        <w:t xml:space="preserve">oyee exposures below the PELs. </w:t>
      </w:r>
      <w:r w:rsidRPr="00B850BA">
        <w:rPr>
          <w:rFonts w:asciiTheme="minorHAnsi" w:hAnsiTheme="minorHAnsi" w:cstheme="minorHAnsi"/>
          <w:szCs w:val="24"/>
        </w:rPr>
        <w:t>For Class I projects, those that involve TSI or surfacing material, an appropriately</w:t>
      </w:r>
      <w:r w:rsidRPr="00B850BA" w:rsidR="00FA6099">
        <w:rPr>
          <w:rFonts w:asciiTheme="minorHAnsi" w:hAnsiTheme="minorHAnsi" w:cstheme="minorHAnsi"/>
          <w:szCs w:val="24"/>
        </w:rPr>
        <w:t xml:space="preserve"> </w:t>
      </w:r>
      <w:r w:rsidRPr="00B850BA">
        <w:rPr>
          <w:rFonts w:asciiTheme="minorHAnsi" w:hAnsiTheme="minorHAnsi" w:cstheme="minorHAnsi"/>
          <w:szCs w:val="24"/>
        </w:rPr>
        <w:t xml:space="preserve">qualified person must certify that the alternative control method will reduce employee exposures below the </w:t>
      </w:r>
      <w:r w:rsidRPr="00B850BA" w:rsidR="00CA797E">
        <w:rPr>
          <w:rFonts w:asciiTheme="minorHAnsi" w:hAnsiTheme="minorHAnsi" w:cstheme="minorHAnsi"/>
          <w:szCs w:val="24"/>
        </w:rPr>
        <w:t>PELs,</w:t>
      </w:r>
      <w:r w:rsidRPr="00B850BA">
        <w:rPr>
          <w:rFonts w:asciiTheme="minorHAnsi" w:hAnsiTheme="minorHAnsi" w:cstheme="minorHAnsi"/>
          <w:szCs w:val="24"/>
        </w:rPr>
        <w:t xml:space="preserve"> and that the method will also prevent asbestos contamination beyond the regulated area where </w:t>
      </w:r>
      <w:r w:rsidRPr="00B850BA" w:rsidR="00885397">
        <w:rPr>
          <w:rFonts w:asciiTheme="minorHAnsi" w:hAnsiTheme="minorHAnsi" w:cstheme="minorHAnsi"/>
          <w:szCs w:val="24"/>
        </w:rPr>
        <w:t xml:space="preserve">the project will be performed. </w:t>
      </w:r>
      <w:r w:rsidRPr="00B850BA">
        <w:rPr>
          <w:rFonts w:asciiTheme="minorHAnsi" w:hAnsiTheme="minorHAnsi" w:cstheme="minorHAnsi"/>
          <w:szCs w:val="24"/>
        </w:rPr>
        <w:t>For larger Class I projects, the employer who wishes to use alternative control methods must provide EPA with a copy of the evaluation and certification before the alterna</w:t>
      </w:r>
      <w:r w:rsidRPr="00B850BA" w:rsidR="00885397">
        <w:rPr>
          <w:rFonts w:asciiTheme="minorHAnsi" w:hAnsiTheme="minorHAnsi" w:cstheme="minorHAnsi"/>
          <w:szCs w:val="24"/>
        </w:rPr>
        <w:t xml:space="preserve">tive control methods are used. </w:t>
      </w:r>
      <w:r w:rsidRPr="00B850BA">
        <w:rPr>
          <w:rFonts w:asciiTheme="minorHAnsi" w:hAnsiTheme="minorHAnsi" w:cstheme="minorHAnsi"/>
          <w:szCs w:val="24"/>
        </w:rPr>
        <w:t>EPA assumes that employers will choose to use listed control methods rather than alternatives in these instances.</w:t>
      </w:r>
    </w:p>
    <w:p w:rsidR="008A2383" w:rsidRPr="00B850BA" w:rsidP="00E407C9" w14:paraId="4F112901" w14:textId="77777777">
      <w:pPr>
        <w:spacing w:line="276" w:lineRule="auto"/>
        <w:ind w:firstLine="0"/>
        <w:rPr>
          <w:rFonts w:asciiTheme="minorHAnsi" w:hAnsiTheme="minorHAnsi" w:cstheme="minorHAnsi"/>
          <w:szCs w:val="24"/>
        </w:rPr>
      </w:pPr>
      <w:r w:rsidRPr="00B850BA">
        <w:rPr>
          <w:rFonts w:asciiTheme="minorHAnsi" w:hAnsiTheme="minorHAnsi" w:cstheme="minorHAnsi"/>
          <w:szCs w:val="24"/>
        </w:rPr>
        <w:t>T</w:t>
      </w:r>
      <w:r w:rsidRPr="00B850BA" w:rsidR="002C043A">
        <w:rPr>
          <w:rFonts w:asciiTheme="minorHAnsi" w:hAnsiTheme="minorHAnsi" w:cstheme="minorHAnsi"/>
          <w:szCs w:val="24"/>
        </w:rPr>
        <w:t xml:space="preserve">here are </w:t>
      </w:r>
      <w:r w:rsidRPr="00B850BA">
        <w:rPr>
          <w:rFonts w:asciiTheme="minorHAnsi" w:hAnsiTheme="minorHAnsi" w:cstheme="minorHAnsi"/>
          <w:szCs w:val="24"/>
        </w:rPr>
        <w:t xml:space="preserve">three </w:t>
      </w:r>
      <w:r w:rsidRPr="00B850BA" w:rsidR="006A165F">
        <w:rPr>
          <w:rFonts w:asciiTheme="minorHAnsi" w:hAnsiTheme="minorHAnsi" w:cstheme="minorHAnsi"/>
          <w:szCs w:val="24"/>
        </w:rPr>
        <w:t xml:space="preserve">typical </w:t>
      </w:r>
      <w:r w:rsidRPr="00B850BA">
        <w:rPr>
          <w:rFonts w:asciiTheme="minorHAnsi" w:hAnsiTheme="minorHAnsi" w:cstheme="minorHAnsi"/>
          <w:szCs w:val="24"/>
        </w:rPr>
        <w:t xml:space="preserve">categories of labor </w:t>
      </w:r>
      <w:r w:rsidRPr="00B850BA" w:rsidR="002C043A">
        <w:rPr>
          <w:rFonts w:asciiTheme="minorHAnsi" w:hAnsiTheme="minorHAnsi" w:cstheme="minorHAnsi"/>
          <w:szCs w:val="24"/>
        </w:rPr>
        <w:t xml:space="preserve">involved in </w:t>
      </w:r>
      <w:r w:rsidRPr="00B850BA">
        <w:rPr>
          <w:rFonts w:asciiTheme="minorHAnsi" w:hAnsiTheme="minorHAnsi" w:cstheme="minorHAnsi"/>
          <w:szCs w:val="24"/>
        </w:rPr>
        <w:t>compl</w:t>
      </w:r>
      <w:r w:rsidRPr="00B850BA" w:rsidR="002C043A">
        <w:rPr>
          <w:rFonts w:asciiTheme="minorHAnsi" w:hAnsiTheme="minorHAnsi" w:cstheme="minorHAnsi"/>
          <w:szCs w:val="24"/>
        </w:rPr>
        <w:t>iance</w:t>
      </w:r>
      <w:r w:rsidRPr="00B850BA">
        <w:rPr>
          <w:rFonts w:asciiTheme="minorHAnsi" w:hAnsiTheme="minorHAnsi" w:cstheme="minorHAnsi"/>
          <w:szCs w:val="24"/>
        </w:rPr>
        <w:t xml:space="preserve"> with the ICR requirements: supervisory, employee (e.g., asbestos abatement worker/custodial worker or brake and clutch r</w:t>
      </w:r>
      <w:r w:rsidRPr="00B850BA" w:rsidR="00082C58">
        <w:rPr>
          <w:rFonts w:asciiTheme="minorHAnsi" w:hAnsiTheme="minorHAnsi" w:cstheme="minorHAnsi"/>
          <w:szCs w:val="24"/>
        </w:rPr>
        <w:t xml:space="preserve">epair mechanic), and clerical. </w:t>
      </w:r>
      <w:r w:rsidRPr="00B850BA" w:rsidR="00C70EE0">
        <w:rPr>
          <w:rFonts w:asciiTheme="minorHAnsi" w:hAnsiTheme="minorHAnsi" w:cstheme="minorHAnsi"/>
          <w:szCs w:val="24"/>
        </w:rPr>
        <w:t>Additionally,</w:t>
      </w:r>
      <w:r w:rsidRPr="00B850BA">
        <w:rPr>
          <w:rFonts w:asciiTheme="minorHAnsi" w:hAnsiTheme="minorHAnsi" w:cstheme="minorHAnsi"/>
          <w:szCs w:val="24"/>
        </w:rPr>
        <w:t xml:space="preserve"> </w:t>
      </w:r>
      <w:r w:rsidRPr="00B850BA" w:rsidR="00E14284">
        <w:rPr>
          <w:rFonts w:asciiTheme="minorHAnsi" w:hAnsiTheme="minorHAnsi" w:cstheme="minorHAnsi"/>
          <w:szCs w:val="24"/>
        </w:rPr>
        <w:t xml:space="preserve">certain activities, including </w:t>
      </w:r>
      <w:r w:rsidRPr="00B850BA">
        <w:rPr>
          <w:rFonts w:asciiTheme="minorHAnsi" w:hAnsiTheme="minorHAnsi" w:cstheme="minorHAnsi"/>
          <w:szCs w:val="24"/>
        </w:rPr>
        <w:t>exposure monitoring and developing a respiratory protection plan</w:t>
      </w:r>
      <w:r w:rsidRPr="00B850BA" w:rsidR="00C70EE0">
        <w:rPr>
          <w:rFonts w:asciiTheme="minorHAnsi" w:hAnsiTheme="minorHAnsi" w:cstheme="minorHAnsi"/>
          <w:szCs w:val="24"/>
        </w:rPr>
        <w:t>,</w:t>
      </w:r>
      <w:r w:rsidRPr="00B850BA">
        <w:rPr>
          <w:rFonts w:asciiTheme="minorHAnsi" w:hAnsiTheme="minorHAnsi" w:cstheme="minorHAnsi"/>
          <w:szCs w:val="24"/>
        </w:rPr>
        <w:t xml:space="preserve"> require an industrial hygienist’s time.</w:t>
      </w:r>
    </w:p>
    <w:p w:rsidR="004A27F8" w:rsidRPr="00B850BA" w:rsidP="004A27F8" w14:paraId="59F09392" w14:textId="77777777">
      <w:pPr>
        <w:pStyle w:val="Heading1"/>
        <w:rPr>
          <w:rFonts w:asciiTheme="minorHAnsi" w:hAnsiTheme="minorHAnsi" w:cstheme="minorHAnsi"/>
          <w:szCs w:val="24"/>
        </w:rPr>
      </w:pPr>
      <w:r w:rsidRPr="00B850BA">
        <w:rPr>
          <w:rFonts w:asciiTheme="minorHAnsi" w:hAnsiTheme="minorHAnsi" w:cstheme="minorHAnsi"/>
          <w:szCs w:val="24"/>
        </w:rPr>
        <w:t>Activity-by-Activity Burden Estimation Methods</w:t>
      </w:r>
    </w:p>
    <w:p w:rsidR="00F57ECE" w:rsidRPr="00B850BA" w:rsidP="00E407C9" w14:paraId="234635CF" w14:textId="1D70D539">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The activity-level burdens described below are the same as in previous ICRs. In this ICR renewal, an updated method is employed to increase transparency and </w:t>
      </w:r>
      <w:r w:rsidRPr="00B850BA" w:rsidR="005C4CC3">
        <w:rPr>
          <w:rFonts w:asciiTheme="minorHAnsi" w:hAnsiTheme="minorHAnsi" w:cstheme="minorHAnsi"/>
          <w:szCs w:val="24"/>
        </w:rPr>
        <w:t xml:space="preserve">to </w:t>
      </w:r>
      <w:r w:rsidRPr="00B850BA">
        <w:rPr>
          <w:rFonts w:asciiTheme="minorHAnsi" w:hAnsiTheme="minorHAnsi" w:cstheme="minorHAnsi"/>
          <w:szCs w:val="24"/>
        </w:rPr>
        <w:t xml:space="preserve">provide for ease in updating </w:t>
      </w:r>
      <w:r w:rsidRPr="00B850BA">
        <w:rPr>
          <w:rFonts w:asciiTheme="minorHAnsi" w:hAnsiTheme="minorHAnsi" w:cstheme="minorHAnsi"/>
          <w:szCs w:val="24"/>
        </w:rPr>
        <w:t xml:space="preserve">estimates in future ICR renewals. This method involves estimating unit burdens that are scaled to a “per-state” basis. Results are </w:t>
      </w:r>
      <w:r w:rsidRPr="00B850BA" w:rsidR="005C4CC3">
        <w:rPr>
          <w:rFonts w:asciiTheme="minorHAnsi" w:hAnsiTheme="minorHAnsi" w:cstheme="minorHAnsi"/>
          <w:szCs w:val="24"/>
        </w:rPr>
        <w:t>described belo</w:t>
      </w:r>
      <w:r w:rsidRPr="00B850BA" w:rsidR="00042FCB">
        <w:rPr>
          <w:rFonts w:asciiTheme="minorHAnsi" w:hAnsiTheme="minorHAnsi" w:cstheme="minorHAnsi"/>
          <w:szCs w:val="24"/>
        </w:rPr>
        <w:t>w</w:t>
      </w:r>
      <w:r w:rsidRPr="00B850BA" w:rsidR="005C4CC3">
        <w:rPr>
          <w:rFonts w:asciiTheme="minorHAnsi" w:hAnsiTheme="minorHAnsi" w:cstheme="minorHAnsi"/>
          <w:szCs w:val="24"/>
        </w:rPr>
        <w:t xml:space="preserve"> and </w:t>
      </w:r>
      <w:r w:rsidRPr="00B850BA">
        <w:rPr>
          <w:rFonts w:asciiTheme="minorHAnsi" w:hAnsiTheme="minorHAnsi" w:cstheme="minorHAnsi"/>
          <w:szCs w:val="24"/>
        </w:rPr>
        <w:t xml:space="preserve">summarized in Table </w:t>
      </w:r>
      <w:r w:rsidRPr="00B850BA" w:rsidR="008A2383">
        <w:rPr>
          <w:rFonts w:asciiTheme="minorHAnsi" w:hAnsiTheme="minorHAnsi" w:cstheme="minorHAnsi"/>
          <w:szCs w:val="24"/>
        </w:rPr>
        <w:t>2</w:t>
      </w:r>
      <w:r w:rsidRPr="00B850BA">
        <w:rPr>
          <w:rFonts w:asciiTheme="minorHAnsi" w:hAnsiTheme="minorHAnsi" w:cstheme="minorHAnsi"/>
          <w:szCs w:val="24"/>
        </w:rPr>
        <w:t>. Note that assumptions list</w:t>
      </w:r>
      <w:r w:rsidRPr="00B850BA" w:rsidR="005C4CC3">
        <w:rPr>
          <w:rFonts w:asciiTheme="minorHAnsi" w:hAnsiTheme="minorHAnsi" w:cstheme="minorHAnsi"/>
          <w:szCs w:val="24"/>
        </w:rPr>
        <w:t>ed</w:t>
      </w:r>
      <w:r w:rsidRPr="00B850BA" w:rsidR="00A32160">
        <w:rPr>
          <w:rFonts w:asciiTheme="minorHAnsi" w:hAnsiTheme="minorHAnsi" w:cstheme="minorHAnsi"/>
          <w:szCs w:val="24"/>
        </w:rPr>
        <w:t xml:space="preserve"> in this section </w:t>
      </w:r>
      <w:r w:rsidRPr="00B850BA">
        <w:rPr>
          <w:rFonts w:asciiTheme="minorHAnsi" w:hAnsiTheme="minorHAnsi" w:cstheme="minorHAnsi"/>
          <w:szCs w:val="24"/>
        </w:rPr>
        <w:t xml:space="preserve">are the same as in previous </w:t>
      </w:r>
      <w:r w:rsidRPr="00B850BA" w:rsidR="00113790">
        <w:rPr>
          <w:rFonts w:asciiTheme="minorHAnsi" w:hAnsiTheme="minorHAnsi" w:cstheme="minorHAnsi"/>
          <w:szCs w:val="24"/>
        </w:rPr>
        <w:t>ICRs and</w:t>
      </w:r>
      <w:r w:rsidRPr="00B850BA" w:rsidR="00A32160">
        <w:rPr>
          <w:rFonts w:asciiTheme="minorHAnsi" w:hAnsiTheme="minorHAnsi" w:cstheme="minorHAnsi"/>
          <w:szCs w:val="24"/>
        </w:rPr>
        <w:t xml:space="preserve"> based on the conditions of the WPR. Consequently, t</w:t>
      </w:r>
      <w:r w:rsidRPr="00B850BA">
        <w:rPr>
          <w:rFonts w:asciiTheme="minorHAnsi" w:hAnsiTheme="minorHAnsi" w:cstheme="minorHAnsi"/>
          <w:szCs w:val="24"/>
        </w:rPr>
        <w:t>he per-state burden is derived using the conditions of the WPR</w:t>
      </w:r>
      <w:r w:rsidRPr="00B850BA" w:rsidR="00A32160">
        <w:rPr>
          <w:rFonts w:asciiTheme="minorHAnsi" w:hAnsiTheme="minorHAnsi" w:cstheme="minorHAnsi"/>
          <w:szCs w:val="24"/>
        </w:rPr>
        <w:t>,</w:t>
      </w:r>
      <w:r w:rsidRPr="00B850BA">
        <w:rPr>
          <w:rFonts w:asciiTheme="minorHAnsi" w:hAnsiTheme="minorHAnsi" w:cstheme="minorHAnsi"/>
          <w:szCs w:val="24"/>
        </w:rPr>
        <w:t xml:space="preserve"> as documented in the 2007 ICR renewal (EPA 2007).</w:t>
      </w:r>
      <w:r>
        <w:rPr>
          <w:rStyle w:val="FootnoteReference"/>
          <w:rFonts w:asciiTheme="minorHAnsi" w:hAnsiTheme="minorHAnsi" w:cstheme="minorHAnsi"/>
          <w:szCs w:val="24"/>
        </w:rPr>
        <w:footnoteReference w:id="3"/>
      </w:r>
      <w:r w:rsidRPr="00B850BA">
        <w:rPr>
          <w:rFonts w:asciiTheme="minorHAnsi" w:hAnsiTheme="minorHAnsi" w:cstheme="minorHAnsi"/>
          <w:szCs w:val="24"/>
        </w:rPr>
        <w:t xml:space="preserve"> </w:t>
      </w:r>
      <w:r w:rsidRPr="00B850BA">
        <w:rPr>
          <w:rFonts w:asciiTheme="minorHAnsi" w:hAnsiTheme="minorHAnsi" w:cstheme="minorHAnsi"/>
          <w:szCs w:val="24"/>
        </w:rPr>
        <w:t>Also when not otherwise cited, requirements</w:t>
      </w:r>
      <w:r w:rsidRPr="00B850BA" w:rsidR="004872B4">
        <w:rPr>
          <w:rFonts w:asciiTheme="minorHAnsi" w:hAnsiTheme="minorHAnsi" w:cstheme="minorHAnsi"/>
          <w:szCs w:val="24"/>
        </w:rPr>
        <w:t xml:space="preserve"> </w:t>
      </w:r>
      <w:r w:rsidRPr="00B850BA" w:rsidR="005F7ABB">
        <w:rPr>
          <w:rFonts w:asciiTheme="minorHAnsi" w:hAnsiTheme="minorHAnsi" w:cstheme="minorHAnsi"/>
          <w:szCs w:val="24"/>
        </w:rPr>
        <w:t xml:space="preserve">discussed below </w:t>
      </w:r>
      <w:r w:rsidRPr="00B850BA">
        <w:rPr>
          <w:rFonts w:asciiTheme="minorHAnsi" w:hAnsiTheme="minorHAnsi" w:cstheme="minorHAnsi"/>
          <w:szCs w:val="24"/>
        </w:rPr>
        <w:t>are specified in the WPR</w:t>
      </w:r>
      <w:r w:rsidRPr="00B850BA" w:rsidR="006C5C27">
        <w:rPr>
          <w:rFonts w:asciiTheme="minorHAnsi" w:hAnsiTheme="minorHAnsi" w:cstheme="minorHAnsi"/>
          <w:szCs w:val="24"/>
        </w:rPr>
        <w:t>.</w:t>
      </w:r>
    </w:p>
    <w:p w:rsidR="00D74D9E" w:rsidRPr="00B850BA" w:rsidP="008F708D" w14:paraId="0E33BE80" w14:textId="3E6D8FA2">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 xml:space="preserve">Reading </w:t>
      </w:r>
      <w:r w:rsidRPr="00B850BA" w:rsidR="00015631">
        <w:rPr>
          <w:rFonts w:asciiTheme="minorHAnsi" w:hAnsiTheme="minorHAnsi" w:cstheme="minorHAnsi"/>
          <w:szCs w:val="24"/>
          <w:u w:val="single"/>
        </w:rPr>
        <w:t>and Interpreting the Regulation</w:t>
      </w:r>
    </w:p>
    <w:p w:rsidR="00042FCB" w:rsidRPr="00B850BA" w:rsidP="004C6D74" w14:paraId="31EB8D40" w14:textId="7938E0EF">
      <w:pPr>
        <w:spacing w:line="276" w:lineRule="auto"/>
        <w:ind w:firstLine="0"/>
        <w:rPr>
          <w:rFonts w:asciiTheme="minorHAnsi" w:hAnsiTheme="minorHAnsi" w:cstheme="minorHAnsi"/>
          <w:szCs w:val="24"/>
        </w:rPr>
      </w:pPr>
      <w:r w:rsidRPr="00B850BA">
        <w:rPr>
          <w:rFonts w:asciiTheme="minorHAnsi" w:hAnsiTheme="minorHAnsi" w:cstheme="minorHAnsi"/>
          <w:szCs w:val="24"/>
        </w:rPr>
        <w:t>EPA assume</w:t>
      </w:r>
      <w:r w:rsidRPr="00B850BA" w:rsidR="00504AC1">
        <w:rPr>
          <w:rFonts w:asciiTheme="minorHAnsi" w:hAnsiTheme="minorHAnsi" w:cstheme="minorHAnsi"/>
          <w:szCs w:val="24"/>
        </w:rPr>
        <w:t>s</w:t>
      </w:r>
      <w:r w:rsidRPr="00B850BA">
        <w:rPr>
          <w:rFonts w:asciiTheme="minorHAnsi" w:hAnsiTheme="minorHAnsi" w:cstheme="minorHAnsi"/>
          <w:szCs w:val="24"/>
        </w:rPr>
        <w:t xml:space="preserve"> that one person </w:t>
      </w:r>
      <w:r w:rsidRPr="00B850BA" w:rsidR="005D3736">
        <w:rPr>
          <w:rFonts w:asciiTheme="minorHAnsi" w:hAnsiTheme="minorHAnsi" w:cstheme="minorHAnsi"/>
          <w:szCs w:val="24"/>
        </w:rPr>
        <w:t xml:space="preserve">per entity </w:t>
      </w:r>
      <w:r w:rsidRPr="00B850BA">
        <w:rPr>
          <w:rFonts w:asciiTheme="minorHAnsi" w:hAnsiTheme="minorHAnsi" w:cstheme="minorHAnsi"/>
          <w:szCs w:val="24"/>
        </w:rPr>
        <w:t>would need to read and interpret the requirement</w:t>
      </w:r>
      <w:r w:rsidRPr="00B850BA" w:rsidR="00E4538E">
        <w:rPr>
          <w:rFonts w:asciiTheme="minorHAnsi" w:hAnsiTheme="minorHAnsi" w:cstheme="minorHAnsi"/>
          <w:szCs w:val="24"/>
        </w:rPr>
        <w:t>s of the rule</w:t>
      </w:r>
      <w:r w:rsidRPr="00B850BA" w:rsidR="008724A4">
        <w:rPr>
          <w:rFonts w:asciiTheme="minorHAnsi" w:hAnsiTheme="minorHAnsi" w:cstheme="minorHAnsi"/>
          <w:szCs w:val="24"/>
        </w:rPr>
        <w:t xml:space="preserve">. </w:t>
      </w:r>
      <w:r w:rsidRPr="00B850BA">
        <w:rPr>
          <w:rFonts w:asciiTheme="minorHAnsi" w:hAnsiTheme="minorHAnsi" w:cstheme="minorHAnsi"/>
          <w:szCs w:val="24"/>
        </w:rPr>
        <w:t>EPA expect</w:t>
      </w:r>
      <w:r w:rsidRPr="00B850BA" w:rsidR="0021147C">
        <w:rPr>
          <w:rFonts w:asciiTheme="minorHAnsi" w:hAnsiTheme="minorHAnsi" w:cstheme="minorHAnsi"/>
          <w:szCs w:val="24"/>
        </w:rPr>
        <w:t>s</w:t>
      </w:r>
      <w:r w:rsidRPr="00B850BA">
        <w:rPr>
          <w:rFonts w:asciiTheme="minorHAnsi" w:hAnsiTheme="minorHAnsi" w:cstheme="minorHAnsi"/>
          <w:szCs w:val="24"/>
        </w:rPr>
        <w:t xml:space="preserve"> that this person would</w:t>
      </w:r>
      <w:r w:rsidRPr="00B850BA" w:rsidR="00E4538E">
        <w:rPr>
          <w:rFonts w:asciiTheme="minorHAnsi" w:hAnsiTheme="minorHAnsi" w:cstheme="minorHAnsi"/>
          <w:szCs w:val="24"/>
        </w:rPr>
        <w:t xml:space="preserve"> be a construction supervisor. </w:t>
      </w:r>
      <w:r w:rsidRPr="00B850BA">
        <w:rPr>
          <w:rFonts w:asciiTheme="minorHAnsi" w:hAnsiTheme="minorHAnsi" w:cstheme="minorHAnsi"/>
          <w:szCs w:val="24"/>
        </w:rPr>
        <w:t>The supervisor would read the relevant sections of the Regulation as well as the relevant cross-referenced sections of OSHA’s Construction a</w:t>
      </w:r>
      <w:r w:rsidRPr="00B850BA" w:rsidR="00E4538E">
        <w:rPr>
          <w:rFonts w:asciiTheme="minorHAnsi" w:hAnsiTheme="minorHAnsi" w:cstheme="minorHAnsi"/>
          <w:szCs w:val="24"/>
        </w:rPr>
        <w:t xml:space="preserve">nd General Industry Standards. </w:t>
      </w:r>
      <w:r w:rsidRPr="00B850BA">
        <w:rPr>
          <w:rFonts w:asciiTheme="minorHAnsi" w:hAnsiTheme="minorHAnsi" w:cstheme="minorHAnsi"/>
          <w:szCs w:val="24"/>
        </w:rPr>
        <w:t xml:space="preserve">Approximately half of the regulatory text, however, consists of technical appendices that will not be of direct </w:t>
      </w:r>
      <w:r w:rsidRPr="00B850BA" w:rsidR="00E4538E">
        <w:rPr>
          <w:rFonts w:asciiTheme="minorHAnsi" w:hAnsiTheme="minorHAnsi" w:cstheme="minorHAnsi"/>
          <w:szCs w:val="24"/>
        </w:rPr>
        <w:t>importance to the supervisor.</w:t>
      </w:r>
      <w:r w:rsidRPr="00B850BA" w:rsidR="00047E08">
        <w:rPr>
          <w:rFonts w:asciiTheme="minorHAnsi" w:hAnsiTheme="minorHAnsi" w:cstheme="minorHAnsi"/>
          <w:szCs w:val="24"/>
        </w:rPr>
        <w:t xml:space="preserve"> </w:t>
      </w:r>
      <w:r w:rsidRPr="00B850BA">
        <w:rPr>
          <w:rFonts w:asciiTheme="minorHAnsi" w:hAnsiTheme="minorHAnsi" w:cstheme="minorHAnsi"/>
          <w:szCs w:val="24"/>
        </w:rPr>
        <w:t xml:space="preserve">For example, most projects will not need to </w:t>
      </w:r>
      <w:r w:rsidRPr="00B850BA" w:rsidR="00252669">
        <w:rPr>
          <w:rFonts w:asciiTheme="minorHAnsi" w:hAnsiTheme="minorHAnsi" w:cstheme="minorHAnsi"/>
          <w:szCs w:val="24"/>
        </w:rPr>
        <w:t>“</w:t>
      </w:r>
      <w:r w:rsidRPr="00B850BA">
        <w:rPr>
          <w:rFonts w:asciiTheme="minorHAnsi" w:hAnsiTheme="minorHAnsi" w:cstheme="minorHAnsi"/>
          <w:szCs w:val="24"/>
        </w:rPr>
        <w:t>employ fit testing methods,</w:t>
      </w:r>
      <w:r w:rsidRPr="00B850BA" w:rsidR="00252669">
        <w:rPr>
          <w:rFonts w:asciiTheme="minorHAnsi" w:hAnsiTheme="minorHAnsi" w:cstheme="minorHAnsi"/>
          <w:szCs w:val="24"/>
        </w:rPr>
        <w:t>”</w:t>
      </w:r>
      <w:r w:rsidRPr="00B850BA">
        <w:rPr>
          <w:rFonts w:asciiTheme="minorHAnsi" w:hAnsiTheme="minorHAnsi" w:cstheme="minorHAnsi"/>
          <w:szCs w:val="24"/>
        </w:rPr>
        <w:t xml:space="preserve"> and </w:t>
      </w:r>
      <w:r w:rsidRPr="00B850BA" w:rsidR="00252669">
        <w:rPr>
          <w:rFonts w:asciiTheme="minorHAnsi" w:hAnsiTheme="minorHAnsi" w:cstheme="minorHAnsi"/>
          <w:szCs w:val="24"/>
        </w:rPr>
        <w:t>“</w:t>
      </w:r>
      <w:r w:rsidRPr="00B850BA">
        <w:rPr>
          <w:rFonts w:asciiTheme="minorHAnsi" w:hAnsiTheme="minorHAnsi" w:cstheme="minorHAnsi"/>
          <w:szCs w:val="24"/>
        </w:rPr>
        <w:t>monitoring methods</w:t>
      </w:r>
      <w:r w:rsidRPr="00B850BA" w:rsidR="00252669">
        <w:rPr>
          <w:rFonts w:asciiTheme="minorHAnsi" w:hAnsiTheme="minorHAnsi" w:cstheme="minorHAnsi"/>
          <w:szCs w:val="24"/>
        </w:rPr>
        <w:t>”</w:t>
      </w:r>
      <w:r w:rsidRPr="00B850BA">
        <w:rPr>
          <w:rFonts w:asciiTheme="minorHAnsi" w:hAnsiTheme="minorHAnsi" w:cstheme="minorHAnsi"/>
          <w:szCs w:val="24"/>
        </w:rPr>
        <w:t xml:space="preserve"> presumably will be perform</w:t>
      </w:r>
      <w:r w:rsidRPr="00B850BA" w:rsidR="00047E08">
        <w:rPr>
          <w:rFonts w:asciiTheme="minorHAnsi" w:hAnsiTheme="minorHAnsi" w:cstheme="minorHAnsi"/>
          <w:szCs w:val="24"/>
        </w:rPr>
        <w:t xml:space="preserve">ed by a contracted specialist. </w:t>
      </w:r>
      <w:r w:rsidRPr="00B850BA">
        <w:rPr>
          <w:rFonts w:asciiTheme="minorHAnsi" w:hAnsiTheme="minorHAnsi" w:cstheme="minorHAnsi"/>
          <w:szCs w:val="24"/>
        </w:rPr>
        <w:t>EPA assume</w:t>
      </w:r>
      <w:r w:rsidRPr="00B850BA" w:rsidR="00842494">
        <w:rPr>
          <w:rFonts w:asciiTheme="minorHAnsi" w:hAnsiTheme="minorHAnsi" w:cstheme="minorHAnsi"/>
          <w:szCs w:val="24"/>
        </w:rPr>
        <w:t>s</w:t>
      </w:r>
      <w:r w:rsidRPr="00B850BA">
        <w:rPr>
          <w:rFonts w:asciiTheme="minorHAnsi" w:hAnsiTheme="minorHAnsi" w:cstheme="minorHAnsi"/>
          <w:szCs w:val="24"/>
        </w:rPr>
        <w:t xml:space="preserve"> that on average a supervisor in each </w:t>
      </w:r>
      <w:r w:rsidRPr="00B850BA" w:rsidR="005D3736">
        <w:rPr>
          <w:rFonts w:asciiTheme="minorHAnsi" w:hAnsiTheme="minorHAnsi" w:cstheme="minorHAnsi"/>
          <w:szCs w:val="24"/>
        </w:rPr>
        <w:t>entity</w:t>
      </w:r>
      <w:r w:rsidRPr="00B850BA">
        <w:rPr>
          <w:rFonts w:asciiTheme="minorHAnsi" w:hAnsiTheme="minorHAnsi" w:cstheme="minorHAnsi"/>
          <w:szCs w:val="24"/>
        </w:rPr>
        <w:t xml:space="preserve"> would need to spend</w:t>
      </w:r>
      <w:r w:rsidRPr="00B850BA" w:rsidR="00F37440">
        <w:rPr>
          <w:rFonts w:asciiTheme="minorHAnsi" w:hAnsiTheme="minorHAnsi" w:cstheme="minorHAnsi"/>
          <w:szCs w:val="24"/>
        </w:rPr>
        <w:t xml:space="preserve"> three hours on this activity. </w:t>
      </w:r>
      <w:r w:rsidRPr="00B850BA">
        <w:rPr>
          <w:rFonts w:asciiTheme="minorHAnsi" w:hAnsiTheme="minorHAnsi" w:cstheme="minorHAnsi"/>
          <w:szCs w:val="24"/>
        </w:rPr>
        <w:t xml:space="preserve">This </w:t>
      </w:r>
      <w:r w:rsidRPr="00B850BA" w:rsidR="00252669">
        <w:rPr>
          <w:rFonts w:asciiTheme="minorHAnsi" w:hAnsiTheme="minorHAnsi" w:cstheme="minorHAnsi"/>
          <w:szCs w:val="24"/>
        </w:rPr>
        <w:t>activity</w:t>
      </w:r>
      <w:r w:rsidRPr="00B850BA">
        <w:rPr>
          <w:rFonts w:asciiTheme="minorHAnsi" w:hAnsiTheme="minorHAnsi" w:cstheme="minorHAnsi"/>
          <w:szCs w:val="24"/>
        </w:rPr>
        <w:t xml:space="preserve">, however, </w:t>
      </w:r>
      <w:r w:rsidRPr="00B850BA" w:rsidR="00842494">
        <w:rPr>
          <w:rFonts w:asciiTheme="minorHAnsi" w:hAnsiTheme="minorHAnsi" w:cstheme="minorHAnsi"/>
          <w:szCs w:val="24"/>
        </w:rPr>
        <w:t xml:space="preserve">is </w:t>
      </w:r>
      <w:r w:rsidRPr="00B850BA">
        <w:rPr>
          <w:rFonts w:asciiTheme="minorHAnsi" w:hAnsiTheme="minorHAnsi" w:cstheme="minorHAnsi"/>
          <w:szCs w:val="24"/>
        </w:rPr>
        <w:t xml:space="preserve">assumed to be </w:t>
      </w:r>
      <w:r w:rsidRPr="00B850BA" w:rsidR="00252669">
        <w:rPr>
          <w:rFonts w:asciiTheme="minorHAnsi" w:hAnsiTheme="minorHAnsi" w:cstheme="minorHAnsi"/>
          <w:szCs w:val="24"/>
        </w:rPr>
        <w:t xml:space="preserve">conducted </w:t>
      </w:r>
      <w:r w:rsidRPr="00B850BA">
        <w:rPr>
          <w:rFonts w:asciiTheme="minorHAnsi" w:hAnsiTheme="minorHAnsi" w:cstheme="minorHAnsi"/>
          <w:szCs w:val="24"/>
        </w:rPr>
        <w:t xml:space="preserve">only </w:t>
      </w:r>
      <w:r w:rsidRPr="00B850BA" w:rsidR="00A2215A">
        <w:rPr>
          <w:rFonts w:asciiTheme="minorHAnsi" w:hAnsiTheme="minorHAnsi" w:cstheme="minorHAnsi"/>
          <w:szCs w:val="24"/>
        </w:rPr>
        <w:t xml:space="preserve">one </w:t>
      </w:r>
      <w:r w:rsidRPr="00B850BA" w:rsidR="00F37440">
        <w:rPr>
          <w:rFonts w:asciiTheme="minorHAnsi" w:hAnsiTheme="minorHAnsi" w:cstheme="minorHAnsi"/>
          <w:szCs w:val="24"/>
        </w:rPr>
        <w:t xml:space="preserve">year </w:t>
      </w:r>
      <w:r w:rsidRPr="00B850BA" w:rsidR="005B1B16">
        <w:rPr>
          <w:rFonts w:asciiTheme="minorHAnsi" w:hAnsiTheme="minorHAnsi" w:cstheme="minorHAnsi"/>
          <w:szCs w:val="24"/>
        </w:rPr>
        <w:t xml:space="preserve">out of the three years </w:t>
      </w:r>
      <w:r w:rsidRPr="00B850BA" w:rsidR="00F37440">
        <w:rPr>
          <w:rFonts w:asciiTheme="minorHAnsi" w:hAnsiTheme="minorHAnsi" w:cstheme="minorHAnsi"/>
          <w:szCs w:val="24"/>
        </w:rPr>
        <w:t xml:space="preserve">of the </w:t>
      </w:r>
      <w:r w:rsidRPr="00B850BA" w:rsidR="00A2215A">
        <w:rPr>
          <w:rFonts w:asciiTheme="minorHAnsi" w:hAnsiTheme="minorHAnsi" w:cstheme="minorHAnsi"/>
          <w:szCs w:val="24"/>
        </w:rPr>
        <w:t>ICR pe</w:t>
      </w:r>
      <w:r w:rsidRPr="00B850BA" w:rsidR="0027361B">
        <w:rPr>
          <w:rFonts w:asciiTheme="minorHAnsi" w:hAnsiTheme="minorHAnsi" w:cstheme="minorHAnsi"/>
          <w:szCs w:val="24"/>
        </w:rPr>
        <w:t>r</w:t>
      </w:r>
      <w:r w:rsidRPr="00B850BA" w:rsidR="00A2215A">
        <w:rPr>
          <w:rFonts w:asciiTheme="minorHAnsi" w:hAnsiTheme="minorHAnsi" w:cstheme="minorHAnsi"/>
          <w:szCs w:val="24"/>
        </w:rPr>
        <w:t>iod</w:t>
      </w:r>
      <w:r w:rsidRPr="00B850BA" w:rsidR="00C82E08">
        <w:rPr>
          <w:rFonts w:asciiTheme="minorHAnsi" w:hAnsiTheme="minorHAnsi" w:cstheme="minorHAnsi"/>
          <w:szCs w:val="24"/>
        </w:rPr>
        <w:t>.</w:t>
      </w:r>
      <w:r w:rsidRPr="00B850BA" w:rsidR="0021147C">
        <w:rPr>
          <w:rFonts w:asciiTheme="minorHAnsi" w:hAnsiTheme="minorHAnsi" w:cstheme="minorHAnsi"/>
          <w:szCs w:val="24"/>
        </w:rPr>
        <w:t xml:space="preserve"> </w:t>
      </w:r>
      <w:r w:rsidRPr="00B850BA" w:rsidR="00252669">
        <w:rPr>
          <w:rFonts w:asciiTheme="minorHAnsi" w:hAnsiTheme="minorHAnsi" w:cstheme="minorHAnsi"/>
          <w:szCs w:val="24"/>
        </w:rPr>
        <w:t>Also, for</w:t>
      </w:r>
      <w:r w:rsidRPr="00B850BA" w:rsidR="0021147C">
        <w:rPr>
          <w:rFonts w:asciiTheme="minorHAnsi" w:hAnsiTheme="minorHAnsi" w:cstheme="minorHAnsi"/>
          <w:szCs w:val="24"/>
        </w:rPr>
        <w:t xml:space="preserve"> purposes of the ICR</w:t>
      </w:r>
      <w:r w:rsidRPr="00B850BA" w:rsidR="00252669">
        <w:rPr>
          <w:rFonts w:asciiTheme="minorHAnsi" w:hAnsiTheme="minorHAnsi" w:cstheme="minorHAnsi"/>
          <w:szCs w:val="24"/>
        </w:rPr>
        <w:t>,</w:t>
      </w:r>
      <w:r w:rsidRPr="00B850BA" w:rsidR="0021147C">
        <w:rPr>
          <w:rFonts w:asciiTheme="minorHAnsi" w:hAnsiTheme="minorHAnsi" w:cstheme="minorHAnsi"/>
          <w:szCs w:val="24"/>
        </w:rPr>
        <w:t xml:space="preserve"> </w:t>
      </w:r>
      <w:r w:rsidRPr="00B850BA" w:rsidR="00213237">
        <w:rPr>
          <w:rFonts w:asciiTheme="minorHAnsi" w:hAnsiTheme="minorHAnsi" w:cstheme="minorHAnsi"/>
          <w:szCs w:val="24"/>
        </w:rPr>
        <w:t>th</w:t>
      </w:r>
      <w:r w:rsidRPr="00B850BA" w:rsidR="0021147C">
        <w:rPr>
          <w:rFonts w:asciiTheme="minorHAnsi" w:hAnsiTheme="minorHAnsi" w:cstheme="minorHAnsi"/>
          <w:szCs w:val="24"/>
        </w:rPr>
        <w:t>is</w:t>
      </w:r>
      <w:r w:rsidRPr="00B850BA" w:rsidR="00213237">
        <w:rPr>
          <w:rFonts w:asciiTheme="minorHAnsi" w:hAnsiTheme="minorHAnsi" w:cstheme="minorHAnsi"/>
          <w:szCs w:val="24"/>
        </w:rPr>
        <w:t xml:space="preserve"> activity </w:t>
      </w:r>
      <w:r w:rsidRPr="00B850BA" w:rsidR="0021147C">
        <w:rPr>
          <w:rFonts w:asciiTheme="minorHAnsi" w:hAnsiTheme="minorHAnsi" w:cstheme="minorHAnsi"/>
          <w:szCs w:val="24"/>
        </w:rPr>
        <w:t xml:space="preserve">is applied to only </w:t>
      </w:r>
      <w:r w:rsidRPr="00B850BA" w:rsidR="00213237">
        <w:rPr>
          <w:rFonts w:asciiTheme="minorHAnsi" w:hAnsiTheme="minorHAnsi" w:cstheme="minorHAnsi"/>
          <w:szCs w:val="24"/>
        </w:rPr>
        <w:t xml:space="preserve">five percent of the </w:t>
      </w:r>
      <w:r w:rsidRPr="00B850BA" w:rsidR="0021147C">
        <w:rPr>
          <w:rFonts w:asciiTheme="minorHAnsi" w:hAnsiTheme="minorHAnsi" w:cstheme="minorHAnsi"/>
          <w:szCs w:val="24"/>
        </w:rPr>
        <w:t xml:space="preserve">total count of </w:t>
      </w:r>
      <w:r w:rsidRPr="00B850BA" w:rsidR="003B6437">
        <w:rPr>
          <w:rFonts w:asciiTheme="minorHAnsi" w:hAnsiTheme="minorHAnsi" w:cstheme="minorHAnsi"/>
          <w:szCs w:val="24"/>
        </w:rPr>
        <w:t>supervisors</w:t>
      </w:r>
      <w:r w:rsidRPr="00B850BA" w:rsidR="0096468A">
        <w:rPr>
          <w:rFonts w:asciiTheme="minorHAnsi" w:hAnsiTheme="minorHAnsi" w:cstheme="minorHAnsi"/>
          <w:szCs w:val="24"/>
        </w:rPr>
        <w:t xml:space="preserve"> </w:t>
      </w:r>
      <w:r w:rsidRPr="00B850BA" w:rsidR="005F7ABB">
        <w:rPr>
          <w:rFonts w:asciiTheme="minorHAnsi" w:hAnsiTheme="minorHAnsi" w:cstheme="minorHAnsi"/>
          <w:szCs w:val="24"/>
        </w:rPr>
        <w:t xml:space="preserve">in order to </w:t>
      </w:r>
      <w:r w:rsidRPr="00B850BA" w:rsidR="0096468A">
        <w:rPr>
          <w:rFonts w:asciiTheme="minorHAnsi" w:hAnsiTheme="minorHAnsi" w:cstheme="minorHAnsi"/>
          <w:szCs w:val="24"/>
        </w:rPr>
        <w:t>estimate effects of turnover</w:t>
      </w:r>
      <w:r w:rsidRPr="00B850BA" w:rsidR="003B6437">
        <w:rPr>
          <w:rFonts w:asciiTheme="minorHAnsi" w:hAnsiTheme="minorHAnsi" w:cstheme="minorHAnsi"/>
          <w:szCs w:val="24"/>
        </w:rPr>
        <w:t>.</w:t>
      </w:r>
      <w:r w:rsidRPr="00B850BA" w:rsidR="00213237">
        <w:rPr>
          <w:rFonts w:asciiTheme="minorHAnsi" w:hAnsiTheme="minorHAnsi" w:cstheme="minorHAnsi"/>
          <w:szCs w:val="24"/>
        </w:rPr>
        <w:t xml:space="preserve"> </w:t>
      </w:r>
      <w:r w:rsidRPr="00B850BA" w:rsidR="009E02F1">
        <w:rPr>
          <w:rFonts w:asciiTheme="minorHAnsi" w:hAnsiTheme="minorHAnsi" w:cstheme="minorHAnsi"/>
          <w:szCs w:val="24"/>
        </w:rPr>
        <w:t>Applying</w:t>
      </w:r>
      <w:r w:rsidRPr="00B850BA" w:rsidR="008724A4">
        <w:rPr>
          <w:rFonts w:asciiTheme="minorHAnsi" w:hAnsiTheme="minorHAnsi" w:cstheme="minorHAnsi"/>
          <w:szCs w:val="24"/>
        </w:rPr>
        <w:t xml:space="preserve"> these</w:t>
      </w:r>
      <w:r w:rsidRPr="00B850BA" w:rsidR="006C00E3">
        <w:rPr>
          <w:rFonts w:asciiTheme="minorHAnsi" w:hAnsiTheme="minorHAnsi" w:cstheme="minorHAnsi"/>
          <w:szCs w:val="24"/>
        </w:rPr>
        <w:t xml:space="preserve"> assumptions</w:t>
      </w:r>
      <w:r w:rsidRPr="00B850BA" w:rsidR="008724A4">
        <w:rPr>
          <w:rFonts w:asciiTheme="minorHAnsi" w:hAnsiTheme="minorHAnsi" w:cstheme="minorHAnsi"/>
          <w:szCs w:val="24"/>
        </w:rPr>
        <w:t xml:space="preserve"> and converting to a </w:t>
      </w:r>
      <w:r w:rsidRPr="00B850BA" w:rsidR="001A0A77">
        <w:rPr>
          <w:rFonts w:asciiTheme="minorHAnsi" w:hAnsiTheme="minorHAnsi" w:cstheme="minorHAnsi"/>
          <w:szCs w:val="24"/>
        </w:rPr>
        <w:t>per</w:t>
      </w:r>
      <w:r w:rsidRPr="00B850BA" w:rsidR="008724A4">
        <w:rPr>
          <w:rFonts w:asciiTheme="minorHAnsi" w:hAnsiTheme="minorHAnsi" w:cstheme="minorHAnsi"/>
          <w:szCs w:val="24"/>
        </w:rPr>
        <w:t>-</w:t>
      </w:r>
      <w:r w:rsidRPr="00B850BA" w:rsidR="001A0A77">
        <w:rPr>
          <w:rFonts w:asciiTheme="minorHAnsi" w:hAnsiTheme="minorHAnsi" w:cstheme="minorHAnsi"/>
          <w:szCs w:val="24"/>
        </w:rPr>
        <w:t>state basis, t</w:t>
      </w:r>
      <w:r w:rsidRPr="00B850BA" w:rsidR="00504AC1">
        <w:rPr>
          <w:rFonts w:asciiTheme="minorHAnsi" w:hAnsiTheme="minorHAnsi" w:cstheme="minorHAnsi"/>
          <w:szCs w:val="24"/>
        </w:rPr>
        <w:t>he resultant annual unit burden</w:t>
      </w:r>
      <w:r w:rsidRPr="00B850BA" w:rsidR="003B6437">
        <w:rPr>
          <w:rFonts w:asciiTheme="minorHAnsi" w:hAnsiTheme="minorHAnsi" w:cstheme="minorHAnsi"/>
          <w:szCs w:val="24"/>
        </w:rPr>
        <w:t xml:space="preserve"> for reading and interpreting the regulation</w:t>
      </w:r>
      <w:r w:rsidRPr="00B850BA" w:rsidR="00504AC1">
        <w:rPr>
          <w:rFonts w:asciiTheme="minorHAnsi" w:hAnsiTheme="minorHAnsi" w:cstheme="minorHAnsi"/>
          <w:szCs w:val="24"/>
        </w:rPr>
        <w:t xml:space="preserve"> is </w:t>
      </w:r>
      <w:r w:rsidRPr="00B850BA" w:rsidR="001A0A77">
        <w:rPr>
          <w:rFonts w:asciiTheme="minorHAnsi" w:hAnsiTheme="minorHAnsi" w:cstheme="minorHAnsi"/>
          <w:szCs w:val="24"/>
        </w:rPr>
        <w:t>46.89 hours</w:t>
      </w:r>
      <w:r w:rsidRPr="00B850BA" w:rsidR="00C07E92">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C07E92">
        <w:rPr>
          <w:rFonts w:asciiTheme="minorHAnsi" w:hAnsiTheme="minorHAnsi" w:cstheme="minorHAnsi"/>
          <w:szCs w:val="24"/>
        </w:rPr>
        <w:t>able 2, line A)</w:t>
      </w:r>
      <w:r w:rsidRPr="00B850BA" w:rsidR="0021147C">
        <w:rPr>
          <w:rFonts w:asciiTheme="minorHAnsi" w:hAnsiTheme="minorHAnsi" w:cstheme="minorHAnsi"/>
          <w:szCs w:val="24"/>
        </w:rPr>
        <w:t>.</w:t>
      </w:r>
    </w:p>
    <w:p w:rsidR="00D74D9E" w:rsidRPr="00B850BA" w:rsidP="008F708D" w14:paraId="114A7A13" w14:textId="40C26848">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Respirator Program</w:t>
      </w:r>
    </w:p>
    <w:p w:rsidR="008A2383" w:rsidRPr="00B850BA" w:rsidP="00E407C9" w14:paraId="723EE021" w14:textId="77777777">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The respiratory protection program </w:t>
      </w:r>
      <w:r w:rsidRPr="00B850BA" w:rsidR="00B87F8C">
        <w:rPr>
          <w:rFonts w:asciiTheme="minorHAnsi" w:hAnsiTheme="minorHAnsi" w:cstheme="minorHAnsi"/>
          <w:szCs w:val="24"/>
        </w:rPr>
        <w:t>requires</w:t>
      </w:r>
      <w:r w:rsidRPr="00B850BA">
        <w:rPr>
          <w:rFonts w:asciiTheme="minorHAnsi" w:hAnsiTheme="minorHAnsi" w:cstheme="minorHAnsi"/>
          <w:szCs w:val="24"/>
        </w:rPr>
        <w:t xml:space="preserve"> three paperwork activities: (</w:t>
      </w:r>
      <w:r w:rsidRPr="00B850BA" w:rsidR="003B6437">
        <w:rPr>
          <w:rFonts w:asciiTheme="minorHAnsi" w:hAnsiTheme="minorHAnsi" w:cstheme="minorHAnsi"/>
          <w:szCs w:val="24"/>
        </w:rPr>
        <w:t>1</w:t>
      </w:r>
      <w:r w:rsidRPr="00B850BA">
        <w:rPr>
          <w:rFonts w:asciiTheme="minorHAnsi" w:hAnsiTheme="minorHAnsi" w:cstheme="minorHAnsi"/>
          <w:szCs w:val="24"/>
        </w:rPr>
        <w:t>) developing written guidance for implementing the respirator requirements of the rule, (</w:t>
      </w:r>
      <w:r w:rsidRPr="00B850BA" w:rsidR="003B6437">
        <w:rPr>
          <w:rFonts w:asciiTheme="minorHAnsi" w:hAnsiTheme="minorHAnsi" w:cstheme="minorHAnsi"/>
          <w:szCs w:val="24"/>
        </w:rPr>
        <w:t>2</w:t>
      </w:r>
      <w:r w:rsidRPr="00B850BA">
        <w:rPr>
          <w:rFonts w:asciiTheme="minorHAnsi" w:hAnsiTheme="minorHAnsi" w:cstheme="minorHAnsi"/>
          <w:szCs w:val="24"/>
        </w:rPr>
        <w:t>) fit testing, and (</w:t>
      </w:r>
      <w:r w:rsidRPr="00B850BA" w:rsidR="003B6437">
        <w:rPr>
          <w:rFonts w:asciiTheme="minorHAnsi" w:hAnsiTheme="minorHAnsi" w:cstheme="minorHAnsi"/>
          <w:szCs w:val="24"/>
        </w:rPr>
        <w:t>3</w:t>
      </w:r>
      <w:r w:rsidRPr="00B850BA">
        <w:rPr>
          <w:rFonts w:asciiTheme="minorHAnsi" w:hAnsiTheme="minorHAnsi" w:cstheme="minorHAnsi"/>
          <w:szCs w:val="24"/>
        </w:rPr>
        <w:t>) maintaining records of the fit tests.</w:t>
      </w:r>
    </w:p>
    <w:p w:rsidR="00B46D64" w:rsidRPr="00B850BA" w:rsidP="00E407C9" w14:paraId="4E7AADAB" w14:textId="5BC389B2">
      <w:pPr>
        <w:spacing w:line="276" w:lineRule="auto"/>
        <w:ind w:firstLine="0"/>
        <w:rPr>
          <w:rFonts w:asciiTheme="minorHAnsi" w:hAnsiTheme="minorHAnsi" w:cstheme="minorHAnsi"/>
          <w:szCs w:val="24"/>
        </w:rPr>
      </w:pPr>
      <w:r w:rsidRPr="00B850BA">
        <w:rPr>
          <w:rFonts w:asciiTheme="minorHAnsi" w:hAnsiTheme="minorHAnsi" w:cstheme="minorHAnsi"/>
          <w:szCs w:val="24"/>
        </w:rPr>
        <w:t>Written standard operating procedures covering the care, use, and selection of respirators must be established for each workplace in w</w:t>
      </w:r>
      <w:r w:rsidRPr="00B850BA" w:rsidR="00482BBF">
        <w:rPr>
          <w:rFonts w:asciiTheme="minorHAnsi" w:hAnsiTheme="minorHAnsi" w:cstheme="minorHAnsi"/>
          <w:szCs w:val="24"/>
        </w:rPr>
        <w:t xml:space="preserve">hich respirators are used. </w:t>
      </w:r>
      <w:r w:rsidRPr="00B850BA">
        <w:rPr>
          <w:rFonts w:asciiTheme="minorHAnsi" w:hAnsiTheme="minorHAnsi" w:cstheme="minorHAnsi"/>
          <w:szCs w:val="24"/>
        </w:rPr>
        <w:t>Much of the information needed to develop these procedures is specified in the OSHA asbestos standard for construction, as amended by OSHA’s 1998 respiratory protection standard (63 FR 1152; January 8, 1998). EPA assume</w:t>
      </w:r>
      <w:r w:rsidRPr="00B850BA" w:rsidR="00504AC1">
        <w:rPr>
          <w:rFonts w:asciiTheme="minorHAnsi" w:hAnsiTheme="minorHAnsi" w:cstheme="minorHAnsi"/>
          <w:szCs w:val="24"/>
        </w:rPr>
        <w:t>s</w:t>
      </w:r>
      <w:r w:rsidRPr="00B850BA">
        <w:rPr>
          <w:rFonts w:asciiTheme="minorHAnsi" w:hAnsiTheme="minorHAnsi" w:cstheme="minorHAnsi"/>
          <w:szCs w:val="24"/>
        </w:rPr>
        <w:t xml:space="preserve"> that large governments</w:t>
      </w:r>
      <w:r w:rsidRPr="00B850BA" w:rsidR="00AC63CA">
        <w:rPr>
          <w:rFonts w:asciiTheme="minorHAnsi" w:hAnsiTheme="minorHAnsi" w:cstheme="minorHAnsi"/>
          <w:szCs w:val="24"/>
        </w:rPr>
        <w:t xml:space="preserve"> </w:t>
      </w:r>
      <w:r w:rsidRPr="00B850BA">
        <w:rPr>
          <w:rFonts w:asciiTheme="minorHAnsi" w:hAnsiTheme="minorHAnsi" w:cstheme="minorHAnsi"/>
          <w:szCs w:val="24"/>
        </w:rPr>
        <w:t xml:space="preserve">would have an industrial hygienist on staff who </w:t>
      </w:r>
      <w:r w:rsidRPr="00B850BA" w:rsidR="00A2215A">
        <w:rPr>
          <w:rFonts w:asciiTheme="minorHAnsi" w:hAnsiTheme="minorHAnsi" w:cstheme="minorHAnsi"/>
          <w:szCs w:val="24"/>
        </w:rPr>
        <w:t>spend</w:t>
      </w:r>
      <w:r w:rsidRPr="00B850BA" w:rsidR="002A5257">
        <w:rPr>
          <w:rFonts w:asciiTheme="minorHAnsi" w:hAnsiTheme="minorHAnsi" w:cstheme="minorHAnsi"/>
          <w:szCs w:val="24"/>
        </w:rPr>
        <w:t>s</w:t>
      </w:r>
      <w:r w:rsidRPr="00B850BA">
        <w:rPr>
          <w:rFonts w:asciiTheme="minorHAnsi" w:hAnsiTheme="minorHAnsi" w:cstheme="minorHAnsi"/>
          <w:szCs w:val="24"/>
        </w:rPr>
        <w:t xml:space="preserve"> four hours </w:t>
      </w:r>
      <w:r w:rsidRPr="00B850BA" w:rsidR="00C82E08">
        <w:rPr>
          <w:rFonts w:asciiTheme="minorHAnsi" w:hAnsiTheme="minorHAnsi" w:cstheme="minorHAnsi"/>
          <w:szCs w:val="24"/>
        </w:rPr>
        <w:t xml:space="preserve">every five years (assumed frequency for review of respirator program updates) </w:t>
      </w:r>
      <w:r w:rsidRPr="00B850BA">
        <w:rPr>
          <w:rFonts w:asciiTheme="minorHAnsi" w:hAnsiTheme="minorHAnsi" w:cstheme="minorHAnsi"/>
          <w:szCs w:val="24"/>
        </w:rPr>
        <w:t>to</w:t>
      </w:r>
      <w:r w:rsidRPr="00B850BA" w:rsidR="00482BBF">
        <w:rPr>
          <w:rFonts w:asciiTheme="minorHAnsi" w:hAnsiTheme="minorHAnsi" w:cstheme="minorHAnsi"/>
          <w:szCs w:val="24"/>
        </w:rPr>
        <w:t xml:space="preserve"> comply with this requirement. </w:t>
      </w:r>
      <w:r w:rsidRPr="00B850BA">
        <w:rPr>
          <w:rFonts w:asciiTheme="minorHAnsi" w:hAnsiTheme="minorHAnsi" w:cstheme="minorHAnsi"/>
          <w:szCs w:val="24"/>
        </w:rPr>
        <w:t>EPA assumes that small governments, on the other hand, will not have an industrial hygienist on staff and will instead contract out this service</w:t>
      </w:r>
      <w:r w:rsidRPr="00B850BA" w:rsidR="00504AC1">
        <w:rPr>
          <w:rFonts w:asciiTheme="minorHAnsi" w:hAnsiTheme="minorHAnsi" w:cstheme="minorHAnsi"/>
          <w:szCs w:val="24"/>
        </w:rPr>
        <w:t>, incurring a cost</w:t>
      </w:r>
      <w:r w:rsidRPr="00B850BA" w:rsidR="00D85E0F">
        <w:rPr>
          <w:rFonts w:asciiTheme="minorHAnsi" w:hAnsiTheme="minorHAnsi" w:cstheme="minorHAnsi"/>
          <w:szCs w:val="24"/>
        </w:rPr>
        <w:t>,</w:t>
      </w:r>
      <w:r w:rsidRPr="00B850BA" w:rsidR="0031641E">
        <w:rPr>
          <w:rFonts w:asciiTheme="minorHAnsi" w:hAnsiTheme="minorHAnsi" w:cstheme="minorHAnsi"/>
          <w:szCs w:val="24"/>
        </w:rPr>
        <w:t xml:space="preserve"> but not a burden</w:t>
      </w:r>
      <w:r w:rsidRPr="00B850BA" w:rsidR="00181B5A">
        <w:rPr>
          <w:rFonts w:asciiTheme="minorHAnsi" w:hAnsiTheme="minorHAnsi" w:cstheme="minorHAnsi"/>
          <w:szCs w:val="24"/>
        </w:rPr>
        <w:t>.</w:t>
      </w:r>
      <w:r>
        <w:rPr>
          <w:rStyle w:val="FootnoteReference"/>
          <w:rFonts w:asciiTheme="minorHAnsi" w:hAnsiTheme="minorHAnsi" w:cstheme="minorHAnsi"/>
          <w:szCs w:val="24"/>
        </w:rPr>
        <w:footnoteReference w:id="4"/>
      </w:r>
      <w:r w:rsidRPr="00B850BA" w:rsidR="00181B5A">
        <w:rPr>
          <w:rFonts w:asciiTheme="minorHAnsi" w:hAnsiTheme="minorHAnsi" w:cstheme="minorHAnsi"/>
          <w:szCs w:val="24"/>
        </w:rPr>
        <w:t xml:space="preserve"> </w:t>
      </w:r>
      <w:r w:rsidRPr="00B850BA" w:rsidR="00A2215A">
        <w:rPr>
          <w:rFonts w:asciiTheme="minorHAnsi" w:hAnsiTheme="minorHAnsi" w:cstheme="minorHAnsi"/>
          <w:szCs w:val="24"/>
        </w:rPr>
        <w:t xml:space="preserve">To estimate the </w:t>
      </w:r>
      <w:r w:rsidRPr="00B850BA" w:rsidR="009E02F1">
        <w:rPr>
          <w:rFonts w:asciiTheme="minorHAnsi" w:hAnsiTheme="minorHAnsi" w:cstheme="minorHAnsi"/>
          <w:szCs w:val="24"/>
        </w:rPr>
        <w:t xml:space="preserve">count </w:t>
      </w:r>
      <w:r w:rsidRPr="00B850BA" w:rsidR="00D0532B">
        <w:rPr>
          <w:rFonts w:asciiTheme="minorHAnsi" w:hAnsiTheme="minorHAnsi" w:cstheme="minorHAnsi"/>
          <w:szCs w:val="24"/>
        </w:rPr>
        <w:t>of large</w:t>
      </w:r>
      <w:r w:rsidRPr="00B850BA" w:rsidR="00AC63CA">
        <w:rPr>
          <w:rFonts w:asciiTheme="minorHAnsi" w:hAnsiTheme="minorHAnsi" w:cstheme="minorHAnsi"/>
          <w:szCs w:val="24"/>
        </w:rPr>
        <w:t xml:space="preserve"> </w:t>
      </w:r>
      <w:r w:rsidRPr="00B850BA" w:rsidR="00D0532B">
        <w:rPr>
          <w:rFonts w:asciiTheme="minorHAnsi" w:hAnsiTheme="minorHAnsi" w:cstheme="minorHAnsi"/>
          <w:szCs w:val="24"/>
        </w:rPr>
        <w:t>entities</w:t>
      </w:r>
      <w:r w:rsidRPr="00B850BA" w:rsidR="00A2215A">
        <w:rPr>
          <w:rFonts w:asciiTheme="minorHAnsi" w:hAnsiTheme="minorHAnsi" w:cstheme="minorHAnsi"/>
          <w:szCs w:val="24"/>
        </w:rPr>
        <w:t xml:space="preserve">, EPA uses the Regulatory Flexibility Act (RFA) definition of small government and </w:t>
      </w:r>
      <w:r w:rsidRPr="00B850BA" w:rsidR="00124379">
        <w:rPr>
          <w:rFonts w:asciiTheme="minorHAnsi" w:hAnsiTheme="minorHAnsi" w:cstheme="minorHAnsi"/>
          <w:szCs w:val="24"/>
        </w:rPr>
        <w:t>determines that 3.2</w:t>
      </w:r>
      <w:r w:rsidRPr="00B850BA" w:rsidR="00F25723">
        <w:rPr>
          <w:rFonts w:asciiTheme="minorHAnsi" w:hAnsiTheme="minorHAnsi" w:cstheme="minorHAnsi"/>
          <w:szCs w:val="24"/>
        </w:rPr>
        <w:t>3</w:t>
      </w:r>
      <w:r w:rsidRPr="00B850BA" w:rsidR="00124379">
        <w:rPr>
          <w:rFonts w:asciiTheme="minorHAnsi" w:hAnsiTheme="minorHAnsi" w:cstheme="minorHAnsi"/>
          <w:szCs w:val="24"/>
        </w:rPr>
        <w:t xml:space="preserve"> </w:t>
      </w:r>
      <w:r w:rsidRPr="00B850BA" w:rsidR="00A320FB">
        <w:rPr>
          <w:rFonts w:asciiTheme="minorHAnsi" w:hAnsiTheme="minorHAnsi" w:cstheme="minorHAnsi"/>
          <w:szCs w:val="24"/>
        </w:rPr>
        <w:t>percent o</w:t>
      </w:r>
      <w:r w:rsidRPr="00B850BA" w:rsidR="004035B5">
        <w:rPr>
          <w:rFonts w:asciiTheme="minorHAnsi" w:hAnsiTheme="minorHAnsi" w:cstheme="minorHAnsi"/>
          <w:szCs w:val="24"/>
        </w:rPr>
        <w:t xml:space="preserve">f </w:t>
      </w:r>
      <w:r w:rsidRPr="00B850BA" w:rsidR="00A320FB">
        <w:rPr>
          <w:rFonts w:asciiTheme="minorHAnsi" w:hAnsiTheme="minorHAnsi" w:cstheme="minorHAnsi"/>
          <w:szCs w:val="24"/>
        </w:rPr>
        <w:t xml:space="preserve">affected </w:t>
      </w:r>
      <w:r w:rsidRPr="00B850BA" w:rsidR="004035B5">
        <w:rPr>
          <w:rFonts w:asciiTheme="minorHAnsi" w:hAnsiTheme="minorHAnsi" w:cstheme="minorHAnsi"/>
          <w:szCs w:val="24"/>
        </w:rPr>
        <w:t>entities are large.</w:t>
      </w:r>
      <w:r>
        <w:rPr>
          <w:rStyle w:val="FootnoteReference"/>
          <w:rFonts w:asciiTheme="minorHAnsi" w:hAnsiTheme="minorHAnsi" w:cstheme="minorHAnsi"/>
          <w:szCs w:val="24"/>
        </w:rPr>
        <w:footnoteReference w:id="5"/>
      </w:r>
      <w:r w:rsidRPr="00B850BA" w:rsidR="0027361B">
        <w:rPr>
          <w:rFonts w:asciiTheme="minorHAnsi" w:hAnsiTheme="minorHAnsi" w:cstheme="minorHAnsi"/>
          <w:szCs w:val="24"/>
          <w:vertAlign w:val="superscript"/>
        </w:rPr>
        <w:t xml:space="preserve"> </w:t>
      </w:r>
      <w:r w:rsidRPr="00B850BA" w:rsidR="004035B5">
        <w:rPr>
          <w:rFonts w:asciiTheme="minorHAnsi" w:hAnsiTheme="minorHAnsi" w:cstheme="minorHAnsi"/>
          <w:szCs w:val="24"/>
        </w:rPr>
        <w:t xml:space="preserve">Applying </w:t>
      </w:r>
      <w:r w:rsidRPr="00B850BA" w:rsidR="009E02F1">
        <w:rPr>
          <w:rFonts w:asciiTheme="minorHAnsi" w:hAnsiTheme="minorHAnsi" w:cstheme="minorHAnsi"/>
          <w:szCs w:val="24"/>
        </w:rPr>
        <w:t>assumptions</w:t>
      </w:r>
      <w:r w:rsidRPr="00B850BA" w:rsidR="000F2D12">
        <w:rPr>
          <w:rFonts w:asciiTheme="minorHAnsi" w:hAnsiTheme="minorHAnsi" w:cstheme="minorHAnsi"/>
          <w:szCs w:val="24"/>
        </w:rPr>
        <w:t xml:space="preserve"> above</w:t>
      </w:r>
      <w:r w:rsidRPr="00B850BA" w:rsidR="00D0532B">
        <w:rPr>
          <w:rFonts w:asciiTheme="minorHAnsi" w:hAnsiTheme="minorHAnsi" w:cstheme="minorHAnsi"/>
          <w:szCs w:val="24"/>
        </w:rPr>
        <w:t xml:space="preserve"> and converting to a per-state basis, </w:t>
      </w:r>
      <w:r w:rsidRPr="00B850BA" w:rsidR="004035B5">
        <w:rPr>
          <w:rFonts w:asciiTheme="minorHAnsi" w:hAnsiTheme="minorHAnsi" w:cstheme="minorHAnsi"/>
          <w:szCs w:val="24"/>
        </w:rPr>
        <w:t>the</w:t>
      </w:r>
      <w:r w:rsidRPr="00B850BA" w:rsidR="0031641E">
        <w:rPr>
          <w:rFonts w:asciiTheme="minorHAnsi" w:hAnsiTheme="minorHAnsi" w:cstheme="minorHAnsi"/>
          <w:szCs w:val="24"/>
        </w:rPr>
        <w:t xml:space="preserve"> </w:t>
      </w:r>
      <w:r w:rsidRPr="00B850BA" w:rsidR="00185CCC">
        <w:rPr>
          <w:rFonts w:asciiTheme="minorHAnsi" w:hAnsiTheme="minorHAnsi" w:cstheme="minorHAnsi"/>
          <w:szCs w:val="24"/>
        </w:rPr>
        <w:t xml:space="preserve">resultant </w:t>
      </w:r>
      <w:r w:rsidRPr="00B850BA" w:rsidR="004035B5">
        <w:rPr>
          <w:rFonts w:asciiTheme="minorHAnsi" w:hAnsiTheme="minorHAnsi" w:cstheme="minorHAnsi"/>
          <w:szCs w:val="24"/>
        </w:rPr>
        <w:t>annual unit burden</w:t>
      </w:r>
      <w:r w:rsidRPr="00B850BA" w:rsidR="00F25723">
        <w:rPr>
          <w:rFonts w:asciiTheme="minorHAnsi" w:hAnsiTheme="minorHAnsi" w:cstheme="minorHAnsi"/>
          <w:szCs w:val="24"/>
        </w:rPr>
        <w:t xml:space="preserve"> for</w:t>
      </w:r>
      <w:r w:rsidRPr="00B850BA" w:rsidR="002E04C2">
        <w:rPr>
          <w:rFonts w:asciiTheme="minorHAnsi" w:hAnsiTheme="minorHAnsi" w:cstheme="minorHAnsi"/>
          <w:szCs w:val="24"/>
        </w:rPr>
        <w:t xml:space="preserve"> developing the </w:t>
      </w:r>
      <w:r w:rsidRPr="00B850BA" w:rsidR="00134898">
        <w:rPr>
          <w:rFonts w:asciiTheme="minorHAnsi" w:hAnsiTheme="minorHAnsi" w:cstheme="minorHAnsi"/>
          <w:szCs w:val="24"/>
        </w:rPr>
        <w:t xml:space="preserve">respiratory </w:t>
      </w:r>
      <w:r w:rsidRPr="00B850BA" w:rsidR="002E04C2">
        <w:rPr>
          <w:rFonts w:asciiTheme="minorHAnsi" w:hAnsiTheme="minorHAnsi" w:cstheme="minorHAnsi"/>
          <w:szCs w:val="24"/>
        </w:rPr>
        <w:t>program</w:t>
      </w:r>
      <w:r w:rsidRPr="00B850BA" w:rsidR="004035B5">
        <w:rPr>
          <w:rFonts w:asciiTheme="minorHAnsi" w:hAnsiTheme="minorHAnsi" w:cstheme="minorHAnsi"/>
          <w:szCs w:val="24"/>
        </w:rPr>
        <w:t xml:space="preserve"> is </w:t>
      </w:r>
      <w:r w:rsidRPr="00B850BA" w:rsidR="00317693">
        <w:rPr>
          <w:rFonts w:asciiTheme="minorHAnsi" w:hAnsiTheme="minorHAnsi" w:cstheme="minorHAnsi"/>
          <w:szCs w:val="24"/>
        </w:rPr>
        <w:t>24.30</w:t>
      </w:r>
      <w:r w:rsidRPr="00B850BA" w:rsidR="00D0532B">
        <w:rPr>
          <w:rFonts w:asciiTheme="minorHAnsi" w:hAnsiTheme="minorHAnsi" w:cstheme="minorHAnsi"/>
          <w:szCs w:val="24"/>
        </w:rPr>
        <w:t xml:space="preserve"> hours</w:t>
      </w:r>
      <w:r w:rsidRPr="00B850BA" w:rsidR="00C07E92">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C07E92">
        <w:rPr>
          <w:rFonts w:asciiTheme="minorHAnsi" w:hAnsiTheme="minorHAnsi" w:cstheme="minorHAnsi"/>
          <w:szCs w:val="24"/>
        </w:rPr>
        <w:t>able 2, line B1)</w:t>
      </w:r>
      <w:r w:rsidRPr="00B850BA" w:rsidR="00134898">
        <w:rPr>
          <w:rFonts w:asciiTheme="minorHAnsi" w:hAnsiTheme="minorHAnsi" w:cstheme="minorHAnsi"/>
          <w:szCs w:val="24"/>
        </w:rPr>
        <w:t>.</w:t>
      </w:r>
      <w:r w:rsidRPr="00B850BA" w:rsidR="00124379">
        <w:rPr>
          <w:rFonts w:asciiTheme="minorHAnsi" w:hAnsiTheme="minorHAnsi" w:cstheme="minorHAnsi"/>
          <w:szCs w:val="24"/>
        </w:rPr>
        <w:t xml:space="preserve"> </w:t>
      </w:r>
    </w:p>
    <w:p w:rsidR="0031641E" w:rsidRPr="00B850BA" w:rsidP="00E407C9" w14:paraId="7417D769" w14:textId="79B51116">
      <w:pPr>
        <w:spacing w:line="276" w:lineRule="auto"/>
        <w:ind w:firstLine="0"/>
        <w:rPr>
          <w:rFonts w:asciiTheme="minorHAnsi" w:hAnsiTheme="minorHAnsi" w:cstheme="minorHAnsi"/>
          <w:szCs w:val="24"/>
        </w:rPr>
      </w:pPr>
      <w:r w:rsidRPr="00B850BA">
        <w:rPr>
          <w:rFonts w:asciiTheme="minorHAnsi" w:hAnsiTheme="minorHAnsi" w:cstheme="minorHAnsi"/>
          <w:szCs w:val="24"/>
        </w:rPr>
        <w:t>Fit testing imposes a requirement on both the worker being fit</w:t>
      </w:r>
      <w:r w:rsidRPr="00B850BA" w:rsidR="00743CD3">
        <w:rPr>
          <w:rFonts w:asciiTheme="minorHAnsi" w:hAnsiTheme="minorHAnsi" w:cstheme="minorHAnsi"/>
          <w:szCs w:val="24"/>
        </w:rPr>
        <w:t>-</w:t>
      </w:r>
      <w:r w:rsidRPr="00B850BA">
        <w:rPr>
          <w:rFonts w:asciiTheme="minorHAnsi" w:hAnsiTheme="minorHAnsi" w:cstheme="minorHAnsi"/>
          <w:szCs w:val="24"/>
        </w:rPr>
        <w:t>tested and the worker’s supervi</w:t>
      </w:r>
      <w:r w:rsidRPr="00B850BA" w:rsidR="00482BBF">
        <w:rPr>
          <w:rFonts w:asciiTheme="minorHAnsi" w:hAnsiTheme="minorHAnsi" w:cstheme="minorHAnsi"/>
          <w:szCs w:val="24"/>
        </w:rPr>
        <w:t xml:space="preserve">sor who conducts the fit test. </w:t>
      </w:r>
      <w:r w:rsidRPr="00B850BA">
        <w:rPr>
          <w:rFonts w:asciiTheme="minorHAnsi" w:hAnsiTheme="minorHAnsi" w:cstheme="minorHAnsi"/>
          <w:szCs w:val="24"/>
        </w:rPr>
        <w:t xml:space="preserve">EPA estimates that fit tests for full-face respirators will require </w:t>
      </w:r>
      <w:r w:rsidRPr="00B850BA" w:rsidR="00C07E92">
        <w:rPr>
          <w:rFonts w:asciiTheme="minorHAnsi" w:hAnsiTheme="minorHAnsi" w:cstheme="minorHAnsi"/>
          <w:szCs w:val="24"/>
        </w:rPr>
        <w:t xml:space="preserve">15 </w:t>
      </w:r>
      <w:r w:rsidRPr="00B850BA">
        <w:rPr>
          <w:rFonts w:asciiTheme="minorHAnsi" w:hAnsiTheme="minorHAnsi" w:cstheme="minorHAnsi"/>
          <w:szCs w:val="24"/>
        </w:rPr>
        <w:t xml:space="preserve">minutes and half-mask respirators will require </w:t>
      </w:r>
      <w:r w:rsidRPr="00B850BA" w:rsidR="00C07E92">
        <w:rPr>
          <w:rFonts w:asciiTheme="minorHAnsi" w:hAnsiTheme="minorHAnsi" w:cstheme="minorHAnsi"/>
          <w:szCs w:val="24"/>
        </w:rPr>
        <w:t xml:space="preserve">10 </w:t>
      </w:r>
      <w:r w:rsidRPr="00B850BA" w:rsidR="00482BBF">
        <w:rPr>
          <w:rFonts w:asciiTheme="minorHAnsi" w:hAnsiTheme="minorHAnsi" w:cstheme="minorHAnsi"/>
          <w:szCs w:val="24"/>
        </w:rPr>
        <w:t xml:space="preserve">minutes. </w:t>
      </w:r>
      <w:r w:rsidRPr="00B850BA">
        <w:rPr>
          <w:rFonts w:asciiTheme="minorHAnsi" w:hAnsiTheme="minorHAnsi" w:cstheme="minorHAnsi"/>
          <w:szCs w:val="24"/>
        </w:rPr>
        <w:t>On average, the percentage</w:t>
      </w:r>
      <w:r w:rsidRPr="00B850BA" w:rsidR="0066736A">
        <w:rPr>
          <w:rFonts w:asciiTheme="minorHAnsi" w:hAnsiTheme="minorHAnsi" w:cstheme="minorHAnsi"/>
          <w:szCs w:val="24"/>
        </w:rPr>
        <w:t xml:space="preserve"> of </w:t>
      </w:r>
      <w:r w:rsidRPr="00B850BA" w:rsidR="006F409D">
        <w:rPr>
          <w:rFonts w:asciiTheme="minorHAnsi" w:hAnsiTheme="minorHAnsi" w:cstheme="minorHAnsi"/>
          <w:szCs w:val="24"/>
        </w:rPr>
        <w:t xml:space="preserve">fit tests for </w:t>
      </w:r>
      <w:r w:rsidRPr="00B850BA">
        <w:rPr>
          <w:rFonts w:asciiTheme="minorHAnsi" w:hAnsiTheme="minorHAnsi" w:cstheme="minorHAnsi"/>
          <w:szCs w:val="24"/>
        </w:rPr>
        <w:t xml:space="preserve">the </w:t>
      </w:r>
      <w:r w:rsidRPr="00B850BA" w:rsidR="00687545">
        <w:rPr>
          <w:rFonts w:asciiTheme="minorHAnsi" w:hAnsiTheme="minorHAnsi" w:cstheme="minorHAnsi"/>
          <w:szCs w:val="24"/>
        </w:rPr>
        <w:t xml:space="preserve">full-face and half mask </w:t>
      </w:r>
      <w:r w:rsidRPr="00B850BA" w:rsidR="00743CD3">
        <w:rPr>
          <w:rFonts w:asciiTheme="minorHAnsi" w:hAnsiTheme="minorHAnsi" w:cstheme="minorHAnsi"/>
          <w:szCs w:val="24"/>
        </w:rPr>
        <w:t>respirator</w:t>
      </w:r>
      <w:r w:rsidRPr="00B850BA">
        <w:rPr>
          <w:rFonts w:asciiTheme="minorHAnsi" w:hAnsiTheme="minorHAnsi" w:cstheme="minorHAnsi"/>
          <w:szCs w:val="24"/>
        </w:rPr>
        <w:t>s are</w:t>
      </w:r>
      <w:r w:rsidRPr="00B850BA" w:rsidR="00BB2FF7">
        <w:rPr>
          <w:rFonts w:asciiTheme="minorHAnsi" w:hAnsiTheme="minorHAnsi" w:cstheme="minorHAnsi"/>
          <w:szCs w:val="24"/>
        </w:rPr>
        <w:t xml:space="preserve"> </w:t>
      </w:r>
      <w:r w:rsidRPr="00B850BA" w:rsidR="006F409D">
        <w:rPr>
          <w:rFonts w:asciiTheme="minorHAnsi" w:hAnsiTheme="minorHAnsi" w:cstheme="minorHAnsi"/>
          <w:szCs w:val="24"/>
        </w:rPr>
        <w:t>a</w:t>
      </w:r>
      <w:r w:rsidRPr="00B850BA" w:rsidR="00687545">
        <w:rPr>
          <w:rFonts w:asciiTheme="minorHAnsi" w:hAnsiTheme="minorHAnsi" w:cstheme="minorHAnsi"/>
          <w:szCs w:val="24"/>
        </w:rPr>
        <w:t>t</w:t>
      </w:r>
      <w:r w:rsidRPr="00B850BA" w:rsidR="006F409D">
        <w:rPr>
          <w:rFonts w:asciiTheme="minorHAnsi" w:hAnsiTheme="minorHAnsi" w:cstheme="minorHAnsi"/>
          <w:szCs w:val="24"/>
        </w:rPr>
        <w:t xml:space="preserve"> </w:t>
      </w:r>
      <w:r w:rsidRPr="00B850BA" w:rsidR="00BB2FF7">
        <w:rPr>
          <w:rFonts w:asciiTheme="minorHAnsi" w:hAnsiTheme="minorHAnsi" w:cstheme="minorHAnsi"/>
          <w:szCs w:val="24"/>
        </w:rPr>
        <w:t>1.</w:t>
      </w:r>
      <w:r w:rsidRPr="00B850BA" w:rsidR="00A25E24">
        <w:rPr>
          <w:rFonts w:asciiTheme="minorHAnsi" w:hAnsiTheme="minorHAnsi" w:cstheme="minorHAnsi"/>
          <w:szCs w:val="24"/>
        </w:rPr>
        <w:t>4</w:t>
      </w:r>
      <w:r w:rsidRPr="00B850BA">
        <w:rPr>
          <w:rFonts w:asciiTheme="minorHAnsi" w:hAnsiTheme="minorHAnsi" w:cstheme="minorHAnsi"/>
          <w:szCs w:val="24"/>
        </w:rPr>
        <w:t>% and</w:t>
      </w:r>
      <w:r w:rsidRPr="00B850BA" w:rsidR="00BB2FF7">
        <w:rPr>
          <w:rFonts w:asciiTheme="minorHAnsi" w:hAnsiTheme="minorHAnsi" w:cstheme="minorHAnsi"/>
          <w:szCs w:val="24"/>
        </w:rPr>
        <w:t xml:space="preserve"> 98.</w:t>
      </w:r>
      <w:r w:rsidRPr="00B850BA" w:rsidR="00A25E24">
        <w:rPr>
          <w:rFonts w:asciiTheme="minorHAnsi" w:hAnsiTheme="minorHAnsi" w:cstheme="minorHAnsi"/>
          <w:szCs w:val="24"/>
        </w:rPr>
        <w:t>6</w:t>
      </w:r>
      <w:r w:rsidRPr="00B850BA" w:rsidR="00BB2FF7">
        <w:rPr>
          <w:rFonts w:asciiTheme="minorHAnsi" w:hAnsiTheme="minorHAnsi" w:cstheme="minorHAnsi"/>
          <w:szCs w:val="24"/>
        </w:rPr>
        <w:t>%</w:t>
      </w:r>
      <w:r w:rsidRPr="00B850BA" w:rsidR="0066736A">
        <w:rPr>
          <w:rFonts w:asciiTheme="minorHAnsi" w:hAnsiTheme="minorHAnsi" w:cstheme="minorHAnsi"/>
          <w:szCs w:val="24"/>
        </w:rPr>
        <w:t xml:space="preserve">, </w:t>
      </w:r>
      <w:r w:rsidRPr="00B850BA" w:rsidR="00BB2FF7">
        <w:rPr>
          <w:rFonts w:asciiTheme="minorHAnsi" w:hAnsiTheme="minorHAnsi" w:cstheme="minorHAnsi"/>
          <w:szCs w:val="24"/>
        </w:rPr>
        <w:t>respectively</w:t>
      </w:r>
      <w:r w:rsidRPr="00B850BA" w:rsidR="00580521">
        <w:rPr>
          <w:rFonts w:asciiTheme="minorHAnsi" w:hAnsiTheme="minorHAnsi" w:cstheme="minorHAnsi"/>
          <w:szCs w:val="24"/>
        </w:rPr>
        <w:t>.</w:t>
      </w:r>
      <w:r>
        <w:rPr>
          <w:rStyle w:val="FootnoteReference"/>
          <w:rFonts w:asciiTheme="minorHAnsi" w:hAnsiTheme="minorHAnsi" w:cstheme="minorHAnsi"/>
          <w:szCs w:val="24"/>
        </w:rPr>
        <w:footnoteReference w:id="6"/>
      </w:r>
      <w:r w:rsidRPr="00B850BA" w:rsidR="00580521">
        <w:rPr>
          <w:rFonts w:asciiTheme="minorHAnsi" w:hAnsiTheme="minorHAnsi" w:cstheme="minorHAnsi"/>
          <w:szCs w:val="24"/>
        </w:rPr>
        <w:t xml:space="preserve"> Applying assumptions and converting to a per-state basis yields </w:t>
      </w:r>
      <w:r w:rsidRPr="00B850BA" w:rsidR="00687545">
        <w:rPr>
          <w:rFonts w:asciiTheme="minorHAnsi" w:hAnsiTheme="minorHAnsi" w:cstheme="minorHAnsi"/>
          <w:szCs w:val="24"/>
        </w:rPr>
        <w:t>resultant annual unit burdens of 0.74 hours for full-face mask fit tests, and 32.</w:t>
      </w:r>
      <w:r w:rsidRPr="00B850BA" w:rsidR="00181EAD">
        <w:rPr>
          <w:rFonts w:asciiTheme="minorHAnsi" w:hAnsiTheme="minorHAnsi" w:cstheme="minorHAnsi"/>
          <w:szCs w:val="24"/>
        </w:rPr>
        <w:t xml:space="preserve">72 </w:t>
      </w:r>
      <w:r w:rsidRPr="00B850BA" w:rsidR="00580521">
        <w:rPr>
          <w:rFonts w:asciiTheme="minorHAnsi" w:hAnsiTheme="minorHAnsi" w:cstheme="minorHAnsi"/>
          <w:szCs w:val="24"/>
        </w:rPr>
        <w:t>hours for half-</w:t>
      </w:r>
      <w:r w:rsidRPr="00B850BA" w:rsidR="00687545">
        <w:rPr>
          <w:rFonts w:asciiTheme="minorHAnsi" w:hAnsiTheme="minorHAnsi" w:cstheme="minorHAnsi"/>
          <w:szCs w:val="24"/>
        </w:rPr>
        <w:t>mask fit tests</w:t>
      </w:r>
      <w:r w:rsidRPr="00B850BA" w:rsidR="00C07E92">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C07E92">
        <w:rPr>
          <w:rFonts w:asciiTheme="minorHAnsi" w:hAnsiTheme="minorHAnsi" w:cstheme="minorHAnsi"/>
          <w:szCs w:val="24"/>
        </w:rPr>
        <w:t>able 2, lines B2a and B2b, respectively)</w:t>
      </w:r>
      <w:r w:rsidRPr="00B850BA" w:rsidR="00687545">
        <w:rPr>
          <w:rFonts w:asciiTheme="minorHAnsi" w:hAnsiTheme="minorHAnsi" w:cstheme="minorHAnsi"/>
          <w:szCs w:val="24"/>
        </w:rPr>
        <w:t>.</w:t>
      </w:r>
    </w:p>
    <w:p w:rsidR="00D74D9E" w:rsidRPr="00B850BA" w:rsidP="00E407C9" w14:paraId="623B7F32" w14:textId="609E589F">
      <w:pPr>
        <w:spacing w:line="276" w:lineRule="auto"/>
        <w:ind w:firstLine="0"/>
        <w:rPr>
          <w:rFonts w:asciiTheme="minorHAnsi" w:hAnsiTheme="minorHAnsi" w:cstheme="minorHAnsi"/>
          <w:szCs w:val="24"/>
        </w:rPr>
      </w:pPr>
      <w:r w:rsidRPr="00B850BA">
        <w:rPr>
          <w:rFonts w:asciiTheme="minorHAnsi" w:hAnsiTheme="minorHAnsi" w:cstheme="minorHAnsi"/>
          <w:szCs w:val="24"/>
        </w:rPr>
        <w:t>Maintaining records of the fit tests is assumed to require five minutes of cl</w:t>
      </w:r>
      <w:r w:rsidRPr="00B850BA" w:rsidR="650F57E8">
        <w:rPr>
          <w:rFonts w:asciiTheme="minorHAnsi" w:hAnsiTheme="minorHAnsi" w:cstheme="minorHAnsi"/>
          <w:szCs w:val="24"/>
        </w:rPr>
        <w:t xml:space="preserve">erical time for each fit test. </w:t>
      </w:r>
      <w:r w:rsidRPr="00B850BA" w:rsidR="0FD51FF9">
        <w:rPr>
          <w:rFonts w:asciiTheme="minorHAnsi" w:hAnsiTheme="minorHAnsi" w:cstheme="minorHAnsi"/>
          <w:szCs w:val="24"/>
        </w:rPr>
        <w:t>Applying this assumption</w:t>
      </w:r>
      <w:r w:rsidRPr="00B850BA" w:rsidR="45D913A8">
        <w:rPr>
          <w:rFonts w:asciiTheme="minorHAnsi" w:hAnsiTheme="minorHAnsi" w:cstheme="minorHAnsi"/>
          <w:szCs w:val="24"/>
        </w:rPr>
        <w:t xml:space="preserve"> and converting to a per-state basis, the resultant annual unit burden for fit test </w:t>
      </w:r>
      <w:r w:rsidRPr="00B850BA" w:rsidR="7C811E24">
        <w:rPr>
          <w:rFonts w:asciiTheme="minorHAnsi" w:hAnsiTheme="minorHAnsi" w:cstheme="minorHAnsi"/>
          <w:szCs w:val="24"/>
        </w:rPr>
        <w:t xml:space="preserve">records </w:t>
      </w:r>
      <w:r w:rsidRPr="00B850BA" w:rsidR="0FD51FF9">
        <w:rPr>
          <w:rFonts w:asciiTheme="minorHAnsi" w:hAnsiTheme="minorHAnsi" w:cstheme="minorHAnsi"/>
          <w:szCs w:val="24"/>
        </w:rPr>
        <w:t xml:space="preserve">maintenance </w:t>
      </w:r>
      <w:r w:rsidRPr="00B850BA" w:rsidR="45D913A8">
        <w:rPr>
          <w:rFonts w:asciiTheme="minorHAnsi" w:hAnsiTheme="minorHAnsi" w:cstheme="minorHAnsi"/>
          <w:szCs w:val="24"/>
        </w:rPr>
        <w:t xml:space="preserve">is </w:t>
      </w:r>
      <w:r w:rsidRPr="00B850BA" w:rsidR="2344F8FF">
        <w:rPr>
          <w:rFonts w:asciiTheme="minorHAnsi" w:hAnsiTheme="minorHAnsi" w:cstheme="minorHAnsi"/>
          <w:szCs w:val="24"/>
        </w:rPr>
        <w:t>8.31 hours</w:t>
      </w:r>
      <w:r w:rsidRPr="00B850BA" w:rsidR="050F8BD6">
        <w:rPr>
          <w:rFonts w:asciiTheme="minorHAnsi" w:hAnsiTheme="minorHAnsi" w:cstheme="minorHAnsi"/>
          <w:szCs w:val="24"/>
        </w:rPr>
        <w:t xml:space="preserve"> (</w:t>
      </w:r>
      <w:r w:rsidRPr="00B850BA" w:rsidR="2A23D3D1">
        <w:rPr>
          <w:rFonts w:asciiTheme="minorHAnsi" w:hAnsiTheme="minorHAnsi" w:cstheme="minorHAnsi"/>
          <w:szCs w:val="24"/>
        </w:rPr>
        <w:t>T</w:t>
      </w:r>
      <w:r w:rsidRPr="00B850BA" w:rsidR="050F8BD6">
        <w:rPr>
          <w:rFonts w:asciiTheme="minorHAnsi" w:hAnsiTheme="minorHAnsi" w:cstheme="minorHAnsi"/>
          <w:szCs w:val="24"/>
        </w:rPr>
        <w:t xml:space="preserve">able 2, line </w:t>
      </w:r>
      <w:r w:rsidRPr="00B850BA" w:rsidR="6A6E42A0">
        <w:rPr>
          <w:rFonts w:asciiTheme="minorHAnsi" w:hAnsiTheme="minorHAnsi" w:cstheme="minorHAnsi"/>
          <w:szCs w:val="24"/>
        </w:rPr>
        <w:t>B</w:t>
      </w:r>
      <w:r w:rsidRPr="00B850BA" w:rsidR="29D7FCF4">
        <w:rPr>
          <w:rFonts w:asciiTheme="minorHAnsi" w:hAnsiTheme="minorHAnsi" w:cstheme="minorHAnsi"/>
          <w:szCs w:val="24"/>
        </w:rPr>
        <w:t>3)</w:t>
      </w:r>
      <w:r w:rsidRPr="00B850BA" w:rsidR="45D913A8">
        <w:rPr>
          <w:rFonts w:asciiTheme="minorHAnsi" w:hAnsiTheme="minorHAnsi" w:cstheme="minorHAnsi"/>
          <w:szCs w:val="24"/>
        </w:rPr>
        <w:t>.</w:t>
      </w:r>
    </w:p>
    <w:p w:rsidR="00D74D9E" w:rsidRPr="00B850BA" w:rsidP="008F708D" w14:paraId="4A6CC850" w14:textId="3E78E171">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Exposure Monitoring</w:t>
      </w:r>
    </w:p>
    <w:p w:rsidR="008A2383" w:rsidRPr="00B850BA" w:rsidP="00E407C9" w14:paraId="70D2D3DB" w14:textId="790BACA6">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The exposure monitoring requires </w:t>
      </w:r>
      <w:r w:rsidRPr="00B850BA" w:rsidR="00323135">
        <w:rPr>
          <w:rFonts w:asciiTheme="minorHAnsi" w:hAnsiTheme="minorHAnsi" w:cstheme="minorHAnsi"/>
          <w:szCs w:val="24"/>
        </w:rPr>
        <w:t>employers for</w:t>
      </w:r>
      <w:r w:rsidRPr="00B850BA" w:rsidR="001051DF">
        <w:rPr>
          <w:rFonts w:asciiTheme="minorHAnsi" w:hAnsiTheme="minorHAnsi" w:cstheme="minorHAnsi"/>
          <w:szCs w:val="24"/>
        </w:rPr>
        <w:t xml:space="preserve"> </w:t>
      </w:r>
      <w:r w:rsidRPr="00B850BA">
        <w:rPr>
          <w:rFonts w:asciiTheme="minorHAnsi" w:hAnsiTheme="minorHAnsi" w:cstheme="minorHAnsi"/>
          <w:szCs w:val="24"/>
        </w:rPr>
        <w:t>affected projects to perform periodic exposure monitoring unless a negative expo</w:t>
      </w:r>
      <w:r w:rsidRPr="00B850BA" w:rsidR="008636BD">
        <w:rPr>
          <w:rFonts w:asciiTheme="minorHAnsi" w:hAnsiTheme="minorHAnsi" w:cstheme="minorHAnsi"/>
          <w:szCs w:val="24"/>
        </w:rPr>
        <w:t xml:space="preserve">sure assessment has been made. </w:t>
      </w:r>
      <w:r w:rsidRPr="00B850BA">
        <w:rPr>
          <w:rFonts w:asciiTheme="minorHAnsi" w:hAnsiTheme="minorHAnsi" w:cstheme="minorHAnsi"/>
          <w:szCs w:val="24"/>
        </w:rPr>
        <w:t>For the construction</w:t>
      </w:r>
      <w:r w:rsidRPr="00B850BA" w:rsidR="003E01A5">
        <w:rPr>
          <w:rFonts w:asciiTheme="minorHAnsi" w:hAnsiTheme="minorHAnsi" w:cstheme="minorHAnsi"/>
          <w:szCs w:val="24"/>
        </w:rPr>
        <w:t xml:space="preserve"> </w:t>
      </w:r>
      <w:r w:rsidRPr="00B850BA" w:rsidR="001051DF">
        <w:rPr>
          <w:rFonts w:asciiTheme="minorHAnsi" w:hAnsiTheme="minorHAnsi" w:cstheme="minorHAnsi"/>
          <w:szCs w:val="24"/>
        </w:rPr>
        <w:t>workers,</w:t>
      </w:r>
      <w:r w:rsidRPr="00B850BA">
        <w:rPr>
          <w:rFonts w:asciiTheme="minorHAnsi" w:hAnsiTheme="minorHAnsi" w:cstheme="minorHAnsi"/>
          <w:szCs w:val="24"/>
        </w:rPr>
        <w:t xml:space="preserve"> </w:t>
      </w:r>
      <w:r w:rsidRPr="00B850BA" w:rsidR="001051DF">
        <w:rPr>
          <w:rFonts w:asciiTheme="minorHAnsi" w:hAnsiTheme="minorHAnsi" w:cstheme="minorHAnsi"/>
          <w:szCs w:val="24"/>
        </w:rPr>
        <w:t xml:space="preserve">exposure monitoring </w:t>
      </w:r>
      <w:r w:rsidRPr="00B850BA">
        <w:rPr>
          <w:rFonts w:asciiTheme="minorHAnsi" w:hAnsiTheme="minorHAnsi" w:cstheme="minorHAnsi"/>
          <w:szCs w:val="24"/>
        </w:rPr>
        <w:t>require</w:t>
      </w:r>
      <w:r w:rsidRPr="00B850BA" w:rsidR="001051DF">
        <w:rPr>
          <w:rFonts w:asciiTheme="minorHAnsi" w:hAnsiTheme="minorHAnsi" w:cstheme="minorHAnsi"/>
          <w:szCs w:val="24"/>
        </w:rPr>
        <w:t>s</w:t>
      </w:r>
      <w:r w:rsidRPr="00B850BA">
        <w:rPr>
          <w:rFonts w:asciiTheme="minorHAnsi" w:hAnsiTheme="minorHAnsi" w:cstheme="minorHAnsi"/>
          <w:szCs w:val="24"/>
        </w:rPr>
        <w:t xml:space="preserve"> affected crews (i.e., groups of workers) to have an initial exposure </w:t>
      </w:r>
      <w:r w:rsidRPr="00B850BA" w:rsidR="008636BD">
        <w:rPr>
          <w:rFonts w:asciiTheme="minorHAnsi" w:hAnsiTheme="minorHAnsi" w:cstheme="minorHAnsi"/>
          <w:szCs w:val="24"/>
        </w:rPr>
        <w:t>assessment</w:t>
      </w:r>
      <w:r w:rsidRPr="00B850BA" w:rsidR="00323135">
        <w:rPr>
          <w:rFonts w:asciiTheme="minorHAnsi" w:hAnsiTheme="minorHAnsi" w:cstheme="minorHAnsi"/>
          <w:szCs w:val="24"/>
        </w:rPr>
        <w:t xml:space="preserve">. </w:t>
      </w:r>
      <w:r w:rsidRPr="00B850BA" w:rsidR="001051DF">
        <w:rPr>
          <w:rFonts w:asciiTheme="minorHAnsi" w:hAnsiTheme="minorHAnsi" w:cstheme="minorHAnsi"/>
          <w:szCs w:val="24"/>
        </w:rPr>
        <w:t xml:space="preserve">EPA estimates that the monitoring at sites will require two hours of an industrial hygienist’s time </w:t>
      </w:r>
      <w:r w:rsidRPr="00B850BA" w:rsidR="007D2358">
        <w:rPr>
          <w:rFonts w:asciiTheme="minorHAnsi" w:hAnsiTheme="minorHAnsi" w:cstheme="minorHAnsi"/>
          <w:szCs w:val="24"/>
        </w:rPr>
        <w:t>every three years</w:t>
      </w:r>
      <w:r w:rsidRPr="00B850BA" w:rsidR="001051DF">
        <w:rPr>
          <w:rFonts w:asciiTheme="minorHAnsi" w:hAnsiTheme="minorHAnsi" w:cstheme="minorHAnsi"/>
          <w:szCs w:val="24"/>
        </w:rPr>
        <w:t>.</w:t>
      </w:r>
    </w:p>
    <w:p w:rsidR="008A2383" w:rsidRPr="00B850BA" w:rsidP="00E407C9" w14:paraId="490210DB" w14:textId="41C20371">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As with </w:t>
      </w:r>
      <w:r w:rsidRPr="00B850BA" w:rsidR="002464D9">
        <w:rPr>
          <w:rFonts w:asciiTheme="minorHAnsi" w:hAnsiTheme="minorHAnsi" w:cstheme="minorHAnsi"/>
          <w:szCs w:val="24"/>
        </w:rPr>
        <w:t xml:space="preserve">the activity for </w:t>
      </w:r>
      <w:r w:rsidRPr="00B850BA">
        <w:rPr>
          <w:rFonts w:asciiTheme="minorHAnsi" w:hAnsiTheme="minorHAnsi" w:cstheme="minorHAnsi"/>
          <w:szCs w:val="24"/>
        </w:rPr>
        <w:t>developing respirator programs, EPA assumes</w:t>
      </w:r>
      <w:r w:rsidRPr="00B850BA" w:rsidR="00CB3DBB">
        <w:rPr>
          <w:rFonts w:asciiTheme="minorHAnsi" w:hAnsiTheme="minorHAnsi" w:cstheme="minorHAnsi"/>
          <w:szCs w:val="24"/>
        </w:rPr>
        <w:t xml:space="preserve"> </w:t>
      </w:r>
      <w:r w:rsidRPr="00B850BA">
        <w:rPr>
          <w:rFonts w:asciiTheme="minorHAnsi" w:hAnsiTheme="minorHAnsi" w:cstheme="minorHAnsi"/>
          <w:szCs w:val="24"/>
        </w:rPr>
        <w:t>that only large governments incur this as a paperwork burden</w:t>
      </w:r>
      <w:r w:rsidRPr="00B850BA" w:rsidR="003B0CC1">
        <w:rPr>
          <w:rFonts w:asciiTheme="minorHAnsi" w:hAnsiTheme="minorHAnsi" w:cstheme="minorHAnsi"/>
          <w:szCs w:val="24"/>
        </w:rPr>
        <w:t>.</w:t>
      </w:r>
      <w:r>
        <w:rPr>
          <w:rStyle w:val="FootnoteReference"/>
          <w:rFonts w:asciiTheme="minorHAnsi" w:hAnsiTheme="minorHAnsi" w:cstheme="minorHAnsi"/>
          <w:szCs w:val="24"/>
        </w:rPr>
        <w:footnoteReference w:id="7"/>
      </w:r>
      <w:r w:rsidRPr="00B850BA" w:rsidR="008636BD">
        <w:rPr>
          <w:rFonts w:asciiTheme="minorHAnsi" w:hAnsiTheme="minorHAnsi" w:cstheme="minorHAnsi"/>
          <w:szCs w:val="24"/>
        </w:rPr>
        <w:t xml:space="preserve"> </w:t>
      </w:r>
      <w:r w:rsidRPr="00B850BA" w:rsidR="00B87F8C">
        <w:rPr>
          <w:rFonts w:asciiTheme="minorHAnsi" w:hAnsiTheme="minorHAnsi" w:cstheme="minorHAnsi"/>
          <w:szCs w:val="24"/>
        </w:rPr>
        <w:t>T</w:t>
      </w:r>
      <w:r w:rsidRPr="00B850BA" w:rsidR="002464D9">
        <w:rPr>
          <w:rFonts w:asciiTheme="minorHAnsi" w:hAnsiTheme="minorHAnsi" w:cstheme="minorHAnsi"/>
          <w:szCs w:val="24"/>
        </w:rPr>
        <w:t xml:space="preserve">he number of crews is proportional to the populations </w:t>
      </w:r>
      <w:r w:rsidRPr="00B850BA" w:rsidR="00FB12C3">
        <w:rPr>
          <w:rFonts w:asciiTheme="minorHAnsi" w:hAnsiTheme="minorHAnsi" w:cstheme="minorHAnsi"/>
          <w:szCs w:val="24"/>
        </w:rPr>
        <w:t>under</w:t>
      </w:r>
      <w:r w:rsidRPr="00B850BA" w:rsidR="002464D9">
        <w:rPr>
          <w:rFonts w:asciiTheme="minorHAnsi" w:hAnsiTheme="minorHAnsi" w:cstheme="minorHAnsi"/>
          <w:szCs w:val="24"/>
        </w:rPr>
        <w:t xml:space="preserve"> large </w:t>
      </w:r>
      <w:r w:rsidRPr="00B850BA" w:rsidR="001540A8">
        <w:rPr>
          <w:rFonts w:asciiTheme="minorHAnsi" w:hAnsiTheme="minorHAnsi" w:cstheme="minorHAnsi"/>
          <w:szCs w:val="24"/>
        </w:rPr>
        <w:t>entities</w:t>
      </w:r>
      <w:r w:rsidRPr="00B850BA" w:rsidR="002464D9">
        <w:rPr>
          <w:rFonts w:asciiTheme="minorHAnsi" w:hAnsiTheme="minorHAnsi" w:cstheme="minorHAnsi"/>
          <w:szCs w:val="24"/>
        </w:rPr>
        <w:t xml:space="preserve"> </w:t>
      </w:r>
      <w:r w:rsidRPr="00B850BA" w:rsidR="00FB12C3">
        <w:rPr>
          <w:rFonts w:asciiTheme="minorHAnsi" w:hAnsiTheme="minorHAnsi" w:cstheme="minorHAnsi"/>
          <w:szCs w:val="24"/>
        </w:rPr>
        <w:t xml:space="preserve">with </w:t>
      </w:r>
      <w:r w:rsidRPr="00B850BA" w:rsidR="007D2358">
        <w:rPr>
          <w:rFonts w:asciiTheme="minorHAnsi" w:hAnsiTheme="minorHAnsi" w:cstheme="minorHAnsi"/>
          <w:szCs w:val="24"/>
        </w:rPr>
        <w:t>42.3</w:t>
      </w:r>
      <w:r w:rsidRPr="00B850BA" w:rsidR="007C2752">
        <w:rPr>
          <w:rFonts w:asciiTheme="minorHAnsi" w:hAnsiTheme="minorHAnsi" w:cstheme="minorHAnsi"/>
          <w:szCs w:val="24"/>
        </w:rPr>
        <w:t>4</w:t>
      </w:r>
      <w:r w:rsidRPr="00B850BA" w:rsidR="002464D9">
        <w:rPr>
          <w:rFonts w:asciiTheme="minorHAnsi" w:hAnsiTheme="minorHAnsi" w:cstheme="minorHAnsi"/>
          <w:szCs w:val="24"/>
        </w:rPr>
        <w:t xml:space="preserve">% </w:t>
      </w:r>
      <w:r w:rsidRPr="00B850BA" w:rsidR="00FB12C3">
        <w:rPr>
          <w:rFonts w:asciiTheme="minorHAnsi" w:hAnsiTheme="minorHAnsi" w:cstheme="minorHAnsi"/>
          <w:szCs w:val="24"/>
        </w:rPr>
        <w:t xml:space="preserve">of the </w:t>
      </w:r>
      <w:r w:rsidRPr="00B850BA" w:rsidR="001051DF">
        <w:rPr>
          <w:rFonts w:asciiTheme="minorHAnsi" w:hAnsiTheme="minorHAnsi" w:cstheme="minorHAnsi"/>
          <w:szCs w:val="24"/>
        </w:rPr>
        <w:t xml:space="preserve">total number of </w:t>
      </w:r>
      <w:r w:rsidRPr="00B850BA" w:rsidR="00FB12C3">
        <w:rPr>
          <w:rFonts w:asciiTheme="minorHAnsi" w:hAnsiTheme="minorHAnsi" w:cstheme="minorHAnsi"/>
          <w:szCs w:val="24"/>
        </w:rPr>
        <w:t xml:space="preserve">crews </w:t>
      </w:r>
      <w:r w:rsidRPr="00B850BA" w:rsidR="00224A69">
        <w:rPr>
          <w:rFonts w:asciiTheme="minorHAnsi" w:hAnsiTheme="minorHAnsi" w:cstheme="minorHAnsi"/>
          <w:szCs w:val="24"/>
        </w:rPr>
        <w:t xml:space="preserve">working </w:t>
      </w:r>
      <w:r w:rsidRPr="00B850BA" w:rsidR="005D3736">
        <w:rPr>
          <w:rFonts w:asciiTheme="minorHAnsi" w:hAnsiTheme="minorHAnsi" w:cstheme="minorHAnsi"/>
          <w:szCs w:val="24"/>
        </w:rPr>
        <w:t>for</w:t>
      </w:r>
      <w:r w:rsidRPr="00B850BA" w:rsidR="007D2358">
        <w:rPr>
          <w:rFonts w:asciiTheme="minorHAnsi" w:hAnsiTheme="minorHAnsi" w:cstheme="minorHAnsi"/>
          <w:szCs w:val="24"/>
        </w:rPr>
        <w:t xml:space="preserve"> </w:t>
      </w:r>
      <w:r w:rsidRPr="00B850BA" w:rsidR="00224A69">
        <w:rPr>
          <w:rFonts w:asciiTheme="minorHAnsi" w:hAnsiTheme="minorHAnsi" w:cstheme="minorHAnsi"/>
          <w:szCs w:val="24"/>
        </w:rPr>
        <w:t>large government</w:t>
      </w:r>
      <w:r w:rsidRPr="00B850BA" w:rsidR="005D3736">
        <w:rPr>
          <w:rFonts w:asciiTheme="minorHAnsi" w:hAnsiTheme="minorHAnsi" w:cstheme="minorHAnsi"/>
          <w:szCs w:val="24"/>
        </w:rPr>
        <w:t>s</w:t>
      </w:r>
      <w:r w:rsidRPr="00B850BA" w:rsidR="001051DF">
        <w:rPr>
          <w:rFonts w:asciiTheme="minorHAnsi" w:hAnsiTheme="minorHAnsi" w:cstheme="minorHAnsi"/>
          <w:szCs w:val="24"/>
        </w:rPr>
        <w:t>.</w:t>
      </w:r>
      <w:r>
        <w:rPr>
          <w:rStyle w:val="FootnoteReference"/>
          <w:rFonts w:asciiTheme="minorHAnsi" w:hAnsiTheme="minorHAnsi" w:cstheme="minorHAnsi"/>
          <w:szCs w:val="24"/>
        </w:rPr>
        <w:footnoteReference w:id="8"/>
      </w:r>
      <w:r w:rsidRPr="00B850BA" w:rsidR="001051DF">
        <w:rPr>
          <w:rFonts w:asciiTheme="minorHAnsi" w:hAnsiTheme="minorHAnsi" w:cstheme="minorHAnsi"/>
          <w:szCs w:val="24"/>
        </w:rPr>
        <w:t xml:space="preserve"> </w:t>
      </w:r>
      <w:r w:rsidRPr="00B850BA" w:rsidR="007D2358">
        <w:rPr>
          <w:rFonts w:asciiTheme="minorHAnsi" w:hAnsiTheme="minorHAnsi" w:cstheme="minorHAnsi"/>
          <w:szCs w:val="24"/>
        </w:rPr>
        <w:t>Applying the above assumptions and converting to</w:t>
      </w:r>
      <w:r w:rsidRPr="00B850BA" w:rsidR="001540A8">
        <w:rPr>
          <w:rFonts w:asciiTheme="minorHAnsi" w:hAnsiTheme="minorHAnsi" w:cstheme="minorHAnsi"/>
          <w:szCs w:val="24"/>
        </w:rPr>
        <w:t xml:space="preserve"> a per-state basis, the resultant </w:t>
      </w:r>
      <w:r w:rsidRPr="00B850BA" w:rsidR="007D2358">
        <w:rPr>
          <w:rFonts w:asciiTheme="minorHAnsi" w:hAnsiTheme="minorHAnsi" w:cstheme="minorHAnsi"/>
          <w:szCs w:val="24"/>
        </w:rPr>
        <w:t xml:space="preserve">annual unit burden for initial exposure assessments for construction crews </w:t>
      </w:r>
      <w:r w:rsidRPr="00B850BA" w:rsidR="001540A8">
        <w:rPr>
          <w:rFonts w:asciiTheme="minorHAnsi" w:hAnsiTheme="minorHAnsi" w:cstheme="minorHAnsi"/>
          <w:szCs w:val="24"/>
        </w:rPr>
        <w:t xml:space="preserve">is </w:t>
      </w:r>
      <w:r w:rsidRPr="00B850BA" w:rsidR="007D2358">
        <w:rPr>
          <w:rFonts w:asciiTheme="minorHAnsi" w:hAnsiTheme="minorHAnsi" w:cstheme="minorHAnsi"/>
          <w:szCs w:val="24"/>
        </w:rPr>
        <w:t>314.15 hours</w:t>
      </w:r>
      <w:r w:rsidRPr="00B850BA" w:rsidR="007C2752">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7C2752">
        <w:rPr>
          <w:rFonts w:asciiTheme="minorHAnsi" w:hAnsiTheme="minorHAnsi" w:cstheme="minorHAnsi"/>
          <w:szCs w:val="24"/>
        </w:rPr>
        <w:t>able 2, line C1a)</w:t>
      </w:r>
      <w:r w:rsidRPr="00B850BA" w:rsidR="007D2358">
        <w:rPr>
          <w:rFonts w:asciiTheme="minorHAnsi" w:hAnsiTheme="minorHAnsi" w:cstheme="minorHAnsi"/>
          <w:szCs w:val="24"/>
        </w:rPr>
        <w:t xml:space="preserve">. </w:t>
      </w:r>
    </w:p>
    <w:p w:rsidR="007D2358" w:rsidRPr="00B850BA" w:rsidP="00E407C9" w14:paraId="59892F31" w14:textId="4CE11B63">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For brake and clutch repair activities (which are classified as a general industry activity), this provision will require affected repair shops to establish an exemption from periodic exposure </w:t>
      </w:r>
      <w:r w:rsidRPr="00B850BA" w:rsidR="0022783B">
        <w:rPr>
          <w:rFonts w:asciiTheme="minorHAnsi" w:hAnsiTheme="minorHAnsi" w:cstheme="minorHAnsi"/>
          <w:szCs w:val="24"/>
        </w:rPr>
        <w:t xml:space="preserve">monitoring. </w:t>
      </w:r>
      <w:r w:rsidRPr="00B850BA">
        <w:rPr>
          <w:rFonts w:asciiTheme="minorHAnsi" w:hAnsiTheme="minorHAnsi" w:cstheme="minorHAnsi"/>
          <w:szCs w:val="24"/>
        </w:rPr>
        <w:t xml:space="preserve">As noted above, only large </w:t>
      </w:r>
      <w:r w:rsidRPr="00B850BA" w:rsidR="008E2E6E">
        <w:rPr>
          <w:rFonts w:asciiTheme="minorHAnsi" w:hAnsiTheme="minorHAnsi" w:cstheme="minorHAnsi"/>
          <w:szCs w:val="24"/>
        </w:rPr>
        <w:t>entit</w:t>
      </w:r>
      <w:r w:rsidRPr="00B850BA" w:rsidR="00B87F8C">
        <w:rPr>
          <w:rFonts w:asciiTheme="minorHAnsi" w:hAnsiTheme="minorHAnsi" w:cstheme="minorHAnsi"/>
          <w:szCs w:val="24"/>
        </w:rPr>
        <w:t>i</w:t>
      </w:r>
      <w:r w:rsidRPr="00B850BA" w:rsidR="008E2E6E">
        <w:rPr>
          <w:rFonts w:asciiTheme="minorHAnsi" w:hAnsiTheme="minorHAnsi" w:cstheme="minorHAnsi"/>
          <w:szCs w:val="24"/>
        </w:rPr>
        <w:t xml:space="preserve">es </w:t>
      </w:r>
      <w:r w:rsidRPr="00B850BA">
        <w:rPr>
          <w:rFonts w:asciiTheme="minorHAnsi" w:hAnsiTheme="minorHAnsi" w:cstheme="minorHAnsi"/>
          <w:szCs w:val="24"/>
        </w:rPr>
        <w:t>with on-staff industrial hygienists will incur a pap</w:t>
      </w:r>
      <w:r w:rsidRPr="00B850BA" w:rsidR="0022783B">
        <w:rPr>
          <w:rFonts w:asciiTheme="minorHAnsi" w:hAnsiTheme="minorHAnsi" w:cstheme="minorHAnsi"/>
          <w:szCs w:val="24"/>
        </w:rPr>
        <w:t xml:space="preserve">erwork burden </w:t>
      </w:r>
      <w:r w:rsidRPr="00B850BA">
        <w:rPr>
          <w:rFonts w:asciiTheme="minorHAnsi" w:hAnsiTheme="minorHAnsi" w:cstheme="minorHAnsi"/>
          <w:szCs w:val="24"/>
        </w:rPr>
        <w:t xml:space="preserve">of two hours per year </w:t>
      </w:r>
      <w:r w:rsidRPr="00B850BA" w:rsidR="0022783B">
        <w:rPr>
          <w:rFonts w:asciiTheme="minorHAnsi" w:hAnsiTheme="minorHAnsi" w:cstheme="minorHAnsi"/>
          <w:szCs w:val="24"/>
        </w:rPr>
        <w:t>under this rule.</w:t>
      </w:r>
      <w:r w:rsidRPr="00B850BA" w:rsidR="00905843">
        <w:rPr>
          <w:rFonts w:asciiTheme="minorHAnsi" w:hAnsiTheme="minorHAnsi" w:cstheme="minorHAnsi"/>
          <w:szCs w:val="24"/>
        </w:rPr>
        <w:t xml:space="preserve"> In a similar manner </w:t>
      </w:r>
      <w:r w:rsidRPr="00B850BA" w:rsidR="005F7ABB">
        <w:rPr>
          <w:rFonts w:asciiTheme="minorHAnsi" w:hAnsiTheme="minorHAnsi" w:cstheme="minorHAnsi"/>
          <w:szCs w:val="24"/>
        </w:rPr>
        <w:t>to</w:t>
      </w:r>
      <w:r w:rsidRPr="00B850BA">
        <w:rPr>
          <w:rFonts w:asciiTheme="minorHAnsi" w:hAnsiTheme="minorHAnsi" w:cstheme="minorHAnsi"/>
          <w:szCs w:val="24"/>
        </w:rPr>
        <w:t xml:space="preserve"> </w:t>
      </w:r>
      <w:r w:rsidRPr="00B850BA" w:rsidR="00905843">
        <w:rPr>
          <w:rFonts w:asciiTheme="minorHAnsi" w:hAnsiTheme="minorHAnsi" w:cstheme="minorHAnsi"/>
          <w:szCs w:val="24"/>
        </w:rPr>
        <w:t xml:space="preserve">the estimate of </w:t>
      </w:r>
      <w:r w:rsidRPr="00B850BA">
        <w:rPr>
          <w:rFonts w:asciiTheme="minorHAnsi" w:hAnsiTheme="minorHAnsi" w:cstheme="minorHAnsi"/>
          <w:szCs w:val="24"/>
        </w:rPr>
        <w:t xml:space="preserve">the number of crews above, EPA assumes </w:t>
      </w:r>
      <w:r w:rsidRPr="00B850BA" w:rsidR="00FB12C3">
        <w:rPr>
          <w:rFonts w:asciiTheme="minorHAnsi" w:hAnsiTheme="minorHAnsi" w:cstheme="minorHAnsi"/>
          <w:szCs w:val="24"/>
        </w:rPr>
        <w:t xml:space="preserve">that </w:t>
      </w:r>
      <w:r w:rsidRPr="00B850BA">
        <w:rPr>
          <w:rFonts w:asciiTheme="minorHAnsi" w:hAnsiTheme="minorHAnsi" w:cstheme="minorHAnsi"/>
          <w:szCs w:val="24"/>
        </w:rPr>
        <w:t>affected brake and clutch shops</w:t>
      </w:r>
      <w:r w:rsidRPr="00B850BA" w:rsidR="00FB12C3">
        <w:rPr>
          <w:rFonts w:asciiTheme="minorHAnsi" w:hAnsiTheme="minorHAnsi" w:cstheme="minorHAnsi"/>
          <w:szCs w:val="24"/>
        </w:rPr>
        <w:t xml:space="preserve"> </w:t>
      </w:r>
      <w:r w:rsidRPr="00B850BA">
        <w:rPr>
          <w:rFonts w:asciiTheme="minorHAnsi" w:hAnsiTheme="minorHAnsi" w:cstheme="minorHAnsi"/>
          <w:szCs w:val="24"/>
        </w:rPr>
        <w:t xml:space="preserve">in </w:t>
      </w:r>
      <w:r w:rsidRPr="00B850BA" w:rsidR="00FB12C3">
        <w:rPr>
          <w:rFonts w:asciiTheme="minorHAnsi" w:hAnsiTheme="minorHAnsi" w:cstheme="minorHAnsi"/>
          <w:szCs w:val="24"/>
        </w:rPr>
        <w:t xml:space="preserve">large </w:t>
      </w:r>
      <w:r w:rsidRPr="00B850BA" w:rsidR="008E2E6E">
        <w:rPr>
          <w:rFonts w:asciiTheme="minorHAnsi" w:hAnsiTheme="minorHAnsi" w:cstheme="minorHAnsi"/>
          <w:szCs w:val="24"/>
        </w:rPr>
        <w:t>entit</w:t>
      </w:r>
      <w:r w:rsidRPr="00B850BA" w:rsidR="005949D9">
        <w:rPr>
          <w:rFonts w:asciiTheme="minorHAnsi" w:hAnsiTheme="minorHAnsi" w:cstheme="minorHAnsi"/>
          <w:szCs w:val="24"/>
        </w:rPr>
        <w:t>i</w:t>
      </w:r>
      <w:r w:rsidRPr="00B850BA" w:rsidR="008E2E6E">
        <w:rPr>
          <w:rFonts w:asciiTheme="minorHAnsi" w:hAnsiTheme="minorHAnsi" w:cstheme="minorHAnsi"/>
          <w:szCs w:val="24"/>
        </w:rPr>
        <w:t>es</w:t>
      </w:r>
      <w:r w:rsidRPr="00B850BA">
        <w:rPr>
          <w:rFonts w:asciiTheme="minorHAnsi" w:hAnsiTheme="minorHAnsi" w:cstheme="minorHAnsi"/>
          <w:szCs w:val="24"/>
        </w:rPr>
        <w:t xml:space="preserve"> </w:t>
      </w:r>
      <w:r w:rsidRPr="00B850BA" w:rsidR="007E46BC">
        <w:rPr>
          <w:rFonts w:asciiTheme="minorHAnsi" w:hAnsiTheme="minorHAnsi" w:cstheme="minorHAnsi"/>
          <w:szCs w:val="24"/>
        </w:rPr>
        <w:t xml:space="preserve">occur </w:t>
      </w:r>
      <w:r w:rsidRPr="00B850BA" w:rsidR="00FB12C3">
        <w:rPr>
          <w:rFonts w:asciiTheme="minorHAnsi" w:hAnsiTheme="minorHAnsi" w:cstheme="minorHAnsi"/>
          <w:szCs w:val="24"/>
        </w:rPr>
        <w:t xml:space="preserve">at </w:t>
      </w:r>
      <w:r w:rsidRPr="00B850BA">
        <w:rPr>
          <w:rFonts w:asciiTheme="minorHAnsi" w:hAnsiTheme="minorHAnsi" w:cstheme="minorHAnsi"/>
          <w:szCs w:val="24"/>
        </w:rPr>
        <w:t>42.3</w:t>
      </w:r>
      <w:r w:rsidRPr="00B850BA" w:rsidR="007C2752">
        <w:rPr>
          <w:rFonts w:asciiTheme="minorHAnsi" w:hAnsiTheme="minorHAnsi" w:cstheme="minorHAnsi"/>
          <w:szCs w:val="24"/>
        </w:rPr>
        <w:t>4</w:t>
      </w:r>
      <w:r w:rsidRPr="00B850BA" w:rsidR="00FB12C3">
        <w:rPr>
          <w:rFonts w:asciiTheme="minorHAnsi" w:hAnsiTheme="minorHAnsi" w:cstheme="minorHAnsi"/>
          <w:szCs w:val="24"/>
        </w:rPr>
        <w:t>% of the total number o</w:t>
      </w:r>
      <w:r w:rsidRPr="00B850BA" w:rsidR="002D4CC1">
        <w:rPr>
          <w:rFonts w:asciiTheme="minorHAnsi" w:hAnsiTheme="minorHAnsi" w:cstheme="minorHAnsi"/>
          <w:szCs w:val="24"/>
        </w:rPr>
        <w:t>f shops</w:t>
      </w:r>
      <w:r w:rsidRPr="00B850BA">
        <w:rPr>
          <w:rFonts w:asciiTheme="minorHAnsi" w:hAnsiTheme="minorHAnsi" w:cstheme="minorHAnsi"/>
          <w:szCs w:val="24"/>
        </w:rPr>
        <w:t>. Applying the above assumptions and converting to a per-state basis, the</w:t>
      </w:r>
      <w:r w:rsidRPr="00B850BA" w:rsidR="008E2E6E">
        <w:rPr>
          <w:rFonts w:asciiTheme="minorHAnsi" w:hAnsiTheme="minorHAnsi" w:cstheme="minorHAnsi"/>
          <w:szCs w:val="24"/>
        </w:rPr>
        <w:t xml:space="preserve"> resultant </w:t>
      </w:r>
      <w:r w:rsidRPr="00B850BA">
        <w:rPr>
          <w:rFonts w:asciiTheme="minorHAnsi" w:hAnsiTheme="minorHAnsi" w:cstheme="minorHAnsi"/>
          <w:szCs w:val="24"/>
        </w:rPr>
        <w:t xml:space="preserve">annual unit burden for initial exposure assessments </w:t>
      </w:r>
      <w:r w:rsidRPr="00B850BA" w:rsidR="008E2E6E">
        <w:rPr>
          <w:rFonts w:asciiTheme="minorHAnsi" w:hAnsiTheme="minorHAnsi" w:cstheme="minorHAnsi"/>
          <w:szCs w:val="24"/>
        </w:rPr>
        <w:t xml:space="preserve">in brake and clutch shops is </w:t>
      </w:r>
      <w:r w:rsidRPr="00B850BA">
        <w:rPr>
          <w:rFonts w:asciiTheme="minorHAnsi" w:hAnsiTheme="minorHAnsi" w:cstheme="minorHAnsi"/>
          <w:szCs w:val="24"/>
        </w:rPr>
        <w:t>94</w:t>
      </w:r>
      <w:r w:rsidRPr="00B850BA" w:rsidR="00110DA9">
        <w:rPr>
          <w:rFonts w:asciiTheme="minorHAnsi" w:hAnsiTheme="minorHAnsi" w:cstheme="minorHAnsi"/>
          <w:szCs w:val="24"/>
        </w:rPr>
        <w:t>.00</w:t>
      </w:r>
      <w:r w:rsidRPr="00B850BA">
        <w:rPr>
          <w:rFonts w:asciiTheme="minorHAnsi" w:hAnsiTheme="minorHAnsi" w:cstheme="minorHAnsi"/>
          <w:szCs w:val="24"/>
        </w:rPr>
        <w:t xml:space="preserve"> hours</w:t>
      </w:r>
      <w:r w:rsidRPr="00B850BA" w:rsidR="007C2752">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7C2752">
        <w:rPr>
          <w:rFonts w:asciiTheme="minorHAnsi" w:hAnsiTheme="minorHAnsi" w:cstheme="minorHAnsi"/>
          <w:szCs w:val="24"/>
        </w:rPr>
        <w:t>able 2, line C1b)</w:t>
      </w:r>
      <w:r w:rsidRPr="00B850BA">
        <w:rPr>
          <w:rFonts w:asciiTheme="minorHAnsi" w:hAnsiTheme="minorHAnsi" w:cstheme="minorHAnsi"/>
          <w:szCs w:val="24"/>
        </w:rPr>
        <w:t>.</w:t>
      </w:r>
    </w:p>
    <w:p w:rsidR="00D74D9E" w:rsidRPr="00B850BA" w:rsidP="00E407C9" w14:paraId="187A3E9D" w14:textId="64018451">
      <w:pPr>
        <w:spacing w:line="276" w:lineRule="auto"/>
        <w:ind w:firstLine="0"/>
        <w:rPr>
          <w:rFonts w:asciiTheme="minorHAnsi" w:hAnsiTheme="minorHAnsi" w:cstheme="minorHAnsi"/>
          <w:szCs w:val="24"/>
        </w:rPr>
      </w:pPr>
      <w:r w:rsidRPr="00B850BA">
        <w:rPr>
          <w:rFonts w:asciiTheme="minorHAnsi" w:hAnsiTheme="minorHAnsi" w:cstheme="minorHAnsi"/>
          <w:szCs w:val="24"/>
        </w:rPr>
        <w:t>In addition to performing the initial exposure assessment, records of the findings from t</w:t>
      </w:r>
      <w:r w:rsidRPr="00B850BA" w:rsidR="0022783B">
        <w:rPr>
          <w:rFonts w:asciiTheme="minorHAnsi" w:hAnsiTheme="minorHAnsi" w:cstheme="minorHAnsi"/>
          <w:szCs w:val="24"/>
        </w:rPr>
        <w:t>he assessment</w:t>
      </w:r>
      <w:r w:rsidRPr="00B850BA" w:rsidR="00B87F8C">
        <w:rPr>
          <w:rFonts w:asciiTheme="minorHAnsi" w:hAnsiTheme="minorHAnsi" w:cstheme="minorHAnsi"/>
          <w:szCs w:val="24"/>
        </w:rPr>
        <w:t xml:space="preserve"> must</w:t>
      </w:r>
      <w:r w:rsidRPr="00B850BA" w:rsidR="0022783B">
        <w:rPr>
          <w:rFonts w:asciiTheme="minorHAnsi" w:hAnsiTheme="minorHAnsi" w:cstheme="minorHAnsi"/>
          <w:szCs w:val="24"/>
        </w:rPr>
        <w:t xml:space="preserve"> be kept on file. </w:t>
      </w:r>
      <w:r w:rsidRPr="00B850BA" w:rsidR="007D2358">
        <w:rPr>
          <w:rFonts w:asciiTheme="minorHAnsi" w:hAnsiTheme="minorHAnsi" w:cstheme="minorHAnsi"/>
          <w:szCs w:val="24"/>
        </w:rPr>
        <w:t>EPA estimates that this activity will require five minutes of clerical time for each assessment. A</w:t>
      </w:r>
      <w:r w:rsidRPr="00B850BA">
        <w:rPr>
          <w:rFonts w:asciiTheme="minorHAnsi" w:hAnsiTheme="minorHAnsi" w:cstheme="minorHAnsi"/>
          <w:szCs w:val="24"/>
        </w:rPr>
        <w:t>ll assessments</w:t>
      </w:r>
      <w:r w:rsidRPr="00B850BA" w:rsidR="0022783B">
        <w:rPr>
          <w:rFonts w:asciiTheme="minorHAnsi" w:hAnsiTheme="minorHAnsi" w:cstheme="minorHAnsi"/>
          <w:szCs w:val="24"/>
        </w:rPr>
        <w:t xml:space="preserve"> </w:t>
      </w:r>
      <w:r w:rsidRPr="00B850BA" w:rsidR="007D2358">
        <w:rPr>
          <w:rFonts w:asciiTheme="minorHAnsi" w:hAnsiTheme="minorHAnsi" w:cstheme="minorHAnsi"/>
          <w:szCs w:val="24"/>
        </w:rPr>
        <w:t>(</w:t>
      </w:r>
      <w:r w:rsidRPr="00B850BA" w:rsidR="008E2E6E">
        <w:rPr>
          <w:rFonts w:asciiTheme="minorHAnsi" w:hAnsiTheme="minorHAnsi" w:cstheme="minorHAnsi"/>
          <w:szCs w:val="24"/>
        </w:rPr>
        <w:t xml:space="preserve">under </w:t>
      </w:r>
      <w:r w:rsidRPr="00B850BA" w:rsidR="007D2358">
        <w:rPr>
          <w:rFonts w:asciiTheme="minorHAnsi" w:hAnsiTheme="minorHAnsi" w:cstheme="minorHAnsi"/>
          <w:szCs w:val="24"/>
        </w:rPr>
        <w:t>large and small</w:t>
      </w:r>
      <w:r w:rsidRPr="00B850BA" w:rsidR="008E2E6E">
        <w:rPr>
          <w:rFonts w:asciiTheme="minorHAnsi" w:hAnsiTheme="minorHAnsi" w:cstheme="minorHAnsi"/>
          <w:szCs w:val="24"/>
        </w:rPr>
        <w:t xml:space="preserve"> entities</w:t>
      </w:r>
      <w:r w:rsidRPr="00B850BA" w:rsidR="007D2358">
        <w:rPr>
          <w:rFonts w:asciiTheme="minorHAnsi" w:hAnsiTheme="minorHAnsi" w:cstheme="minorHAnsi"/>
          <w:szCs w:val="24"/>
        </w:rPr>
        <w:t xml:space="preserve">) </w:t>
      </w:r>
      <w:r w:rsidRPr="00B850BA" w:rsidR="0022783B">
        <w:rPr>
          <w:rFonts w:asciiTheme="minorHAnsi" w:hAnsiTheme="minorHAnsi" w:cstheme="minorHAnsi"/>
          <w:szCs w:val="24"/>
        </w:rPr>
        <w:t xml:space="preserve">will need to be kept on file. </w:t>
      </w:r>
      <w:r w:rsidRPr="00B850BA" w:rsidR="007D2358">
        <w:rPr>
          <w:rFonts w:asciiTheme="minorHAnsi" w:hAnsiTheme="minorHAnsi" w:cstheme="minorHAnsi"/>
          <w:szCs w:val="24"/>
        </w:rPr>
        <w:t xml:space="preserve">Applying the above assumptions and converting to a per-state basis, the </w:t>
      </w:r>
      <w:r w:rsidRPr="00B850BA" w:rsidR="008E2E6E">
        <w:rPr>
          <w:rFonts w:asciiTheme="minorHAnsi" w:hAnsiTheme="minorHAnsi" w:cstheme="minorHAnsi"/>
          <w:szCs w:val="24"/>
        </w:rPr>
        <w:t xml:space="preserve">resultant </w:t>
      </w:r>
      <w:r w:rsidRPr="00B850BA" w:rsidR="007D2358">
        <w:rPr>
          <w:rFonts w:asciiTheme="minorHAnsi" w:hAnsiTheme="minorHAnsi" w:cstheme="minorHAnsi"/>
          <w:szCs w:val="24"/>
        </w:rPr>
        <w:t>annual unit burden for</w:t>
      </w:r>
      <w:r w:rsidRPr="00B850BA" w:rsidR="000A22C9">
        <w:rPr>
          <w:rFonts w:asciiTheme="minorHAnsi" w:hAnsiTheme="minorHAnsi" w:cstheme="minorHAnsi"/>
          <w:szCs w:val="24"/>
        </w:rPr>
        <w:t xml:space="preserve"> maintaining</w:t>
      </w:r>
      <w:r w:rsidRPr="00B850BA" w:rsidR="007D2358">
        <w:rPr>
          <w:rFonts w:asciiTheme="minorHAnsi" w:hAnsiTheme="minorHAnsi" w:cstheme="minorHAnsi"/>
          <w:szCs w:val="24"/>
        </w:rPr>
        <w:t xml:space="preserve"> exposure assessment</w:t>
      </w:r>
      <w:r w:rsidRPr="00B850BA" w:rsidR="00667D40">
        <w:rPr>
          <w:rFonts w:asciiTheme="minorHAnsi" w:hAnsiTheme="minorHAnsi" w:cstheme="minorHAnsi"/>
          <w:szCs w:val="24"/>
        </w:rPr>
        <w:t xml:space="preserve"> records </w:t>
      </w:r>
      <w:r w:rsidRPr="00B850BA" w:rsidR="008E2E6E">
        <w:rPr>
          <w:rFonts w:asciiTheme="minorHAnsi" w:hAnsiTheme="minorHAnsi" w:cstheme="minorHAnsi"/>
          <w:szCs w:val="24"/>
        </w:rPr>
        <w:t xml:space="preserve">is </w:t>
      </w:r>
      <w:r w:rsidRPr="00B850BA" w:rsidR="00667D40">
        <w:rPr>
          <w:rFonts w:asciiTheme="minorHAnsi" w:hAnsiTheme="minorHAnsi" w:cstheme="minorHAnsi"/>
          <w:szCs w:val="24"/>
        </w:rPr>
        <w:t>40.16 hours</w:t>
      </w:r>
      <w:r w:rsidRPr="00B850BA" w:rsidR="0085707A">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85707A">
        <w:rPr>
          <w:rFonts w:asciiTheme="minorHAnsi" w:hAnsiTheme="minorHAnsi" w:cstheme="minorHAnsi"/>
          <w:szCs w:val="24"/>
        </w:rPr>
        <w:t>able 2, line C2)</w:t>
      </w:r>
      <w:r w:rsidRPr="00B850BA" w:rsidR="008E2E6E">
        <w:rPr>
          <w:rFonts w:asciiTheme="minorHAnsi" w:hAnsiTheme="minorHAnsi" w:cstheme="minorHAnsi"/>
          <w:szCs w:val="24"/>
        </w:rPr>
        <w:t>.</w:t>
      </w:r>
    </w:p>
    <w:p w:rsidR="0027361B" w:rsidP="00E407C9" w14:paraId="10D73C94" w14:textId="3071EAAB">
      <w:pPr>
        <w:spacing w:line="276" w:lineRule="auto"/>
        <w:ind w:firstLine="0"/>
        <w:rPr>
          <w:rFonts w:asciiTheme="minorHAnsi" w:hAnsiTheme="minorHAnsi" w:cstheme="minorHAnsi"/>
          <w:szCs w:val="24"/>
        </w:rPr>
      </w:pPr>
      <w:r w:rsidRPr="00B850BA">
        <w:rPr>
          <w:rFonts w:asciiTheme="minorHAnsi" w:hAnsiTheme="minorHAnsi" w:cstheme="minorHAnsi"/>
          <w:szCs w:val="24"/>
        </w:rPr>
        <w:t>As part of the brake and clutch repair assessment, the results of any exposure monitoring conducted pursuant to the</w:t>
      </w:r>
      <w:r w:rsidRPr="00B850BA" w:rsidR="00905843">
        <w:rPr>
          <w:rFonts w:asciiTheme="minorHAnsi" w:hAnsiTheme="minorHAnsi" w:cstheme="minorHAnsi"/>
          <w:szCs w:val="24"/>
        </w:rPr>
        <w:t xml:space="preserve"> </w:t>
      </w:r>
      <w:r w:rsidRPr="00B850BA">
        <w:rPr>
          <w:rFonts w:asciiTheme="minorHAnsi" w:hAnsiTheme="minorHAnsi" w:cstheme="minorHAnsi"/>
          <w:szCs w:val="24"/>
        </w:rPr>
        <w:t xml:space="preserve">rule </w:t>
      </w:r>
      <w:r w:rsidRPr="00B850BA" w:rsidR="00B87F8C">
        <w:rPr>
          <w:rFonts w:asciiTheme="minorHAnsi" w:hAnsiTheme="minorHAnsi" w:cstheme="minorHAnsi"/>
          <w:szCs w:val="24"/>
        </w:rPr>
        <w:t xml:space="preserve">must </w:t>
      </w:r>
      <w:r w:rsidRPr="00B850BA">
        <w:rPr>
          <w:rFonts w:asciiTheme="minorHAnsi" w:hAnsiTheme="minorHAnsi" w:cstheme="minorHAnsi"/>
          <w:szCs w:val="24"/>
        </w:rPr>
        <w:t>be posted for employees to review.  Following OSHA’s ICRs, EPA assumes that it will require five minutes of cler</w:t>
      </w:r>
      <w:r w:rsidRPr="00B850BA" w:rsidR="002C56B5">
        <w:rPr>
          <w:rFonts w:asciiTheme="minorHAnsi" w:hAnsiTheme="minorHAnsi" w:cstheme="minorHAnsi"/>
          <w:szCs w:val="24"/>
        </w:rPr>
        <w:t xml:space="preserve">ical time to post the results. </w:t>
      </w:r>
      <w:r w:rsidRPr="00B850BA" w:rsidR="00667D40">
        <w:rPr>
          <w:rFonts w:asciiTheme="minorHAnsi" w:hAnsiTheme="minorHAnsi" w:cstheme="minorHAnsi"/>
          <w:szCs w:val="24"/>
        </w:rPr>
        <w:t>A</w:t>
      </w:r>
      <w:r w:rsidRPr="00B850BA" w:rsidR="002B3582">
        <w:rPr>
          <w:rFonts w:asciiTheme="minorHAnsi" w:hAnsiTheme="minorHAnsi" w:cstheme="minorHAnsi"/>
          <w:szCs w:val="24"/>
        </w:rPr>
        <w:t xml:space="preserve">ll </w:t>
      </w:r>
      <w:r w:rsidRPr="00B850BA">
        <w:rPr>
          <w:rFonts w:asciiTheme="minorHAnsi" w:hAnsiTheme="minorHAnsi" w:cstheme="minorHAnsi"/>
          <w:szCs w:val="24"/>
        </w:rPr>
        <w:t>repair shops will need to have results posted annually</w:t>
      </w:r>
      <w:r w:rsidRPr="00B850BA" w:rsidR="002B3582">
        <w:rPr>
          <w:rFonts w:asciiTheme="minorHAnsi" w:hAnsiTheme="minorHAnsi" w:cstheme="minorHAnsi"/>
          <w:szCs w:val="24"/>
        </w:rPr>
        <w:t xml:space="preserve">. </w:t>
      </w:r>
      <w:r w:rsidRPr="00B850BA" w:rsidR="00667D40">
        <w:rPr>
          <w:rFonts w:asciiTheme="minorHAnsi" w:hAnsiTheme="minorHAnsi" w:cstheme="minorHAnsi"/>
          <w:szCs w:val="24"/>
        </w:rPr>
        <w:t xml:space="preserve">Applying the above assumptions and converting to a per-state basis, the </w:t>
      </w:r>
      <w:r w:rsidRPr="00B850BA" w:rsidR="00065F53">
        <w:rPr>
          <w:rFonts w:asciiTheme="minorHAnsi" w:hAnsiTheme="minorHAnsi" w:cstheme="minorHAnsi"/>
          <w:szCs w:val="24"/>
        </w:rPr>
        <w:t xml:space="preserve">resultant </w:t>
      </w:r>
      <w:r w:rsidRPr="00B850BA" w:rsidR="00667D40">
        <w:rPr>
          <w:rFonts w:asciiTheme="minorHAnsi" w:hAnsiTheme="minorHAnsi" w:cstheme="minorHAnsi"/>
          <w:szCs w:val="24"/>
        </w:rPr>
        <w:t xml:space="preserve">annual unit burden for </w:t>
      </w:r>
      <w:r w:rsidRPr="00B850BA" w:rsidR="000A22C9">
        <w:rPr>
          <w:rFonts w:asciiTheme="minorHAnsi" w:hAnsiTheme="minorHAnsi" w:cstheme="minorHAnsi"/>
          <w:szCs w:val="24"/>
        </w:rPr>
        <w:t xml:space="preserve">posting </w:t>
      </w:r>
      <w:r w:rsidRPr="00B850BA" w:rsidR="00667D40">
        <w:rPr>
          <w:rFonts w:asciiTheme="minorHAnsi" w:hAnsiTheme="minorHAnsi" w:cstheme="minorHAnsi"/>
          <w:szCs w:val="24"/>
        </w:rPr>
        <w:t xml:space="preserve">exposure monitoring records </w:t>
      </w:r>
      <w:r w:rsidRPr="00B850BA" w:rsidR="00065F53">
        <w:rPr>
          <w:rFonts w:asciiTheme="minorHAnsi" w:hAnsiTheme="minorHAnsi" w:cstheme="minorHAnsi"/>
          <w:szCs w:val="24"/>
        </w:rPr>
        <w:t xml:space="preserve">is </w:t>
      </w:r>
      <w:r w:rsidRPr="00B850BA" w:rsidR="00667D40">
        <w:rPr>
          <w:rFonts w:asciiTheme="minorHAnsi" w:hAnsiTheme="minorHAnsi" w:cstheme="minorHAnsi"/>
          <w:szCs w:val="24"/>
        </w:rPr>
        <w:t>9.25 hours</w:t>
      </w:r>
      <w:r w:rsidRPr="00B850BA" w:rsidR="004362E2">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4362E2">
        <w:rPr>
          <w:rFonts w:asciiTheme="minorHAnsi" w:hAnsiTheme="minorHAnsi" w:cstheme="minorHAnsi"/>
          <w:szCs w:val="24"/>
        </w:rPr>
        <w:t>able 2, line C3)</w:t>
      </w:r>
      <w:r w:rsidRPr="00B850BA" w:rsidR="00065F53">
        <w:rPr>
          <w:rFonts w:asciiTheme="minorHAnsi" w:hAnsiTheme="minorHAnsi" w:cstheme="minorHAnsi"/>
          <w:szCs w:val="24"/>
        </w:rPr>
        <w:t>.</w:t>
      </w:r>
    </w:p>
    <w:p w:rsidR="00E407C9" w:rsidRPr="00B850BA" w:rsidP="00E407C9" w14:paraId="098314BC" w14:textId="77777777">
      <w:pPr>
        <w:spacing w:line="276" w:lineRule="auto"/>
        <w:ind w:firstLine="0"/>
        <w:rPr>
          <w:rFonts w:asciiTheme="minorHAnsi" w:hAnsiTheme="minorHAnsi" w:cstheme="minorHAnsi"/>
          <w:szCs w:val="24"/>
        </w:rPr>
      </w:pPr>
    </w:p>
    <w:p w:rsidR="00D74D9E" w:rsidRPr="00B850BA" w:rsidP="008F708D" w14:paraId="06D9C790" w14:textId="0C2BFCB1">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Hazard Communication - Notification Requirements</w:t>
      </w:r>
    </w:p>
    <w:p w:rsidR="00D74D9E" w:rsidRPr="00B850BA" w:rsidP="00E407C9" w14:paraId="30759105" w14:textId="4360B04C">
      <w:pPr>
        <w:spacing w:line="276" w:lineRule="auto"/>
        <w:ind w:firstLine="0"/>
        <w:rPr>
          <w:rFonts w:asciiTheme="minorHAnsi" w:hAnsiTheme="minorHAnsi" w:cstheme="minorHAnsi"/>
          <w:szCs w:val="24"/>
        </w:rPr>
      </w:pPr>
      <w:r w:rsidRPr="00B850BA">
        <w:rPr>
          <w:rFonts w:asciiTheme="minorHAnsi" w:hAnsiTheme="minorHAnsi" w:cstheme="minorHAnsi"/>
          <w:szCs w:val="24"/>
        </w:rPr>
        <w:t>The</w:t>
      </w:r>
      <w:r w:rsidRPr="00B850BA" w:rsidR="00B87F8C">
        <w:rPr>
          <w:rFonts w:asciiTheme="minorHAnsi" w:hAnsiTheme="minorHAnsi" w:cstheme="minorHAnsi"/>
          <w:szCs w:val="24"/>
        </w:rPr>
        <w:t xml:space="preserve">re are </w:t>
      </w:r>
      <w:r w:rsidRPr="00B850BA">
        <w:rPr>
          <w:rFonts w:asciiTheme="minorHAnsi" w:hAnsiTheme="minorHAnsi" w:cstheme="minorHAnsi"/>
          <w:szCs w:val="24"/>
        </w:rPr>
        <w:t>three notification requirements that will impose paperwork burdens: (</w:t>
      </w:r>
      <w:r w:rsidRPr="00B850BA" w:rsidR="000A22C9">
        <w:rPr>
          <w:rFonts w:asciiTheme="minorHAnsi" w:hAnsiTheme="minorHAnsi" w:cstheme="minorHAnsi"/>
          <w:szCs w:val="24"/>
        </w:rPr>
        <w:t>1</w:t>
      </w:r>
      <w:r w:rsidRPr="00B850BA">
        <w:rPr>
          <w:rFonts w:asciiTheme="minorHAnsi" w:hAnsiTheme="minorHAnsi" w:cstheme="minorHAnsi"/>
          <w:szCs w:val="24"/>
        </w:rPr>
        <w:t xml:space="preserve">) evaluating the risk associated with Class I and </w:t>
      </w:r>
      <w:r w:rsidRPr="00B850BA" w:rsidR="0043012E">
        <w:rPr>
          <w:rFonts w:asciiTheme="minorHAnsi" w:hAnsiTheme="minorHAnsi" w:cstheme="minorHAnsi"/>
          <w:szCs w:val="24"/>
        </w:rPr>
        <w:t xml:space="preserve">Class </w:t>
      </w:r>
      <w:r w:rsidRPr="00B850BA">
        <w:rPr>
          <w:rFonts w:asciiTheme="minorHAnsi" w:hAnsiTheme="minorHAnsi" w:cstheme="minorHAnsi"/>
          <w:szCs w:val="24"/>
        </w:rPr>
        <w:t>II work, (</w:t>
      </w:r>
      <w:r w:rsidRPr="00B850BA" w:rsidR="000A22C9">
        <w:rPr>
          <w:rFonts w:asciiTheme="minorHAnsi" w:hAnsiTheme="minorHAnsi" w:cstheme="minorHAnsi"/>
          <w:szCs w:val="24"/>
        </w:rPr>
        <w:t>2</w:t>
      </w:r>
      <w:r w:rsidRPr="00B850BA">
        <w:rPr>
          <w:rFonts w:asciiTheme="minorHAnsi" w:hAnsiTheme="minorHAnsi" w:cstheme="minorHAnsi"/>
          <w:szCs w:val="24"/>
        </w:rPr>
        <w:t>) notifying employees engaged in asbestos-related work about the nature of the work, and (</w:t>
      </w:r>
      <w:r w:rsidRPr="00B850BA" w:rsidR="000A22C9">
        <w:rPr>
          <w:rFonts w:asciiTheme="minorHAnsi" w:hAnsiTheme="minorHAnsi" w:cstheme="minorHAnsi"/>
          <w:szCs w:val="24"/>
        </w:rPr>
        <w:t>3</w:t>
      </w:r>
      <w:r w:rsidRPr="00B850BA">
        <w:rPr>
          <w:rFonts w:asciiTheme="minorHAnsi" w:hAnsiTheme="minorHAnsi" w:cstheme="minorHAnsi"/>
          <w:szCs w:val="24"/>
        </w:rPr>
        <w:t>) notifying other employees (i.e., employees not engaged in asbestos</w:t>
      </w:r>
      <w:r w:rsidRPr="00B850BA" w:rsidR="003E158D">
        <w:rPr>
          <w:rFonts w:asciiTheme="minorHAnsi" w:hAnsiTheme="minorHAnsi" w:cstheme="minorHAnsi"/>
          <w:szCs w:val="24"/>
        </w:rPr>
        <w:t xml:space="preserve"> </w:t>
      </w:r>
      <w:r w:rsidRPr="00B850BA">
        <w:rPr>
          <w:rFonts w:asciiTheme="minorHAnsi" w:hAnsiTheme="minorHAnsi" w:cstheme="minorHAnsi"/>
          <w:szCs w:val="24"/>
        </w:rPr>
        <w:t>related work) and building occupants about the occurrence of asbestos</w:t>
      </w:r>
      <w:r w:rsidRPr="00B850BA" w:rsidR="003E158D">
        <w:rPr>
          <w:rFonts w:asciiTheme="minorHAnsi" w:hAnsiTheme="minorHAnsi" w:cstheme="minorHAnsi"/>
          <w:szCs w:val="24"/>
        </w:rPr>
        <w:t xml:space="preserve"> </w:t>
      </w:r>
      <w:r w:rsidRPr="00B850BA">
        <w:rPr>
          <w:rFonts w:asciiTheme="minorHAnsi" w:hAnsiTheme="minorHAnsi" w:cstheme="minorHAnsi"/>
          <w:szCs w:val="24"/>
        </w:rPr>
        <w:t>related work.</w:t>
      </w:r>
    </w:p>
    <w:p w:rsidR="00125643" w:rsidRPr="00B850BA" w:rsidP="00E407C9" w14:paraId="7945826D" w14:textId="6CEA1F7F">
      <w:pPr>
        <w:spacing w:line="276" w:lineRule="auto"/>
        <w:ind w:firstLine="0"/>
        <w:rPr>
          <w:rFonts w:asciiTheme="minorHAnsi" w:hAnsiTheme="minorHAnsi" w:cstheme="minorHAnsi"/>
          <w:szCs w:val="24"/>
        </w:rPr>
      </w:pPr>
      <w:r w:rsidRPr="00B850BA">
        <w:rPr>
          <w:rFonts w:asciiTheme="minorHAnsi" w:hAnsiTheme="minorHAnsi" w:cstheme="minorHAnsi"/>
          <w:szCs w:val="24"/>
        </w:rPr>
        <w:t>C</w:t>
      </w:r>
      <w:r w:rsidRPr="00B850BA" w:rsidR="00D74D9E">
        <w:rPr>
          <w:rFonts w:asciiTheme="minorHAnsi" w:hAnsiTheme="minorHAnsi" w:cstheme="minorHAnsi"/>
          <w:szCs w:val="24"/>
        </w:rPr>
        <w:t xml:space="preserve">ompetent persons </w:t>
      </w:r>
      <w:r w:rsidRPr="00B850BA">
        <w:rPr>
          <w:rFonts w:asciiTheme="minorHAnsi" w:hAnsiTheme="minorHAnsi" w:cstheme="minorHAnsi"/>
          <w:szCs w:val="24"/>
        </w:rPr>
        <w:t xml:space="preserve">must </w:t>
      </w:r>
      <w:r w:rsidRPr="00B850BA" w:rsidR="00D74D9E">
        <w:rPr>
          <w:rFonts w:asciiTheme="minorHAnsi" w:hAnsiTheme="minorHAnsi" w:cstheme="minorHAnsi"/>
          <w:szCs w:val="24"/>
        </w:rPr>
        <w:t>evaluate the risk associated with asbestos</w:t>
      </w:r>
      <w:r w:rsidRPr="00B850BA" w:rsidR="0043012E">
        <w:rPr>
          <w:rFonts w:asciiTheme="minorHAnsi" w:hAnsiTheme="minorHAnsi" w:cstheme="minorHAnsi"/>
          <w:szCs w:val="24"/>
        </w:rPr>
        <w:t>-</w:t>
      </w:r>
      <w:r w:rsidRPr="00B850BA" w:rsidR="002C56B5">
        <w:rPr>
          <w:rFonts w:asciiTheme="minorHAnsi" w:hAnsiTheme="minorHAnsi" w:cstheme="minorHAnsi"/>
          <w:szCs w:val="24"/>
        </w:rPr>
        <w:t xml:space="preserve">related construction projects. </w:t>
      </w:r>
      <w:r w:rsidRPr="00B850BA" w:rsidR="000A22C9">
        <w:rPr>
          <w:rFonts w:asciiTheme="minorHAnsi" w:hAnsiTheme="minorHAnsi" w:cstheme="minorHAnsi"/>
          <w:szCs w:val="24"/>
        </w:rPr>
        <w:t xml:space="preserve">Following OSHA’s Asbestos Construction Standard ICR, EPA assumes that this will impose a burden of </w:t>
      </w:r>
      <w:r w:rsidRPr="00B850BA" w:rsidR="004362E2">
        <w:rPr>
          <w:rFonts w:asciiTheme="minorHAnsi" w:hAnsiTheme="minorHAnsi" w:cstheme="minorHAnsi"/>
          <w:szCs w:val="24"/>
        </w:rPr>
        <w:t>45</w:t>
      </w:r>
      <w:r w:rsidRPr="00B850BA" w:rsidR="00905843">
        <w:rPr>
          <w:rFonts w:asciiTheme="minorHAnsi" w:hAnsiTheme="minorHAnsi" w:cstheme="minorHAnsi"/>
          <w:szCs w:val="24"/>
        </w:rPr>
        <w:t xml:space="preserve"> </w:t>
      </w:r>
      <w:r w:rsidRPr="00B850BA" w:rsidR="000A22C9">
        <w:rPr>
          <w:rFonts w:asciiTheme="minorHAnsi" w:hAnsiTheme="minorHAnsi" w:cstheme="minorHAnsi"/>
          <w:szCs w:val="24"/>
        </w:rPr>
        <w:t xml:space="preserve">minutes annually of supervisory time for each Class I and </w:t>
      </w:r>
      <w:r w:rsidRPr="00B850BA" w:rsidR="0043012E">
        <w:rPr>
          <w:rFonts w:asciiTheme="minorHAnsi" w:hAnsiTheme="minorHAnsi" w:cstheme="minorHAnsi"/>
          <w:szCs w:val="24"/>
        </w:rPr>
        <w:t xml:space="preserve">Class </w:t>
      </w:r>
      <w:r w:rsidRPr="00B850BA" w:rsidR="000A22C9">
        <w:rPr>
          <w:rFonts w:asciiTheme="minorHAnsi" w:hAnsiTheme="minorHAnsi" w:cstheme="minorHAnsi"/>
          <w:szCs w:val="24"/>
        </w:rPr>
        <w:t xml:space="preserve">II project. </w:t>
      </w:r>
      <w:r w:rsidRPr="00B850BA" w:rsidR="00D74D9E">
        <w:rPr>
          <w:rFonts w:asciiTheme="minorHAnsi" w:hAnsiTheme="minorHAnsi" w:cstheme="minorHAnsi"/>
          <w:szCs w:val="24"/>
        </w:rPr>
        <w:t>EPA assumes that this only imposes a paperwork burd</w:t>
      </w:r>
      <w:r w:rsidRPr="00B850BA" w:rsidR="002C56B5">
        <w:rPr>
          <w:rFonts w:asciiTheme="minorHAnsi" w:hAnsiTheme="minorHAnsi" w:cstheme="minorHAnsi"/>
          <w:szCs w:val="24"/>
        </w:rPr>
        <w:t xml:space="preserve">en on Class I and </w:t>
      </w:r>
      <w:r w:rsidRPr="00B850BA" w:rsidR="0043012E">
        <w:rPr>
          <w:rFonts w:asciiTheme="minorHAnsi" w:hAnsiTheme="minorHAnsi" w:cstheme="minorHAnsi"/>
          <w:szCs w:val="24"/>
        </w:rPr>
        <w:t xml:space="preserve">Class </w:t>
      </w:r>
      <w:r w:rsidRPr="00B850BA" w:rsidR="002C56B5">
        <w:rPr>
          <w:rFonts w:asciiTheme="minorHAnsi" w:hAnsiTheme="minorHAnsi" w:cstheme="minorHAnsi"/>
          <w:szCs w:val="24"/>
        </w:rPr>
        <w:t xml:space="preserve">II projects. </w:t>
      </w:r>
      <w:r w:rsidRPr="00B850BA" w:rsidR="00D74D9E">
        <w:rPr>
          <w:rFonts w:asciiTheme="minorHAnsi" w:hAnsiTheme="minorHAnsi" w:cstheme="minorHAnsi"/>
          <w:szCs w:val="24"/>
        </w:rPr>
        <w:t xml:space="preserve">EPA assumes that other covered activities (Class III and </w:t>
      </w:r>
      <w:r w:rsidRPr="00B850BA" w:rsidR="0043012E">
        <w:rPr>
          <w:rFonts w:asciiTheme="minorHAnsi" w:hAnsiTheme="minorHAnsi" w:cstheme="minorHAnsi"/>
          <w:szCs w:val="24"/>
        </w:rPr>
        <w:t xml:space="preserve">Class </w:t>
      </w:r>
      <w:r w:rsidRPr="00B850BA" w:rsidR="00D74D9E">
        <w:rPr>
          <w:rFonts w:asciiTheme="minorHAnsi" w:hAnsiTheme="minorHAnsi" w:cstheme="minorHAnsi"/>
          <w:szCs w:val="24"/>
        </w:rPr>
        <w:t xml:space="preserve">IV projects and new construction activities) can be evaluated without any incremental burden. </w:t>
      </w:r>
      <w:r w:rsidRPr="00B850BA" w:rsidR="000A22C9">
        <w:rPr>
          <w:rFonts w:asciiTheme="minorHAnsi" w:hAnsiTheme="minorHAnsi" w:cstheme="minorHAnsi"/>
          <w:szCs w:val="24"/>
        </w:rPr>
        <w:t xml:space="preserve">Applying these assumptions and converting to a per-state basis, the </w:t>
      </w:r>
      <w:r w:rsidRPr="00B850BA" w:rsidR="002718DF">
        <w:rPr>
          <w:rFonts w:asciiTheme="minorHAnsi" w:hAnsiTheme="minorHAnsi" w:cstheme="minorHAnsi"/>
          <w:szCs w:val="24"/>
        </w:rPr>
        <w:t xml:space="preserve">resultant </w:t>
      </w:r>
      <w:r w:rsidRPr="00B850BA" w:rsidR="000A22C9">
        <w:rPr>
          <w:rFonts w:asciiTheme="minorHAnsi" w:hAnsiTheme="minorHAnsi" w:cstheme="minorHAnsi"/>
          <w:szCs w:val="24"/>
        </w:rPr>
        <w:t xml:space="preserve">annual unit burden for </w:t>
      </w:r>
      <w:r w:rsidRPr="00B850BA" w:rsidR="00830EA6">
        <w:rPr>
          <w:rFonts w:asciiTheme="minorHAnsi" w:hAnsiTheme="minorHAnsi" w:cstheme="minorHAnsi"/>
          <w:szCs w:val="24"/>
        </w:rPr>
        <w:t>r</w:t>
      </w:r>
      <w:r w:rsidRPr="00B850BA" w:rsidR="000A22C9">
        <w:rPr>
          <w:rFonts w:asciiTheme="minorHAnsi" w:hAnsiTheme="minorHAnsi" w:cstheme="minorHAnsi"/>
          <w:szCs w:val="24"/>
        </w:rPr>
        <w:t>isk evaluations is 125.19 hours</w:t>
      </w:r>
      <w:r w:rsidRPr="00B850BA" w:rsidR="00BA749B">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BA749B">
        <w:rPr>
          <w:rFonts w:asciiTheme="minorHAnsi" w:hAnsiTheme="minorHAnsi" w:cstheme="minorHAnsi"/>
          <w:szCs w:val="24"/>
        </w:rPr>
        <w:t>able 2, line D1)</w:t>
      </w:r>
      <w:r w:rsidRPr="00B850BA" w:rsidR="002718DF">
        <w:rPr>
          <w:rFonts w:asciiTheme="minorHAnsi" w:hAnsiTheme="minorHAnsi" w:cstheme="minorHAnsi"/>
          <w:szCs w:val="24"/>
        </w:rPr>
        <w:t>.</w:t>
      </w:r>
      <w:r w:rsidRPr="00B850BA" w:rsidR="000A22C9">
        <w:rPr>
          <w:rFonts w:asciiTheme="minorHAnsi" w:hAnsiTheme="minorHAnsi" w:cstheme="minorHAnsi"/>
          <w:szCs w:val="24"/>
        </w:rPr>
        <w:t xml:space="preserve"> </w:t>
      </w:r>
    </w:p>
    <w:p w:rsidR="00830EA6" w:rsidRPr="00B850BA" w:rsidP="00E407C9" w14:paraId="56323AE4" w14:textId="4BD756F0">
      <w:pPr>
        <w:spacing w:line="276" w:lineRule="auto"/>
        <w:ind w:firstLine="0"/>
        <w:rPr>
          <w:rFonts w:asciiTheme="minorHAnsi" w:hAnsiTheme="minorHAnsi" w:cstheme="minorHAnsi"/>
          <w:szCs w:val="24"/>
        </w:rPr>
      </w:pPr>
      <w:r w:rsidRPr="00B850BA">
        <w:rPr>
          <w:rFonts w:asciiTheme="minorHAnsi" w:hAnsiTheme="minorHAnsi" w:cstheme="minorHAnsi"/>
          <w:szCs w:val="24"/>
        </w:rPr>
        <w:t>E</w:t>
      </w:r>
      <w:r w:rsidRPr="00B850BA" w:rsidR="00D74D9E">
        <w:rPr>
          <w:rFonts w:asciiTheme="minorHAnsi" w:hAnsiTheme="minorHAnsi" w:cstheme="minorHAnsi"/>
          <w:szCs w:val="24"/>
        </w:rPr>
        <w:t xml:space="preserve">mployers </w:t>
      </w:r>
      <w:r w:rsidRPr="00B850BA">
        <w:rPr>
          <w:rFonts w:asciiTheme="minorHAnsi" w:hAnsiTheme="minorHAnsi" w:cstheme="minorHAnsi"/>
          <w:szCs w:val="24"/>
        </w:rPr>
        <w:t xml:space="preserve">are required </w:t>
      </w:r>
      <w:r w:rsidRPr="00B850BA" w:rsidR="00D74D9E">
        <w:rPr>
          <w:rFonts w:asciiTheme="minorHAnsi" w:hAnsiTheme="minorHAnsi" w:cstheme="minorHAnsi"/>
          <w:szCs w:val="24"/>
        </w:rPr>
        <w:t xml:space="preserve">to notify employees that will be performing </w:t>
      </w:r>
      <w:r w:rsidRPr="00B850BA" w:rsidR="00905843">
        <w:rPr>
          <w:rFonts w:asciiTheme="minorHAnsi" w:hAnsiTheme="minorHAnsi" w:cstheme="minorHAnsi"/>
          <w:szCs w:val="24"/>
        </w:rPr>
        <w:t>asbestos-</w:t>
      </w:r>
      <w:r w:rsidRPr="00B850BA" w:rsidR="00D74D9E">
        <w:rPr>
          <w:rFonts w:asciiTheme="minorHAnsi" w:hAnsiTheme="minorHAnsi" w:cstheme="minorHAnsi"/>
          <w:szCs w:val="24"/>
        </w:rPr>
        <w:t>related work prior to beginning the project</w:t>
      </w:r>
      <w:r w:rsidRPr="00B850BA">
        <w:rPr>
          <w:rFonts w:asciiTheme="minorHAnsi" w:hAnsiTheme="minorHAnsi" w:cstheme="minorHAnsi"/>
          <w:szCs w:val="24"/>
        </w:rPr>
        <w:t xml:space="preserve">. </w:t>
      </w:r>
      <w:r w:rsidRPr="00B850BA" w:rsidR="00D74D9E">
        <w:rPr>
          <w:rFonts w:asciiTheme="minorHAnsi" w:hAnsiTheme="minorHAnsi" w:cstheme="minorHAnsi"/>
          <w:szCs w:val="24"/>
        </w:rPr>
        <w:t xml:space="preserve">For construction activities, EPA assumes that this will require </w:t>
      </w:r>
      <w:r w:rsidRPr="00B850BA" w:rsidR="00905843">
        <w:rPr>
          <w:rFonts w:asciiTheme="minorHAnsi" w:hAnsiTheme="minorHAnsi" w:cstheme="minorHAnsi"/>
          <w:szCs w:val="24"/>
        </w:rPr>
        <w:t xml:space="preserve">five </w:t>
      </w:r>
      <w:r w:rsidRPr="00B850BA" w:rsidR="00D74D9E">
        <w:rPr>
          <w:rFonts w:asciiTheme="minorHAnsi" w:hAnsiTheme="minorHAnsi" w:cstheme="minorHAnsi"/>
          <w:szCs w:val="24"/>
        </w:rPr>
        <w:t xml:space="preserve">minutes of a construction supervisor’s time </w:t>
      </w:r>
      <w:r w:rsidRPr="00B850BA">
        <w:rPr>
          <w:rFonts w:asciiTheme="minorHAnsi" w:hAnsiTheme="minorHAnsi" w:cstheme="minorHAnsi"/>
          <w:szCs w:val="24"/>
        </w:rPr>
        <w:t xml:space="preserve">annually </w:t>
      </w:r>
      <w:r w:rsidRPr="00B850BA" w:rsidR="00D74D9E">
        <w:rPr>
          <w:rFonts w:asciiTheme="minorHAnsi" w:hAnsiTheme="minorHAnsi" w:cstheme="minorHAnsi"/>
          <w:szCs w:val="24"/>
        </w:rPr>
        <w:t xml:space="preserve">for all affected </w:t>
      </w:r>
      <w:r w:rsidRPr="00B850BA" w:rsidR="00491265">
        <w:rPr>
          <w:rFonts w:asciiTheme="minorHAnsi" w:hAnsiTheme="minorHAnsi" w:cstheme="minorHAnsi"/>
          <w:szCs w:val="24"/>
        </w:rPr>
        <w:t xml:space="preserve">projects. </w:t>
      </w:r>
      <w:r w:rsidRPr="00B850BA" w:rsidR="00D74D9E">
        <w:rPr>
          <w:rFonts w:asciiTheme="minorHAnsi" w:hAnsiTheme="minorHAnsi" w:cstheme="minorHAnsi"/>
          <w:szCs w:val="24"/>
        </w:rPr>
        <w:t>EPA excludes Class IV custodial projects from this burden estimate because custodial activities are assumed to occur continuously over the course of the year and are not generally div</w:t>
      </w:r>
      <w:r w:rsidRPr="00B850BA" w:rsidR="00491265">
        <w:rPr>
          <w:rFonts w:asciiTheme="minorHAnsi" w:hAnsiTheme="minorHAnsi" w:cstheme="minorHAnsi"/>
          <w:szCs w:val="24"/>
        </w:rPr>
        <w:t xml:space="preserve">ided into discrete “projects.” </w:t>
      </w:r>
      <w:bookmarkStart w:id="3" w:name="OLE_LINK2"/>
      <w:r w:rsidRPr="00B850BA">
        <w:rPr>
          <w:rFonts w:asciiTheme="minorHAnsi" w:hAnsiTheme="minorHAnsi" w:cstheme="minorHAnsi"/>
          <w:szCs w:val="24"/>
        </w:rPr>
        <w:t xml:space="preserve">Applying these assumptions and converting to a per-state basis, the </w:t>
      </w:r>
      <w:r w:rsidRPr="00B850BA" w:rsidR="002718DF">
        <w:rPr>
          <w:rFonts w:asciiTheme="minorHAnsi" w:hAnsiTheme="minorHAnsi" w:cstheme="minorHAnsi"/>
          <w:szCs w:val="24"/>
        </w:rPr>
        <w:t xml:space="preserve">resultant </w:t>
      </w:r>
      <w:r w:rsidRPr="00B850BA">
        <w:rPr>
          <w:rFonts w:asciiTheme="minorHAnsi" w:hAnsiTheme="minorHAnsi" w:cstheme="minorHAnsi"/>
          <w:szCs w:val="24"/>
        </w:rPr>
        <w:t>annual unit burden for notifying employees in affected construction projects is 1</w:t>
      </w:r>
      <w:r w:rsidRPr="00B850BA" w:rsidR="005F7EAA">
        <w:rPr>
          <w:rFonts w:asciiTheme="minorHAnsi" w:hAnsiTheme="minorHAnsi" w:cstheme="minorHAnsi"/>
          <w:szCs w:val="24"/>
        </w:rPr>
        <w:t>,</w:t>
      </w:r>
      <w:r w:rsidRPr="00B850BA">
        <w:rPr>
          <w:rFonts w:asciiTheme="minorHAnsi" w:hAnsiTheme="minorHAnsi" w:cstheme="minorHAnsi"/>
          <w:szCs w:val="24"/>
        </w:rPr>
        <w:t>566.38 hours</w:t>
      </w:r>
      <w:r w:rsidRPr="00B850BA" w:rsidR="00386C80">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386C80">
        <w:rPr>
          <w:rFonts w:asciiTheme="minorHAnsi" w:hAnsiTheme="minorHAnsi" w:cstheme="minorHAnsi"/>
          <w:szCs w:val="24"/>
        </w:rPr>
        <w:t>able 2, line D2a)</w:t>
      </w:r>
      <w:r w:rsidRPr="00B850BA" w:rsidR="002718DF">
        <w:rPr>
          <w:rFonts w:asciiTheme="minorHAnsi" w:hAnsiTheme="minorHAnsi" w:cstheme="minorHAnsi"/>
          <w:szCs w:val="24"/>
        </w:rPr>
        <w:t>.</w:t>
      </w:r>
      <w:r w:rsidRPr="00B850BA">
        <w:rPr>
          <w:rFonts w:asciiTheme="minorHAnsi" w:hAnsiTheme="minorHAnsi" w:cstheme="minorHAnsi"/>
          <w:szCs w:val="24"/>
        </w:rPr>
        <w:t xml:space="preserve"> </w:t>
      </w:r>
    </w:p>
    <w:bookmarkEnd w:id="3"/>
    <w:p w:rsidR="00B26EEC" w:rsidRPr="00B850BA" w:rsidP="00E407C9" w14:paraId="7F732003" w14:textId="7D9BAB7D">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For brake and clutch repair, EPA assumes that this requirement will </w:t>
      </w:r>
      <w:r w:rsidRPr="00B850BA">
        <w:rPr>
          <w:rFonts w:asciiTheme="minorHAnsi" w:hAnsiTheme="minorHAnsi" w:cstheme="minorHAnsi"/>
          <w:szCs w:val="24"/>
        </w:rPr>
        <w:t xml:space="preserve">require </w:t>
      </w:r>
      <w:r w:rsidRPr="00B850BA" w:rsidR="00181EAD">
        <w:rPr>
          <w:rFonts w:asciiTheme="minorHAnsi" w:hAnsiTheme="minorHAnsi" w:cstheme="minorHAnsi"/>
          <w:szCs w:val="24"/>
        </w:rPr>
        <w:t xml:space="preserve">five </w:t>
      </w:r>
      <w:r w:rsidRPr="00B850BA">
        <w:rPr>
          <w:rFonts w:asciiTheme="minorHAnsi" w:hAnsiTheme="minorHAnsi" w:cstheme="minorHAnsi"/>
          <w:szCs w:val="24"/>
        </w:rPr>
        <w:t xml:space="preserve">minutes of a brake and clutch supervisor’s time </w:t>
      </w:r>
      <w:r w:rsidRPr="00B850BA">
        <w:rPr>
          <w:rFonts w:asciiTheme="minorHAnsi" w:hAnsiTheme="minorHAnsi" w:cstheme="minorHAnsi"/>
          <w:szCs w:val="24"/>
        </w:rPr>
        <w:t xml:space="preserve">four times (e.g., quarterly) </w:t>
      </w:r>
      <w:r w:rsidRPr="00B850BA" w:rsidR="0043012E">
        <w:rPr>
          <w:rFonts w:asciiTheme="minorHAnsi" w:hAnsiTheme="minorHAnsi" w:cstheme="minorHAnsi"/>
          <w:szCs w:val="24"/>
        </w:rPr>
        <w:t xml:space="preserve">per </w:t>
      </w:r>
      <w:r w:rsidRPr="00B850BA">
        <w:rPr>
          <w:rFonts w:asciiTheme="minorHAnsi" w:hAnsiTheme="minorHAnsi" w:cstheme="minorHAnsi"/>
          <w:szCs w:val="24"/>
        </w:rPr>
        <w:t>year at each</w:t>
      </w:r>
      <w:r w:rsidRPr="00B850BA" w:rsidR="00491265">
        <w:rPr>
          <w:rFonts w:asciiTheme="minorHAnsi" w:hAnsiTheme="minorHAnsi" w:cstheme="minorHAnsi"/>
          <w:szCs w:val="24"/>
        </w:rPr>
        <w:t xml:space="preserve"> brake and clutch repair shop. </w:t>
      </w:r>
      <w:r w:rsidRPr="00B850BA">
        <w:rPr>
          <w:rFonts w:asciiTheme="minorHAnsi" w:hAnsiTheme="minorHAnsi" w:cstheme="minorHAnsi"/>
          <w:szCs w:val="24"/>
        </w:rPr>
        <w:t xml:space="preserve">Applying these assumptions and converting to a per-state basis, the </w:t>
      </w:r>
      <w:r w:rsidRPr="00B850BA" w:rsidR="002718DF">
        <w:rPr>
          <w:rFonts w:asciiTheme="minorHAnsi" w:hAnsiTheme="minorHAnsi" w:cstheme="minorHAnsi"/>
          <w:szCs w:val="24"/>
        </w:rPr>
        <w:t xml:space="preserve">resultant </w:t>
      </w:r>
      <w:r w:rsidRPr="00B850BA">
        <w:rPr>
          <w:rFonts w:asciiTheme="minorHAnsi" w:hAnsiTheme="minorHAnsi" w:cstheme="minorHAnsi"/>
          <w:szCs w:val="24"/>
        </w:rPr>
        <w:t>annual unit burden for notifying employees in affected brake and clutch shops is 36.99 hours</w:t>
      </w:r>
      <w:r w:rsidRPr="00B850BA" w:rsidR="00F944C6">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F944C6">
        <w:rPr>
          <w:rFonts w:asciiTheme="minorHAnsi" w:hAnsiTheme="minorHAnsi" w:cstheme="minorHAnsi"/>
          <w:szCs w:val="24"/>
        </w:rPr>
        <w:t>able 2, line D2b)</w:t>
      </w:r>
      <w:r w:rsidRPr="00B850BA" w:rsidR="002718DF">
        <w:rPr>
          <w:rFonts w:asciiTheme="minorHAnsi" w:hAnsiTheme="minorHAnsi" w:cstheme="minorHAnsi"/>
          <w:szCs w:val="24"/>
        </w:rPr>
        <w:t>.</w:t>
      </w:r>
      <w:r w:rsidRPr="00B850BA">
        <w:rPr>
          <w:rFonts w:asciiTheme="minorHAnsi" w:hAnsiTheme="minorHAnsi" w:cstheme="minorHAnsi"/>
          <w:szCs w:val="24"/>
        </w:rPr>
        <w:t xml:space="preserve"> </w:t>
      </w:r>
    </w:p>
    <w:p w:rsidR="00DA5F15" w:rsidP="00E407C9" w14:paraId="5D647DC0" w14:textId="1B1BD5DB">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Finally, employers </w:t>
      </w:r>
      <w:r w:rsidRPr="00B850BA" w:rsidR="00FA1E2A">
        <w:rPr>
          <w:rFonts w:asciiTheme="minorHAnsi" w:hAnsiTheme="minorHAnsi" w:cstheme="minorHAnsi"/>
          <w:szCs w:val="24"/>
        </w:rPr>
        <w:t xml:space="preserve">are required </w:t>
      </w:r>
      <w:r w:rsidRPr="00B850BA">
        <w:rPr>
          <w:rFonts w:asciiTheme="minorHAnsi" w:hAnsiTheme="minorHAnsi" w:cstheme="minorHAnsi"/>
          <w:szCs w:val="24"/>
        </w:rPr>
        <w:t>to notify other employees (i.e., those not performing the asbestos</w:t>
      </w:r>
      <w:r w:rsidRPr="00B850BA" w:rsidR="00C870F2">
        <w:rPr>
          <w:rFonts w:asciiTheme="minorHAnsi" w:hAnsiTheme="minorHAnsi" w:cstheme="minorHAnsi"/>
          <w:szCs w:val="24"/>
        </w:rPr>
        <w:t xml:space="preserve"> </w:t>
      </w:r>
      <w:r w:rsidRPr="00B850BA">
        <w:rPr>
          <w:rFonts w:asciiTheme="minorHAnsi" w:hAnsiTheme="minorHAnsi" w:cstheme="minorHAnsi"/>
          <w:szCs w:val="24"/>
        </w:rPr>
        <w:t>related work) and tenants about the occurrence of asbestos</w:t>
      </w:r>
      <w:r w:rsidRPr="00B850BA" w:rsidR="0043012E">
        <w:rPr>
          <w:rFonts w:asciiTheme="minorHAnsi" w:hAnsiTheme="minorHAnsi" w:cstheme="minorHAnsi"/>
          <w:szCs w:val="24"/>
        </w:rPr>
        <w:t>-</w:t>
      </w:r>
      <w:r w:rsidRPr="00B850BA">
        <w:rPr>
          <w:rFonts w:asciiTheme="minorHAnsi" w:hAnsiTheme="minorHAnsi" w:cstheme="minorHAnsi"/>
          <w:szCs w:val="24"/>
        </w:rPr>
        <w:t>related work in the building</w:t>
      </w:r>
      <w:r w:rsidRPr="00B850BA" w:rsidR="00DB3549">
        <w:rPr>
          <w:rFonts w:asciiTheme="minorHAnsi" w:hAnsiTheme="minorHAnsi" w:cstheme="minorHAnsi"/>
          <w:szCs w:val="24"/>
        </w:rPr>
        <w:t>.</w:t>
      </w:r>
      <w:r w:rsidRPr="00B850BA">
        <w:rPr>
          <w:rFonts w:asciiTheme="minorHAnsi" w:hAnsiTheme="minorHAnsi" w:cstheme="minorHAnsi"/>
          <w:szCs w:val="24"/>
        </w:rPr>
        <w:t xml:space="preserve"> EPA assumes</w:t>
      </w:r>
      <w:r w:rsidRPr="00B850BA" w:rsidR="00B26EEC">
        <w:rPr>
          <w:rFonts w:asciiTheme="minorHAnsi" w:hAnsiTheme="minorHAnsi" w:cstheme="minorHAnsi"/>
          <w:szCs w:val="24"/>
        </w:rPr>
        <w:t xml:space="preserve"> that this activity will impose a burden of five minutes of supervisory time annually per project. Applying these assumptions and converting to a per-state basis, the </w:t>
      </w:r>
      <w:r w:rsidRPr="00B850BA" w:rsidR="00016313">
        <w:rPr>
          <w:rFonts w:asciiTheme="minorHAnsi" w:hAnsiTheme="minorHAnsi" w:cstheme="minorHAnsi"/>
          <w:szCs w:val="24"/>
        </w:rPr>
        <w:t xml:space="preserve">resultant </w:t>
      </w:r>
      <w:r w:rsidRPr="00B850BA" w:rsidR="00B26EEC">
        <w:rPr>
          <w:rFonts w:asciiTheme="minorHAnsi" w:hAnsiTheme="minorHAnsi" w:cstheme="minorHAnsi"/>
          <w:szCs w:val="24"/>
        </w:rPr>
        <w:t>annual unit burden for notifying other employees in affected construction projects is 1</w:t>
      </w:r>
      <w:r w:rsidRPr="00B850BA" w:rsidR="005F7EAA">
        <w:rPr>
          <w:rFonts w:asciiTheme="minorHAnsi" w:hAnsiTheme="minorHAnsi" w:cstheme="minorHAnsi"/>
          <w:szCs w:val="24"/>
        </w:rPr>
        <w:t>,</w:t>
      </w:r>
      <w:r w:rsidRPr="00B850BA" w:rsidR="00B26EEC">
        <w:rPr>
          <w:rFonts w:asciiTheme="minorHAnsi" w:hAnsiTheme="minorHAnsi" w:cstheme="minorHAnsi"/>
          <w:szCs w:val="24"/>
        </w:rPr>
        <w:t>566.38 hours</w:t>
      </w:r>
      <w:r w:rsidRPr="00B850BA" w:rsidR="00F944C6">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F944C6">
        <w:rPr>
          <w:rFonts w:asciiTheme="minorHAnsi" w:hAnsiTheme="minorHAnsi" w:cstheme="minorHAnsi"/>
          <w:szCs w:val="24"/>
        </w:rPr>
        <w:t>able 2, line D2</w:t>
      </w:r>
      <w:r w:rsidRPr="00B850BA" w:rsidR="00326AF4">
        <w:rPr>
          <w:rFonts w:asciiTheme="minorHAnsi" w:hAnsiTheme="minorHAnsi" w:cstheme="minorHAnsi"/>
          <w:szCs w:val="24"/>
        </w:rPr>
        <w:t>c</w:t>
      </w:r>
      <w:r w:rsidRPr="00B850BA" w:rsidR="00F944C6">
        <w:rPr>
          <w:rFonts w:asciiTheme="minorHAnsi" w:hAnsiTheme="minorHAnsi" w:cstheme="minorHAnsi"/>
          <w:szCs w:val="24"/>
        </w:rPr>
        <w:t>).</w:t>
      </w:r>
    </w:p>
    <w:p w:rsidR="00E407C9" w:rsidRPr="00B850BA" w:rsidP="00E407C9" w14:paraId="57DDB2C7" w14:textId="77777777">
      <w:pPr>
        <w:spacing w:line="276" w:lineRule="auto"/>
        <w:ind w:firstLine="0"/>
        <w:rPr>
          <w:rFonts w:asciiTheme="minorHAnsi" w:hAnsiTheme="minorHAnsi" w:cstheme="minorHAnsi"/>
          <w:szCs w:val="24"/>
        </w:rPr>
      </w:pPr>
    </w:p>
    <w:p w:rsidR="00D74D9E" w:rsidRPr="00B850BA" w:rsidP="008F708D" w14:paraId="7197B1A8" w14:textId="0E89C6AE">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Training Program</w:t>
      </w:r>
    </w:p>
    <w:p w:rsidR="008707A3" w:rsidRPr="00B850BA" w:rsidP="00E407C9" w14:paraId="5FAE1E70" w14:textId="314CF9DD">
      <w:pPr>
        <w:spacing w:line="276" w:lineRule="auto"/>
        <w:ind w:firstLine="0"/>
        <w:rPr>
          <w:rFonts w:asciiTheme="minorHAnsi" w:hAnsiTheme="minorHAnsi" w:cstheme="minorHAnsi"/>
          <w:szCs w:val="24"/>
        </w:rPr>
      </w:pPr>
      <w:r w:rsidRPr="00B850BA">
        <w:rPr>
          <w:rFonts w:asciiTheme="minorHAnsi" w:hAnsiTheme="minorHAnsi" w:cstheme="minorHAnsi"/>
          <w:szCs w:val="24"/>
        </w:rPr>
        <w:t>A</w:t>
      </w:r>
      <w:r w:rsidRPr="00B850BA" w:rsidR="00D74D9E">
        <w:rPr>
          <w:rFonts w:asciiTheme="minorHAnsi" w:hAnsiTheme="minorHAnsi" w:cstheme="minorHAnsi"/>
          <w:szCs w:val="24"/>
        </w:rPr>
        <w:t xml:space="preserve">ffected construction workers </w:t>
      </w:r>
      <w:r w:rsidRPr="00B850BA">
        <w:rPr>
          <w:rFonts w:asciiTheme="minorHAnsi" w:hAnsiTheme="minorHAnsi" w:cstheme="minorHAnsi"/>
          <w:szCs w:val="24"/>
        </w:rPr>
        <w:t xml:space="preserve">must </w:t>
      </w:r>
      <w:r w:rsidRPr="00B850BA" w:rsidR="00D74D9E">
        <w:rPr>
          <w:rFonts w:asciiTheme="minorHAnsi" w:hAnsiTheme="minorHAnsi" w:cstheme="minorHAnsi"/>
          <w:szCs w:val="24"/>
        </w:rPr>
        <w:t>be trained based on t</w:t>
      </w:r>
      <w:r w:rsidRPr="00B850BA" w:rsidR="00491265">
        <w:rPr>
          <w:rFonts w:asciiTheme="minorHAnsi" w:hAnsiTheme="minorHAnsi" w:cstheme="minorHAnsi"/>
          <w:szCs w:val="24"/>
        </w:rPr>
        <w:t xml:space="preserve">he Class of work they perform. </w:t>
      </w:r>
      <w:r w:rsidRPr="00B850BA" w:rsidR="00D74D9E">
        <w:rPr>
          <w:rFonts w:asciiTheme="minorHAnsi" w:hAnsiTheme="minorHAnsi" w:cstheme="minorHAnsi"/>
          <w:szCs w:val="24"/>
        </w:rPr>
        <w:t>Training requirements for Class I abatement workers are not incremental to the</w:t>
      </w:r>
      <w:r w:rsidRPr="00B850BA" w:rsidR="00905843">
        <w:rPr>
          <w:rFonts w:asciiTheme="minorHAnsi" w:hAnsiTheme="minorHAnsi" w:cstheme="minorHAnsi"/>
          <w:szCs w:val="24"/>
        </w:rPr>
        <w:t xml:space="preserve"> </w:t>
      </w:r>
      <w:r w:rsidRPr="00B850BA" w:rsidR="006F79BD">
        <w:rPr>
          <w:rFonts w:asciiTheme="minorHAnsi" w:hAnsiTheme="minorHAnsi" w:cstheme="minorHAnsi"/>
          <w:szCs w:val="24"/>
        </w:rPr>
        <w:t xml:space="preserve">WPR </w:t>
      </w:r>
      <w:r w:rsidRPr="00B850BA" w:rsidR="00D74D9E">
        <w:rPr>
          <w:rFonts w:asciiTheme="minorHAnsi" w:hAnsiTheme="minorHAnsi" w:cstheme="minorHAnsi"/>
          <w:szCs w:val="24"/>
        </w:rPr>
        <w:t>and thus do not impose an</w:t>
      </w:r>
      <w:r w:rsidRPr="00B850BA" w:rsidR="00DB305B">
        <w:rPr>
          <w:rFonts w:asciiTheme="minorHAnsi" w:hAnsiTheme="minorHAnsi" w:cstheme="minorHAnsi"/>
          <w:szCs w:val="24"/>
        </w:rPr>
        <w:t xml:space="preserve"> incremental paperwork burden. </w:t>
      </w:r>
      <w:r w:rsidRPr="00B850BA" w:rsidR="00D74D9E">
        <w:rPr>
          <w:rFonts w:asciiTheme="minorHAnsi" w:hAnsiTheme="minorHAnsi" w:cstheme="minorHAnsi"/>
          <w:szCs w:val="24"/>
        </w:rPr>
        <w:t xml:space="preserve">The annual training requirements are </w:t>
      </w:r>
      <w:r w:rsidRPr="00B850BA" w:rsidR="00326AF4">
        <w:rPr>
          <w:rFonts w:asciiTheme="minorHAnsi" w:hAnsiTheme="minorHAnsi" w:cstheme="minorHAnsi"/>
          <w:szCs w:val="24"/>
        </w:rPr>
        <w:t>32</w:t>
      </w:r>
      <w:r w:rsidRPr="00B850BA" w:rsidR="00905843">
        <w:rPr>
          <w:rFonts w:asciiTheme="minorHAnsi" w:hAnsiTheme="minorHAnsi" w:cstheme="minorHAnsi"/>
          <w:szCs w:val="24"/>
        </w:rPr>
        <w:t xml:space="preserve"> </w:t>
      </w:r>
      <w:r w:rsidRPr="00B850BA" w:rsidR="00D74D9E">
        <w:rPr>
          <w:rFonts w:asciiTheme="minorHAnsi" w:hAnsiTheme="minorHAnsi" w:cstheme="minorHAnsi"/>
          <w:szCs w:val="24"/>
        </w:rPr>
        <w:t xml:space="preserve">hours for Class II workers, </w:t>
      </w:r>
      <w:r w:rsidRPr="00B850BA" w:rsidR="00326AF4">
        <w:rPr>
          <w:rFonts w:asciiTheme="minorHAnsi" w:hAnsiTheme="minorHAnsi" w:cstheme="minorHAnsi"/>
          <w:szCs w:val="24"/>
        </w:rPr>
        <w:t xml:space="preserve">16 </w:t>
      </w:r>
      <w:r w:rsidRPr="00B850BA" w:rsidR="00D74D9E">
        <w:rPr>
          <w:rFonts w:asciiTheme="minorHAnsi" w:hAnsiTheme="minorHAnsi" w:cstheme="minorHAnsi"/>
          <w:szCs w:val="24"/>
        </w:rPr>
        <w:t>hours for Class III workers, including new construction projects, and</w:t>
      </w:r>
      <w:r w:rsidRPr="00B850BA" w:rsidR="00DB305B">
        <w:rPr>
          <w:rFonts w:asciiTheme="minorHAnsi" w:hAnsiTheme="minorHAnsi" w:cstheme="minorHAnsi"/>
          <w:szCs w:val="24"/>
        </w:rPr>
        <w:t xml:space="preserve"> </w:t>
      </w:r>
      <w:r w:rsidRPr="00B850BA" w:rsidR="00905843">
        <w:rPr>
          <w:rFonts w:asciiTheme="minorHAnsi" w:hAnsiTheme="minorHAnsi" w:cstheme="minorHAnsi"/>
          <w:szCs w:val="24"/>
        </w:rPr>
        <w:t xml:space="preserve">two </w:t>
      </w:r>
      <w:r w:rsidRPr="00B850BA" w:rsidR="00DB305B">
        <w:rPr>
          <w:rFonts w:asciiTheme="minorHAnsi" w:hAnsiTheme="minorHAnsi" w:cstheme="minorHAnsi"/>
          <w:szCs w:val="24"/>
        </w:rPr>
        <w:t xml:space="preserve">hours for Class IV workers. </w:t>
      </w:r>
      <w:r w:rsidRPr="00B850BA">
        <w:rPr>
          <w:rFonts w:asciiTheme="minorHAnsi" w:hAnsiTheme="minorHAnsi" w:cstheme="minorHAnsi"/>
          <w:szCs w:val="24"/>
        </w:rPr>
        <w:t xml:space="preserve">Applying these assumptions and converting to a per-state basis, the </w:t>
      </w:r>
      <w:r w:rsidRPr="00B850BA" w:rsidR="00FD7A51">
        <w:rPr>
          <w:rFonts w:asciiTheme="minorHAnsi" w:hAnsiTheme="minorHAnsi" w:cstheme="minorHAnsi"/>
          <w:szCs w:val="24"/>
        </w:rPr>
        <w:t xml:space="preserve">resultant </w:t>
      </w:r>
      <w:r w:rsidRPr="00B850BA">
        <w:rPr>
          <w:rFonts w:asciiTheme="minorHAnsi" w:hAnsiTheme="minorHAnsi" w:cstheme="minorHAnsi"/>
          <w:szCs w:val="24"/>
        </w:rPr>
        <w:t xml:space="preserve">annual training unit burdens </w:t>
      </w:r>
      <w:r w:rsidRPr="00B850BA" w:rsidR="00FD7A51">
        <w:rPr>
          <w:rFonts w:asciiTheme="minorHAnsi" w:hAnsiTheme="minorHAnsi" w:cstheme="minorHAnsi"/>
          <w:szCs w:val="24"/>
        </w:rPr>
        <w:t>are</w:t>
      </w:r>
      <w:r w:rsidRPr="00B850BA">
        <w:rPr>
          <w:rFonts w:asciiTheme="minorHAnsi" w:hAnsiTheme="minorHAnsi" w:cstheme="minorHAnsi"/>
          <w:szCs w:val="24"/>
        </w:rPr>
        <w:t xml:space="preserve"> 2,536.30 hours for Class II</w:t>
      </w:r>
      <w:r w:rsidRPr="00B850BA" w:rsidR="00FD7A51">
        <w:rPr>
          <w:rFonts w:asciiTheme="minorHAnsi" w:hAnsiTheme="minorHAnsi" w:cstheme="minorHAnsi"/>
          <w:szCs w:val="24"/>
        </w:rPr>
        <w:t xml:space="preserve"> projects,</w:t>
      </w:r>
      <w:r w:rsidRPr="00B850BA">
        <w:rPr>
          <w:rFonts w:asciiTheme="minorHAnsi" w:hAnsiTheme="minorHAnsi" w:cstheme="minorHAnsi"/>
          <w:szCs w:val="24"/>
        </w:rPr>
        <w:t xml:space="preserve"> 592.</w:t>
      </w:r>
      <w:r w:rsidRPr="00B850BA" w:rsidR="004A788C">
        <w:rPr>
          <w:rFonts w:asciiTheme="minorHAnsi" w:hAnsiTheme="minorHAnsi" w:cstheme="minorHAnsi"/>
          <w:szCs w:val="24"/>
        </w:rPr>
        <w:t xml:space="preserve">59 </w:t>
      </w:r>
      <w:r w:rsidRPr="00B850BA">
        <w:rPr>
          <w:rFonts w:asciiTheme="minorHAnsi" w:hAnsiTheme="minorHAnsi" w:cstheme="minorHAnsi"/>
          <w:szCs w:val="24"/>
        </w:rPr>
        <w:t>hours</w:t>
      </w:r>
      <w:r w:rsidRPr="00B850BA" w:rsidR="00FD7A51">
        <w:rPr>
          <w:rFonts w:asciiTheme="minorHAnsi" w:hAnsiTheme="minorHAnsi" w:cstheme="minorHAnsi"/>
          <w:szCs w:val="24"/>
        </w:rPr>
        <w:t xml:space="preserve"> f</w:t>
      </w:r>
      <w:r w:rsidRPr="00B850BA">
        <w:rPr>
          <w:rFonts w:asciiTheme="minorHAnsi" w:hAnsiTheme="minorHAnsi" w:cstheme="minorHAnsi"/>
          <w:szCs w:val="24"/>
        </w:rPr>
        <w:t>or Class III</w:t>
      </w:r>
      <w:r w:rsidRPr="00B850BA" w:rsidR="00FD7A51">
        <w:rPr>
          <w:rFonts w:asciiTheme="minorHAnsi" w:hAnsiTheme="minorHAnsi" w:cstheme="minorHAnsi"/>
          <w:szCs w:val="24"/>
        </w:rPr>
        <w:t xml:space="preserve"> projects, and </w:t>
      </w:r>
      <w:r w:rsidRPr="00B850BA">
        <w:rPr>
          <w:rFonts w:asciiTheme="minorHAnsi" w:hAnsiTheme="minorHAnsi" w:cstheme="minorHAnsi"/>
          <w:szCs w:val="24"/>
        </w:rPr>
        <w:t xml:space="preserve">3,844.81 hours </w:t>
      </w:r>
      <w:r w:rsidRPr="00B850BA" w:rsidR="001970B8">
        <w:rPr>
          <w:rFonts w:asciiTheme="minorHAnsi" w:hAnsiTheme="minorHAnsi" w:cstheme="minorHAnsi"/>
          <w:szCs w:val="24"/>
        </w:rPr>
        <w:t>Class IV</w:t>
      </w:r>
      <w:r w:rsidRPr="00B850BA" w:rsidR="00FD7A51">
        <w:rPr>
          <w:rFonts w:asciiTheme="minorHAnsi" w:hAnsiTheme="minorHAnsi" w:cstheme="minorHAnsi"/>
          <w:szCs w:val="24"/>
        </w:rPr>
        <w:t xml:space="preserve"> projects</w:t>
      </w:r>
      <w:r w:rsidRPr="00B850BA" w:rsidR="00600729">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600729">
        <w:rPr>
          <w:rFonts w:asciiTheme="minorHAnsi" w:hAnsiTheme="minorHAnsi" w:cstheme="minorHAnsi"/>
          <w:szCs w:val="24"/>
        </w:rPr>
        <w:t>able 2, lines E1a, E1b, and E1c, respectively)</w:t>
      </w:r>
      <w:r w:rsidRPr="00B850BA" w:rsidR="00FD7A51">
        <w:rPr>
          <w:rFonts w:asciiTheme="minorHAnsi" w:hAnsiTheme="minorHAnsi" w:cstheme="minorHAnsi"/>
          <w:szCs w:val="24"/>
        </w:rPr>
        <w:t>.</w:t>
      </w:r>
    </w:p>
    <w:p w:rsidR="00D74D9E" w:rsidRPr="00B850BA" w:rsidP="00E407C9" w14:paraId="6C336D87" w14:textId="51B3768D">
      <w:pPr>
        <w:spacing w:line="276" w:lineRule="auto"/>
        <w:ind w:firstLine="0"/>
        <w:rPr>
          <w:rFonts w:asciiTheme="minorHAnsi" w:hAnsiTheme="minorHAnsi" w:cstheme="minorHAnsi"/>
          <w:szCs w:val="24"/>
        </w:rPr>
      </w:pPr>
      <w:r w:rsidRPr="00B850BA">
        <w:rPr>
          <w:rFonts w:asciiTheme="minorHAnsi" w:hAnsiTheme="minorHAnsi" w:cstheme="minorHAnsi"/>
          <w:szCs w:val="24"/>
        </w:rPr>
        <w:t>Records of the training must be kept on file f</w:t>
      </w:r>
      <w:r w:rsidRPr="00B850BA" w:rsidR="00DB305B">
        <w:rPr>
          <w:rFonts w:asciiTheme="minorHAnsi" w:hAnsiTheme="minorHAnsi" w:cstheme="minorHAnsi"/>
          <w:szCs w:val="24"/>
        </w:rPr>
        <w:t xml:space="preserve">or each worker who is trained. </w:t>
      </w:r>
      <w:r w:rsidRPr="00B850BA">
        <w:rPr>
          <w:rFonts w:asciiTheme="minorHAnsi" w:hAnsiTheme="minorHAnsi" w:cstheme="minorHAnsi"/>
          <w:szCs w:val="24"/>
        </w:rPr>
        <w:t>EPA assumes that this will require five minutes of cle</w:t>
      </w:r>
      <w:r w:rsidRPr="00B850BA" w:rsidR="00DB305B">
        <w:rPr>
          <w:rFonts w:asciiTheme="minorHAnsi" w:hAnsiTheme="minorHAnsi" w:cstheme="minorHAnsi"/>
          <w:szCs w:val="24"/>
        </w:rPr>
        <w:t xml:space="preserve">rical time </w:t>
      </w:r>
      <w:r w:rsidRPr="00B850BA" w:rsidR="001970B8">
        <w:rPr>
          <w:rFonts w:asciiTheme="minorHAnsi" w:hAnsiTheme="minorHAnsi" w:cstheme="minorHAnsi"/>
          <w:szCs w:val="24"/>
        </w:rPr>
        <w:t xml:space="preserve">annually </w:t>
      </w:r>
      <w:r w:rsidRPr="00B850BA" w:rsidR="00DB305B">
        <w:rPr>
          <w:rFonts w:asciiTheme="minorHAnsi" w:hAnsiTheme="minorHAnsi" w:cstheme="minorHAnsi"/>
          <w:szCs w:val="24"/>
        </w:rPr>
        <w:t xml:space="preserve">per worker trained. </w:t>
      </w:r>
      <w:r w:rsidRPr="00B850BA" w:rsidR="001970B8">
        <w:rPr>
          <w:rFonts w:asciiTheme="minorHAnsi" w:hAnsiTheme="minorHAnsi" w:cstheme="minorHAnsi"/>
          <w:szCs w:val="24"/>
        </w:rPr>
        <w:t xml:space="preserve">Applying this time for all workers trained and converting to a per-state basis, the </w:t>
      </w:r>
      <w:r w:rsidRPr="00B850BA" w:rsidR="00C253B7">
        <w:rPr>
          <w:rFonts w:asciiTheme="minorHAnsi" w:hAnsiTheme="minorHAnsi" w:cstheme="minorHAnsi"/>
          <w:szCs w:val="24"/>
        </w:rPr>
        <w:t xml:space="preserve">resultant </w:t>
      </w:r>
      <w:r w:rsidRPr="00B850BA" w:rsidR="001970B8">
        <w:rPr>
          <w:rFonts w:asciiTheme="minorHAnsi" w:hAnsiTheme="minorHAnsi" w:cstheme="minorHAnsi"/>
          <w:szCs w:val="24"/>
        </w:rPr>
        <w:t>annual unit burden for maintaining training records is 169.89 hours</w:t>
      </w:r>
      <w:r w:rsidRPr="00B850BA" w:rsidR="00D37F53">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D37F53">
        <w:rPr>
          <w:rFonts w:asciiTheme="minorHAnsi" w:hAnsiTheme="minorHAnsi" w:cstheme="minorHAnsi"/>
          <w:szCs w:val="24"/>
        </w:rPr>
        <w:t>able 2, line E2)</w:t>
      </w:r>
      <w:r w:rsidRPr="00B850BA" w:rsidR="00C253B7">
        <w:rPr>
          <w:rFonts w:asciiTheme="minorHAnsi" w:hAnsiTheme="minorHAnsi" w:cstheme="minorHAnsi"/>
          <w:szCs w:val="24"/>
        </w:rPr>
        <w:t>.</w:t>
      </w:r>
    </w:p>
    <w:p w:rsidR="00D74D9E" w:rsidRPr="00B850BA" w:rsidP="00E407C9" w14:paraId="208B4BAD" w14:textId="7EDDFDDA">
      <w:pPr>
        <w:spacing w:line="276" w:lineRule="auto"/>
        <w:ind w:firstLine="0"/>
        <w:rPr>
          <w:rFonts w:asciiTheme="minorHAnsi" w:hAnsiTheme="minorHAnsi" w:cstheme="minorHAnsi"/>
          <w:szCs w:val="24"/>
        </w:rPr>
      </w:pPr>
      <w:r w:rsidRPr="00B850BA">
        <w:rPr>
          <w:rFonts w:asciiTheme="minorHAnsi" w:hAnsiTheme="minorHAnsi" w:cstheme="minorHAnsi"/>
          <w:szCs w:val="24"/>
        </w:rPr>
        <w:t>E</w:t>
      </w:r>
      <w:r w:rsidRPr="00B850BA">
        <w:rPr>
          <w:rFonts w:asciiTheme="minorHAnsi" w:hAnsiTheme="minorHAnsi" w:cstheme="minorHAnsi"/>
          <w:szCs w:val="24"/>
        </w:rPr>
        <w:t xml:space="preserve">mployers </w:t>
      </w:r>
      <w:r w:rsidRPr="00B850BA">
        <w:rPr>
          <w:rFonts w:asciiTheme="minorHAnsi" w:hAnsiTheme="minorHAnsi" w:cstheme="minorHAnsi"/>
          <w:szCs w:val="24"/>
        </w:rPr>
        <w:t xml:space="preserve">are also required </w:t>
      </w:r>
      <w:r w:rsidRPr="00B850BA">
        <w:rPr>
          <w:rFonts w:asciiTheme="minorHAnsi" w:hAnsiTheme="minorHAnsi" w:cstheme="minorHAnsi"/>
          <w:szCs w:val="24"/>
        </w:rPr>
        <w:t>to maintain training materials on file for employee access</w:t>
      </w:r>
      <w:r w:rsidRPr="00B850BA">
        <w:rPr>
          <w:rFonts w:asciiTheme="minorHAnsi" w:hAnsiTheme="minorHAnsi" w:cstheme="minorHAnsi"/>
          <w:szCs w:val="24"/>
        </w:rPr>
        <w:t>.</w:t>
      </w:r>
      <w:r w:rsidRPr="00B850BA">
        <w:rPr>
          <w:rFonts w:asciiTheme="minorHAnsi" w:hAnsiTheme="minorHAnsi" w:cstheme="minorHAnsi"/>
          <w:szCs w:val="24"/>
        </w:rPr>
        <w:t xml:space="preserve"> The burden associated with this requirement has been included in the burden estimate under Employee Access to Records, below.</w:t>
      </w:r>
    </w:p>
    <w:p w:rsidR="00D74D9E" w:rsidRPr="00B850BA" w:rsidP="12C045B5" w14:paraId="1152AEA4" w14:textId="5697B369">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Medical Surveillance</w:t>
      </w:r>
    </w:p>
    <w:p w:rsidR="00D74D9E" w:rsidRPr="00B850BA" w:rsidP="00E407C9" w14:paraId="7664B52D" w14:textId="3369D3EB">
      <w:pPr>
        <w:spacing w:line="276" w:lineRule="auto"/>
        <w:ind w:firstLine="0"/>
        <w:rPr>
          <w:rFonts w:asciiTheme="minorHAnsi" w:hAnsiTheme="minorHAnsi" w:cstheme="minorHAnsi"/>
          <w:szCs w:val="24"/>
        </w:rPr>
      </w:pPr>
      <w:r w:rsidRPr="00B850BA">
        <w:rPr>
          <w:rFonts w:asciiTheme="minorHAnsi" w:hAnsiTheme="minorHAnsi" w:cstheme="minorHAnsi"/>
          <w:szCs w:val="24"/>
        </w:rPr>
        <w:t>M</w:t>
      </w:r>
      <w:r w:rsidRPr="00B850BA">
        <w:rPr>
          <w:rFonts w:asciiTheme="minorHAnsi" w:hAnsiTheme="minorHAnsi" w:cstheme="minorHAnsi"/>
          <w:szCs w:val="24"/>
        </w:rPr>
        <w:t>edical exam</w:t>
      </w:r>
      <w:r w:rsidRPr="00B850BA">
        <w:rPr>
          <w:rFonts w:asciiTheme="minorHAnsi" w:hAnsiTheme="minorHAnsi" w:cstheme="minorHAnsi"/>
          <w:szCs w:val="24"/>
        </w:rPr>
        <w:t>s are required</w:t>
      </w:r>
      <w:r w:rsidRPr="00B850BA">
        <w:rPr>
          <w:rFonts w:asciiTheme="minorHAnsi" w:hAnsiTheme="minorHAnsi" w:cstheme="minorHAnsi"/>
          <w:szCs w:val="24"/>
        </w:rPr>
        <w:t xml:space="preserve"> for Class</w:t>
      </w:r>
      <w:r w:rsidRPr="00B850BA" w:rsidR="00DD5EDB">
        <w:rPr>
          <w:rFonts w:asciiTheme="minorHAnsi" w:hAnsiTheme="minorHAnsi" w:cstheme="minorHAnsi"/>
          <w:szCs w:val="24"/>
        </w:rPr>
        <w:t>es</w:t>
      </w:r>
      <w:r w:rsidRPr="00B850BA">
        <w:rPr>
          <w:rFonts w:asciiTheme="minorHAnsi" w:hAnsiTheme="minorHAnsi" w:cstheme="minorHAnsi"/>
          <w:szCs w:val="24"/>
        </w:rPr>
        <w:t xml:space="preserve"> I, II, </w:t>
      </w:r>
      <w:r w:rsidRPr="00B850BA" w:rsidR="00E44176">
        <w:rPr>
          <w:rFonts w:asciiTheme="minorHAnsi" w:hAnsiTheme="minorHAnsi" w:cstheme="minorHAnsi"/>
          <w:szCs w:val="24"/>
        </w:rPr>
        <w:t>and</w:t>
      </w:r>
      <w:r w:rsidRPr="00B850BA">
        <w:rPr>
          <w:rFonts w:asciiTheme="minorHAnsi" w:hAnsiTheme="minorHAnsi" w:cstheme="minorHAnsi"/>
          <w:szCs w:val="24"/>
        </w:rPr>
        <w:t xml:space="preserve"> III employees, including new construction workers, and for workers who are exposed at or above the PEL for more than 30 days annually</w:t>
      </w:r>
      <w:r w:rsidRPr="00B850BA" w:rsidR="00CE3208">
        <w:rPr>
          <w:rFonts w:asciiTheme="minorHAnsi" w:hAnsiTheme="minorHAnsi" w:cstheme="minorHAnsi"/>
          <w:szCs w:val="24"/>
        </w:rPr>
        <w:t>.</w:t>
      </w:r>
      <w:r w:rsidRPr="00B850BA" w:rsidR="005A4125">
        <w:rPr>
          <w:rFonts w:asciiTheme="minorHAnsi" w:hAnsiTheme="minorHAnsi" w:cstheme="minorHAnsi"/>
          <w:szCs w:val="24"/>
        </w:rPr>
        <w:t xml:space="preserve"> </w:t>
      </w:r>
      <w:r w:rsidRPr="00B850BA">
        <w:rPr>
          <w:rFonts w:asciiTheme="minorHAnsi" w:hAnsiTheme="minorHAnsi" w:cstheme="minorHAnsi"/>
          <w:szCs w:val="24"/>
        </w:rPr>
        <w:t>The medical surveillance section of the rule will impose five paperwork activities on affected entities: (1) medical exams, (2) initial and periodic questionnaires, (3) providing information to physicians, (4) obtaining the physician’s written opinion, and (5) maintaining records of the medic</w:t>
      </w:r>
      <w:r w:rsidRPr="00B850BA" w:rsidR="005A4125">
        <w:rPr>
          <w:rFonts w:asciiTheme="minorHAnsi" w:hAnsiTheme="minorHAnsi" w:cstheme="minorHAnsi"/>
          <w:szCs w:val="24"/>
        </w:rPr>
        <w:t xml:space="preserve">al exam. </w:t>
      </w:r>
      <w:r w:rsidRPr="00B850BA">
        <w:rPr>
          <w:rFonts w:asciiTheme="minorHAnsi" w:hAnsiTheme="minorHAnsi" w:cstheme="minorHAnsi"/>
          <w:szCs w:val="24"/>
        </w:rPr>
        <w:t>In estimating the paperwork burden for this requirement, EPA does not include the physician’s time as part of the burden estimate.  EPA assumes that the physicians performing these activities are not part of the affected entities’ staff but provide these services under contract.</w:t>
      </w:r>
      <w:r>
        <w:rPr>
          <w:rStyle w:val="FootnoteReference"/>
          <w:rFonts w:asciiTheme="minorHAnsi" w:hAnsiTheme="minorHAnsi" w:cstheme="minorHAnsi"/>
          <w:szCs w:val="24"/>
        </w:rPr>
        <w:footnoteReference w:id="9"/>
      </w:r>
    </w:p>
    <w:p w:rsidR="007B004B" w:rsidRPr="00B850BA" w:rsidP="00E407C9" w14:paraId="3A2F2ACB" w14:textId="3EA027DE">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EPA assumes that all Class II and </w:t>
      </w:r>
      <w:r w:rsidRPr="00B850BA" w:rsidR="003D5F70">
        <w:rPr>
          <w:rFonts w:asciiTheme="minorHAnsi" w:hAnsiTheme="minorHAnsi" w:cstheme="minorHAnsi"/>
          <w:szCs w:val="24"/>
        </w:rPr>
        <w:t xml:space="preserve">Class </w:t>
      </w:r>
      <w:r w:rsidRPr="00B850BA">
        <w:rPr>
          <w:rFonts w:asciiTheme="minorHAnsi" w:hAnsiTheme="minorHAnsi" w:cstheme="minorHAnsi"/>
          <w:szCs w:val="24"/>
        </w:rPr>
        <w:t>III construction workers will need to un</w:t>
      </w:r>
      <w:r w:rsidRPr="00B850BA" w:rsidR="005A4125">
        <w:rPr>
          <w:rFonts w:asciiTheme="minorHAnsi" w:hAnsiTheme="minorHAnsi" w:cstheme="minorHAnsi"/>
          <w:szCs w:val="24"/>
        </w:rPr>
        <w:t xml:space="preserve">dergo medical exams each year. </w:t>
      </w:r>
      <w:r w:rsidRPr="00B850BA">
        <w:rPr>
          <w:rFonts w:asciiTheme="minorHAnsi" w:hAnsiTheme="minorHAnsi" w:cstheme="minorHAnsi"/>
          <w:szCs w:val="24"/>
        </w:rPr>
        <w:t xml:space="preserve">EPA assumes that each medical exam will require </w:t>
      </w:r>
      <w:r w:rsidRPr="00B850BA" w:rsidR="00E35B69">
        <w:rPr>
          <w:rFonts w:asciiTheme="minorHAnsi" w:hAnsiTheme="minorHAnsi" w:cstheme="minorHAnsi"/>
          <w:szCs w:val="24"/>
        </w:rPr>
        <w:t>45</w:t>
      </w:r>
      <w:r w:rsidRPr="00B850BA" w:rsidR="00987013">
        <w:rPr>
          <w:rFonts w:asciiTheme="minorHAnsi" w:hAnsiTheme="minorHAnsi" w:cstheme="minorHAnsi"/>
          <w:szCs w:val="24"/>
        </w:rPr>
        <w:t xml:space="preserve"> </w:t>
      </w:r>
      <w:r w:rsidRPr="00B850BA">
        <w:rPr>
          <w:rFonts w:asciiTheme="minorHAnsi" w:hAnsiTheme="minorHAnsi" w:cstheme="minorHAnsi"/>
          <w:szCs w:val="24"/>
        </w:rPr>
        <w:t>minutes</w:t>
      </w:r>
      <w:r w:rsidRPr="00B850BA" w:rsidR="002E1518">
        <w:rPr>
          <w:rFonts w:asciiTheme="minorHAnsi" w:hAnsiTheme="minorHAnsi" w:cstheme="minorHAnsi"/>
          <w:szCs w:val="24"/>
        </w:rPr>
        <w:t xml:space="preserve"> for </w:t>
      </w:r>
      <w:r w:rsidRPr="00B850BA" w:rsidR="00EF35C5">
        <w:rPr>
          <w:rFonts w:asciiTheme="minorHAnsi" w:hAnsiTheme="minorHAnsi" w:cstheme="minorHAnsi"/>
          <w:szCs w:val="24"/>
        </w:rPr>
        <w:t>employees</w:t>
      </w:r>
      <w:r w:rsidRPr="00B850BA" w:rsidR="002E1518">
        <w:rPr>
          <w:rFonts w:asciiTheme="minorHAnsi" w:hAnsiTheme="minorHAnsi" w:cstheme="minorHAnsi"/>
          <w:szCs w:val="24"/>
        </w:rPr>
        <w:t xml:space="preserve"> and </w:t>
      </w:r>
      <w:r w:rsidRPr="00B850BA" w:rsidR="00A4770D">
        <w:rPr>
          <w:rFonts w:asciiTheme="minorHAnsi" w:hAnsiTheme="minorHAnsi" w:cstheme="minorHAnsi"/>
          <w:szCs w:val="24"/>
        </w:rPr>
        <w:t xml:space="preserve">for </w:t>
      </w:r>
      <w:r w:rsidRPr="00B850BA" w:rsidR="002E1518">
        <w:rPr>
          <w:rFonts w:asciiTheme="minorHAnsi" w:hAnsiTheme="minorHAnsi" w:cstheme="minorHAnsi"/>
          <w:szCs w:val="24"/>
        </w:rPr>
        <w:t>supervisors</w:t>
      </w:r>
      <w:r w:rsidRPr="00B850BA">
        <w:rPr>
          <w:rFonts w:asciiTheme="minorHAnsi" w:hAnsiTheme="minorHAnsi" w:cstheme="minorHAnsi"/>
          <w:szCs w:val="24"/>
        </w:rPr>
        <w:t xml:space="preserve">. </w:t>
      </w:r>
      <w:r w:rsidRPr="00B850BA">
        <w:rPr>
          <w:rFonts w:asciiTheme="minorHAnsi" w:hAnsiTheme="minorHAnsi" w:cstheme="minorHAnsi"/>
          <w:szCs w:val="24"/>
        </w:rPr>
        <w:t>Although Class I workers will also require medical exams, the 1987</w:t>
      </w:r>
      <w:r w:rsidRPr="00B850BA" w:rsidR="00987013">
        <w:rPr>
          <w:rFonts w:asciiTheme="minorHAnsi" w:hAnsiTheme="minorHAnsi" w:cstheme="minorHAnsi"/>
          <w:szCs w:val="24"/>
        </w:rPr>
        <w:t xml:space="preserve"> </w:t>
      </w:r>
      <w:r w:rsidRPr="00B850BA" w:rsidR="003D5F70">
        <w:rPr>
          <w:rFonts w:asciiTheme="minorHAnsi" w:hAnsiTheme="minorHAnsi" w:cstheme="minorHAnsi"/>
          <w:szCs w:val="24"/>
        </w:rPr>
        <w:t>W</w:t>
      </w:r>
      <w:r w:rsidRPr="00B850BA" w:rsidR="00987013">
        <w:rPr>
          <w:rFonts w:asciiTheme="minorHAnsi" w:hAnsiTheme="minorHAnsi" w:cstheme="minorHAnsi"/>
          <w:szCs w:val="24"/>
        </w:rPr>
        <w:t xml:space="preserve">orker </w:t>
      </w:r>
      <w:r w:rsidRPr="00B850BA" w:rsidR="003D5F70">
        <w:rPr>
          <w:rFonts w:asciiTheme="minorHAnsi" w:hAnsiTheme="minorHAnsi" w:cstheme="minorHAnsi"/>
          <w:szCs w:val="24"/>
        </w:rPr>
        <w:t>P</w:t>
      </w:r>
      <w:r w:rsidRPr="00B850BA" w:rsidR="00987013">
        <w:rPr>
          <w:rFonts w:asciiTheme="minorHAnsi" w:hAnsiTheme="minorHAnsi" w:cstheme="minorHAnsi"/>
          <w:szCs w:val="24"/>
        </w:rPr>
        <w:t xml:space="preserve">rotection </w:t>
      </w:r>
      <w:r w:rsidRPr="00B850BA" w:rsidR="003D5F70">
        <w:rPr>
          <w:rFonts w:asciiTheme="minorHAnsi" w:hAnsiTheme="minorHAnsi" w:cstheme="minorHAnsi"/>
          <w:szCs w:val="24"/>
        </w:rPr>
        <w:t>R</w:t>
      </w:r>
      <w:r w:rsidRPr="00B850BA" w:rsidR="00987013">
        <w:rPr>
          <w:rFonts w:asciiTheme="minorHAnsi" w:hAnsiTheme="minorHAnsi" w:cstheme="minorHAnsi"/>
          <w:szCs w:val="24"/>
        </w:rPr>
        <w:t>ule (1987</w:t>
      </w:r>
      <w:r w:rsidRPr="00B850BA">
        <w:rPr>
          <w:rFonts w:asciiTheme="minorHAnsi" w:hAnsiTheme="minorHAnsi" w:cstheme="minorHAnsi"/>
          <w:szCs w:val="24"/>
        </w:rPr>
        <w:t xml:space="preserve"> WPR</w:t>
      </w:r>
      <w:r w:rsidRPr="00B850BA" w:rsidR="00987013">
        <w:rPr>
          <w:rFonts w:asciiTheme="minorHAnsi" w:hAnsiTheme="minorHAnsi" w:cstheme="minorHAnsi"/>
          <w:szCs w:val="24"/>
        </w:rPr>
        <w:t>)</w:t>
      </w:r>
      <w:r w:rsidRPr="00B850BA">
        <w:rPr>
          <w:rFonts w:asciiTheme="minorHAnsi" w:hAnsiTheme="minorHAnsi" w:cstheme="minorHAnsi"/>
          <w:szCs w:val="24"/>
        </w:rPr>
        <w:t xml:space="preserve"> covers these activities</w:t>
      </w:r>
      <w:r w:rsidRPr="00B850BA" w:rsidR="005949D9">
        <w:rPr>
          <w:rFonts w:asciiTheme="minorHAnsi" w:hAnsiTheme="minorHAnsi" w:cstheme="minorHAnsi"/>
          <w:szCs w:val="24"/>
        </w:rPr>
        <w:t xml:space="preserve"> </w:t>
      </w:r>
      <w:r w:rsidRPr="00B850BA">
        <w:rPr>
          <w:rFonts w:asciiTheme="minorHAnsi" w:hAnsiTheme="minorHAnsi" w:cstheme="minorHAnsi"/>
          <w:szCs w:val="24"/>
        </w:rPr>
        <w:t xml:space="preserve">and thus medical exams are not incremental </w:t>
      </w:r>
      <w:r w:rsidRPr="00B850BA">
        <w:rPr>
          <w:rFonts w:asciiTheme="minorHAnsi" w:hAnsiTheme="minorHAnsi" w:cstheme="minorHAnsi"/>
          <w:szCs w:val="24"/>
        </w:rPr>
        <w:t>for Class I w</w:t>
      </w:r>
      <w:r w:rsidRPr="00B850BA" w:rsidR="005A4125">
        <w:rPr>
          <w:rFonts w:asciiTheme="minorHAnsi" w:hAnsiTheme="minorHAnsi" w:cstheme="minorHAnsi"/>
          <w:szCs w:val="24"/>
        </w:rPr>
        <w:t xml:space="preserve">orkers under the </w:t>
      </w:r>
      <w:r w:rsidRPr="00B850BA" w:rsidR="00F41112">
        <w:rPr>
          <w:rFonts w:asciiTheme="minorHAnsi" w:hAnsiTheme="minorHAnsi" w:cstheme="minorHAnsi"/>
          <w:szCs w:val="24"/>
        </w:rPr>
        <w:t>WPR</w:t>
      </w:r>
      <w:r w:rsidRPr="00B850BA" w:rsidR="005A4125">
        <w:rPr>
          <w:rFonts w:asciiTheme="minorHAnsi" w:hAnsiTheme="minorHAnsi" w:cstheme="minorHAnsi"/>
          <w:szCs w:val="24"/>
        </w:rPr>
        <w:t>.</w:t>
      </w:r>
      <w:r w:rsidRPr="00B850BA">
        <w:rPr>
          <w:rFonts w:asciiTheme="minorHAnsi" w:hAnsiTheme="minorHAnsi" w:cstheme="minorHAnsi"/>
          <w:szCs w:val="24"/>
        </w:rPr>
        <w:t xml:space="preserve"> Also, t</w:t>
      </w:r>
      <w:r w:rsidRPr="00B850BA">
        <w:rPr>
          <w:rFonts w:asciiTheme="minorHAnsi" w:hAnsiTheme="minorHAnsi" w:cstheme="minorHAnsi"/>
          <w:szCs w:val="24"/>
        </w:rPr>
        <w:t>o account for turnover, EPA inflate</w:t>
      </w:r>
      <w:r w:rsidRPr="00B850BA" w:rsidR="00E11675">
        <w:rPr>
          <w:rFonts w:asciiTheme="minorHAnsi" w:hAnsiTheme="minorHAnsi" w:cstheme="minorHAnsi"/>
          <w:szCs w:val="24"/>
        </w:rPr>
        <w:t xml:space="preserve">s the </w:t>
      </w:r>
      <w:r w:rsidRPr="00B850BA">
        <w:rPr>
          <w:rFonts w:asciiTheme="minorHAnsi" w:hAnsiTheme="minorHAnsi" w:cstheme="minorHAnsi"/>
          <w:szCs w:val="24"/>
        </w:rPr>
        <w:t>count</w:t>
      </w:r>
      <w:r w:rsidRPr="00B850BA" w:rsidR="002E1518">
        <w:rPr>
          <w:rFonts w:asciiTheme="minorHAnsi" w:hAnsiTheme="minorHAnsi" w:cstheme="minorHAnsi"/>
          <w:szCs w:val="24"/>
        </w:rPr>
        <w:t>s</w:t>
      </w:r>
      <w:r w:rsidRPr="00B850BA">
        <w:rPr>
          <w:rFonts w:asciiTheme="minorHAnsi" w:hAnsiTheme="minorHAnsi" w:cstheme="minorHAnsi"/>
          <w:szCs w:val="24"/>
        </w:rPr>
        <w:t xml:space="preserve"> of medical exams by five percent</w:t>
      </w:r>
      <w:r w:rsidRPr="00B850BA" w:rsidR="00987013">
        <w:rPr>
          <w:rFonts w:asciiTheme="minorHAnsi" w:hAnsiTheme="minorHAnsi" w:cstheme="minorHAnsi"/>
          <w:szCs w:val="24"/>
        </w:rPr>
        <w:t xml:space="preserve"> to account for turnover on an annual basis</w:t>
      </w:r>
      <w:r w:rsidRPr="00B850BA">
        <w:rPr>
          <w:rFonts w:asciiTheme="minorHAnsi" w:hAnsiTheme="minorHAnsi" w:cstheme="minorHAnsi"/>
          <w:szCs w:val="24"/>
        </w:rPr>
        <w:t xml:space="preserve">. Applying these assumptions and converting to a per-state basis, the </w:t>
      </w:r>
      <w:r w:rsidRPr="00B850BA" w:rsidR="00F41112">
        <w:rPr>
          <w:rFonts w:asciiTheme="minorHAnsi" w:hAnsiTheme="minorHAnsi" w:cstheme="minorHAnsi"/>
          <w:szCs w:val="24"/>
        </w:rPr>
        <w:t xml:space="preserve">resultant </w:t>
      </w:r>
      <w:r w:rsidRPr="00B850BA">
        <w:rPr>
          <w:rFonts w:asciiTheme="minorHAnsi" w:hAnsiTheme="minorHAnsi" w:cstheme="minorHAnsi"/>
          <w:szCs w:val="24"/>
        </w:rPr>
        <w:t>annual unit burden for medical exams is 88.4</w:t>
      </w:r>
      <w:r w:rsidRPr="00B850BA" w:rsidR="00267C55">
        <w:rPr>
          <w:rFonts w:asciiTheme="minorHAnsi" w:hAnsiTheme="minorHAnsi" w:cstheme="minorHAnsi"/>
          <w:szCs w:val="24"/>
        </w:rPr>
        <w:t>4</w:t>
      </w:r>
      <w:r w:rsidRPr="00B850BA">
        <w:rPr>
          <w:rFonts w:asciiTheme="minorHAnsi" w:hAnsiTheme="minorHAnsi" w:cstheme="minorHAnsi"/>
          <w:szCs w:val="24"/>
        </w:rPr>
        <w:t xml:space="preserve"> hours</w:t>
      </w:r>
      <w:r w:rsidRPr="00B850BA" w:rsidR="00E35B69">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E35B69">
        <w:rPr>
          <w:rFonts w:asciiTheme="minorHAnsi" w:hAnsiTheme="minorHAnsi" w:cstheme="minorHAnsi"/>
          <w:szCs w:val="24"/>
        </w:rPr>
        <w:t>able 2, line F1)</w:t>
      </w:r>
      <w:r w:rsidRPr="00B850BA" w:rsidR="00F41112">
        <w:rPr>
          <w:rFonts w:asciiTheme="minorHAnsi" w:hAnsiTheme="minorHAnsi" w:cstheme="minorHAnsi"/>
          <w:szCs w:val="24"/>
        </w:rPr>
        <w:t>.</w:t>
      </w:r>
    </w:p>
    <w:p w:rsidR="00BF3DA5" w:rsidRPr="00B850BA" w:rsidP="00886FC9" w14:paraId="3D2BF6C7" w14:textId="51873C66">
      <w:pPr>
        <w:spacing w:line="276" w:lineRule="auto"/>
        <w:ind w:firstLine="0"/>
        <w:rPr>
          <w:rFonts w:asciiTheme="minorHAnsi" w:hAnsiTheme="minorHAnsi" w:cstheme="minorHAnsi"/>
          <w:szCs w:val="24"/>
        </w:rPr>
      </w:pPr>
      <w:r w:rsidRPr="00B850BA">
        <w:rPr>
          <w:rFonts w:asciiTheme="minorHAnsi" w:hAnsiTheme="minorHAnsi" w:cstheme="minorHAnsi"/>
          <w:szCs w:val="24"/>
        </w:rPr>
        <w:t>W</w:t>
      </w:r>
      <w:r w:rsidRPr="00B850BA" w:rsidR="00D74D9E">
        <w:rPr>
          <w:rFonts w:asciiTheme="minorHAnsi" w:hAnsiTheme="minorHAnsi" w:cstheme="minorHAnsi"/>
          <w:szCs w:val="24"/>
        </w:rPr>
        <w:t>orkers undergoing medical exams</w:t>
      </w:r>
      <w:r w:rsidRPr="00B850BA">
        <w:rPr>
          <w:rFonts w:asciiTheme="minorHAnsi" w:hAnsiTheme="minorHAnsi" w:cstheme="minorHAnsi"/>
          <w:szCs w:val="24"/>
        </w:rPr>
        <w:t xml:space="preserve"> are also required to</w:t>
      </w:r>
      <w:r w:rsidRPr="00B850BA" w:rsidR="00D74D9E">
        <w:rPr>
          <w:rFonts w:asciiTheme="minorHAnsi" w:hAnsiTheme="minorHAnsi" w:cstheme="minorHAnsi"/>
          <w:szCs w:val="24"/>
        </w:rPr>
        <w:t xml:space="preserve"> fill out medical questionnaires designed to assess current and past asbestos</w:t>
      </w:r>
      <w:r w:rsidRPr="00B850BA" w:rsidR="00C870F2">
        <w:rPr>
          <w:rFonts w:asciiTheme="minorHAnsi" w:hAnsiTheme="minorHAnsi" w:cstheme="minorHAnsi"/>
          <w:szCs w:val="24"/>
        </w:rPr>
        <w:t xml:space="preserve"> </w:t>
      </w:r>
      <w:r w:rsidRPr="00B850BA" w:rsidR="00D74D9E">
        <w:rPr>
          <w:rFonts w:asciiTheme="minorHAnsi" w:hAnsiTheme="minorHAnsi" w:cstheme="minorHAnsi"/>
          <w:szCs w:val="24"/>
        </w:rPr>
        <w:t>related risk</w:t>
      </w:r>
      <w:r w:rsidRPr="00B850BA">
        <w:rPr>
          <w:rFonts w:asciiTheme="minorHAnsi" w:hAnsiTheme="minorHAnsi" w:cstheme="minorHAnsi"/>
          <w:szCs w:val="24"/>
        </w:rPr>
        <w:t>.</w:t>
      </w:r>
      <w:r w:rsidRPr="00B850BA" w:rsidR="00D74D9E">
        <w:rPr>
          <w:rFonts w:asciiTheme="minorHAnsi" w:hAnsiTheme="minorHAnsi" w:cstheme="minorHAnsi"/>
          <w:szCs w:val="24"/>
        </w:rPr>
        <w:t xml:space="preserve"> For a first-year worker’s initial exam under the rule, the worker must fill out an </w:t>
      </w:r>
      <w:r w:rsidRPr="00B850BA" w:rsidR="005A4125">
        <w:rPr>
          <w:rFonts w:asciiTheme="minorHAnsi" w:hAnsiTheme="minorHAnsi" w:cstheme="minorHAnsi"/>
          <w:szCs w:val="24"/>
        </w:rPr>
        <w:t xml:space="preserve">initial medical questionnaire. </w:t>
      </w:r>
      <w:r w:rsidRPr="00B850BA" w:rsidR="00D74D9E">
        <w:rPr>
          <w:rFonts w:asciiTheme="minorHAnsi" w:hAnsiTheme="minorHAnsi" w:cstheme="minorHAnsi"/>
          <w:szCs w:val="24"/>
        </w:rPr>
        <w:t>For subsequent exams, the worker fills out an abbreviated form of that questionnaire (i.e.</w:t>
      </w:r>
      <w:r w:rsidRPr="00B850BA" w:rsidR="005A4125">
        <w:rPr>
          <w:rFonts w:asciiTheme="minorHAnsi" w:hAnsiTheme="minorHAnsi" w:cstheme="minorHAnsi"/>
          <w:szCs w:val="24"/>
        </w:rPr>
        <w:t xml:space="preserve">, the periodic questionnaire). </w:t>
      </w:r>
      <w:r w:rsidRPr="00B850BA" w:rsidR="00F20DBE">
        <w:rPr>
          <w:rFonts w:asciiTheme="minorHAnsi" w:hAnsiTheme="minorHAnsi" w:cstheme="minorHAnsi"/>
          <w:szCs w:val="24"/>
        </w:rPr>
        <w:t xml:space="preserve">Both of these questionnaires can be found in OSHA’s Construction Standard (29 CFR 1926.1101, Appendix D). EPA assumes that completing the initial questionnaire imposes a burden of one half-hour and that completing the periodic questionnaire takes </w:t>
      </w:r>
      <w:r w:rsidRPr="00B850BA" w:rsidR="00E35B69">
        <w:rPr>
          <w:rFonts w:asciiTheme="minorHAnsi" w:hAnsiTheme="minorHAnsi" w:cstheme="minorHAnsi"/>
          <w:szCs w:val="24"/>
        </w:rPr>
        <w:t xml:space="preserve">10 </w:t>
      </w:r>
      <w:r w:rsidRPr="00B850BA" w:rsidR="00F20DBE">
        <w:rPr>
          <w:rFonts w:asciiTheme="minorHAnsi" w:hAnsiTheme="minorHAnsi" w:cstheme="minorHAnsi"/>
          <w:szCs w:val="24"/>
        </w:rPr>
        <w:t xml:space="preserve">minutes. </w:t>
      </w:r>
      <w:r w:rsidRPr="00B850BA" w:rsidR="00AD2774">
        <w:rPr>
          <w:rFonts w:asciiTheme="minorHAnsi" w:hAnsiTheme="minorHAnsi" w:cstheme="minorHAnsi"/>
          <w:szCs w:val="24"/>
        </w:rPr>
        <w:t xml:space="preserve">EPA assumes that five percent of employees and supervisors receiving medical exams as first-year workers will be given the initial questionnaire in any given year for this three-year ICR period. The remaining </w:t>
      </w:r>
      <w:r w:rsidRPr="00B850BA" w:rsidR="00E35B69">
        <w:rPr>
          <w:rFonts w:asciiTheme="minorHAnsi" w:hAnsiTheme="minorHAnsi" w:cstheme="minorHAnsi"/>
          <w:szCs w:val="24"/>
        </w:rPr>
        <w:t>95</w:t>
      </w:r>
      <w:r w:rsidRPr="00B850BA" w:rsidR="00AD2774">
        <w:rPr>
          <w:rFonts w:asciiTheme="minorHAnsi" w:hAnsiTheme="minorHAnsi" w:cstheme="minorHAnsi"/>
          <w:szCs w:val="24"/>
        </w:rPr>
        <w:t xml:space="preserve"> percent of employees and supervisors receiving medical exams will be given the periodic questionnaire. </w:t>
      </w:r>
      <w:r w:rsidRPr="00B850BA">
        <w:rPr>
          <w:rFonts w:asciiTheme="minorHAnsi" w:hAnsiTheme="minorHAnsi" w:cstheme="minorHAnsi"/>
          <w:szCs w:val="24"/>
        </w:rPr>
        <w:t xml:space="preserve">Applying these assumptions and converting to a per-state basis, the questionnaire </w:t>
      </w:r>
      <w:r w:rsidRPr="00B850BA" w:rsidR="00987013">
        <w:rPr>
          <w:rFonts w:asciiTheme="minorHAnsi" w:hAnsiTheme="minorHAnsi" w:cstheme="minorHAnsi"/>
          <w:szCs w:val="24"/>
        </w:rPr>
        <w:t xml:space="preserve">annual </w:t>
      </w:r>
      <w:r w:rsidRPr="00B850BA">
        <w:rPr>
          <w:rFonts w:asciiTheme="minorHAnsi" w:hAnsiTheme="minorHAnsi" w:cstheme="minorHAnsi"/>
          <w:szCs w:val="24"/>
        </w:rPr>
        <w:t>unit burdens are 3.</w:t>
      </w:r>
      <w:r w:rsidRPr="00B850BA" w:rsidR="00D8105A">
        <w:rPr>
          <w:rFonts w:asciiTheme="minorHAnsi" w:hAnsiTheme="minorHAnsi" w:cstheme="minorHAnsi"/>
          <w:szCs w:val="24"/>
        </w:rPr>
        <w:t xml:space="preserve">10 </w:t>
      </w:r>
      <w:r w:rsidRPr="00B850BA">
        <w:rPr>
          <w:rFonts w:asciiTheme="minorHAnsi" w:hAnsiTheme="minorHAnsi" w:cstheme="minorHAnsi"/>
          <w:szCs w:val="24"/>
        </w:rPr>
        <w:t>hours for initial questionnaires</w:t>
      </w:r>
      <w:r w:rsidRPr="00B850BA" w:rsidR="00EF35C5">
        <w:rPr>
          <w:rFonts w:asciiTheme="minorHAnsi" w:hAnsiTheme="minorHAnsi" w:cstheme="minorHAnsi"/>
          <w:szCs w:val="24"/>
        </w:rPr>
        <w:t>,</w:t>
      </w:r>
      <w:r w:rsidRPr="00B850BA">
        <w:rPr>
          <w:rFonts w:asciiTheme="minorHAnsi" w:hAnsiTheme="minorHAnsi" w:cstheme="minorHAnsi"/>
          <w:szCs w:val="24"/>
        </w:rPr>
        <w:t xml:space="preserve"> and 19.61 hours for periodic questionnaires</w:t>
      </w:r>
      <w:r w:rsidRPr="00B850BA" w:rsidR="00E35B69">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E35B69">
        <w:rPr>
          <w:rFonts w:asciiTheme="minorHAnsi" w:hAnsiTheme="minorHAnsi" w:cstheme="minorHAnsi"/>
          <w:szCs w:val="24"/>
        </w:rPr>
        <w:t>able 2, lines F2 and F3, respectively)</w:t>
      </w:r>
      <w:r w:rsidRPr="00B850BA">
        <w:rPr>
          <w:rFonts w:asciiTheme="minorHAnsi" w:hAnsiTheme="minorHAnsi" w:cstheme="minorHAnsi"/>
          <w:szCs w:val="24"/>
        </w:rPr>
        <w:t xml:space="preserve">. </w:t>
      </w:r>
    </w:p>
    <w:p w:rsidR="00D74D9E" w:rsidRPr="00B850BA" w:rsidP="00AF5563" w14:paraId="53510223" w14:textId="0E44042B">
      <w:pPr>
        <w:spacing w:line="276" w:lineRule="auto"/>
        <w:contextualSpacing/>
        <w:rPr>
          <w:rFonts w:asciiTheme="minorHAnsi" w:hAnsiTheme="minorHAnsi" w:cstheme="minorHAnsi"/>
          <w:szCs w:val="24"/>
        </w:rPr>
      </w:pPr>
      <w:r w:rsidRPr="00B850BA">
        <w:rPr>
          <w:rFonts w:asciiTheme="minorHAnsi" w:hAnsiTheme="minorHAnsi" w:cstheme="minorHAnsi"/>
          <w:szCs w:val="24"/>
        </w:rPr>
        <w:t>E</w:t>
      </w:r>
      <w:r w:rsidRPr="00B850BA">
        <w:rPr>
          <w:rFonts w:asciiTheme="minorHAnsi" w:hAnsiTheme="minorHAnsi" w:cstheme="minorHAnsi"/>
          <w:szCs w:val="24"/>
        </w:rPr>
        <w:t xml:space="preserve">mployers </w:t>
      </w:r>
      <w:r w:rsidRPr="00B850BA">
        <w:rPr>
          <w:rFonts w:asciiTheme="minorHAnsi" w:hAnsiTheme="minorHAnsi" w:cstheme="minorHAnsi"/>
          <w:szCs w:val="24"/>
        </w:rPr>
        <w:t>must</w:t>
      </w:r>
      <w:r w:rsidRPr="00B850BA">
        <w:rPr>
          <w:rFonts w:asciiTheme="minorHAnsi" w:hAnsiTheme="minorHAnsi" w:cstheme="minorHAnsi"/>
          <w:szCs w:val="24"/>
        </w:rPr>
        <w:t xml:space="preserve"> provide examining physicians with </w:t>
      </w:r>
      <w:r w:rsidRPr="00B850BA" w:rsidR="003D5F70">
        <w:rPr>
          <w:rFonts w:asciiTheme="minorHAnsi" w:hAnsiTheme="minorHAnsi" w:cstheme="minorHAnsi"/>
          <w:szCs w:val="24"/>
        </w:rPr>
        <w:t xml:space="preserve">the following </w:t>
      </w:r>
      <w:r w:rsidRPr="00B850BA">
        <w:rPr>
          <w:rFonts w:asciiTheme="minorHAnsi" w:hAnsiTheme="minorHAnsi" w:cstheme="minorHAnsi"/>
          <w:szCs w:val="24"/>
        </w:rPr>
        <w:t>information:</w:t>
      </w:r>
    </w:p>
    <w:p w:rsidR="00D74D9E" w:rsidRPr="00B850BA" w:rsidP="00AF5563" w14:paraId="59676B97" w14:textId="77777777">
      <w:pPr>
        <w:numPr>
          <w:ilvl w:val="0"/>
          <w:numId w:val="3"/>
        </w:numPr>
        <w:tabs>
          <w:tab w:val="num" w:pos="720"/>
          <w:tab w:val="clear" w:pos="1080"/>
        </w:tabs>
        <w:spacing w:line="276" w:lineRule="auto"/>
        <w:ind w:left="720"/>
        <w:contextualSpacing/>
        <w:rPr>
          <w:rFonts w:asciiTheme="minorHAnsi" w:hAnsiTheme="minorHAnsi" w:cstheme="minorHAnsi"/>
          <w:szCs w:val="24"/>
        </w:rPr>
      </w:pPr>
      <w:r w:rsidRPr="00B850BA">
        <w:rPr>
          <w:rFonts w:asciiTheme="minorHAnsi" w:hAnsiTheme="minorHAnsi" w:cstheme="minorHAnsi"/>
          <w:szCs w:val="24"/>
        </w:rPr>
        <w:t>A copy of the OSHA Construction Standard</w:t>
      </w:r>
      <w:r w:rsidRPr="00B850BA" w:rsidR="007F27F0">
        <w:rPr>
          <w:rFonts w:asciiTheme="minorHAnsi" w:hAnsiTheme="minorHAnsi" w:cstheme="minorHAnsi"/>
          <w:szCs w:val="24"/>
        </w:rPr>
        <w:t>,</w:t>
      </w:r>
      <w:r w:rsidRPr="00B850BA">
        <w:rPr>
          <w:rFonts w:asciiTheme="minorHAnsi" w:hAnsiTheme="minorHAnsi" w:cstheme="minorHAnsi"/>
          <w:szCs w:val="24"/>
        </w:rPr>
        <w:t xml:space="preserve"> including Appendices D, E, and I of the Standard;</w:t>
      </w:r>
    </w:p>
    <w:p w:rsidR="00D74D9E" w:rsidRPr="00B850BA" w:rsidP="00AF5563" w14:paraId="1E3E9D7B" w14:textId="77777777">
      <w:pPr>
        <w:numPr>
          <w:ilvl w:val="0"/>
          <w:numId w:val="3"/>
        </w:numPr>
        <w:tabs>
          <w:tab w:val="num" w:pos="720"/>
          <w:tab w:val="clear" w:pos="1080"/>
        </w:tabs>
        <w:spacing w:line="276" w:lineRule="auto"/>
        <w:ind w:left="720"/>
        <w:contextualSpacing/>
        <w:rPr>
          <w:rFonts w:asciiTheme="minorHAnsi" w:hAnsiTheme="minorHAnsi" w:cstheme="minorHAnsi"/>
          <w:szCs w:val="24"/>
        </w:rPr>
      </w:pPr>
      <w:r w:rsidRPr="00B850BA">
        <w:rPr>
          <w:rFonts w:asciiTheme="minorHAnsi" w:hAnsiTheme="minorHAnsi" w:cstheme="minorHAnsi"/>
          <w:szCs w:val="24"/>
        </w:rPr>
        <w:t>A description of the employee’s duties;</w:t>
      </w:r>
    </w:p>
    <w:p w:rsidR="00D74D9E" w:rsidRPr="00B850BA" w:rsidP="00AF5563" w14:paraId="354EDE37" w14:textId="77777777">
      <w:pPr>
        <w:numPr>
          <w:ilvl w:val="0"/>
          <w:numId w:val="3"/>
        </w:numPr>
        <w:tabs>
          <w:tab w:val="num" w:pos="720"/>
          <w:tab w:val="clear" w:pos="1080"/>
        </w:tabs>
        <w:spacing w:line="276" w:lineRule="auto"/>
        <w:ind w:left="720"/>
        <w:contextualSpacing/>
        <w:rPr>
          <w:rFonts w:asciiTheme="minorHAnsi" w:hAnsiTheme="minorHAnsi" w:cstheme="minorHAnsi"/>
          <w:szCs w:val="24"/>
        </w:rPr>
      </w:pPr>
      <w:r w:rsidRPr="00B850BA">
        <w:rPr>
          <w:rFonts w:asciiTheme="minorHAnsi" w:hAnsiTheme="minorHAnsi" w:cstheme="minorHAnsi"/>
          <w:szCs w:val="24"/>
        </w:rPr>
        <w:t>The employee’s representative exposure level;</w:t>
      </w:r>
    </w:p>
    <w:p w:rsidR="00D74D9E" w:rsidRPr="00B850BA" w:rsidP="00AF5563" w14:paraId="4A23322F" w14:textId="77777777">
      <w:pPr>
        <w:numPr>
          <w:ilvl w:val="0"/>
          <w:numId w:val="3"/>
        </w:numPr>
        <w:tabs>
          <w:tab w:val="num" w:pos="720"/>
          <w:tab w:val="clear" w:pos="1080"/>
        </w:tabs>
        <w:spacing w:line="276" w:lineRule="auto"/>
        <w:ind w:left="720"/>
        <w:contextualSpacing/>
        <w:rPr>
          <w:rFonts w:asciiTheme="minorHAnsi" w:hAnsiTheme="minorHAnsi" w:cstheme="minorHAnsi"/>
          <w:szCs w:val="24"/>
        </w:rPr>
      </w:pPr>
      <w:r w:rsidRPr="00B850BA">
        <w:rPr>
          <w:rFonts w:asciiTheme="minorHAnsi" w:hAnsiTheme="minorHAnsi" w:cstheme="minorHAnsi"/>
          <w:szCs w:val="24"/>
        </w:rPr>
        <w:t xml:space="preserve">A description of any personal protective equipment used by the employee; and </w:t>
      </w:r>
    </w:p>
    <w:p w:rsidR="00D74D9E" w:rsidRPr="00B850BA" w:rsidP="00AF5563" w14:paraId="66C7E1EB" w14:textId="7F7038A6">
      <w:pPr>
        <w:numPr>
          <w:ilvl w:val="0"/>
          <w:numId w:val="3"/>
        </w:numPr>
        <w:tabs>
          <w:tab w:val="num" w:pos="720"/>
          <w:tab w:val="clear" w:pos="1080"/>
        </w:tabs>
        <w:spacing w:line="276" w:lineRule="auto"/>
        <w:ind w:left="720"/>
        <w:rPr>
          <w:rFonts w:asciiTheme="minorHAnsi" w:hAnsiTheme="minorHAnsi" w:cstheme="minorHAnsi"/>
          <w:szCs w:val="24"/>
        </w:rPr>
      </w:pPr>
      <w:r w:rsidRPr="00B850BA">
        <w:rPr>
          <w:rFonts w:asciiTheme="minorHAnsi" w:hAnsiTheme="minorHAnsi" w:cstheme="minorHAnsi"/>
          <w:szCs w:val="24"/>
        </w:rPr>
        <w:t>Information from previous medical exams that is not otherwise available to the physician.</w:t>
      </w:r>
    </w:p>
    <w:p w:rsidR="008A2383" w:rsidRPr="00B850BA" w:rsidP="00886FC9" w14:paraId="1E589B44" w14:textId="660B0B58">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EPA assumes that providing this information will </w:t>
      </w:r>
      <w:r w:rsidRPr="00B850BA" w:rsidR="00D8105A">
        <w:rPr>
          <w:rFonts w:asciiTheme="minorHAnsi" w:hAnsiTheme="minorHAnsi" w:cstheme="minorHAnsi"/>
          <w:szCs w:val="24"/>
        </w:rPr>
        <w:t>require</w:t>
      </w:r>
      <w:r w:rsidRPr="00B850BA">
        <w:rPr>
          <w:rFonts w:asciiTheme="minorHAnsi" w:hAnsiTheme="minorHAnsi" w:cstheme="minorHAnsi"/>
          <w:szCs w:val="24"/>
        </w:rPr>
        <w:t xml:space="preserve"> five</w:t>
      </w:r>
      <w:r w:rsidRPr="00B850BA" w:rsidR="00D8105A">
        <w:rPr>
          <w:rFonts w:asciiTheme="minorHAnsi" w:hAnsiTheme="minorHAnsi" w:cstheme="minorHAnsi"/>
          <w:szCs w:val="24"/>
        </w:rPr>
        <w:t xml:space="preserve"> </w:t>
      </w:r>
      <w:r w:rsidRPr="00B850BA">
        <w:rPr>
          <w:rFonts w:asciiTheme="minorHAnsi" w:hAnsiTheme="minorHAnsi" w:cstheme="minorHAnsi"/>
          <w:szCs w:val="24"/>
        </w:rPr>
        <w:t>minute</w:t>
      </w:r>
      <w:r w:rsidRPr="00B850BA" w:rsidR="00D8105A">
        <w:rPr>
          <w:rFonts w:asciiTheme="minorHAnsi" w:hAnsiTheme="minorHAnsi" w:cstheme="minorHAnsi"/>
          <w:szCs w:val="24"/>
        </w:rPr>
        <w:t xml:space="preserve">s of clerical time </w:t>
      </w:r>
      <w:r w:rsidRPr="00B850BA" w:rsidR="00545DA0">
        <w:rPr>
          <w:rFonts w:asciiTheme="minorHAnsi" w:hAnsiTheme="minorHAnsi" w:cstheme="minorHAnsi"/>
          <w:szCs w:val="24"/>
        </w:rPr>
        <w:t xml:space="preserve">annually </w:t>
      </w:r>
      <w:r w:rsidRPr="00B850BA">
        <w:rPr>
          <w:rFonts w:asciiTheme="minorHAnsi" w:hAnsiTheme="minorHAnsi" w:cstheme="minorHAnsi"/>
          <w:szCs w:val="24"/>
        </w:rPr>
        <w:t>for each medical exam</w:t>
      </w:r>
      <w:r w:rsidRPr="00B850BA" w:rsidR="00D8105A">
        <w:rPr>
          <w:rFonts w:asciiTheme="minorHAnsi" w:hAnsiTheme="minorHAnsi" w:cstheme="minorHAnsi"/>
          <w:szCs w:val="24"/>
        </w:rPr>
        <w:t xml:space="preserve">. </w:t>
      </w:r>
      <w:r w:rsidRPr="00B850BA" w:rsidR="0047356A">
        <w:rPr>
          <w:rFonts w:asciiTheme="minorHAnsi" w:hAnsiTheme="minorHAnsi" w:cstheme="minorHAnsi"/>
          <w:szCs w:val="24"/>
        </w:rPr>
        <w:t>Based o</w:t>
      </w:r>
      <w:r w:rsidRPr="00B850BA" w:rsidR="005B747A">
        <w:rPr>
          <w:rFonts w:asciiTheme="minorHAnsi" w:hAnsiTheme="minorHAnsi" w:cstheme="minorHAnsi"/>
          <w:szCs w:val="24"/>
        </w:rPr>
        <w:t xml:space="preserve">n the </w:t>
      </w:r>
      <w:r w:rsidRPr="00B850BA" w:rsidR="00545DA0">
        <w:rPr>
          <w:rFonts w:asciiTheme="minorHAnsi" w:hAnsiTheme="minorHAnsi" w:cstheme="minorHAnsi"/>
          <w:szCs w:val="24"/>
        </w:rPr>
        <w:t xml:space="preserve">assumptions above for </w:t>
      </w:r>
      <w:r w:rsidRPr="00B850BA" w:rsidR="005B747A">
        <w:rPr>
          <w:rFonts w:asciiTheme="minorHAnsi" w:hAnsiTheme="minorHAnsi" w:cstheme="minorHAnsi"/>
          <w:szCs w:val="24"/>
        </w:rPr>
        <w:t>counts of med</w:t>
      </w:r>
      <w:r w:rsidRPr="00B850BA" w:rsidR="006D23F1">
        <w:rPr>
          <w:rFonts w:asciiTheme="minorHAnsi" w:hAnsiTheme="minorHAnsi" w:cstheme="minorHAnsi"/>
          <w:szCs w:val="24"/>
        </w:rPr>
        <w:t>i</w:t>
      </w:r>
      <w:r w:rsidRPr="00B850BA" w:rsidR="005B747A">
        <w:rPr>
          <w:rFonts w:asciiTheme="minorHAnsi" w:hAnsiTheme="minorHAnsi" w:cstheme="minorHAnsi"/>
          <w:szCs w:val="24"/>
        </w:rPr>
        <w:t>cal ex</w:t>
      </w:r>
      <w:r w:rsidRPr="00B850BA" w:rsidR="006D23F1">
        <w:rPr>
          <w:rFonts w:asciiTheme="minorHAnsi" w:hAnsiTheme="minorHAnsi" w:cstheme="minorHAnsi"/>
          <w:szCs w:val="24"/>
        </w:rPr>
        <w:t>ams</w:t>
      </w:r>
      <w:r w:rsidRPr="00B850BA" w:rsidR="00545DA0">
        <w:rPr>
          <w:rFonts w:asciiTheme="minorHAnsi" w:hAnsiTheme="minorHAnsi" w:cstheme="minorHAnsi"/>
          <w:szCs w:val="24"/>
        </w:rPr>
        <w:t xml:space="preserve">, and converting to a per-state basis, the </w:t>
      </w:r>
      <w:r w:rsidRPr="00B850BA" w:rsidR="00987013">
        <w:rPr>
          <w:rFonts w:asciiTheme="minorHAnsi" w:hAnsiTheme="minorHAnsi" w:cstheme="minorHAnsi"/>
          <w:szCs w:val="24"/>
        </w:rPr>
        <w:t xml:space="preserve">resultant </w:t>
      </w:r>
      <w:r w:rsidRPr="00B850BA" w:rsidR="00545DA0">
        <w:rPr>
          <w:rFonts w:asciiTheme="minorHAnsi" w:hAnsiTheme="minorHAnsi" w:cstheme="minorHAnsi"/>
          <w:szCs w:val="24"/>
        </w:rPr>
        <w:t>annual unit burden for providing information to physicians is 10.32 hours</w:t>
      </w:r>
      <w:r w:rsidRPr="00B850BA" w:rsidR="00E35B69">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E35B69">
        <w:rPr>
          <w:rFonts w:asciiTheme="minorHAnsi" w:hAnsiTheme="minorHAnsi" w:cstheme="minorHAnsi"/>
          <w:szCs w:val="24"/>
        </w:rPr>
        <w:t>able 2, line F4)</w:t>
      </w:r>
      <w:r w:rsidRPr="00B850BA" w:rsidR="00A4770D">
        <w:rPr>
          <w:rFonts w:asciiTheme="minorHAnsi" w:hAnsiTheme="minorHAnsi" w:cstheme="minorHAnsi"/>
          <w:szCs w:val="24"/>
        </w:rPr>
        <w:t>.</w:t>
      </w:r>
    </w:p>
    <w:p w:rsidR="00D74D9E" w:rsidRPr="00B850BA" w:rsidP="00886FC9" w14:paraId="224C9B2C" w14:textId="2A4D873E">
      <w:pPr>
        <w:spacing w:line="276" w:lineRule="auto"/>
        <w:ind w:firstLine="0"/>
        <w:rPr>
          <w:rFonts w:asciiTheme="minorHAnsi" w:hAnsiTheme="minorHAnsi" w:cstheme="minorHAnsi"/>
          <w:szCs w:val="24"/>
        </w:rPr>
      </w:pPr>
      <w:r w:rsidRPr="00B850BA">
        <w:rPr>
          <w:rFonts w:asciiTheme="minorHAnsi" w:hAnsiTheme="minorHAnsi" w:cstheme="minorHAnsi"/>
          <w:szCs w:val="24"/>
        </w:rPr>
        <w:t>E</w:t>
      </w:r>
      <w:r w:rsidRPr="00B850BA">
        <w:rPr>
          <w:rFonts w:asciiTheme="minorHAnsi" w:hAnsiTheme="minorHAnsi" w:cstheme="minorHAnsi"/>
          <w:szCs w:val="24"/>
        </w:rPr>
        <w:t xml:space="preserve">mployers </w:t>
      </w:r>
      <w:r w:rsidRPr="00B850BA">
        <w:rPr>
          <w:rFonts w:asciiTheme="minorHAnsi" w:hAnsiTheme="minorHAnsi" w:cstheme="minorHAnsi"/>
          <w:szCs w:val="24"/>
        </w:rPr>
        <w:t xml:space="preserve">are required </w:t>
      </w:r>
      <w:r w:rsidRPr="00B850BA">
        <w:rPr>
          <w:rFonts w:asciiTheme="minorHAnsi" w:hAnsiTheme="minorHAnsi" w:cstheme="minorHAnsi"/>
          <w:szCs w:val="24"/>
        </w:rPr>
        <w:t>to obtain a written opinion from the ph</w:t>
      </w:r>
      <w:r w:rsidRPr="00B850BA" w:rsidR="007F27F0">
        <w:rPr>
          <w:rFonts w:asciiTheme="minorHAnsi" w:hAnsiTheme="minorHAnsi" w:cstheme="minorHAnsi"/>
          <w:szCs w:val="24"/>
        </w:rPr>
        <w:t xml:space="preserve">ysician for each medical exam. </w:t>
      </w:r>
      <w:r w:rsidRPr="00B850BA">
        <w:rPr>
          <w:rFonts w:asciiTheme="minorHAnsi" w:hAnsiTheme="minorHAnsi" w:cstheme="minorHAnsi"/>
          <w:szCs w:val="24"/>
        </w:rPr>
        <w:t>EPA assumes that obtaining the physician’s writ</w:t>
      </w:r>
      <w:r w:rsidRPr="00B850BA" w:rsidR="003B0CC1">
        <w:rPr>
          <w:rFonts w:asciiTheme="minorHAnsi" w:hAnsiTheme="minorHAnsi" w:cstheme="minorHAnsi"/>
          <w:szCs w:val="24"/>
        </w:rPr>
        <w:t xml:space="preserve">ten opinion will </w:t>
      </w:r>
      <w:r w:rsidRPr="00B850BA" w:rsidR="00D8105A">
        <w:rPr>
          <w:rFonts w:asciiTheme="minorHAnsi" w:hAnsiTheme="minorHAnsi" w:cstheme="minorHAnsi"/>
          <w:szCs w:val="24"/>
        </w:rPr>
        <w:t xml:space="preserve">require </w:t>
      </w:r>
      <w:r w:rsidRPr="00B850BA" w:rsidR="003B0CC1">
        <w:rPr>
          <w:rFonts w:asciiTheme="minorHAnsi" w:hAnsiTheme="minorHAnsi" w:cstheme="minorHAnsi"/>
          <w:szCs w:val="24"/>
        </w:rPr>
        <w:t>five</w:t>
      </w:r>
      <w:r w:rsidRPr="00B850BA" w:rsidR="00D8105A">
        <w:rPr>
          <w:rFonts w:asciiTheme="minorHAnsi" w:hAnsiTheme="minorHAnsi" w:cstheme="minorHAnsi"/>
          <w:szCs w:val="24"/>
        </w:rPr>
        <w:t xml:space="preserve"> </w:t>
      </w:r>
      <w:r w:rsidRPr="00B850BA">
        <w:rPr>
          <w:rFonts w:asciiTheme="minorHAnsi" w:hAnsiTheme="minorHAnsi" w:cstheme="minorHAnsi"/>
          <w:szCs w:val="24"/>
        </w:rPr>
        <w:t>minute</w:t>
      </w:r>
      <w:r w:rsidRPr="00B850BA" w:rsidR="00D8105A">
        <w:rPr>
          <w:rFonts w:asciiTheme="minorHAnsi" w:hAnsiTheme="minorHAnsi" w:cstheme="minorHAnsi"/>
          <w:szCs w:val="24"/>
        </w:rPr>
        <w:t>s of clerical time f</w:t>
      </w:r>
      <w:r w:rsidRPr="00B850BA">
        <w:rPr>
          <w:rFonts w:asciiTheme="minorHAnsi" w:hAnsiTheme="minorHAnsi" w:cstheme="minorHAnsi"/>
          <w:szCs w:val="24"/>
        </w:rPr>
        <w:t>or each annual medical exam</w:t>
      </w:r>
      <w:r w:rsidRPr="00B850BA" w:rsidR="00D8105A">
        <w:rPr>
          <w:rFonts w:asciiTheme="minorHAnsi" w:hAnsiTheme="minorHAnsi" w:cstheme="minorHAnsi"/>
          <w:szCs w:val="24"/>
        </w:rPr>
        <w:t xml:space="preserve">. </w:t>
      </w:r>
      <w:r w:rsidRPr="00B850BA" w:rsidR="00247C6A">
        <w:rPr>
          <w:rFonts w:asciiTheme="minorHAnsi" w:hAnsiTheme="minorHAnsi" w:cstheme="minorHAnsi"/>
          <w:szCs w:val="24"/>
        </w:rPr>
        <w:t>Based on the assumptions above for counts of medical exams, and converting to a per</w:t>
      </w:r>
      <w:r w:rsidRPr="00B850BA" w:rsidR="005929DE">
        <w:rPr>
          <w:rFonts w:asciiTheme="minorHAnsi" w:hAnsiTheme="minorHAnsi" w:cstheme="minorHAnsi"/>
          <w:szCs w:val="24"/>
        </w:rPr>
        <w:t xml:space="preserve"> </w:t>
      </w:r>
      <w:r w:rsidRPr="00B850BA" w:rsidR="00247C6A">
        <w:rPr>
          <w:rFonts w:asciiTheme="minorHAnsi" w:hAnsiTheme="minorHAnsi" w:cstheme="minorHAnsi"/>
          <w:szCs w:val="24"/>
        </w:rPr>
        <w:t xml:space="preserve">state basis, the </w:t>
      </w:r>
      <w:r w:rsidRPr="00B850BA" w:rsidR="00063D4A">
        <w:rPr>
          <w:rFonts w:asciiTheme="minorHAnsi" w:hAnsiTheme="minorHAnsi" w:cstheme="minorHAnsi"/>
          <w:szCs w:val="24"/>
        </w:rPr>
        <w:t xml:space="preserve">resultant </w:t>
      </w:r>
      <w:r w:rsidRPr="00B850BA" w:rsidR="00247C6A">
        <w:rPr>
          <w:rFonts w:asciiTheme="minorHAnsi" w:hAnsiTheme="minorHAnsi" w:cstheme="minorHAnsi"/>
          <w:szCs w:val="24"/>
        </w:rPr>
        <w:t xml:space="preserve">annual unit burden for </w:t>
      </w:r>
      <w:r w:rsidRPr="00B850BA" w:rsidR="00CE3208">
        <w:rPr>
          <w:rFonts w:asciiTheme="minorHAnsi" w:hAnsiTheme="minorHAnsi" w:cstheme="minorHAnsi"/>
          <w:szCs w:val="24"/>
        </w:rPr>
        <w:t xml:space="preserve">obtaining physician’s opinion </w:t>
      </w:r>
      <w:r w:rsidRPr="00B850BA" w:rsidR="00247C6A">
        <w:rPr>
          <w:rFonts w:asciiTheme="minorHAnsi" w:hAnsiTheme="minorHAnsi" w:cstheme="minorHAnsi"/>
          <w:szCs w:val="24"/>
        </w:rPr>
        <w:t>is 9.83 hours</w:t>
      </w:r>
      <w:r w:rsidRPr="00B850BA" w:rsidR="00E35B69">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E35B69">
        <w:rPr>
          <w:rFonts w:asciiTheme="minorHAnsi" w:hAnsiTheme="minorHAnsi" w:cstheme="minorHAnsi"/>
          <w:szCs w:val="24"/>
        </w:rPr>
        <w:t>able 2, line F5)</w:t>
      </w:r>
      <w:r w:rsidRPr="00B850BA" w:rsidR="00063D4A">
        <w:rPr>
          <w:rFonts w:asciiTheme="minorHAnsi" w:hAnsiTheme="minorHAnsi" w:cstheme="minorHAnsi"/>
          <w:szCs w:val="24"/>
        </w:rPr>
        <w:t>.</w:t>
      </w:r>
    </w:p>
    <w:p w:rsidR="009A138B" w:rsidRPr="00B850BA" w:rsidP="00886FC9" w14:paraId="744F7F11" w14:textId="5AFAD644">
      <w:pPr>
        <w:spacing w:line="276" w:lineRule="auto"/>
        <w:ind w:firstLine="0"/>
        <w:rPr>
          <w:rFonts w:asciiTheme="minorHAnsi" w:hAnsiTheme="minorHAnsi" w:cstheme="minorHAnsi"/>
          <w:szCs w:val="24"/>
        </w:rPr>
      </w:pPr>
      <w:r w:rsidRPr="00B850BA">
        <w:rPr>
          <w:rFonts w:asciiTheme="minorHAnsi" w:hAnsiTheme="minorHAnsi" w:cstheme="minorHAnsi"/>
          <w:szCs w:val="24"/>
        </w:rPr>
        <w:t>E</w:t>
      </w:r>
      <w:r w:rsidRPr="00B850BA" w:rsidR="00D74D9E">
        <w:rPr>
          <w:rFonts w:asciiTheme="minorHAnsi" w:hAnsiTheme="minorHAnsi" w:cstheme="minorHAnsi"/>
          <w:szCs w:val="24"/>
        </w:rPr>
        <w:t>mployers</w:t>
      </w:r>
      <w:r w:rsidRPr="00B850BA">
        <w:rPr>
          <w:rFonts w:asciiTheme="minorHAnsi" w:hAnsiTheme="minorHAnsi" w:cstheme="minorHAnsi"/>
          <w:szCs w:val="24"/>
        </w:rPr>
        <w:t xml:space="preserve"> are required to </w:t>
      </w:r>
      <w:r w:rsidRPr="00B850BA" w:rsidR="00D74D9E">
        <w:rPr>
          <w:rFonts w:asciiTheme="minorHAnsi" w:hAnsiTheme="minorHAnsi" w:cstheme="minorHAnsi"/>
          <w:szCs w:val="24"/>
        </w:rPr>
        <w:t>maintain medical records for each employee</w:t>
      </w:r>
      <w:r w:rsidRPr="00B850BA">
        <w:rPr>
          <w:rFonts w:asciiTheme="minorHAnsi" w:hAnsiTheme="minorHAnsi" w:cstheme="minorHAnsi"/>
          <w:szCs w:val="24"/>
        </w:rPr>
        <w:t xml:space="preserve">. </w:t>
      </w:r>
      <w:r w:rsidRPr="00B850BA" w:rsidR="00D74D9E">
        <w:rPr>
          <w:rFonts w:asciiTheme="minorHAnsi" w:hAnsiTheme="minorHAnsi" w:cstheme="minorHAnsi"/>
          <w:szCs w:val="24"/>
        </w:rPr>
        <w:t xml:space="preserve">EPA assumes that maintaining medical records will </w:t>
      </w:r>
      <w:r w:rsidRPr="00B850BA" w:rsidR="005E58B9">
        <w:rPr>
          <w:rFonts w:asciiTheme="minorHAnsi" w:hAnsiTheme="minorHAnsi" w:cstheme="minorHAnsi"/>
          <w:szCs w:val="24"/>
        </w:rPr>
        <w:t xml:space="preserve">require </w:t>
      </w:r>
      <w:r w:rsidRPr="00B850BA" w:rsidR="00D74D9E">
        <w:rPr>
          <w:rFonts w:asciiTheme="minorHAnsi" w:hAnsiTheme="minorHAnsi" w:cstheme="minorHAnsi"/>
          <w:szCs w:val="24"/>
        </w:rPr>
        <w:t>five</w:t>
      </w:r>
      <w:r w:rsidRPr="00B850BA" w:rsidR="005E58B9">
        <w:rPr>
          <w:rFonts w:asciiTheme="minorHAnsi" w:hAnsiTheme="minorHAnsi" w:cstheme="minorHAnsi"/>
          <w:szCs w:val="24"/>
        </w:rPr>
        <w:t xml:space="preserve"> </w:t>
      </w:r>
      <w:r w:rsidRPr="00B850BA" w:rsidR="00D74D9E">
        <w:rPr>
          <w:rFonts w:asciiTheme="minorHAnsi" w:hAnsiTheme="minorHAnsi" w:cstheme="minorHAnsi"/>
          <w:szCs w:val="24"/>
        </w:rPr>
        <w:t>minute</w:t>
      </w:r>
      <w:r w:rsidRPr="00B850BA" w:rsidR="005E58B9">
        <w:rPr>
          <w:rFonts w:asciiTheme="minorHAnsi" w:hAnsiTheme="minorHAnsi" w:cstheme="minorHAnsi"/>
          <w:szCs w:val="24"/>
        </w:rPr>
        <w:t xml:space="preserve">s of clerical time </w:t>
      </w:r>
      <w:r w:rsidRPr="00B850BA" w:rsidR="00D74D9E">
        <w:rPr>
          <w:rFonts w:asciiTheme="minorHAnsi" w:hAnsiTheme="minorHAnsi" w:cstheme="minorHAnsi"/>
          <w:szCs w:val="24"/>
        </w:rPr>
        <w:t>for each annual medical exam</w:t>
      </w:r>
      <w:r w:rsidRPr="00B850BA" w:rsidR="007F27F0">
        <w:rPr>
          <w:rFonts w:asciiTheme="minorHAnsi" w:hAnsiTheme="minorHAnsi" w:cstheme="minorHAnsi"/>
          <w:szCs w:val="24"/>
        </w:rPr>
        <w:t xml:space="preserve">. </w:t>
      </w:r>
      <w:r w:rsidRPr="00B850BA">
        <w:rPr>
          <w:rFonts w:asciiTheme="minorHAnsi" w:hAnsiTheme="minorHAnsi" w:cstheme="minorHAnsi"/>
          <w:szCs w:val="24"/>
        </w:rPr>
        <w:t>Based on the assumptions above for counts of medical exams, and converting to a per</w:t>
      </w:r>
      <w:r w:rsidRPr="00B850BA" w:rsidR="005929DE">
        <w:rPr>
          <w:rFonts w:asciiTheme="minorHAnsi" w:hAnsiTheme="minorHAnsi" w:cstheme="minorHAnsi"/>
          <w:szCs w:val="24"/>
        </w:rPr>
        <w:t xml:space="preserve"> </w:t>
      </w:r>
      <w:r w:rsidRPr="00B850BA">
        <w:rPr>
          <w:rFonts w:asciiTheme="minorHAnsi" w:hAnsiTheme="minorHAnsi" w:cstheme="minorHAnsi"/>
          <w:szCs w:val="24"/>
        </w:rPr>
        <w:t xml:space="preserve">state basis, the </w:t>
      </w:r>
      <w:r w:rsidRPr="00B850BA" w:rsidR="00063D4A">
        <w:rPr>
          <w:rFonts w:asciiTheme="minorHAnsi" w:hAnsiTheme="minorHAnsi" w:cstheme="minorHAnsi"/>
          <w:szCs w:val="24"/>
        </w:rPr>
        <w:t xml:space="preserve">resultant </w:t>
      </w:r>
      <w:r w:rsidRPr="00B850BA">
        <w:rPr>
          <w:rFonts w:asciiTheme="minorHAnsi" w:hAnsiTheme="minorHAnsi" w:cstheme="minorHAnsi"/>
          <w:szCs w:val="24"/>
        </w:rPr>
        <w:t xml:space="preserve">annual unit burden for </w:t>
      </w:r>
      <w:r w:rsidRPr="00B850BA" w:rsidR="00CE3208">
        <w:rPr>
          <w:rFonts w:asciiTheme="minorHAnsi" w:hAnsiTheme="minorHAnsi" w:cstheme="minorHAnsi"/>
          <w:szCs w:val="24"/>
        </w:rPr>
        <w:t>records maintenance</w:t>
      </w:r>
      <w:r w:rsidRPr="00B850BA">
        <w:rPr>
          <w:rFonts w:asciiTheme="minorHAnsi" w:hAnsiTheme="minorHAnsi" w:cstheme="minorHAnsi"/>
          <w:szCs w:val="24"/>
        </w:rPr>
        <w:t xml:space="preserve"> is 9.83 hours</w:t>
      </w:r>
      <w:r w:rsidRPr="00B850BA" w:rsidR="00E35B69">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E35B69">
        <w:rPr>
          <w:rFonts w:asciiTheme="minorHAnsi" w:hAnsiTheme="minorHAnsi" w:cstheme="minorHAnsi"/>
          <w:szCs w:val="24"/>
        </w:rPr>
        <w:t>able 2, line F6)</w:t>
      </w:r>
      <w:r w:rsidRPr="00B850BA" w:rsidR="00063D4A">
        <w:rPr>
          <w:rFonts w:asciiTheme="minorHAnsi" w:hAnsiTheme="minorHAnsi" w:cstheme="minorHAnsi"/>
          <w:szCs w:val="24"/>
        </w:rPr>
        <w:t>.</w:t>
      </w:r>
    </w:p>
    <w:p w:rsidR="00D74D9E" w:rsidRPr="00B850BA" w:rsidP="008F708D" w14:paraId="630297C3" w14:textId="21550A89">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Access to Records</w:t>
      </w:r>
    </w:p>
    <w:p w:rsidR="00D74D9E" w:rsidRPr="00B850BA" w:rsidP="00886FC9" w14:paraId="0C05CB31" w14:textId="5ACF5170">
      <w:pPr>
        <w:spacing w:line="276" w:lineRule="auto"/>
        <w:ind w:firstLine="0"/>
        <w:rPr>
          <w:rFonts w:asciiTheme="minorHAnsi" w:hAnsiTheme="minorHAnsi" w:cstheme="minorHAnsi"/>
          <w:szCs w:val="24"/>
        </w:rPr>
      </w:pPr>
      <w:r w:rsidRPr="00B850BA">
        <w:rPr>
          <w:rFonts w:asciiTheme="minorHAnsi" w:hAnsiTheme="minorHAnsi" w:cstheme="minorHAnsi"/>
          <w:szCs w:val="24"/>
        </w:rPr>
        <w:t>A</w:t>
      </w:r>
      <w:r w:rsidRPr="00B850BA">
        <w:rPr>
          <w:rFonts w:asciiTheme="minorHAnsi" w:hAnsiTheme="minorHAnsi" w:cstheme="minorHAnsi"/>
          <w:szCs w:val="24"/>
        </w:rPr>
        <w:t xml:space="preserve">ffected employers </w:t>
      </w:r>
      <w:r w:rsidRPr="00B850BA">
        <w:rPr>
          <w:rFonts w:asciiTheme="minorHAnsi" w:hAnsiTheme="minorHAnsi" w:cstheme="minorHAnsi"/>
          <w:szCs w:val="24"/>
        </w:rPr>
        <w:t xml:space="preserve">are required to </w:t>
      </w:r>
      <w:r w:rsidRPr="00B850BA">
        <w:rPr>
          <w:rFonts w:asciiTheme="minorHAnsi" w:hAnsiTheme="minorHAnsi" w:cstheme="minorHAnsi"/>
          <w:szCs w:val="24"/>
        </w:rPr>
        <w:t>(</w:t>
      </w:r>
      <w:r w:rsidRPr="00B850BA" w:rsidR="00C96D20">
        <w:rPr>
          <w:rFonts w:asciiTheme="minorHAnsi" w:hAnsiTheme="minorHAnsi" w:cstheme="minorHAnsi"/>
          <w:szCs w:val="24"/>
        </w:rPr>
        <w:t>1</w:t>
      </w:r>
      <w:r w:rsidRPr="00B850BA">
        <w:rPr>
          <w:rFonts w:asciiTheme="minorHAnsi" w:hAnsiTheme="minorHAnsi" w:cstheme="minorHAnsi"/>
          <w:szCs w:val="24"/>
        </w:rPr>
        <w:t>) allow employees access to a variety of records and (</w:t>
      </w:r>
      <w:r w:rsidRPr="00B850BA" w:rsidR="00C96D20">
        <w:rPr>
          <w:rFonts w:asciiTheme="minorHAnsi" w:hAnsiTheme="minorHAnsi" w:cstheme="minorHAnsi"/>
          <w:szCs w:val="24"/>
        </w:rPr>
        <w:t>2</w:t>
      </w:r>
      <w:r w:rsidRPr="00B850BA">
        <w:rPr>
          <w:rFonts w:asciiTheme="minorHAnsi" w:hAnsiTheme="minorHAnsi" w:cstheme="minorHAnsi"/>
          <w:szCs w:val="24"/>
        </w:rPr>
        <w:t>) allow the EPA to inspect those records</w:t>
      </w:r>
      <w:r w:rsidRPr="00B850BA">
        <w:rPr>
          <w:rFonts w:asciiTheme="minorHAnsi" w:hAnsiTheme="minorHAnsi" w:cstheme="minorHAnsi"/>
          <w:szCs w:val="24"/>
        </w:rPr>
        <w:t>.</w:t>
      </w:r>
    </w:p>
    <w:p w:rsidR="009A138B" w:rsidRPr="00B850BA" w:rsidP="00886FC9" w14:paraId="16C05F3A" w14:textId="5C3CDADF">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EPA assumes that allowing employees to access their own records will require five </w:t>
      </w:r>
      <w:r w:rsidRPr="00B850BA" w:rsidR="00D8105A">
        <w:rPr>
          <w:rFonts w:asciiTheme="minorHAnsi" w:hAnsiTheme="minorHAnsi" w:cstheme="minorHAnsi"/>
          <w:szCs w:val="24"/>
        </w:rPr>
        <w:t xml:space="preserve">minutes of </w:t>
      </w:r>
      <w:r w:rsidRPr="00B850BA">
        <w:rPr>
          <w:rFonts w:asciiTheme="minorHAnsi" w:hAnsiTheme="minorHAnsi" w:cstheme="minorHAnsi"/>
          <w:szCs w:val="24"/>
        </w:rPr>
        <w:t xml:space="preserve">clerical </w:t>
      </w:r>
      <w:r w:rsidRPr="00B850BA" w:rsidR="00D8105A">
        <w:rPr>
          <w:rFonts w:asciiTheme="minorHAnsi" w:hAnsiTheme="minorHAnsi" w:cstheme="minorHAnsi"/>
          <w:szCs w:val="24"/>
        </w:rPr>
        <w:t xml:space="preserve">time </w:t>
      </w:r>
      <w:r w:rsidRPr="00B850BA">
        <w:rPr>
          <w:rFonts w:asciiTheme="minorHAnsi" w:hAnsiTheme="minorHAnsi" w:cstheme="minorHAnsi"/>
          <w:szCs w:val="24"/>
        </w:rPr>
        <w:t>for each oc</w:t>
      </w:r>
      <w:r w:rsidRPr="00B850BA" w:rsidR="006400AB">
        <w:rPr>
          <w:rFonts w:asciiTheme="minorHAnsi" w:hAnsiTheme="minorHAnsi" w:cstheme="minorHAnsi"/>
          <w:szCs w:val="24"/>
        </w:rPr>
        <w:t xml:space="preserve">currence. </w:t>
      </w:r>
      <w:r w:rsidRPr="00B850BA">
        <w:rPr>
          <w:rFonts w:asciiTheme="minorHAnsi" w:hAnsiTheme="minorHAnsi" w:cstheme="minorHAnsi"/>
          <w:szCs w:val="24"/>
        </w:rPr>
        <w:t xml:space="preserve">EPA </w:t>
      </w:r>
      <w:r w:rsidRPr="00B850BA">
        <w:rPr>
          <w:rFonts w:asciiTheme="minorHAnsi" w:hAnsiTheme="minorHAnsi" w:cstheme="minorHAnsi"/>
          <w:szCs w:val="24"/>
        </w:rPr>
        <w:t xml:space="preserve">also assumes that </w:t>
      </w:r>
      <w:r w:rsidRPr="00B850BA" w:rsidR="00560036">
        <w:rPr>
          <w:rFonts w:asciiTheme="minorHAnsi" w:hAnsiTheme="minorHAnsi" w:cstheme="minorHAnsi"/>
          <w:szCs w:val="24"/>
        </w:rPr>
        <w:t xml:space="preserve">10 </w:t>
      </w:r>
      <w:r w:rsidRPr="00B850BA">
        <w:rPr>
          <w:rFonts w:asciiTheme="minorHAnsi" w:hAnsiTheme="minorHAnsi" w:cstheme="minorHAnsi"/>
          <w:szCs w:val="24"/>
        </w:rPr>
        <w:t xml:space="preserve">percent of affected workers will access records annually. Applying these assumptions and converting to a per-state basis, the </w:t>
      </w:r>
      <w:r w:rsidRPr="00B850BA" w:rsidR="00C96D20">
        <w:rPr>
          <w:rFonts w:asciiTheme="minorHAnsi" w:hAnsiTheme="minorHAnsi" w:cstheme="minorHAnsi"/>
          <w:szCs w:val="24"/>
        </w:rPr>
        <w:t xml:space="preserve">resultant </w:t>
      </w:r>
      <w:r w:rsidRPr="00B850BA">
        <w:rPr>
          <w:rFonts w:asciiTheme="minorHAnsi" w:hAnsiTheme="minorHAnsi" w:cstheme="minorHAnsi"/>
          <w:szCs w:val="24"/>
        </w:rPr>
        <w:t xml:space="preserve">annual unit burden for </w:t>
      </w:r>
      <w:r w:rsidRPr="00B850BA" w:rsidR="00C168AA">
        <w:rPr>
          <w:rFonts w:asciiTheme="minorHAnsi" w:hAnsiTheme="minorHAnsi" w:cstheme="minorHAnsi"/>
          <w:szCs w:val="24"/>
        </w:rPr>
        <w:t xml:space="preserve">employee </w:t>
      </w:r>
      <w:r w:rsidRPr="00B850BA">
        <w:rPr>
          <w:rFonts w:asciiTheme="minorHAnsi" w:hAnsiTheme="minorHAnsi" w:cstheme="minorHAnsi"/>
          <w:szCs w:val="24"/>
        </w:rPr>
        <w:t>access to records is 18.79 hours</w:t>
      </w:r>
      <w:r w:rsidRPr="00B850BA" w:rsidR="00560036">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560036">
        <w:rPr>
          <w:rFonts w:asciiTheme="minorHAnsi" w:hAnsiTheme="minorHAnsi" w:cstheme="minorHAnsi"/>
          <w:szCs w:val="24"/>
        </w:rPr>
        <w:t>able 2, line G1)</w:t>
      </w:r>
      <w:r w:rsidRPr="00B850BA" w:rsidR="00C96D20">
        <w:rPr>
          <w:rFonts w:asciiTheme="minorHAnsi" w:hAnsiTheme="minorHAnsi" w:cstheme="minorHAnsi"/>
          <w:szCs w:val="24"/>
        </w:rPr>
        <w:t>.</w:t>
      </w:r>
    </w:p>
    <w:p w:rsidR="009A138B" w:rsidRPr="00B850BA" w:rsidP="00886FC9" w14:paraId="656ADAD2" w14:textId="5EC06FDF">
      <w:pPr>
        <w:spacing w:line="276" w:lineRule="auto"/>
        <w:ind w:firstLine="0"/>
        <w:rPr>
          <w:rFonts w:asciiTheme="minorHAnsi" w:hAnsiTheme="minorHAnsi" w:cstheme="minorHAnsi"/>
          <w:szCs w:val="24"/>
        </w:rPr>
      </w:pPr>
      <w:r w:rsidRPr="00B850BA">
        <w:rPr>
          <w:rFonts w:asciiTheme="minorHAnsi" w:hAnsiTheme="minorHAnsi" w:cstheme="minorHAnsi"/>
          <w:szCs w:val="24"/>
        </w:rPr>
        <w:t>EPA assumes that its access to employer records will require five minutes for both a clerical worker and a supervisor for each tim</w:t>
      </w:r>
      <w:r w:rsidRPr="00B850BA" w:rsidR="000C7947">
        <w:rPr>
          <w:rFonts w:asciiTheme="minorHAnsi" w:hAnsiTheme="minorHAnsi" w:cstheme="minorHAnsi"/>
          <w:szCs w:val="24"/>
        </w:rPr>
        <w:t xml:space="preserve">e the Agency accesses records. </w:t>
      </w:r>
      <w:r w:rsidRPr="00B850BA">
        <w:rPr>
          <w:rFonts w:asciiTheme="minorHAnsi" w:hAnsiTheme="minorHAnsi" w:cstheme="minorHAnsi"/>
          <w:szCs w:val="24"/>
        </w:rPr>
        <w:t>For the construction sector, EPA assumes that this w</w:t>
      </w:r>
      <w:r w:rsidRPr="00B850BA" w:rsidR="00164CB3">
        <w:rPr>
          <w:rFonts w:asciiTheme="minorHAnsi" w:hAnsiTheme="minorHAnsi" w:cstheme="minorHAnsi"/>
          <w:szCs w:val="24"/>
        </w:rPr>
        <w:t xml:space="preserve">ill occur in approximately </w:t>
      </w:r>
      <w:r w:rsidRPr="00B850BA" w:rsidR="00D35200">
        <w:rPr>
          <w:rFonts w:asciiTheme="minorHAnsi" w:hAnsiTheme="minorHAnsi" w:cstheme="minorHAnsi"/>
          <w:szCs w:val="24"/>
        </w:rPr>
        <w:t>five percent</w:t>
      </w:r>
      <w:r w:rsidRPr="00B850BA" w:rsidR="00164CB3">
        <w:rPr>
          <w:rFonts w:asciiTheme="minorHAnsi" w:hAnsiTheme="minorHAnsi" w:cstheme="minorHAnsi"/>
          <w:szCs w:val="24"/>
        </w:rPr>
        <w:t xml:space="preserve"> of Class I projects and one</w:t>
      </w:r>
      <w:r w:rsidRPr="00B850BA" w:rsidR="005929DE">
        <w:rPr>
          <w:rFonts w:asciiTheme="minorHAnsi" w:hAnsiTheme="minorHAnsi" w:cstheme="minorHAnsi"/>
          <w:szCs w:val="24"/>
        </w:rPr>
        <w:t xml:space="preserve"> </w:t>
      </w:r>
      <w:r w:rsidRPr="00B850BA">
        <w:rPr>
          <w:rFonts w:asciiTheme="minorHAnsi" w:hAnsiTheme="minorHAnsi" w:cstheme="minorHAnsi"/>
          <w:szCs w:val="24"/>
        </w:rPr>
        <w:t>percent of new construction and C</w:t>
      </w:r>
      <w:r w:rsidRPr="00B850BA" w:rsidR="000C7947">
        <w:rPr>
          <w:rFonts w:asciiTheme="minorHAnsi" w:hAnsiTheme="minorHAnsi" w:cstheme="minorHAnsi"/>
          <w:szCs w:val="24"/>
        </w:rPr>
        <w:t>lass</w:t>
      </w:r>
      <w:r w:rsidRPr="00B850BA" w:rsidR="00DD5EDB">
        <w:rPr>
          <w:rFonts w:asciiTheme="minorHAnsi" w:hAnsiTheme="minorHAnsi" w:cstheme="minorHAnsi"/>
          <w:szCs w:val="24"/>
        </w:rPr>
        <w:t>es</w:t>
      </w:r>
      <w:r w:rsidRPr="00B850BA" w:rsidR="000C7947">
        <w:rPr>
          <w:rFonts w:asciiTheme="minorHAnsi" w:hAnsiTheme="minorHAnsi" w:cstheme="minorHAnsi"/>
          <w:szCs w:val="24"/>
        </w:rPr>
        <w:t xml:space="preserve"> II, III, and IV projects</w:t>
      </w:r>
      <w:r w:rsidRPr="00B850BA">
        <w:rPr>
          <w:rFonts w:asciiTheme="minorHAnsi" w:hAnsiTheme="minorHAnsi" w:cstheme="minorHAnsi"/>
          <w:szCs w:val="24"/>
        </w:rPr>
        <w:t>.</w:t>
      </w:r>
      <w:r w:rsidRPr="00B850BA" w:rsidR="005A3F1C">
        <w:rPr>
          <w:rFonts w:asciiTheme="minorHAnsi" w:hAnsiTheme="minorHAnsi" w:cstheme="minorHAnsi"/>
          <w:szCs w:val="24"/>
        </w:rPr>
        <w:t xml:space="preserve"> </w:t>
      </w:r>
      <w:r w:rsidRPr="00B850BA">
        <w:rPr>
          <w:rFonts w:asciiTheme="minorHAnsi" w:hAnsiTheme="minorHAnsi" w:cstheme="minorHAnsi"/>
          <w:szCs w:val="24"/>
        </w:rPr>
        <w:t xml:space="preserve">For brake and clutch work, EPA assumes that </w:t>
      </w:r>
      <w:r w:rsidRPr="00B850BA" w:rsidR="007A3942">
        <w:rPr>
          <w:rFonts w:asciiTheme="minorHAnsi" w:hAnsiTheme="minorHAnsi" w:cstheme="minorHAnsi"/>
          <w:szCs w:val="24"/>
        </w:rPr>
        <w:t>one percent</w:t>
      </w:r>
      <w:r w:rsidRPr="00B850BA">
        <w:rPr>
          <w:rFonts w:asciiTheme="minorHAnsi" w:hAnsiTheme="minorHAnsi" w:cstheme="minorHAnsi"/>
          <w:szCs w:val="24"/>
        </w:rPr>
        <w:t xml:space="preserve"> of all brake and clutch repair shops will be inspected annually</w:t>
      </w:r>
      <w:r w:rsidRPr="00B850BA">
        <w:rPr>
          <w:rFonts w:asciiTheme="minorHAnsi" w:hAnsiTheme="minorHAnsi" w:cstheme="minorHAnsi"/>
          <w:szCs w:val="24"/>
        </w:rPr>
        <w:t>.</w:t>
      </w:r>
    </w:p>
    <w:p w:rsidR="009A138B" w:rsidRPr="00B850BA" w:rsidP="00886FC9" w14:paraId="4F598986" w14:textId="0E6DF9D3">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Applying these assumptions and converting to a per-state basis, the </w:t>
      </w:r>
      <w:r w:rsidRPr="00B850BA" w:rsidR="00C96D20">
        <w:rPr>
          <w:rFonts w:asciiTheme="minorHAnsi" w:hAnsiTheme="minorHAnsi" w:cstheme="minorHAnsi"/>
          <w:szCs w:val="24"/>
        </w:rPr>
        <w:t xml:space="preserve">resultant annual </w:t>
      </w:r>
      <w:r w:rsidRPr="00B850BA">
        <w:rPr>
          <w:rFonts w:asciiTheme="minorHAnsi" w:hAnsiTheme="minorHAnsi" w:cstheme="minorHAnsi"/>
          <w:szCs w:val="24"/>
        </w:rPr>
        <w:t xml:space="preserve">unit burdens </w:t>
      </w:r>
      <w:r w:rsidRPr="00B850BA" w:rsidR="00C96D20">
        <w:rPr>
          <w:rFonts w:asciiTheme="minorHAnsi" w:hAnsiTheme="minorHAnsi" w:cstheme="minorHAnsi"/>
          <w:szCs w:val="24"/>
        </w:rPr>
        <w:t xml:space="preserve">for EPA access are </w:t>
      </w:r>
      <w:r w:rsidRPr="00B850BA">
        <w:rPr>
          <w:rFonts w:asciiTheme="minorHAnsi" w:hAnsiTheme="minorHAnsi" w:cstheme="minorHAnsi"/>
          <w:szCs w:val="24"/>
        </w:rPr>
        <w:t xml:space="preserve">31.46 hours for </w:t>
      </w:r>
      <w:r w:rsidRPr="00B850BA" w:rsidR="009775F3">
        <w:rPr>
          <w:rFonts w:asciiTheme="minorHAnsi" w:hAnsiTheme="minorHAnsi" w:cstheme="minorHAnsi"/>
          <w:szCs w:val="24"/>
        </w:rPr>
        <w:t xml:space="preserve">construction projects </w:t>
      </w:r>
      <w:r w:rsidRPr="00B850BA">
        <w:rPr>
          <w:rFonts w:asciiTheme="minorHAnsi" w:hAnsiTheme="minorHAnsi" w:cstheme="minorHAnsi"/>
          <w:szCs w:val="24"/>
        </w:rPr>
        <w:t xml:space="preserve">and </w:t>
      </w:r>
      <w:r w:rsidRPr="00B850BA" w:rsidR="00C96D20">
        <w:rPr>
          <w:rFonts w:asciiTheme="minorHAnsi" w:hAnsiTheme="minorHAnsi" w:cstheme="minorHAnsi"/>
          <w:szCs w:val="24"/>
        </w:rPr>
        <w:t>0</w:t>
      </w:r>
      <w:r w:rsidRPr="00B850BA" w:rsidR="009775F3">
        <w:rPr>
          <w:rFonts w:asciiTheme="minorHAnsi" w:hAnsiTheme="minorHAnsi" w:cstheme="minorHAnsi"/>
          <w:szCs w:val="24"/>
        </w:rPr>
        <w:t>.1</w:t>
      </w:r>
      <w:r w:rsidRPr="00B850BA" w:rsidR="00D8105A">
        <w:rPr>
          <w:rFonts w:asciiTheme="minorHAnsi" w:hAnsiTheme="minorHAnsi" w:cstheme="minorHAnsi"/>
          <w:szCs w:val="24"/>
        </w:rPr>
        <w:t>8</w:t>
      </w:r>
      <w:r w:rsidRPr="00B850BA">
        <w:rPr>
          <w:rFonts w:asciiTheme="minorHAnsi" w:hAnsiTheme="minorHAnsi" w:cstheme="minorHAnsi"/>
          <w:szCs w:val="24"/>
        </w:rPr>
        <w:t xml:space="preserve"> hours</w:t>
      </w:r>
      <w:r w:rsidRPr="00B850BA" w:rsidR="009775F3">
        <w:rPr>
          <w:rFonts w:asciiTheme="minorHAnsi" w:hAnsiTheme="minorHAnsi" w:cstheme="minorHAnsi"/>
          <w:szCs w:val="24"/>
        </w:rPr>
        <w:t xml:space="preserve"> </w:t>
      </w:r>
      <w:r w:rsidRPr="00B850BA">
        <w:rPr>
          <w:rFonts w:asciiTheme="minorHAnsi" w:hAnsiTheme="minorHAnsi" w:cstheme="minorHAnsi"/>
          <w:szCs w:val="24"/>
        </w:rPr>
        <w:t xml:space="preserve">for </w:t>
      </w:r>
      <w:r w:rsidRPr="00B850BA" w:rsidR="009775F3">
        <w:rPr>
          <w:rFonts w:asciiTheme="minorHAnsi" w:hAnsiTheme="minorHAnsi" w:cstheme="minorHAnsi"/>
          <w:szCs w:val="24"/>
        </w:rPr>
        <w:t>brake and clutch repair shops</w:t>
      </w:r>
      <w:r w:rsidRPr="00B850BA" w:rsidR="00560036">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560036">
        <w:rPr>
          <w:rFonts w:asciiTheme="minorHAnsi" w:hAnsiTheme="minorHAnsi" w:cstheme="minorHAnsi"/>
          <w:szCs w:val="24"/>
        </w:rPr>
        <w:t>able 2, lines G2a and G2b, respectively)</w:t>
      </w:r>
      <w:r w:rsidRPr="00B850BA">
        <w:rPr>
          <w:rFonts w:asciiTheme="minorHAnsi" w:hAnsiTheme="minorHAnsi" w:cstheme="minorHAnsi"/>
          <w:szCs w:val="24"/>
        </w:rPr>
        <w:t>.</w:t>
      </w:r>
    </w:p>
    <w:p w:rsidR="00D74D9E" w:rsidRPr="00B850BA" w:rsidP="008F708D" w14:paraId="32D026D8" w14:textId="5681F645">
      <w:pPr>
        <w:spacing w:line="276" w:lineRule="auto"/>
        <w:rPr>
          <w:rFonts w:asciiTheme="minorHAnsi" w:hAnsiTheme="minorHAnsi" w:cstheme="minorHAnsi"/>
          <w:szCs w:val="24"/>
          <w:u w:val="single"/>
        </w:rPr>
      </w:pPr>
      <w:r w:rsidRPr="00B850BA">
        <w:rPr>
          <w:rFonts w:asciiTheme="minorHAnsi" w:hAnsiTheme="minorHAnsi" w:cstheme="minorHAnsi"/>
          <w:szCs w:val="24"/>
          <w:u w:val="single"/>
        </w:rPr>
        <w:t>Competent Person</w:t>
      </w:r>
    </w:p>
    <w:p w:rsidR="00710083" w:rsidRPr="00B850BA" w:rsidP="003D3985" w14:paraId="1C7454D2" w14:textId="7FC8F33F">
      <w:pPr>
        <w:spacing w:line="276" w:lineRule="auto"/>
        <w:ind w:firstLine="0"/>
        <w:rPr>
          <w:rFonts w:asciiTheme="minorHAnsi" w:hAnsiTheme="minorHAnsi" w:cstheme="minorHAnsi"/>
          <w:szCs w:val="24"/>
        </w:rPr>
      </w:pPr>
      <w:r w:rsidRPr="00B850BA">
        <w:rPr>
          <w:rFonts w:asciiTheme="minorHAnsi" w:hAnsiTheme="minorHAnsi" w:cstheme="minorHAnsi"/>
          <w:szCs w:val="24"/>
        </w:rPr>
        <w:t>A</w:t>
      </w:r>
      <w:r w:rsidRPr="00B850BA" w:rsidR="00D74D9E">
        <w:rPr>
          <w:rFonts w:asciiTheme="minorHAnsi" w:hAnsiTheme="minorHAnsi" w:cstheme="minorHAnsi"/>
          <w:szCs w:val="24"/>
        </w:rPr>
        <w:t xml:space="preserve">ll construction work sites that are covered by the </w:t>
      </w:r>
      <w:r w:rsidRPr="00B850BA">
        <w:rPr>
          <w:rFonts w:asciiTheme="minorHAnsi" w:hAnsiTheme="minorHAnsi" w:cstheme="minorHAnsi"/>
          <w:szCs w:val="24"/>
        </w:rPr>
        <w:t>WPR must</w:t>
      </w:r>
      <w:r w:rsidRPr="00B850BA" w:rsidR="00D74D9E">
        <w:rPr>
          <w:rFonts w:asciiTheme="minorHAnsi" w:hAnsiTheme="minorHAnsi" w:cstheme="minorHAnsi"/>
          <w:szCs w:val="24"/>
        </w:rPr>
        <w:t xml:space="preserve"> be supervised by an individual </w:t>
      </w:r>
      <w:r w:rsidRPr="00B850BA" w:rsidR="006A1866">
        <w:rPr>
          <w:rFonts w:asciiTheme="minorHAnsi" w:hAnsiTheme="minorHAnsi" w:cstheme="minorHAnsi"/>
          <w:szCs w:val="24"/>
        </w:rPr>
        <w:t xml:space="preserve">trained as a competent person. </w:t>
      </w:r>
      <w:r w:rsidRPr="00B850BA" w:rsidR="00D74D9E">
        <w:rPr>
          <w:rFonts w:asciiTheme="minorHAnsi" w:hAnsiTheme="minorHAnsi" w:cstheme="minorHAnsi"/>
          <w:szCs w:val="24"/>
        </w:rPr>
        <w:t xml:space="preserve">This will require affected </w:t>
      </w:r>
      <w:r w:rsidRPr="00B850BA">
        <w:rPr>
          <w:rFonts w:asciiTheme="minorHAnsi" w:hAnsiTheme="minorHAnsi" w:cstheme="minorHAnsi"/>
          <w:szCs w:val="24"/>
        </w:rPr>
        <w:t>entit</w:t>
      </w:r>
      <w:r w:rsidRPr="00B850BA" w:rsidR="002B3CF4">
        <w:rPr>
          <w:rFonts w:asciiTheme="minorHAnsi" w:hAnsiTheme="minorHAnsi" w:cstheme="minorHAnsi"/>
          <w:szCs w:val="24"/>
        </w:rPr>
        <w:t>i</w:t>
      </w:r>
      <w:r w:rsidRPr="00B850BA">
        <w:rPr>
          <w:rFonts w:asciiTheme="minorHAnsi" w:hAnsiTheme="minorHAnsi" w:cstheme="minorHAnsi"/>
          <w:szCs w:val="24"/>
        </w:rPr>
        <w:t>es</w:t>
      </w:r>
      <w:r w:rsidRPr="00B850BA" w:rsidR="00D74D9E">
        <w:rPr>
          <w:rFonts w:asciiTheme="minorHAnsi" w:hAnsiTheme="minorHAnsi" w:cstheme="minorHAnsi"/>
          <w:szCs w:val="24"/>
        </w:rPr>
        <w:t xml:space="preserve"> to train one person from each work crew as a competent person.</w:t>
      </w:r>
      <w:r w:rsidRPr="00B850BA" w:rsidR="00192660">
        <w:rPr>
          <w:rFonts w:asciiTheme="minorHAnsi" w:hAnsiTheme="minorHAnsi" w:cstheme="minorHAnsi"/>
          <w:szCs w:val="24"/>
        </w:rPr>
        <w:t xml:space="preserve"> </w:t>
      </w:r>
      <w:r w:rsidRPr="00B850BA" w:rsidR="00D74D9E">
        <w:rPr>
          <w:rFonts w:asciiTheme="minorHAnsi" w:hAnsiTheme="minorHAnsi" w:cstheme="minorHAnsi"/>
          <w:szCs w:val="24"/>
        </w:rPr>
        <w:t xml:space="preserve">EPA assumes that competent person training for Class I crews is </w:t>
      </w:r>
      <w:r w:rsidRPr="00B850BA" w:rsidR="006A1866">
        <w:rPr>
          <w:rFonts w:asciiTheme="minorHAnsi" w:hAnsiTheme="minorHAnsi" w:cstheme="minorHAnsi"/>
          <w:szCs w:val="24"/>
        </w:rPr>
        <w:t xml:space="preserve">not incremental to the rule. </w:t>
      </w:r>
      <w:r w:rsidRPr="00B850BA" w:rsidR="00D74D9E">
        <w:rPr>
          <w:rFonts w:asciiTheme="minorHAnsi" w:hAnsiTheme="minorHAnsi" w:cstheme="minorHAnsi"/>
          <w:szCs w:val="24"/>
        </w:rPr>
        <w:t>For Class II work, EPA</w:t>
      </w:r>
      <w:r w:rsidRPr="00B850BA" w:rsidR="00164CB3">
        <w:rPr>
          <w:rFonts w:asciiTheme="minorHAnsi" w:hAnsiTheme="minorHAnsi" w:cstheme="minorHAnsi"/>
          <w:szCs w:val="24"/>
        </w:rPr>
        <w:t xml:space="preserve"> assumes that</w:t>
      </w:r>
      <w:r w:rsidRPr="00B850BA" w:rsidR="00D74D9E">
        <w:rPr>
          <w:rFonts w:asciiTheme="minorHAnsi" w:hAnsiTheme="minorHAnsi" w:cstheme="minorHAnsi"/>
          <w:szCs w:val="24"/>
        </w:rPr>
        <w:t xml:space="preserve"> competent person training will require a </w:t>
      </w:r>
      <w:r w:rsidRPr="00B850BA" w:rsidR="00B340AA">
        <w:rPr>
          <w:rFonts w:asciiTheme="minorHAnsi" w:hAnsiTheme="minorHAnsi" w:cstheme="minorHAnsi"/>
          <w:szCs w:val="24"/>
        </w:rPr>
        <w:t>40</w:t>
      </w:r>
      <w:r w:rsidR="00B340AA">
        <w:rPr>
          <w:rFonts w:asciiTheme="minorHAnsi" w:hAnsiTheme="minorHAnsi" w:cstheme="minorHAnsi"/>
          <w:szCs w:val="24"/>
        </w:rPr>
        <w:t>-hour</w:t>
      </w:r>
      <w:r w:rsidRPr="00B850BA" w:rsidR="00D74D9E">
        <w:rPr>
          <w:rFonts w:asciiTheme="minorHAnsi" w:hAnsiTheme="minorHAnsi" w:cstheme="minorHAnsi"/>
          <w:szCs w:val="24"/>
        </w:rPr>
        <w:t xml:space="preserve"> training course every five years with an </w:t>
      </w:r>
      <w:r w:rsidRPr="00B850BA" w:rsidR="00D74D9E">
        <w:rPr>
          <w:rFonts w:asciiTheme="minorHAnsi" w:hAnsiTheme="minorHAnsi" w:cstheme="minorHAnsi"/>
          <w:szCs w:val="24"/>
        </w:rPr>
        <w:t>eight</w:t>
      </w:r>
      <w:r w:rsidR="00FC7ED6">
        <w:rPr>
          <w:rFonts w:asciiTheme="minorHAnsi" w:hAnsiTheme="minorHAnsi" w:cstheme="minorHAnsi"/>
          <w:szCs w:val="24"/>
        </w:rPr>
        <w:t xml:space="preserve"> </w:t>
      </w:r>
      <w:r w:rsidRPr="00B850BA" w:rsidR="00D74D9E">
        <w:rPr>
          <w:rFonts w:asciiTheme="minorHAnsi" w:hAnsiTheme="minorHAnsi" w:cstheme="minorHAnsi"/>
          <w:szCs w:val="24"/>
        </w:rPr>
        <w:t>h</w:t>
      </w:r>
      <w:r w:rsidRPr="00B850BA" w:rsidR="006A1866">
        <w:rPr>
          <w:rFonts w:asciiTheme="minorHAnsi" w:hAnsiTheme="minorHAnsi" w:cstheme="minorHAnsi"/>
          <w:szCs w:val="24"/>
        </w:rPr>
        <w:t>our</w:t>
      </w:r>
      <w:r w:rsidRPr="00B850BA" w:rsidR="006A1866">
        <w:rPr>
          <w:rFonts w:asciiTheme="minorHAnsi" w:hAnsiTheme="minorHAnsi" w:cstheme="minorHAnsi"/>
          <w:szCs w:val="24"/>
        </w:rPr>
        <w:t xml:space="preserve"> course in all other years</w:t>
      </w:r>
      <w:r w:rsidRPr="00B850BA">
        <w:rPr>
          <w:rFonts w:asciiTheme="minorHAnsi" w:hAnsiTheme="minorHAnsi" w:cstheme="minorHAnsi"/>
          <w:szCs w:val="24"/>
        </w:rPr>
        <w:t xml:space="preserve">, yielding an average </w:t>
      </w:r>
      <w:r w:rsidRPr="00B850BA" w:rsidR="008E361D">
        <w:rPr>
          <w:rFonts w:asciiTheme="minorHAnsi" w:hAnsiTheme="minorHAnsi" w:cstheme="minorHAnsi"/>
          <w:szCs w:val="24"/>
        </w:rPr>
        <w:t>annual</w:t>
      </w:r>
      <w:r w:rsidRPr="00B850BA">
        <w:rPr>
          <w:rFonts w:asciiTheme="minorHAnsi" w:hAnsiTheme="minorHAnsi" w:cstheme="minorHAnsi"/>
          <w:szCs w:val="24"/>
        </w:rPr>
        <w:t xml:space="preserve"> training requirement </w:t>
      </w:r>
      <w:r w:rsidRPr="00B850BA" w:rsidR="008E361D">
        <w:rPr>
          <w:rFonts w:asciiTheme="minorHAnsi" w:hAnsiTheme="minorHAnsi" w:cstheme="minorHAnsi"/>
          <w:szCs w:val="24"/>
        </w:rPr>
        <w:t>of 14.4 hours</w:t>
      </w:r>
      <w:r w:rsidRPr="00B850BA">
        <w:rPr>
          <w:rFonts w:asciiTheme="minorHAnsi" w:hAnsiTheme="minorHAnsi" w:cstheme="minorHAnsi"/>
          <w:szCs w:val="24"/>
        </w:rPr>
        <w:t xml:space="preserve">, rounded to </w:t>
      </w:r>
      <w:r w:rsidRPr="00B850BA" w:rsidR="00560036">
        <w:rPr>
          <w:rFonts w:asciiTheme="minorHAnsi" w:hAnsiTheme="minorHAnsi" w:cstheme="minorHAnsi"/>
          <w:szCs w:val="24"/>
        </w:rPr>
        <w:t xml:space="preserve">14 </w:t>
      </w:r>
      <w:r w:rsidRPr="00B850BA">
        <w:rPr>
          <w:rFonts w:asciiTheme="minorHAnsi" w:hAnsiTheme="minorHAnsi" w:cstheme="minorHAnsi"/>
          <w:szCs w:val="24"/>
        </w:rPr>
        <w:t>hours.</w:t>
      </w:r>
      <w:r w:rsidRPr="00B850BA" w:rsidR="00D8105A">
        <w:rPr>
          <w:rFonts w:asciiTheme="minorHAnsi" w:hAnsiTheme="minorHAnsi" w:cstheme="minorHAnsi"/>
          <w:szCs w:val="24"/>
        </w:rPr>
        <w:t xml:space="preserve"> Applying the annual time requirement for supervisors</w:t>
      </w:r>
      <w:r w:rsidRPr="00B850BA" w:rsidR="003C287A">
        <w:rPr>
          <w:rFonts w:asciiTheme="minorHAnsi" w:hAnsiTheme="minorHAnsi" w:cstheme="minorHAnsi"/>
          <w:szCs w:val="24"/>
        </w:rPr>
        <w:t xml:space="preserve"> in Class II crews</w:t>
      </w:r>
      <w:r w:rsidRPr="00B850BA" w:rsidR="00D8105A">
        <w:rPr>
          <w:rFonts w:asciiTheme="minorHAnsi" w:hAnsiTheme="minorHAnsi" w:cstheme="minorHAnsi"/>
          <w:szCs w:val="24"/>
        </w:rPr>
        <w:t xml:space="preserve"> (one per site) and converting to a per-state basis, the resultant annual unit burden for this training is 365.04 </w:t>
      </w:r>
      <w:r w:rsidRPr="00B850BA" w:rsidR="003C287A">
        <w:rPr>
          <w:rFonts w:asciiTheme="minorHAnsi" w:hAnsiTheme="minorHAnsi" w:cstheme="minorHAnsi"/>
          <w:szCs w:val="24"/>
        </w:rPr>
        <w:t>hours</w:t>
      </w:r>
      <w:r w:rsidRPr="00B850BA" w:rsidR="00560036">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560036">
        <w:rPr>
          <w:rFonts w:asciiTheme="minorHAnsi" w:hAnsiTheme="minorHAnsi" w:cstheme="minorHAnsi"/>
          <w:szCs w:val="24"/>
        </w:rPr>
        <w:t>able 2, line H1a)</w:t>
      </w:r>
      <w:r w:rsidRPr="00B850BA" w:rsidR="00D8105A">
        <w:rPr>
          <w:rFonts w:asciiTheme="minorHAnsi" w:hAnsiTheme="minorHAnsi" w:cstheme="minorHAnsi"/>
          <w:szCs w:val="24"/>
        </w:rPr>
        <w:t>.</w:t>
      </w:r>
    </w:p>
    <w:p w:rsidR="00D74D9E" w:rsidRPr="00B850BA" w:rsidP="003D3985" w14:paraId="71FC9551" w14:textId="0A18302C">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For Class III and </w:t>
      </w:r>
      <w:r w:rsidRPr="00B850BA" w:rsidR="008A2AD3">
        <w:rPr>
          <w:rFonts w:asciiTheme="minorHAnsi" w:hAnsiTheme="minorHAnsi" w:cstheme="minorHAnsi"/>
          <w:szCs w:val="24"/>
        </w:rPr>
        <w:t xml:space="preserve">Class </w:t>
      </w:r>
      <w:r w:rsidRPr="00B850BA">
        <w:rPr>
          <w:rFonts w:asciiTheme="minorHAnsi" w:hAnsiTheme="minorHAnsi" w:cstheme="minorHAnsi"/>
          <w:szCs w:val="24"/>
        </w:rPr>
        <w:t xml:space="preserve">IV workers, including new construction workers, EPA assumes that competent person training will require a </w:t>
      </w:r>
      <w:r w:rsidRPr="00B850BA" w:rsidR="00560036">
        <w:rPr>
          <w:rFonts w:asciiTheme="minorHAnsi" w:hAnsiTheme="minorHAnsi" w:cstheme="minorHAnsi"/>
          <w:szCs w:val="24"/>
        </w:rPr>
        <w:t>16</w:t>
      </w:r>
      <w:r w:rsidRPr="00B850BA" w:rsidR="005765AC">
        <w:rPr>
          <w:rFonts w:asciiTheme="minorHAnsi" w:hAnsiTheme="minorHAnsi" w:cstheme="minorHAnsi"/>
          <w:szCs w:val="24"/>
        </w:rPr>
        <w:t>-</w:t>
      </w:r>
      <w:r w:rsidRPr="00B850BA">
        <w:rPr>
          <w:rFonts w:asciiTheme="minorHAnsi" w:hAnsiTheme="minorHAnsi" w:cstheme="minorHAnsi"/>
          <w:szCs w:val="24"/>
        </w:rPr>
        <w:t>hour training</w:t>
      </w:r>
      <w:r w:rsidRPr="00B850BA" w:rsidR="006A1866">
        <w:rPr>
          <w:rFonts w:asciiTheme="minorHAnsi" w:hAnsiTheme="minorHAnsi" w:cstheme="minorHAnsi"/>
          <w:szCs w:val="24"/>
        </w:rPr>
        <w:t xml:space="preserve"> course once every five years</w:t>
      </w:r>
      <w:r w:rsidRPr="00B850BA" w:rsidR="00710083">
        <w:rPr>
          <w:rFonts w:asciiTheme="minorHAnsi" w:hAnsiTheme="minorHAnsi" w:cstheme="minorHAnsi"/>
          <w:szCs w:val="24"/>
        </w:rPr>
        <w:t xml:space="preserve">, yielding </w:t>
      </w:r>
      <w:r w:rsidRPr="00B850BA" w:rsidR="00710083">
        <w:rPr>
          <w:rFonts w:asciiTheme="minorHAnsi" w:hAnsiTheme="minorHAnsi" w:cstheme="minorHAnsi"/>
          <w:szCs w:val="24"/>
        </w:rPr>
        <w:t xml:space="preserve">an average training requirement of 3.2 hours, rounded to </w:t>
      </w:r>
      <w:r w:rsidRPr="00B850BA" w:rsidR="00C168AA">
        <w:rPr>
          <w:rFonts w:asciiTheme="minorHAnsi" w:hAnsiTheme="minorHAnsi" w:cstheme="minorHAnsi"/>
          <w:szCs w:val="24"/>
        </w:rPr>
        <w:t xml:space="preserve">three </w:t>
      </w:r>
      <w:r w:rsidRPr="00B850BA" w:rsidR="00710083">
        <w:rPr>
          <w:rFonts w:asciiTheme="minorHAnsi" w:hAnsiTheme="minorHAnsi" w:cstheme="minorHAnsi"/>
          <w:szCs w:val="24"/>
        </w:rPr>
        <w:t xml:space="preserve">hours. </w:t>
      </w:r>
      <w:r w:rsidRPr="00B850BA" w:rsidR="0035326D">
        <w:rPr>
          <w:rFonts w:asciiTheme="minorHAnsi" w:hAnsiTheme="minorHAnsi" w:cstheme="minorHAnsi"/>
          <w:szCs w:val="24"/>
        </w:rPr>
        <w:t xml:space="preserve">Applying the annual time requirement for supervisors </w:t>
      </w:r>
      <w:r w:rsidRPr="00B850BA" w:rsidR="003C287A">
        <w:rPr>
          <w:rFonts w:asciiTheme="minorHAnsi" w:hAnsiTheme="minorHAnsi" w:cstheme="minorHAnsi"/>
          <w:szCs w:val="24"/>
        </w:rPr>
        <w:t xml:space="preserve">in Class III and Class IV crews </w:t>
      </w:r>
      <w:r w:rsidRPr="00B850BA" w:rsidR="0035326D">
        <w:rPr>
          <w:rFonts w:asciiTheme="minorHAnsi" w:hAnsiTheme="minorHAnsi" w:cstheme="minorHAnsi"/>
          <w:szCs w:val="24"/>
        </w:rPr>
        <w:t xml:space="preserve">(one per site) and converting to a per-state basis, the </w:t>
      </w:r>
      <w:r w:rsidRPr="00B850BA" w:rsidR="00710083">
        <w:rPr>
          <w:rFonts w:asciiTheme="minorHAnsi" w:hAnsiTheme="minorHAnsi" w:cstheme="minorHAnsi"/>
          <w:szCs w:val="24"/>
        </w:rPr>
        <w:t xml:space="preserve">resultant </w:t>
      </w:r>
      <w:r w:rsidRPr="00B850BA" w:rsidR="0035326D">
        <w:rPr>
          <w:rFonts w:asciiTheme="minorHAnsi" w:hAnsiTheme="minorHAnsi" w:cstheme="minorHAnsi"/>
          <w:szCs w:val="24"/>
        </w:rPr>
        <w:t>annual unit burden</w:t>
      </w:r>
      <w:r w:rsidRPr="00B850BA" w:rsidR="00710083">
        <w:rPr>
          <w:rFonts w:asciiTheme="minorHAnsi" w:hAnsiTheme="minorHAnsi" w:cstheme="minorHAnsi"/>
          <w:szCs w:val="24"/>
        </w:rPr>
        <w:t xml:space="preserve"> for </w:t>
      </w:r>
      <w:r w:rsidRPr="00B850BA" w:rsidR="00C168AA">
        <w:rPr>
          <w:rFonts w:asciiTheme="minorHAnsi" w:hAnsiTheme="minorHAnsi" w:cstheme="minorHAnsi"/>
          <w:szCs w:val="24"/>
        </w:rPr>
        <w:t xml:space="preserve">this </w:t>
      </w:r>
      <w:r w:rsidRPr="00B850BA" w:rsidR="00710083">
        <w:rPr>
          <w:rFonts w:asciiTheme="minorHAnsi" w:hAnsiTheme="minorHAnsi" w:cstheme="minorHAnsi"/>
          <w:szCs w:val="24"/>
        </w:rPr>
        <w:t xml:space="preserve">training </w:t>
      </w:r>
      <w:r w:rsidRPr="00B850BA" w:rsidR="003C287A">
        <w:rPr>
          <w:rFonts w:asciiTheme="minorHAnsi" w:hAnsiTheme="minorHAnsi" w:cstheme="minorHAnsi"/>
          <w:szCs w:val="24"/>
        </w:rPr>
        <w:t>i</w:t>
      </w:r>
      <w:r w:rsidRPr="00B850BA" w:rsidR="00D8105A">
        <w:rPr>
          <w:rFonts w:asciiTheme="minorHAnsi" w:hAnsiTheme="minorHAnsi" w:cstheme="minorHAnsi"/>
          <w:szCs w:val="24"/>
        </w:rPr>
        <w:t xml:space="preserve">s 3,260.33 </w:t>
      </w:r>
      <w:r w:rsidRPr="00B850BA" w:rsidR="0035326D">
        <w:rPr>
          <w:rFonts w:asciiTheme="minorHAnsi" w:hAnsiTheme="minorHAnsi" w:cstheme="minorHAnsi"/>
          <w:szCs w:val="24"/>
        </w:rPr>
        <w:t>hours</w:t>
      </w:r>
      <w:r w:rsidRPr="00B850BA" w:rsidR="00560036">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560036">
        <w:rPr>
          <w:rFonts w:asciiTheme="minorHAnsi" w:hAnsiTheme="minorHAnsi" w:cstheme="minorHAnsi"/>
          <w:szCs w:val="24"/>
        </w:rPr>
        <w:t>able 2, line H1b)</w:t>
      </w:r>
      <w:r w:rsidRPr="00B850BA" w:rsidR="003C287A">
        <w:rPr>
          <w:rFonts w:asciiTheme="minorHAnsi" w:hAnsiTheme="minorHAnsi" w:cstheme="minorHAnsi"/>
          <w:szCs w:val="24"/>
        </w:rPr>
        <w:t>.</w:t>
      </w:r>
      <w:r w:rsidRPr="00B850BA" w:rsidR="0035326D">
        <w:rPr>
          <w:rFonts w:asciiTheme="minorHAnsi" w:hAnsiTheme="minorHAnsi" w:cstheme="minorHAnsi"/>
          <w:szCs w:val="24"/>
        </w:rPr>
        <w:t xml:space="preserve"> </w:t>
      </w:r>
    </w:p>
    <w:p w:rsidR="00207704" w:rsidRPr="00B850BA" w:rsidP="003D3985" w14:paraId="4EDC9380" w14:textId="2526F0FB">
      <w:pPr>
        <w:spacing w:line="276" w:lineRule="auto"/>
        <w:ind w:firstLine="0"/>
        <w:rPr>
          <w:rFonts w:asciiTheme="minorHAnsi" w:hAnsiTheme="minorHAnsi" w:cstheme="minorHAnsi"/>
          <w:szCs w:val="24"/>
        </w:rPr>
      </w:pPr>
      <w:r w:rsidRPr="00B850BA">
        <w:rPr>
          <w:rFonts w:asciiTheme="minorHAnsi" w:hAnsiTheme="minorHAnsi" w:cstheme="minorHAnsi"/>
          <w:szCs w:val="24"/>
        </w:rPr>
        <w:t>In addition to training, records document</w:t>
      </w:r>
      <w:r w:rsidRPr="00B850BA" w:rsidR="00DD5EDB">
        <w:rPr>
          <w:rFonts w:asciiTheme="minorHAnsi" w:hAnsiTheme="minorHAnsi" w:cstheme="minorHAnsi"/>
          <w:szCs w:val="24"/>
        </w:rPr>
        <w:t>ing training completion must be retained.</w:t>
      </w:r>
      <w:r w:rsidRPr="00B850BA" w:rsidR="00ED4C54">
        <w:rPr>
          <w:rFonts w:asciiTheme="minorHAnsi" w:hAnsiTheme="minorHAnsi" w:cstheme="minorHAnsi"/>
          <w:szCs w:val="24"/>
        </w:rPr>
        <w:t xml:space="preserve"> </w:t>
      </w:r>
      <w:r w:rsidRPr="00B850BA">
        <w:rPr>
          <w:rFonts w:asciiTheme="minorHAnsi" w:hAnsiTheme="minorHAnsi" w:cstheme="minorHAnsi"/>
          <w:szCs w:val="24"/>
        </w:rPr>
        <w:t xml:space="preserve">EPA assumes that for each person trained, </w:t>
      </w:r>
      <w:r w:rsidRPr="00B850BA" w:rsidR="002013FD">
        <w:rPr>
          <w:rFonts w:asciiTheme="minorHAnsi" w:hAnsiTheme="minorHAnsi" w:cstheme="minorHAnsi"/>
          <w:szCs w:val="24"/>
        </w:rPr>
        <w:t>maintaining training records will require five minutes of clerical time per person trained.</w:t>
      </w:r>
      <w:r w:rsidRPr="00B850BA" w:rsidR="00E57A7C">
        <w:rPr>
          <w:rFonts w:asciiTheme="minorHAnsi" w:hAnsiTheme="minorHAnsi" w:cstheme="minorHAnsi"/>
          <w:szCs w:val="24"/>
        </w:rPr>
        <w:t xml:space="preserve"> </w:t>
      </w:r>
      <w:r w:rsidRPr="00B850BA" w:rsidR="006E3591">
        <w:rPr>
          <w:rFonts w:asciiTheme="minorHAnsi" w:hAnsiTheme="minorHAnsi" w:cstheme="minorHAnsi"/>
          <w:szCs w:val="24"/>
        </w:rPr>
        <w:t xml:space="preserve">Applying assumptions and converting to a per-state basis, the </w:t>
      </w:r>
      <w:r w:rsidRPr="00B850BA" w:rsidR="002B3CF4">
        <w:rPr>
          <w:rFonts w:asciiTheme="minorHAnsi" w:hAnsiTheme="minorHAnsi" w:cstheme="minorHAnsi"/>
          <w:szCs w:val="24"/>
        </w:rPr>
        <w:t xml:space="preserve">resultant </w:t>
      </w:r>
      <w:r w:rsidRPr="00B850BA" w:rsidR="006E3591">
        <w:rPr>
          <w:rFonts w:asciiTheme="minorHAnsi" w:hAnsiTheme="minorHAnsi" w:cstheme="minorHAnsi"/>
          <w:szCs w:val="24"/>
        </w:rPr>
        <w:t>annual unit burden for maintaining training records is 92.7</w:t>
      </w:r>
      <w:r w:rsidRPr="00B850BA" w:rsidR="00C168AA">
        <w:rPr>
          <w:rFonts w:asciiTheme="minorHAnsi" w:hAnsiTheme="minorHAnsi" w:cstheme="minorHAnsi"/>
          <w:szCs w:val="24"/>
        </w:rPr>
        <w:t>4</w:t>
      </w:r>
      <w:r w:rsidRPr="00B850BA" w:rsidR="006E3591">
        <w:rPr>
          <w:rFonts w:asciiTheme="minorHAnsi" w:hAnsiTheme="minorHAnsi" w:cstheme="minorHAnsi"/>
          <w:szCs w:val="24"/>
        </w:rPr>
        <w:t xml:space="preserve"> hours</w:t>
      </w:r>
      <w:r w:rsidRPr="00B850BA" w:rsidR="00560036">
        <w:rPr>
          <w:rFonts w:asciiTheme="minorHAnsi" w:hAnsiTheme="minorHAnsi" w:cstheme="minorHAnsi"/>
          <w:szCs w:val="24"/>
        </w:rPr>
        <w:t xml:space="preserve"> (</w:t>
      </w:r>
      <w:r w:rsidRPr="00B850BA" w:rsidR="00E04FF5">
        <w:rPr>
          <w:rFonts w:asciiTheme="minorHAnsi" w:hAnsiTheme="minorHAnsi" w:cstheme="minorHAnsi"/>
          <w:szCs w:val="24"/>
        </w:rPr>
        <w:t>T</w:t>
      </w:r>
      <w:r w:rsidRPr="00B850BA" w:rsidR="00560036">
        <w:rPr>
          <w:rFonts w:asciiTheme="minorHAnsi" w:hAnsiTheme="minorHAnsi" w:cstheme="minorHAnsi"/>
          <w:szCs w:val="24"/>
        </w:rPr>
        <w:t>able 2, line H2)</w:t>
      </w:r>
      <w:r w:rsidRPr="00B850BA" w:rsidR="002B3CF4">
        <w:rPr>
          <w:rFonts w:asciiTheme="minorHAnsi" w:hAnsiTheme="minorHAnsi" w:cstheme="minorHAnsi"/>
          <w:szCs w:val="24"/>
        </w:rPr>
        <w:t>.</w:t>
      </w:r>
    </w:p>
    <w:p w:rsidR="00122507" w14:paraId="06FB8AE6" w14:textId="77777777">
      <w:pPr>
        <w:rPr>
          <w:rFonts w:asciiTheme="minorHAnsi" w:hAnsiTheme="minorHAnsi" w:cstheme="minorHAnsi"/>
          <w:szCs w:val="24"/>
        </w:rPr>
      </w:pPr>
    </w:p>
    <w:p w:rsidR="00122507" w:rsidRPr="00122507" w:rsidP="00122507" w14:paraId="13ABEE17" w14:textId="77777777">
      <w:pPr>
        <w:autoSpaceDE w:val="0"/>
        <w:autoSpaceDN w:val="0"/>
        <w:adjustRightInd w:val="0"/>
        <w:ind w:firstLine="0"/>
        <w:rPr>
          <w:rFonts w:cs="Arial"/>
          <w:b/>
          <w:szCs w:val="24"/>
        </w:rPr>
      </w:pPr>
      <w:r w:rsidRPr="00122507">
        <w:rPr>
          <w:rFonts w:cs="Arial"/>
          <w:b/>
          <w:szCs w:val="24"/>
        </w:rPr>
        <w:t>Table 2: Annual Unit Burden by Activity, per State</w:t>
      </w:r>
    </w:p>
    <w:tbl>
      <w:tblPr>
        <w:tblW w:w="11070" w:type="dxa"/>
        <w:tblInd w:w="-735" w:type="dxa"/>
        <w:tblLayout w:type="fixed"/>
        <w:tblLook w:val="04A0"/>
      </w:tblPr>
      <w:tblGrid>
        <w:gridCol w:w="270"/>
        <w:gridCol w:w="180"/>
        <w:gridCol w:w="90"/>
        <w:gridCol w:w="547"/>
        <w:gridCol w:w="272"/>
        <w:gridCol w:w="2151"/>
        <w:gridCol w:w="990"/>
        <w:gridCol w:w="762"/>
        <w:gridCol w:w="588"/>
        <w:gridCol w:w="613"/>
        <w:gridCol w:w="827"/>
        <w:gridCol w:w="411"/>
        <w:gridCol w:w="759"/>
        <w:gridCol w:w="1080"/>
        <w:gridCol w:w="739"/>
        <w:gridCol w:w="791"/>
      </w:tblGrid>
      <w:tr w14:paraId="177B235B" w14:textId="77777777" w:rsidTr="004B5932">
        <w:tblPrEx>
          <w:tblW w:w="11070" w:type="dxa"/>
          <w:tblInd w:w="-735" w:type="dxa"/>
          <w:tblLayout w:type="fixed"/>
          <w:tblLook w:val="04A0"/>
        </w:tblPrEx>
        <w:trPr>
          <w:trHeight w:val="240"/>
          <w:tblHeader/>
        </w:trPr>
        <w:tc>
          <w:tcPr>
            <w:tcW w:w="1087" w:type="dxa"/>
            <w:gridSpan w:val="4"/>
            <w:tcBorders>
              <w:top w:val="single" w:sz="12" w:space="0" w:color="auto"/>
              <w:left w:val="single" w:sz="12" w:space="0" w:color="auto"/>
              <w:bottom w:val="nil"/>
              <w:right w:val="nil"/>
            </w:tcBorders>
            <w:shd w:val="clear" w:color="auto" w:fill="BFBFBF" w:themeFill="background1" w:themeFillShade="BF"/>
            <w:noWrap/>
            <w:vAlign w:val="center"/>
            <w:hideMark/>
          </w:tcPr>
          <w:p w:rsidR="00122507" w:rsidRPr="00122507" w:rsidP="00122507" w14:paraId="45D9A532" w14:textId="77777777">
            <w:pPr>
              <w:spacing w:after="0"/>
              <w:ind w:firstLine="0"/>
              <w:rPr>
                <w:rFonts w:cs="Arial"/>
                <w:bCs/>
                <w:color w:val="000000"/>
                <w:sz w:val="20"/>
              </w:rPr>
            </w:pPr>
          </w:p>
        </w:tc>
        <w:tc>
          <w:tcPr>
            <w:tcW w:w="272" w:type="dxa"/>
            <w:tcBorders>
              <w:top w:val="single" w:sz="12" w:space="0" w:color="auto"/>
              <w:left w:val="nil"/>
              <w:bottom w:val="nil"/>
              <w:right w:val="nil"/>
            </w:tcBorders>
            <w:shd w:val="clear" w:color="auto" w:fill="BFBFBF" w:themeFill="background1" w:themeFillShade="BF"/>
            <w:noWrap/>
            <w:vAlign w:val="bottom"/>
            <w:hideMark/>
          </w:tcPr>
          <w:p w:rsidR="00122507" w:rsidRPr="00122507" w:rsidP="00122507" w14:paraId="49A35BE2" w14:textId="77777777">
            <w:pPr>
              <w:spacing w:after="0"/>
              <w:ind w:firstLine="0"/>
              <w:rPr>
                <w:rFonts w:cs="Arial"/>
                <w:bCs/>
                <w:color w:val="000000"/>
                <w:sz w:val="20"/>
              </w:rPr>
            </w:pPr>
            <w:r w:rsidRPr="00122507">
              <w:rPr>
                <w:rFonts w:cs="Arial"/>
                <w:bCs/>
                <w:color w:val="000000"/>
                <w:sz w:val="20"/>
              </w:rPr>
              <w:t> </w:t>
            </w:r>
          </w:p>
        </w:tc>
        <w:tc>
          <w:tcPr>
            <w:tcW w:w="2151" w:type="dxa"/>
            <w:tcBorders>
              <w:top w:val="single" w:sz="12" w:space="0" w:color="auto"/>
              <w:left w:val="nil"/>
              <w:bottom w:val="nil"/>
              <w:right w:val="single" w:sz="8" w:space="0" w:color="auto"/>
            </w:tcBorders>
            <w:shd w:val="clear" w:color="auto" w:fill="BFBFBF" w:themeFill="background1" w:themeFillShade="BF"/>
            <w:noWrap/>
            <w:vAlign w:val="bottom"/>
            <w:hideMark/>
          </w:tcPr>
          <w:p w:rsidR="00122507" w:rsidRPr="00122507" w:rsidP="00122507" w14:paraId="1B08DC73" w14:textId="77777777">
            <w:pPr>
              <w:spacing w:after="0"/>
              <w:ind w:firstLine="0"/>
              <w:rPr>
                <w:rFonts w:cs="Arial"/>
                <w:bCs/>
                <w:color w:val="000000"/>
                <w:sz w:val="20"/>
              </w:rPr>
            </w:pPr>
            <w:r w:rsidRPr="00122507">
              <w:rPr>
                <w:rFonts w:cs="Arial"/>
                <w:bCs/>
                <w:color w:val="000000"/>
                <w:sz w:val="20"/>
              </w:rPr>
              <w:t> </w:t>
            </w:r>
          </w:p>
        </w:tc>
        <w:tc>
          <w:tcPr>
            <w:tcW w:w="4950" w:type="dxa"/>
            <w:gridSpan w:val="7"/>
            <w:tcBorders>
              <w:top w:val="single" w:sz="12" w:space="0" w:color="auto"/>
              <w:left w:val="nil"/>
              <w:bottom w:val="single" w:sz="8" w:space="0" w:color="auto"/>
              <w:right w:val="single" w:sz="12" w:space="0" w:color="000000" w:themeColor="text1"/>
            </w:tcBorders>
            <w:shd w:val="clear" w:color="auto" w:fill="BFBFBF" w:themeFill="background1" w:themeFillShade="BF"/>
            <w:noWrap/>
            <w:vAlign w:val="bottom"/>
            <w:hideMark/>
          </w:tcPr>
          <w:p w:rsidR="00122507" w:rsidRPr="00122507" w:rsidP="00122507" w14:paraId="3DFDD81B" w14:textId="77777777">
            <w:pPr>
              <w:spacing w:after="0"/>
              <w:ind w:firstLine="0"/>
              <w:rPr>
                <w:rFonts w:cs="Arial"/>
                <w:bCs/>
                <w:color w:val="000000"/>
                <w:sz w:val="20"/>
              </w:rPr>
            </w:pPr>
            <w:r w:rsidRPr="00122507">
              <w:rPr>
                <w:rFonts w:cs="Arial"/>
                <w:bCs/>
                <w:color w:val="000000"/>
                <w:sz w:val="20"/>
              </w:rPr>
              <w:t>Unit Burden per State (hours)</w:t>
            </w:r>
          </w:p>
        </w:tc>
        <w:tc>
          <w:tcPr>
            <w:tcW w:w="1080" w:type="dxa"/>
            <w:vMerge w:val="restart"/>
            <w:tcBorders>
              <w:top w:val="single" w:sz="12" w:space="0" w:color="auto"/>
              <w:left w:val="single" w:sz="12" w:space="0" w:color="auto"/>
              <w:bottom w:val="single" w:sz="4" w:space="0" w:color="auto"/>
              <w:right w:val="nil"/>
            </w:tcBorders>
            <w:shd w:val="clear" w:color="auto" w:fill="BFBFBF" w:themeFill="background1" w:themeFillShade="BF"/>
            <w:hideMark/>
          </w:tcPr>
          <w:p w:rsidR="00122507" w:rsidRPr="00122507" w:rsidP="00122507" w14:paraId="4E5863B7" w14:textId="77777777">
            <w:pPr>
              <w:spacing w:after="0"/>
              <w:ind w:firstLine="0"/>
              <w:rPr>
                <w:rFonts w:cs="Arial"/>
                <w:bCs/>
                <w:color w:val="000000"/>
                <w:sz w:val="20"/>
              </w:rPr>
            </w:pPr>
            <w:r w:rsidRPr="00122507">
              <w:rPr>
                <w:rFonts w:cs="Arial"/>
                <w:bCs/>
                <w:color w:val="000000"/>
                <w:sz w:val="20"/>
              </w:rPr>
              <w:t>Total Burden   per State (hours)</w:t>
            </w:r>
          </w:p>
        </w:tc>
        <w:tc>
          <w:tcPr>
            <w:tcW w:w="1530" w:type="dxa"/>
            <w:gridSpan w:val="2"/>
            <w:vMerge w:val="restart"/>
            <w:tcBorders>
              <w:top w:val="single" w:sz="12" w:space="0" w:color="auto"/>
              <w:left w:val="single" w:sz="12" w:space="0" w:color="auto"/>
              <w:bottom w:val="single" w:sz="4" w:space="0" w:color="auto"/>
              <w:right w:val="single" w:sz="4" w:space="0" w:color="auto"/>
            </w:tcBorders>
            <w:shd w:val="clear" w:color="auto" w:fill="BFBFBF" w:themeFill="background1" w:themeFillShade="BF"/>
            <w:hideMark/>
          </w:tcPr>
          <w:p w:rsidR="00122507" w:rsidRPr="00122507" w:rsidP="00122507" w14:paraId="2FF65081" w14:textId="77777777">
            <w:pPr>
              <w:spacing w:after="0"/>
              <w:ind w:firstLine="0"/>
              <w:rPr>
                <w:rFonts w:cs="Arial"/>
                <w:bCs/>
                <w:color w:val="000000"/>
                <w:sz w:val="20"/>
              </w:rPr>
            </w:pPr>
            <w:r w:rsidRPr="00122507">
              <w:rPr>
                <w:rFonts w:cs="Arial"/>
                <w:bCs/>
                <w:color w:val="000000"/>
                <w:sz w:val="20"/>
              </w:rPr>
              <w:t>Standardized Response Count per State</w:t>
            </w:r>
          </w:p>
        </w:tc>
      </w:tr>
      <w:tr w14:paraId="007479B8" w14:textId="77777777" w:rsidTr="004B5932">
        <w:tblPrEx>
          <w:tblW w:w="11070" w:type="dxa"/>
          <w:tblInd w:w="-735" w:type="dxa"/>
          <w:tblLayout w:type="fixed"/>
          <w:tblLook w:val="04A0"/>
        </w:tblPrEx>
        <w:trPr>
          <w:trHeight w:val="240"/>
          <w:tblHeader/>
        </w:trPr>
        <w:tc>
          <w:tcPr>
            <w:tcW w:w="3510" w:type="dxa"/>
            <w:gridSpan w:val="6"/>
            <w:tcBorders>
              <w:top w:val="nil"/>
              <w:left w:val="single" w:sz="12" w:space="0" w:color="auto"/>
              <w:bottom w:val="nil"/>
              <w:right w:val="single" w:sz="8" w:space="0" w:color="000000" w:themeColor="text1"/>
            </w:tcBorders>
            <w:shd w:val="clear" w:color="auto" w:fill="BFBFBF" w:themeFill="background1" w:themeFillShade="BF"/>
            <w:noWrap/>
            <w:vAlign w:val="center"/>
            <w:hideMark/>
          </w:tcPr>
          <w:p w:rsidR="00122507" w:rsidRPr="00122507" w:rsidP="00122507" w14:paraId="6A082044" w14:textId="77777777">
            <w:pPr>
              <w:spacing w:after="0"/>
              <w:ind w:firstLine="0"/>
              <w:rPr>
                <w:rFonts w:cs="Arial"/>
                <w:bCs/>
                <w:color w:val="000000"/>
                <w:sz w:val="20"/>
              </w:rPr>
            </w:pPr>
            <w:r w:rsidRPr="00122507">
              <w:rPr>
                <w:rFonts w:cs="Arial"/>
                <w:bCs/>
                <w:color w:val="000000"/>
                <w:sz w:val="20"/>
              </w:rPr>
              <w:t>Collection Activity</w:t>
            </w:r>
          </w:p>
        </w:tc>
        <w:tc>
          <w:tcPr>
            <w:tcW w:w="990" w:type="dxa"/>
            <w:tcBorders>
              <w:top w:val="nil"/>
              <w:left w:val="nil"/>
              <w:bottom w:val="single" w:sz="8" w:space="0" w:color="auto"/>
              <w:right w:val="single" w:sz="8" w:space="0" w:color="auto"/>
            </w:tcBorders>
            <w:shd w:val="clear" w:color="auto" w:fill="BFBFBF" w:themeFill="background1" w:themeFillShade="BF"/>
            <w:vAlign w:val="center"/>
            <w:hideMark/>
          </w:tcPr>
          <w:p w:rsidR="00122507" w:rsidRPr="00122507" w:rsidP="00122507" w14:paraId="54CAB21C" w14:textId="77777777">
            <w:pPr>
              <w:spacing w:after="0"/>
              <w:ind w:firstLine="0"/>
              <w:rPr>
                <w:rFonts w:cs="Arial"/>
                <w:bCs/>
                <w:color w:val="000000"/>
                <w:sz w:val="20"/>
              </w:rPr>
            </w:pPr>
            <w:r w:rsidRPr="00122507">
              <w:rPr>
                <w:rFonts w:cs="Arial"/>
                <w:bCs/>
                <w:color w:val="000000"/>
                <w:sz w:val="20"/>
              </w:rPr>
              <w:t>Clerical</w:t>
            </w:r>
          </w:p>
        </w:tc>
        <w:tc>
          <w:tcPr>
            <w:tcW w:w="1350"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122507" w:rsidRPr="00122507" w:rsidP="00122507" w14:paraId="7F1FBB1A" w14:textId="77777777">
            <w:pPr>
              <w:spacing w:after="0"/>
              <w:ind w:firstLine="0"/>
              <w:rPr>
                <w:rFonts w:cs="Arial"/>
                <w:bCs/>
                <w:color w:val="000000"/>
                <w:sz w:val="20"/>
              </w:rPr>
            </w:pPr>
            <w:r w:rsidRPr="00122507">
              <w:rPr>
                <w:rFonts w:cs="Arial"/>
                <w:bCs/>
                <w:color w:val="000000"/>
                <w:sz w:val="20"/>
              </w:rPr>
              <w:t>Employees</w:t>
            </w:r>
          </w:p>
        </w:tc>
        <w:tc>
          <w:tcPr>
            <w:tcW w:w="1440"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122507" w:rsidRPr="00122507" w:rsidP="00122507" w14:paraId="7F59D9F7" w14:textId="77777777">
            <w:pPr>
              <w:spacing w:after="0"/>
              <w:ind w:firstLine="0"/>
              <w:rPr>
                <w:rFonts w:cs="Arial"/>
                <w:bCs/>
                <w:color w:val="000000"/>
                <w:sz w:val="20"/>
              </w:rPr>
            </w:pPr>
            <w:r w:rsidRPr="00122507">
              <w:rPr>
                <w:rFonts w:cs="Arial"/>
                <w:bCs/>
                <w:color w:val="000000"/>
                <w:sz w:val="20"/>
              </w:rPr>
              <w:t>Supervisory</w:t>
            </w:r>
          </w:p>
        </w:tc>
        <w:tc>
          <w:tcPr>
            <w:tcW w:w="1170" w:type="dxa"/>
            <w:gridSpan w:val="2"/>
            <w:tcBorders>
              <w:top w:val="nil"/>
              <w:left w:val="nil"/>
              <w:bottom w:val="single" w:sz="8" w:space="0" w:color="auto"/>
              <w:right w:val="single" w:sz="12" w:space="0" w:color="000000" w:themeColor="text1"/>
            </w:tcBorders>
            <w:shd w:val="clear" w:color="auto" w:fill="BFBFBF" w:themeFill="background1" w:themeFillShade="BF"/>
            <w:vAlign w:val="center"/>
            <w:hideMark/>
          </w:tcPr>
          <w:p w:rsidR="00122507" w:rsidRPr="00122507" w:rsidP="00122507" w14:paraId="350BCCF2" w14:textId="77777777">
            <w:pPr>
              <w:spacing w:after="0"/>
              <w:ind w:firstLine="0"/>
              <w:rPr>
                <w:rFonts w:cs="Arial"/>
                <w:bCs/>
                <w:color w:val="000000"/>
                <w:sz w:val="20"/>
              </w:rPr>
            </w:pPr>
            <w:r w:rsidRPr="00122507">
              <w:rPr>
                <w:rFonts w:cs="Arial"/>
                <w:bCs/>
                <w:color w:val="000000"/>
                <w:sz w:val="20"/>
              </w:rPr>
              <w:t>Industrial Hygienist</w:t>
            </w:r>
          </w:p>
        </w:tc>
        <w:tc>
          <w:tcPr>
            <w:tcW w:w="1080" w:type="dxa"/>
            <w:vMerge/>
            <w:tcBorders>
              <w:top w:val="single" w:sz="12" w:space="0" w:color="auto"/>
              <w:left w:val="single" w:sz="12" w:space="0" w:color="000000" w:themeColor="text1"/>
              <w:bottom w:val="single" w:sz="4" w:space="0" w:color="auto"/>
              <w:right w:val="single" w:sz="12" w:space="0" w:color="auto"/>
            </w:tcBorders>
            <w:vAlign w:val="center"/>
            <w:hideMark/>
          </w:tcPr>
          <w:p w:rsidR="00122507" w:rsidRPr="00122507" w:rsidP="00122507" w14:paraId="20C22F44" w14:textId="77777777">
            <w:pPr>
              <w:spacing w:after="0"/>
              <w:ind w:firstLine="0"/>
              <w:rPr>
                <w:rFonts w:cs="Arial"/>
                <w:bCs/>
                <w:color w:val="000000"/>
                <w:sz w:val="20"/>
              </w:rPr>
            </w:pPr>
          </w:p>
        </w:tc>
        <w:tc>
          <w:tcPr>
            <w:tcW w:w="1530" w:type="dxa"/>
            <w:gridSpan w:val="2"/>
            <w:vMerge/>
            <w:tcBorders>
              <w:top w:val="single" w:sz="12" w:space="0" w:color="auto"/>
              <w:left w:val="single" w:sz="12" w:space="0" w:color="auto"/>
              <w:bottom w:val="single" w:sz="4" w:space="0" w:color="auto"/>
              <w:right w:val="single" w:sz="4" w:space="0" w:color="auto"/>
            </w:tcBorders>
            <w:vAlign w:val="center"/>
            <w:hideMark/>
          </w:tcPr>
          <w:p w:rsidR="00122507" w:rsidRPr="00122507" w:rsidP="00122507" w14:paraId="549C04E4" w14:textId="77777777">
            <w:pPr>
              <w:spacing w:after="0"/>
              <w:ind w:firstLine="0"/>
              <w:rPr>
                <w:rFonts w:cs="Arial"/>
                <w:bCs/>
                <w:color w:val="000000"/>
                <w:sz w:val="20"/>
              </w:rPr>
            </w:pPr>
          </w:p>
        </w:tc>
      </w:tr>
      <w:tr w14:paraId="28E61795" w14:textId="77777777" w:rsidTr="004B5932">
        <w:tblPrEx>
          <w:tblW w:w="11070" w:type="dxa"/>
          <w:tblInd w:w="-735" w:type="dxa"/>
          <w:tblLayout w:type="fixed"/>
          <w:tblLook w:val="04A0"/>
        </w:tblPrEx>
        <w:trPr>
          <w:trHeight w:val="495"/>
        </w:trPr>
        <w:tc>
          <w:tcPr>
            <w:tcW w:w="3510" w:type="dxa"/>
            <w:gridSpan w:val="6"/>
            <w:tcBorders>
              <w:top w:val="single" w:sz="8" w:space="0" w:color="auto"/>
              <w:left w:val="single" w:sz="12" w:space="0" w:color="auto"/>
              <w:bottom w:val="single" w:sz="8" w:space="0" w:color="auto"/>
              <w:right w:val="single" w:sz="8" w:space="0" w:color="000000" w:themeColor="text1"/>
            </w:tcBorders>
            <w:shd w:val="clear" w:color="auto" w:fill="auto"/>
            <w:vAlign w:val="center"/>
            <w:hideMark/>
          </w:tcPr>
          <w:p w:rsidR="00122507" w:rsidRPr="00122507" w:rsidP="00122507" w14:paraId="0F6E47FC" w14:textId="77777777">
            <w:pPr>
              <w:spacing w:after="0"/>
              <w:ind w:firstLine="0"/>
              <w:rPr>
                <w:rFonts w:cs="Arial"/>
                <w:bCs/>
                <w:color w:val="000000"/>
                <w:sz w:val="20"/>
              </w:rPr>
            </w:pPr>
            <w:r w:rsidRPr="00122507">
              <w:rPr>
                <w:rFonts w:cs="Arial"/>
                <w:bCs/>
                <w:color w:val="000000"/>
                <w:sz w:val="20"/>
              </w:rPr>
              <w:t>A) Read And Interpret Regulation (5% turnover component only)</w:t>
            </w:r>
          </w:p>
        </w:tc>
        <w:tc>
          <w:tcPr>
            <w:tcW w:w="990" w:type="dxa"/>
            <w:tcBorders>
              <w:top w:val="nil"/>
              <w:left w:val="nil"/>
              <w:bottom w:val="single" w:sz="8" w:space="0" w:color="auto"/>
              <w:right w:val="single" w:sz="8" w:space="0" w:color="auto"/>
            </w:tcBorders>
            <w:shd w:val="clear" w:color="auto" w:fill="auto"/>
            <w:noWrap/>
            <w:vAlign w:val="bottom"/>
            <w:hideMark/>
          </w:tcPr>
          <w:p w:rsidR="00122507" w:rsidRPr="00122507" w:rsidP="00122507" w14:paraId="14CC549C" w14:textId="77777777">
            <w:pPr>
              <w:spacing w:after="0"/>
              <w:ind w:firstLine="0"/>
              <w:rPr>
                <w:rFonts w:cs="Arial"/>
                <w:bCs/>
                <w:color w:val="000000"/>
                <w:sz w:val="20"/>
              </w:rPr>
            </w:pPr>
          </w:p>
        </w:tc>
        <w:tc>
          <w:tcPr>
            <w:tcW w:w="1350" w:type="dxa"/>
            <w:gridSpan w:val="2"/>
            <w:tcBorders>
              <w:top w:val="nil"/>
              <w:left w:val="nil"/>
              <w:bottom w:val="single" w:sz="8" w:space="0" w:color="auto"/>
              <w:right w:val="single" w:sz="8" w:space="0" w:color="auto"/>
            </w:tcBorders>
            <w:shd w:val="clear" w:color="auto" w:fill="auto"/>
            <w:noWrap/>
            <w:vAlign w:val="bottom"/>
            <w:hideMark/>
          </w:tcPr>
          <w:p w:rsidR="00122507" w:rsidRPr="00122507" w:rsidP="00122507" w14:paraId="7DD69D47"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single" w:sz="8" w:space="0" w:color="auto"/>
              <w:right w:val="single" w:sz="8" w:space="0" w:color="auto"/>
            </w:tcBorders>
            <w:shd w:val="clear" w:color="auto" w:fill="auto"/>
            <w:noWrap/>
            <w:vAlign w:val="bottom"/>
            <w:hideMark/>
          </w:tcPr>
          <w:p w:rsidR="00122507" w:rsidRPr="00122507" w:rsidP="00122507" w14:paraId="2D5CA29F" w14:textId="77777777">
            <w:pPr>
              <w:spacing w:after="0"/>
              <w:ind w:firstLine="0"/>
              <w:rPr>
                <w:rFonts w:cs="Arial"/>
                <w:bCs/>
                <w:color w:val="000000"/>
                <w:sz w:val="20"/>
              </w:rPr>
            </w:pPr>
            <w:r w:rsidRPr="00122507">
              <w:rPr>
                <w:rFonts w:cs="Arial"/>
                <w:bCs/>
                <w:color w:val="000000"/>
                <w:sz w:val="20"/>
              </w:rPr>
              <w:t>46.89</w:t>
            </w:r>
          </w:p>
        </w:tc>
        <w:tc>
          <w:tcPr>
            <w:tcW w:w="1170" w:type="dxa"/>
            <w:gridSpan w:val="2"/>
            <w:tcBorders>
              <w:top w:val="nil"/>
              <w:left w:val="nil"/>
              <w:bottom w:val="single" w:sz="8" w:space="0" w:color="auto"/>
              <w:right w:val="nil"/>
            </w:tcBorders>
            <w:shd w:val="clear" w:color="auto" w:fill="auto"/>
            <w:noWrap/>
            <w:vAlign w:val="bottom"/>
            <w:hideMark/>
          </w:tcPr>
          <w:p w:rsidR="00122507" w:rsidRPr="00122507" w:rsidP="00122507" w14:paraId="55D76655"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4" w:space="0" w:color="auto"/>
              <w:left w:val="single" w:sz="12" w:space="0" w:color="auto"/>
              <w:bottom w:val="single" w:sz="8" w:space="0" w:color="auto"/>
              <w:right w:val="nil"/>
            </w:tcBorders>
            <w:shd w:val="clear" w:color="auto" w:fill="auto"/>
            <w:noWrap/>
            <w:vAlign w:val="bottom"/>
            <w:hideMark/>
          </w:tcPr>
          <w:p w:rsidR="00122507" w:rsidRPr="00122507" w:rsidP="00122507" w14:paraId="437DAA0A" w14:textId="77777777">
            <w:pPr>
              <w:spacing w:after="0"/>
              <w:ind w:firstLine="0"/>
              <w:rPr>
                <w:rFonts w:cs="Arial"/>
                <w:bCs/>
                <w:color w:val="000000"/>
                <w:sz w:val="20"/>
              </w:rPr>
            </w:pPr>
            <w:r w:rsidRPr="00122507">
              <w:rPr>
                <w:rFonts w:cs="Arial"/>
                <w:bCs/>
                <w:color w:val="000000"/>
                <w:sz w:val="20"/>
              </w:rPr>
              <w:t>46.89</w:t>
            </w:r>
          </w:p>
        </w:tc>
        <w:tc>
          <w:tcPr>
            <w:tcW w:w="1530" w:type="dxa"/>
            <w:gridSpan w:val="2"/>
            <w:tcBorders>
              <w:top w:val="single" w:sz="4" w:space="0" w:color="auto"/>
              <w:left w:val="single" w:sz="12" w:space="0" w:color="auto"/>
              <w:bottom w:val="single" w:sz="8" w:space="0" w:color="auto"/>
              <w:right w:val="single" w:sz="12" w:space="0" w:color="auto"/>
            </w:tcBorders>
            <w:shd w:val="clear" w:color="auto" w:fill="auto"/>
            <w:noWrap/>
            <w:vAlign w:val="bottom"/>
            <w:hideMark/>
          </w:tcPr>
          <w:p w:rsidR="00122507" w:rsidRPr="00122507" w:rsidP="00122507" w14:paraId="46F10F55" w14:textId="77777777">
            <w:pPr>
              <w:spacing w:after="0"/>
              <w:ind w:firstLine="0"/>
              <w:rPr>
                <w:rFonts w:cs="Arial"/>
                <w:bCs/>
                <w:color w:val="000000"/>
                <w:sz w:val="20"/>
              </w:rPr>
            </w:pPr>
            <w:r w:rsidRPr="00122507">
              <w:rPr>
                <w:rFonts w:cs="Arial"/>
                <w:bCs/>
                <w:color w:val="000000"/>
                <w:sz w:val="20"/>
              </w:rPr>
              <w:t>15.63</w:t>
            </w:r>
          </w:p>
        </w:tc>
      </w:tr>
      <w:tr w14:paraId="030431BF"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single" w:sz="8" w:space="0" w:color="000000" w:themeColor="text1"/>
            </w:tcBorders>
            <w:shd w:val="clear" w:color="auto" w:fill="auto"/>
            <w:noWrap/>
            <w:vAlign w:val="center"/>
            <w:hideMark/>
          </w:tcPr>
          <w:p w:rsidR="00122507" w:rsidRPr="00122507" w:rsidP="00122507" w14:paraId="1E237198" w14:textId="77777777">
            <w:pPr>
              <w:spacing w:after="0"/>
              <w:ind w:firstLine="0"/>
              <w:rPr>
                <w:rFonts w:cs="Arial"/>
                <w:bCs/>
                <w:color w:val="000000"/>
                <w:sz w:val="20"/>
              </w:rPr>
            </w:pPr>
            <w:r w:rsidRPr="00122507">
              <w:rPr>
                <w:rFonts w:cs="Arial"/>
                <w:bCs/>
                <w:color w:val="000000"/>
                <w:sz w:val="20"/>
              </w:rPr>
              <w:t>B) Respirator Program</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50C98C1D"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5F1121B4"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2F46E92F"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4E6C6E0A"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30C657CA"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4422B846" w14:textId="77777777">
            <w:pPr>
              <w:spacing w:after="0"/>
              <w:ind w:firstLine="0"/>
              <w:rPr>
                <w:rFonts w:cs="Arial"/>
                <w:bCs/>
                <w:color w:val="000000"/>
                <w:sz w:val="20"/>
              </w:rPr>
            </w:pPr>
            <w:r w:rsidRPr="00122507">
              <w:rPr>
                <w:rFonts w:cs="Arial"/>
                <w:bCs/>
                <w:color w:val="000000"/>
                <w:sz w:val="20"/>
              </w:rPr>
              <w:t> </w:t>
            </w:r>
          </w:p>
        </w:tc>
      </w:tr>
      <w:tr w14:paraId="236F965E"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52F51778"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1F924172" w14:textId="77777777">
            <w:pPr>
              <w:spacing w:after="0"/>
              <w:ind w:firstLine="0"/>
              <w:rPr>
                <w:rFonts w:cs="Arial"/>
                <w:bCs/>
                <w:color w:val="000000"/>
                <w:sz w:val="20"/>
              </w:rPr>
            </w:pPr>
            <w:r w:rsidRPr="00122507">
              <w:rPr>
                <w:rFonts w:cs="Arial"/>
                <w:bCs/>
                <w:color w:val="000000"/>
                <w:sz w:val="20"/>
              </w:rPr>
              <w:t xml:space="preserve">1) Develop Program </w:t>
            </w:r>
            <w:r w:rsidRPr="00122507">
              <w:rPr>
                <w:rFonts w:cs="Arial"/>
                <w:bCs/>
                <w:color w:val="000000"/>
                <w:sz w:val="20"/>
                <w:vertAlign w:val="superscript"/>
              </w:rPr>
              <w:t>a</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48E57DA4"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2711E481"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7478003A"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single" w:sz="12" w:space="0" w:color="auto"/>
            </w:tcBorders>
            <w:shd w:val="clear" w:color="auto" w:fill="auto"/>
            <w:noWrap/>
            <w:vAlign w:val="bottom"/>
            <w:hideMark/>
          </w:tcPr>
          <w:p w:rsidR="00122507" w:rsidRPr="00122507" w:rsidP="00122507" w14:paraId="3AADA955" w14:textId="77777777">
            <w:pPr>
              <w:spacing w:after="0"/>
              <w:ind w:firstLine="0"/>
              <w:rPr>
                <w:rFonts w:cs="Arial"/>
                <w:bCs/>
                <w:color w:val="000000"/>
                <w:sz w:val="20"/>
              </w:rPr>
            </w:pPr>
            <w:r w:rsidRPr="00122507">
              <w:rPr>
                <w:rFonts w:cs="Arial"/>
                <w:bCs/>
                <w:color w:val="000000"/>
                <w:sz w:val="20"/>
              </w:rPr>
              <w:t>24.30</w:t>
            </w:r>
          </w:p>
        </w:tc>
        <w:tc>
          <w:tcPr>
            <w:tcW w:w="1080" w:type="dxa"/>
            <w:tcBorders>
              <w:top w:val="nil"/>
              <w:left w:val="nil"/>
              <w:bottom w:val="nil"/>
              <w:right w:val="nil"/>
            </w:tcBorders>
            <w:shd w:val="clear" w:color="auto" w:fill="auto"/>
            <w:noWrap/>
            <w:vAlign w:val="bottom"/>
            <w:hideMark/>
          </w:tcPr>
          <w:p w:rsidR="00122507" w:rsidRPr="00122507" w:rsidP="00122507" w14:paraId="3345E9E3" w14:textId="77777777">
            <w:pPr>
              <w:spacing w:after="0"/>
              <w:ind w:firstLine="0"/>
              <w:rPr>
                <w:rFonts w:cs="Arial"/>
                <w:bCs/>
                <w:color w:val="000000"/>
                <w:sz w:val="20"/>
              </w:rPr>
            </w:pPr>
            <w:r w:rsidRPr="00122507">
              <w:rPr>
                <w:rFonts w:cs="Arial"/>
                <w:bCs/>
                <w:color w:val="000000"/>
                <w:sz w:val="20"/>
              </w:rPr>
              <w:t>24.30</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1C2A724C" w14:textId="77777777">
            <w:pPr>
              <w:spacing w:after="0"/>
              <w:ind w:firstLine="0"/>
              <w:rPr>
                <w:rFonts w:cs="Arial"/>
                <w:bCs/>
                <w:color w:val="000000"/>
                <w:sz w:val="20"/>
              </w:rPr>
            </w:pPr>
            <w:r w:rsidRPr="00122507">
              <w:rPr>
                <w:rFonts w:cs="Arial"/>
                <w:bCs/>
                <w:color w:val="000000"/>
                <w:sz w:val="20"/>
              </w:rPr>
              <w:t>6.07</w:t>
            </w:r>
          </w:p>
        </w:tc>
      </w:tr>
      <w:tr w14:paraId="3A7E4370"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0AE855F0"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0E359E19" w14:textId="77777777">
            <w:pPr>
              <w:spacing w:after="0"/>
              <w:ind w:firstLine="0"/>
              <w:rPr>
                <w:rFonts w:cs="Arial"/>
                <w:bCs/>
                <w:color w:val="000000"/>
                <w:sz w:val="20"/>
              </w:rPr>
            </w:pPr>
            <w:r w:rsidRPr="00122507">
              <w:rPr>
                <w:rFonts w:cs="Arial"/>
                <w:bCs/>
                <w:color w:val="000000"/>
                <w:sz w:val="20"/>
              </w:rPr>
              <w:t>2) Fit Testing</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39FEEA9E"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037B7875"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2C8D7CD"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5E0BAF42"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014F6460"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5DCA71D8" w14:textId="77777777">
            <w:pPr>
              <w:spacing w:after="0"/>
              <w:ind w:firstLine="0"/>
              <w:rPr>
                <w:rFonts w:cs="Arial"/>
                <w:bCs/>
                <w:color w:val="000000"/>
                <w:sz w:val="20"/>
              </w:rPr>
            </w:pPr>
            <w:r w:rsidRPr="00122507">
              <w:rPr>
                <w:rFonts w:cs="Arial"/>
                <w:bCs/>
                <w:color w:val="000000"/>
                <w:sz w:val="20"/>
              </w:rPr>
              <w:t> </w:t>
            </w:r>
          </w:p>
        </w:tc>
      </w:tr>
      <w:tr w14:paraId="707938D2"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18EDE812"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79ECBFD8"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bottom"/>
            <w:hideMark/>
          </w:tcPr>
          <w:p w:rsidR="00122507" w:rsidRPr="00122507" w:rsidP="00122507" w14:paraId="0A88C259" w14:textId="77777777">
            <w:pPr>
              <w:spacing w:after="0"/>
              <w:ind w:firstLine="0"/>
              <w:rPr>
                <w:rFonts w:cs="Arial"/>
                <w:bCs/>
                <w:color w:val="000000"/>
                <w:sz w:val="20"/>
              </w:rPr>
            </w:pPr>
            <w:r w:rsidRPr="00122507">
              <w:rPr>
                <w:rFonts w:cs="Arial"/>
                <w:bCs/>
                <w:color w:val="000000"/>
                <w:sz w:val="20"/>
              </w:rPr>
              <w:t>a) Full-Face Respirators</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3B9493FE"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4DFE51F0" w14:textId="77777777">
            <w:pPr>
              <w:spacing w:after="0"/>
              <w:ind w:firstLine="0"/>
              <w:rPr>
                <w:rFonts w:cs="Arial"/>
                <w:bCs/>
                <w:color w:val="000000"/>
                <w:sz w:val="20"/>
              </w:rPr>
            </w:pPr>
            <w:r w:rsidRPr="00122507">
              <w:rPr>
                <w:rFonts w:cs="Arial"/>
                <w:bCs/>
                <w:color w:val="000000"/>
                <w:sz w:val="20"/>
              </w:rPr>
              <w:t>0.37</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09A35C9" w14:textId="77777777">
            <w:pPr>
              <w:spacing w:after="0"/>
              <w:ind w:firstLine="0"/>
              <w:rPr>
                <w:rFonts w:cs="Arial"/>
                <w:bCs/>
                <w:color w:val="000000"/>
                <w:sz w:val="20"/>
              </w:rPr>
            </w:pPr>
            <w:r w:rsidRPr="00122507">
              <w:rPr>
                <w:rFonts w:cs="Arial"/>
                <w:bCs/>
                <w:color w:val="000000"/>
                <w:sz w:val="20"/>
              </w:rPr>
              <w:t>0.37</w:t>
            </w:r>
          </w:p>
        </w:tc>
        <w:tc>
          <w:tcPr>
            <w:tcW w:w="1170" w:type="dxa"/>
            <w:gridSpan w:val="2"/>
            <w:tcBorders>
              <w:top w:val="nil"/>
              <w:left w:val="nil"/>
              <w:bottom w:val="nil"/>
              <w:right w:val="nil"/>
            </w:tcBorders>
            <w:shd w:val="clear" w:color="auto" w:fill="auto"/>
            <w:noWrap/>
            <w:vAlign w:val="bottom"/>
            <w:hideMark/>
          </w:tcPr>
          <w:p w:rsidR="00122507" w:rsidRPr="00122507" w:rsidP="00122507" w14:paraId="270E3271" w14:textId="77777777">
            <w:pPr>
              <w:spacing w:after="0"/>
              <w:ind w:firstLine="0"/>
              <w:rPr>
                <w:rFonts w:cs="Arial"/>
                <w:bCs/>
                <w:color w:val="000000"/>
                <w:sz w:val="20"/>
              </w:rPr>
            </w:pP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66B1EB65" w14:textId="77777777">
            <w:pPr>
              <w:spacing w:after="0"/>
              <w:ind w:firstLine="0"/>
              <w:rPr>
                <w:rFonts w:cs="Arial"/>
                <w:bCs/>
                <w:color w:val="000000"/>
                <w:sz w:val="20"/>
              </w:rPr>
            </w:pPr>
            <w:r w:rsidRPr="00122507">
              <w:rPr>
                <w:rFonts w:cs="Arial"/>
                <w:bCs/>
                <w:color w:val="000000"/>
                <w:sz w:val="20"/>
              </w:rPr>
              <w:t>0.74</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52A0736F" w14:textId="77777777">
            <w:pPr>
              <w:spacing w:after="0"/>
              <w:ind w:firstLine="0"/>
              <w:rPr>
                <w:rFonts w:cs="Arial"/>
                <w:bCs/>
                <w:color w:val="000000"/>
                <w:sz w:val="20"/>
              </w:rPr>
            </w:pPr>
            <w:r w:rsidRPr="00122507">
              <w:rPr>
                <w:rFonts w:cs="Arial"/>
                <w:bCs/>
                <w:color w:val="000000"/>
                <w:sz w:val="20"/>
              </w:rPr>
              <w:t>2.96</w:t>
            </w:r>
          </w:p>
        </w:tc>
      </w:tr>
      <w:tr w14:paraId="29726724"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7585C5C6"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280135F1"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bottom"/>
            <w:hideMark/>
          </w:tcPr>
          <w:p w:rsidR="00122507" w:rsidRPr="00122507" w:rsidP="00122507" w14:paraId="517F1F83" w14:textId="77777777">
            <w:pPr>
              <w:spacing w:after="0"/>
              <w:ind w:firstLine="0"/>
              <w:rPr>
                <w:rFonts w:cs="Arial"/>
                <w:bCs/>
                <w:color w:val="000000"/>
                <w:sz w:val="20"/>
              </w:rPr>
            </w:pPr>
            <w:r w:rsidRPr="00122507">
              <w:rPr>
                <w:rFonts w:cs="Arial"/>
                <w:bCs/>
                <w:color w:val="000000"/>
                <w:sz w:val="20"/>
              </w:rPr>
              <w:t>b) Half-Mask-Face Respirators</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14E8D0F0"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42A453B0" w14:textId="77777777">
            <w:pPr>
              <w:spacing w:after="0"/>
              <w:ind w:firstLine="0"/>
              <w:rPr>
                <w:rFonts w:cs="Arial"/>
                <w:bCs/>
                <w:color w:val="000000"/>
                <w:sz w:val="20"/>
              </w:rPr>
            </w:pPr>
            <w:r w:rsidRPr="00122507">
              <w:rPr>
                <w:rFonts w:cs="Arial"/>
                <w:bCs/>
                <w:color w:val="000000"/>
                <w:sz w:val="20"/>
              </w:rPr>
              <w:t>16.36</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52B723C" w14:textId="77777777">
            <w:pPr>
              <w:spacing w:after="0"/>
              <w:ind w:firstLine="0"/>
              <w:rPr>
                <w:rFonts w:cs="Arial"/>
                <w:bCs/>
                <w:color w:val="000000"/>
                <w:sz w:val="20"/>
              </w:rPr>
            </w:pPr>
            <w:r w:rsidRPr="00122507">
              <w:rPr>
                <w:rFonts w:cs="Arial"/>
                <w:bCs/>
                <w:color w:val="000000"/>
                <w:sz w:val="20"/>
              </w:rPr>
              <w:t>16.36</w:t>
            </w:r>
          </w:p>
        </w:tc>
        <w:tc>
          <w:tcPr>
            <w:tcW w:w="1170" w:type="dxa"/>
            <w:gridSpan w:val="2"/>
            <w:tcBorders>
              <w:top w:val="nil"/>
              <w:left w:val="nil"/>
              <w:bottom w:val="nil"/>
              <w:right w:val="nil"/>
            </w:tcBorders>
            <w:shd w:val="clear" w:color="auto" w:fill="auto"/>
            <w:noWrap/>
            <w:vAlign w:val="bottom"/>
            <w:hideMark/>
          </w:tcPr>
          <w:p w:rsidR="00122507" w:rsidRPr="00122507" w:rsidP="00122507" w14:paraId="5ECA45D5" w14:textId="77777777">
            <w:pPr>
              <w:spacing w:after="0"/>
              <w:ind w:firstLine="0"/>
              <w:rPr>
                <w:rFonts w:cs="Arial"/>
                <w:bCs/>
                <w:color w:val="000000"/>
                <w:sz w:val="20"/>
              </w:rPr>
            </w:pP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10E5D4A6" w14:textId="77777777">
            <w:pPr>
              <w:spacing w:after="0"/>
              <w:ind w:firstLine="0"/>
              <w:rPr>
                <w:rFonts w:cs="Arial"/>
                <w:bCs/>
                <w:color w:val="000000"/>
                <w:sz w:val="20"/>
              </w:rPr>
            </w:pPr>
            <w:r w:rsidRPr="00122507">
              <w:rPr>
                <w:rFonts w:cs="Arial"/>
                <w:bCs/>
                <w:color w:val="000000"/>
                <w:sz w:val="20"/>
              </w:rPr>
              <w:t>32.72</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5C1B96BB" w14:textId="77777777">
            <w:pPr>
              <w:spacing w:after="0"/>
              <w:ind w:firstLine="0"/>
              <w:rPr>
                <w:rFonts w:cs="Arial"/>
                <w:bCs/>
                <w:color w:val="000000"/>
                <w:sz w:val="20"/>
              </w:rPr>
            </w:pPr>
            <w:r w:rsidRPr="00122507">
              <w:rPr>
                <w:rFonts w:cs="Arial"/>
                <w:bCs/>
                <w:color w:val="000000"/>
                <w:sz w:val="20"/>
              </w:rPr>
              <w:t>196.37</w:t>
            </w:r>
          </w:p>
        </w:tc>
      </w:tr>
      <w:tr w14:paraId="0F5EC8B1" w14:textId="77777777" w:rsidTr="00ED5D77">
        <w:tblPrEx>
          <w:tblW w:w="11070" w:type="dxa"/>
          <w:tblInd w:w="-735" w:type="dxa"/>
          <w:tblLayout w:type="fixed"/>
          <w:tblLook w:val="04A0"/>
        </w:tblPrEx>
        <w:trPr>
          <w:trHeight w:val="315"/>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4EB9670"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7CF70FAA" w14:textId="77777777">
            <w:pPr>
              <w:spacing w:after="0"/>
              <w:ind w:firstLine="0"/>
              <w:rPr>
                <w:rFonts w:cs="Arial"/>
                <w:bCs/>
                <w:color w:val="000000"/>
                <w:sz w:val="20"/>
              </w:rPr>
            </w:pPr>
            <w:r w:rsidRPr="00122507">
              <w:rPr>
                <w:rFonts w:cs="Arial"/>
                <w:bCs/>
                <w:color w:val="000000"/>
                <w:sz w:val="20"/>
              </w:rPr>
              <w:t>3) Maintain Records for Fit Tests</w:t>
            </w:r>
          </w:p>
        </w:tc>
        <w:tc>
          <w:tcPr>
            <w:tcW w:w="990" w:type="dxa"/>
            <w:tcBorders>
              <w:top w:val="nil"/>
              <w:left w:val="nil"/>
              <w:bottom w:val="single" w:sz="8" w:space="0" w:color="auto"/>
              <w:right w:val="single" w:sz="8" w:space="0" w:color="auto"/>
            </w:tcBorders>
            <w:shd w:val="clear" w:color="auto" w:fill="auto"/>
            <w:noWrap/>
            <w:vAlign w:val="center"/>
            <w:hideMark/>
          </w:tcPr>
          <w:p w:rsidR="00122507" w:rsidRPr="00122507" w:rsidP="00122507" w14:paraId="2D20E9D1" w14:textId="77777777">
            <w:pPr>
              <w:spacing w:after="0"/>
              <w:ind w:firstLine="0"/>
              <w:rPr>
                <w:rFonts w:cs="Arial"/>
                <w:bCs/>
                <w:color w:val="000000"/>
                <w:sz w:val="20"/>
              </w:rPr>
            </w:pPr>
            <w:r w:rsidRPr="00122507">
              <w:rPr>
                <w:rFonts w:cs="Arial"/>
                <w:bCs/>
                <w:color w:val="000000"/>
                <w:sz w:val="20"/>
              </w:rPr>
              <w:t>8.31</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62B6B08B"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159FB87D"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2B754DC8"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4E35B83D" w14:textId="77777777">
            <w:pPr>
              <w:spacing w:after="0"/>
              <w:ind w:firstLine="0"/>
              <w:rPr>
                <w:rFonts w:cs="Arial"/>
                <w:bCs/>
                <w:color w:val="000000"/>
                <w:sz w:val="20"/>
              </w:rPr>
            </w:pPr>
            <w:r w:rsidRPr="00122507">
              <w:rPr>
                <w:rFonts w:cs="Arial"/>
                <w:bCs/>
                <w:color w:val="000000"/>
                <w:sz w:val="20"/>
              </w:rPr>
              <w:t>8.31</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7DE9DA0B" w14:textId="77777777">
            <w:pPr>
              <w:spacing w:after="0"/>
              <w:ind w:firstLine="0"/>
              <w:rPr>
                <w:rFonts w:cs="Arial"/>
                <w:bCs/>
                <w:color w:val="000000"/>
                <w:sz w:val="20"/>
              </w:rPr>
            </w:pPr>
            <w:r w:rsidRPr="00122507">
              <w:rPr>
                <w:rFonts w:cs="Arial"/>
                <w:bCs/>
                <w:color w:val="000000"/>
                <w:sz w:val="20"/>
              </w:rPr>
              <w:t>99.67</w:t>
            </w:r>
          </w:p>
        </w:tc>
      </w:tr>
      <w:tr w14:paraId="42B8F459" w14:textId="77777777" w:rsidTr="00ED5D77">
        <w:tblPrEx>
          <w:tblW w:w="11070" w:type="dxa"/>
          <w:tblInd w:w="-735" w:type="dxa"/>
          <w:tblLayout w:type="fixed"/>
          <w:tblLook w:val="04A0"/>
        </w:tblPrEx>
        <w:trPr>
          <w:trHeight w:val="315"/>
        </w:trPr>
        <w:tc>
          <w:tcPr>
            <w:tcW w:w="3510" w:type="dxa"/>
            <w:gridSpan w:val="6"/>
            <w:tcBorders>
              <w:top w:val="single" w:sz="8" w:space="0" w:color="auto"/>
              <w:left w:val="single" w:sz="12" w:space="0" w:color="auto"/>
              <w:bottom w:val="single" w:sz="8" w:space="0" w:color="auto"/>
              <w:right w:val="single" w:sz="8" w:space="0" w:color="000000" w:themeColor="text1"/>
            </w:tcBorders>
            <w:shd w:val="clear" w:color="auto" w:fill="auto"/>
            <w:noWrap/>
            <w:vAlign w:val="center"/>
            <w:hideMark/>
          </w:tcPr>
          <w:p w:rsidR="00122507" w:rsidRPr="00122507" w:rsidP="00122507" w14:paraId="4245E8F8" w14:textId="77777777">
            <w:pPr>
              <w:spacing w:after="0"/>
              <w:ind w:firstLine="0"/>
              <w:rPr>
                <w:rFonts w:cs="Arial"/>
                <w:bCs/>
                <w:color w:val="000000"/>
                <w:sz w:val="20"/>
              </w:rPr>
            </w:pPr>
            <w:r w:rsidRPr="00122507">
              <w:rPr>
                <w:rFonts w:cs="Arial"/>
                <w:bCs/>
                <w:color w:val="000000"/>
                <w:sz w:val="20"/>
              </w:rPr>
              <w:t>Subtotal, Respirator Program</w:t>
            </w:r>
          </w:p>
        </w:tc>
        <w:tc>
          <w:tcPr>
            <w:tcW w:w="990" w:type="dxa"/>
            <w:tcBorders>
              <w:top w:val="nil"/>
              <w:left w:val="nil"/>
              <w:bottom w:val="single" w:sz="8" w:space="0" w:color="auto"/>
              <w:right w:val="nil"/>
            </w:tcBorders>
            <w:shd w:val="clear" w:color="auto" w:fill="auto"/>
            <w:noWrap/>
            <w:vAlign w:val="center"/>
            <w:hideMark/>
          </w:tcPr>
          <w:p w:rsidR="00122507" w:rsidRPr="00122507" w:rsidP="00122507" w14:paraId="0F07548E"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274372A0"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61912FF3"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8" w:space="0" w:color="auto"/>
              <w:left w:val="nil"/>
              <w:bottom w:val="single" w:sz="8" w:space="0" w:color="auto"/>
              <w:right w:val="single" w:sz="12" w:space="0" w:color="auto"/>
            </w:tcBorders>
            <w:shd w:val="clear" w:color="auto" w:fill="auto"/>
            <w:noWrap/>
            <w:vAlign w:val="bottom"/>
            <w:hideMark/>
          </w:tcPr>
          <w:p w:rsidR="00122507" w:rsidRPr="00122507" w:rsidP="00122507" w14:paraId="19E97697"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8" w:space="0" w:color="auto"/>
              <w:left w:val="nil"/>
              <w:bottom w:val="single" w:sz="8" w:space="0" w:color="auto"/>
              <w:right w:val="nil"/>
            </w:tcBorders>
            <w:shd w:val="clear" w:color="auto" w:fill="auto"/>
            <w:noWrap/>
            <w:vAlign w:val="center"/>
            <w:hideMark/>
          </w:tcPr>
          <w:p w:rsidR="00122507" w:rsidRPr="00122507" w:rsidP="00122507" w14:paraId="2C773541" w14:textId="77777777">
            <w:pPr>
              <w:spacing w:after="0"/>
              <w:ind w:firstLine="0"/>
              <w:rPr>
                <w:rFonts w:cs="Arial"/>
                <w:bCs/>
                <w:color w:val="000000"/>
                <w:sz w:val="20"/>
              </w:rPr>
            </w:pPr>
            <w:r w:rsidRPr="00122507">
              <w:rPr>
                <w:rFonts w:cs="Arial"/>
                <w:bCs/>
                <w:color w:val="000000"/>
                <w:sz w:val="20"/>
              </w:rPr>
              <w:t>66.07</w:t>
            </w:r>
          </w:p>
        </w:tc>
        <w:tc>
          <w:tcPr>
            <w:tcW w:w="1530"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122507" w:rsidRPr="00122507" w:rsidP="00122507" w14:paraId="7442D381" w14:textId="77777777">
            <w:pPr>
              <w:spacing w:after="0"/>
              <w:ind w:firstLine="0"/>
              <w:rPr>
                <w:rFonts w:cs="Arial"/>
                <w:bCs/>
                <w:color w:val="000000"/>
                <w:sz w:val="20"/>
              </w:rPr>
            </w:pPr>
            <w:r w:rsidRPr="00122507">
              <w:rPr>
                <w:rFonts w:cs="Arial"/>
                <w:bCs/>
                <w:color w:val="000000"/>
                <w:sz w:val="20"/>
              </w:rPr>
              <w:t>305.07</w:t>
            </w:r>
          </w:p>
        </w:tc>
      </w:tr>
      <w:tr w14:paraId="4AE177C6"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single" w:sz="8" w:space="0" w:color="000000" w:themeColor="text1"/>
            </w:tcBorders>
            <w:shd w:val="clear" w:color="auto" w:fill="auto"/>
            <w:noWrap/>
            <w:vAlign w:val="center"/>
            <w:hideMark/>
          </w:tcPr>
          <w:p w:rsidR="00122507" w:rsidRPr="00122507" w:rsidP="00122507" w14:paraId="4C82D72B" w14:textId="77777777">
            <w:pPr>
              <w:spacing w:after="0"/>
              <w:ind w:firstLine="0"/>
              <w:rPr>
                <w:rFonts w:cs="Arial"/>
                <w:bCs/>
                <w:color w:val="000000"/>
                <w:sz w:val="20"/>
              </w:rPr>
            </w:pPr>
            <w:r w:rsidRPr="00122507">
              <w:rPr>
                <w:rFonts w:cs="Arial"/>
                <w:bCs/>
                <w:color w:val="000000"/>
                <w:sz w:val="20"/>
              </w:rPr>
              <w:t>C) Exposure Monitoring</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5285687B"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63062B0C"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7EAE4891"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7F22E160"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782D2612"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771A66AA" w14:textId="77777777">
            <w:pPr>
              <w:spacing w:after="0"/>
              <w:ind w:firstLine="0"/>
              <w:rPr>
                <w:rFonts w:cs="Arial"/>
                <w:bCs/>
                <w:color w:val="000000"/>
                <w:sz w:val="20"/>
              </w:rPr>
            </w:pPr>
            <w:r w:rsidRPr="00122507">
              <w:rPr>
                <w:rFonts w:cs="Arial"/>
                <w:bCs/>
                <w:color w:val="000000"/>
                <w:sz w:val="20"/>
              </w:rPr>
              <w:t> </w:t>
            </w:r>
          </w:p>
        </w:tc>
      </w:tr>
      <w:tr w14:paraId="173E771C"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46BCD60C"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556C7282" w14:textId="77777777">
            <w:pPr>
              <w:spacing w:after="0"/>
              <w:ind w:firstLine="0"/>
              <w:rPr>
                <w:rFonts w:cs="Arial"/>
                <w:bCs/>
                <w:color w:val="000000"/>
                <w:sz w:val="20"/>
              </w:rPr>
            </w:pPr>
            <w:r w:rsidRPr="00122507">
              <w:rPr>
                <w:rFonts w:cs="Arial"/>
                <w:bCs/>
                <w:color w:val="000000"/>
                <w:sz w:val="20"/>
              </w:rPr>
              <w:t>1) Initial Exposure Assessment</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3C71D180"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57EE108"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1F8BDF54"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540350E3"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1E42F739"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0A13089F" w14:textId="77777777">
            <w:pPr>
              <w:spacing w:after="0"/>
              <w:ind w:firstLine="0"/>
              <w:rPr>
                <w:rFonts w:cs="Arial"/>
                <w:bCs/>
                <w:color w:val="000000"/>
                <w:sz w:val="20"/>
              </w:rPr>
            </w:pPr>
            <w:r w:rsidRPr="00122507">
              <w:rPr>
                <w:rFonts w:cs="Arial"/>
                <w:bCs/>
                <w:color w:val="000000"/>
                <w:sz w:val="20"/>
              </w:rPr>
              <w:t> </w:t>
            </w:r>
          </w:p>
        </w:tc>
      </w:tr>
      <w:tr w14:paraId="641D5380"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526C1B41"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185E5B4A"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bottom"/>
            <w:hideMark/>
          </w:tcPr>
          <w:p w:rsidR="00122507" w:rsidRPr="00122507" w:rsidP="00122507" w14:paraId="76E0F514" w14:textId="77777777">
            <w:pPr>
              <w:spacing w:after="0"/>
              <w:ind w:firstLine="0"/>
              <w:rPr>
                <w:rFonts w:cs="Arial"/>
                <w:bCs/>
                <w:color w:val="000000"/>
                <w:sz w:val="20"/>
              </w:rPr>
            </w:pPr>
            <w:r w:rsidRPr="00122507">
              <w:rPr>
                <w:rFonts w:cs="Arial"/>
                <w:bCs/>
                <w:color w:val="000000"/>
                <w:sz w:val="20"/>
              </w:rPr>
              <w:t xml:space="preserve">a) Construction </w:t>
            </w:r>
            <w:r w:rsidRPr="00122507">
              <w:rPr>
                <w:rFonts w:cs="Arial"/>
                <w:bCs/>
                <w:color w:val="000000"/>
                <w:sz w:val="20"/>
                <w:vertAlign w:val="superscript"/>
              </w:rPr>
              <w:t>a,b</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2F27003F"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06412DA8"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0D81456D"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single" w:sz="8" w:space="0" w:color="auto"/>
            </w:tcBorders>
            <w:shd w:val="clear" w:color="auto" w:fill="auto"/>
            <w:noWrap/>
            <w:vAlign w:val="bottom"/>
            <w:hideMark/>
          </w:tcPr>
          <w:p w:rsidR="00122507" w:rsidRPr="00122507" w:rsidP="00122507" w14:paraId="33510D56" w14:textId="77777777">
            <w:pPr>
              <w:spacing w:after="0"/>
              <w:ind w:firstLine="0"/>
              <w:rPr>
                <w:rFonts w:cs="Arial"/>
                <w:bCs/>
                <w:color w:val="000000"/>
                <w:sz w:val="20"/>
              </w:rPr>
            </w:pPr>
            <w:r w:rsidRPr="00122507">
              <w:rPr>
                <w:rFonts w:cs="Arial"/>
                <w:bCs/>
                <w:color w:val="000000"/>
                <w:sz w:val="20"/>
              </w:rPr>
              <w:t>314.15</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4779728F" w14:textId="77777777">
            <w:pPr>
              <w:spacing w:after="0"/>
              <w:ind w:firstLine="0"/>
              <w:rPr>
                <w:rFonts w:cs="Arial"/>
                <w:bCs/>
                <w:color w:val="000000"/>
                <w:sz w:val="20"/>
              </w:rPr>
            </w:pPr>
            <w:r w:rsidRPr="00122507">
              <w:rPr>
                <w:rFonts w:cs="Arial"/>
                <w:bCs/>
                <w:color w:val="000000"/>
                <w:sz w:val="20"/>
              </w:rPr>
              <w:t>314.15</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192CBB62" w14:textId="77777777">
            <w:pPr>
              <w:spacing w:after="0"/>
              <w:ind w:firstLine="0"/>
              <w:rPr>
                <w:rFonts w:cs="Arial"/>
                <w:bCs/>
                <w:color w:val="000000"/>
                <w:sz w:val="20"/>
              </w:rPr>
            </w:pPr>
            <w:r w:rsidRPr="00122507">
              <w:rPr>
                <w:rFonts w:cs="Arial"/>
                <w:bCs/>
                <w:color w:val="000000"/>
                <w:sz w:val="20"/>
              </w:rPr>
              <w:t>157.07</w:t>
            </w:r>
          </w:p>
        </w:tc>
      </w:tr>
      <w:tr w14:paraId="208BD5EC"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5419387B"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66989E7F"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bottom"/>
            <w:hideMark/>
          </w:tcPr>
          <w:p w:rsidR="00122507" w:rsidRPr="00122507" w:rsidP="00122507" w14:paraId="080569D9" w14:textId="77777777">
            <w:pPr>
              <w:spacing w:after="0"/>
              <w:ind w:firstLine="0"/>
              <w:rPr>
                <w:rFonts w:cs="Arial"/>
                <w:bCs/>
                <w:color w:val="000000"/>
                <w:sz w:val="20"/>
              </w:rPr>
            </w:pPr>
            <w:r w:rsidRPr="00122507">
              <w:rPr>
                <w:rFonts w:cs="Arial"/>
                <w:bCs/>
                <w:color w:val="000000"/>
                <w:sz w:val="20"/>
              </w:rPr>
              <w:t xml:space="preserve">b) Brake and Clutch Repair </w:t>
            </w:r>
            <w:r w:rsidRPr="00122507">
              <w:rPr>
                <w:rFonts w:cs="Arial"/>
                <w:bCs/>
                <w:color w:val="000000"/>
                <w:sz w:val="20"/>
                <w:vertAlign w:val="superscript"/>
              </w:rPr>
              <w:t>a,c</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52BA5909"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51F698BE"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7C4E8F21"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single" w:sz="8" w:space="0" w:color="auto"/>
            </w:tcBorders>
            <w:shd w:val="clear" w:color="auto" w:fill="auto"/>
            <w:noWrap/>
            <w:vAlign w:val="bottom"/>
            <w:hideMark/>
          </w:tcPr>
          <w:p w:rsidR="00122507" w:rsidRPr="00122507" w:rsidP="00122507" w14:paraId="6CD5EA95" w14:textId="77777777">
            <w:pPr>
              <w:spacing w:after="0"/>
              <w:ind w:firstLine="0"/>
              <w:rPr>
                <w:rFonts w:cs="Arial"/>
                <w:bCs/>
                <w:color w:val="000000"/>
                <w:sz w:val="20"/>
              </w:rPr>
            </w:pPr>
            <w:r w:rsidRPr="00122507">
              <w:rPr>
                <w:rFonts w:cs="Arial"/>
                <w:bCs/>
                <w:color w:val="000000"/>
                <w:sz w:val="20"/>
              </w:rPr>
              <w:t>94.00</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6595513C" w14:textId="77777777">
            <w:pPr>
              <w:spacing w:after="0"/>
              <w:ind w:firstLine="0"/>
              <w:rPr>
                <w:rFonts w:cs="Arial"/>
                <w:bCs/>
                <w:color w:val="000000"/>
                <w:sz w:val="20"/>
              </w:rPr>
            </w:pPr>
            <w:r w:rsidRPr="00122507">
              <w:rPr>
                <w:rFonts w:cs="Arial"/>
                <w:bCs/>
                <w:color w:val="000000"/>
                <w:sz w:val="20"/>
              </w:rPr>
              <w:t>94.00</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2C5A556C" w14:textId="77777777">
            <w:pPr>
              <w:spacing w:after="0"/>
              <w:ind w:firstLine="0"/>
              <w:rPr>
                <w:rFonts w:cs="Arial"/>
                <w:bCs/>
                <w:color w:val="000000"/>
                <w:sz w:val="20"/>
              </w:rPr>
            </w:pPr>
            <w:r w:rsidRPr="00122507">
              <w:rPr>
                <w:rFonts w:cs="Arial"/>
                <w:bCs/>
                <w:color w:val="000000"/>
                <w:sz w:val="20"/>
              </w:rPr>
              <w:t>47.00</w:t>
            </w:r>
          </w:p>
        </w:tc>
      </w:tr>
      <w:tr w14:paraId="4F88EBF0"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F9A6F5D"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52AF1834" w14:textId="77777777">
            <w:pPr>
              <w:spacing w:after="0"/>
              <w:ind w:firstLine="0"/>
              <w:rPr>
                <w:rFonts w:cs="Arial"/>
                <w:bCs/>
                <w:color w:val="000000"/>
                <w:sz w:val="20"/>
              </w:rPr>
            </w:pPr>
            <w:r w:rsidRPr="00122507">
              <w:rPr>
                <w:rFonts w:cs="Arial"/>
                <w:bCs/>
                <w:color w:val="000000"/>
                <w:sz w:val="20"/>
              </w:rPr>
              <w:t>2) Maintain Exposure Records</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22405F6E" w14:textId="77777777">
            <w:pPr>
              <w:spacing w:after="0"/>
              <w:ind w:firstLine="0"/>
              <w:rPr>
                <w:rFonts w:cs="Arial"/>
                <w:bCs/>
                <w:color w:val="000000"/>
                <w:sz w:val="20"/>
              </w:rPr>
            </w:pPr>
            <w:r w:rsidRPr="00122507">
              <w:rPr>
                <w:rFonts w:cs="Arial"/>
                <w:bCs/>
                <w:color w:val="000000"/>
                <w:sz w:val="20"/>
              </w:rPr>
              <w:t>40.16</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1A99BEF4"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173F4EC4"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72BD6A8D"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67AD89A6" w14:textId="77777777">
            <w:pPr>
              <w:spacing w:after="0"/>
              <w:ind w:firstLine="0"/>
              <w:rPr>
                <w:rFonts w:cs="Arial"/>
                <w:bCs/>
                <w:color w:val="000000"/>
                <w:sz w:val="20"/>
              </w:rPr>
            </w:pPr>
            <w:r w:rsidRPr="00122507">
              <w:rPr>
                <w:rFonts w:cs="Arial"/>
                <w:bCs/>
                <w:color w:val="000000"/>
                <w:sz w:val="20"/>
              </w:rPr>
              <w:t>40.16</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07868AD6" w14:textId="77777777">
            <w:pPr>
              <w:spacing w:after="0"/>
              <w:ind w:firstLine="0"/>
              <w:rPr>
                <w:rFonts w:cs="Arial"/>
                <w:bCs/>
                <w:color w:val="000000"/>
                <w:sz w:val="20"/>
              </w:rPr>
            </w:pPr>
            <w:r w:rsidRPr="00122507">
              <w:rPr>
                <w:rFonts w:cs="Arial"/>
                <w:bCs/>
                <w:color w:val="000000"/>
                <w:sz w:val="20"/>
              </w:rPr>
              <w:t>481.93</w:t>
            </w:r>
          </w:p>
        </w:tc>
      </w:tr>
      <w:tr w14:paraId="71BFCCF8" w14:textId="77777777" w:rsidTr="00ED5D77">
        <w:tblPrEx>
          <w:tblW w:w="11070" w:type="dxa"/>
          <w:tblInd w:w="-735" w:type="dxa"/>
          <w:tblLayout w:type="fixed"/>
          <w:tblLook w:val="04A0"/>
        </w:tblPrEx>
        <w:trPr>
          <w:trHeight w:val="315"/>
        </w:trPr>
        <w:tc>
          <w:tcPr>
            <w:tcW w:w="270" w:type="dxa"/>
            <w:tcBorders>
              <w:top w:val="nil"/>
              <w:left w:val="single" w:sz="12" w:space="0" w:color="auto"/>
              <w:bottom w:val="single" w:sz="8" w:space="0" w:color="auto"/>
              <w:right w:val="nil"/>
            </w:tcBorders>
            <w:shd w:val="clear" w:color="auto" w:fill="auto"/>
            <w:noWrap/>
            <w:vAlign w:val="center"/>
            <w:hideMark/>
          </w:tcPr>
          <w:p w:rsidR="00122507" w:rsidRPr="00122507" w:rsidP="00122507" w14:paraId="52D038DE"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single" w:sz="8" w:space="0" w:color="auto"/>
              <w:right w:val="single" w:sz="8" w:space="0" w:color="000000" w:themeColor="text1"/>
            </w:tcBorders>
            <w:shd w:val="clear" w:color="auto" w:fill="auto"/>
            <w:noWrap/>
            <w:vAlign w:val="bottom"/>
            <w:hideMark/>
          </w:tcPr>
          <w:p w:rsidR="00122507" w:rsidRPr="00122507" w:rsidP="00122507" w14:paraId="19227EF5" w14:textId="77777777">
            <w:pPr>
              <w:spacing w:after="0"/>
              <w:ind w:firstLine="0"/>
              <w:rPr>
                <w:rFonts w:cs="Arial"/>
                <w:bCs/>
                <w:color w:val="000000"/>
                <w:sz w:val="20"/>
              </w:rPr>
            </w:pPr>
            <w:r w:rsidRPr="00122507">
              <w:rPr>
                <w:rFonts w:cs="Arial"/>
                <w:bCs/>
                <w:color w:val="000000"/>
                <w:sz w:val="20"/>
              </w:rPr>
              <w:t>3) Post Monitoring Results, Brake/Clutch</w:t>
            </w:r>
          </w:p>
        </w:tc>
        <w:tc>
          <w:tcPr>
            <w:tcW w:w="990" w:type="dxa"/>
            <w:tcBorders>
              <w:top w:val="nil"/>
              <w:left w:val="nil"/>
              <w:bottom w:val="single" w:sz="8" w:space="0" w:color="auto"/>
              <w:right w:val="single" w:sz="8" w:space="0" w:color="auto"/>
            </w:tcBorders>
            <w:shd w:val="clear" w:color="auto" w:fill="auto"/>
            <w:noWrap/>
            <w:vAlign w:val="bottom"/>
            <w:hideMark/>
          </w:tcPr>
          <w:p w:rsidR="00122507" w:rsidRPr="00122507" w:rsidP="00122507" w14:paraId="5B6D3C78" w14:textId="77777777">
            <w:pPr>
              <w:spacing w:after="0"/>
              <w:ind w:firstLine="0"/>
              <w:rPr>
                <w:rFonts w:cs="Arial"/>
                <w:bCs/>
                <w:color w:val="000000"/>
                <w:sz w:val="20"/>
              </w:rPr>
            </w:pPr>
            <w:r w:rsidRPr="00122507">
              <w:rPr>
                <w:rFonts w:cs="Arial"/>
                <w:bCs/>
                <w:color w:val="000000"/>
                <w:sz w:val="20"/>
              </w:rPr>
              <w:t>9.25</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08B59BAB"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A219AF4"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36426672"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2C60FB28" w14:textId="77777777">
            <w:pPr>
              <w:spacing w:after="0"/>
              <w:ind w:firstLine="0"/>
              <w:rPr>
                <w:rFonts w:cs="Arial"/>
                <w:bCs/>
                <w:color w:val="000000"/>
                <w:sz w:val="20"/>
              </w:rPr>
            </w:pPr>
            <w:r w:rsidRPr="00122507">
              <w:rPr>
                <w:rFonts w:cs="Arial"/>
                <w:bCs/>
                <w:color w:val="000000"/>
                <w:sz w:val="20"/>
              </w:rPr>
              <w:t>9.25</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1F8FFBE9" w14:textId="77777777">
            <w:pPr>
              <w:spacing w:after="0"/>
              <w:ind w:firstLine="0"/>
              <w:rPr>
                <w:rFonts w:cs="Arial"/>
                <w:bCs/>
                <w:color w:val="000000"/>
                <w:sz w:val="20"/>
              </w:rPr>
            </w:pPr>
            <w:r w:rsidRPr="00122507">
              <w:rPr>
                <w:rFonts w:cs="Arial"/>
                <w:bCs/>
                <w:color w:val="000000"/>
                <w:sz w:val="20"/>
              </w:rPr>
              <w:t>110.96</w:t>
            </w:r>
          </w:p>
        </w:tc>
      </w:tr>
      <w:tr w14:paraId="2CCA217A" w14:textId="77777777" w:rsidTr="00ED5D77">
        <w:tblPrEx>
          <w:tblW w:w="11070" w:type="dxa"/>
          <w:tblInd w:w="-735" w:type="dxa"/>
          <w:tblLayout w:type="fixed"/>
          <w:tblLook w:val="04A0"/>
        </w:tblPrEx>
        <w:trPr>
          <w:trHeight w:val="315"/>
        </w:trPr>
        <w:tc>
          <w:tcPr>
            <w:tcW w:w="3510" w:type="dxa"/>
            <w:gridSpan w:val="6"/>
            <w:tcBorders>
              <w:top w:val="nil"/>
              <w:left w:val="single" w:sz="12" w:space="0" w:color="auto"/>
              <w:bottom w:val="nil"/>
              <w:right w:val="single" w:sz="8" w:space="0" w:color="000000" w:themeColor="text1"/>
            </w:tcBorders>
            <w:shd w:val="clear" w:color="auto" w:fill="auto"/>
            <w:noWrap/>
            <w:vAlign w:val="center"/>
            <w:hideMark/>
          </w:tcPr>
          <w:p w:rsidR="00122507" w:rsidRPr="00122507" w:rsidP="00122507" w14:paraId="66273031" w14:textId="77777777">
            <w:pPr>
              <w:spacing w:after="0"/>
              <w:ind w:firstLine="0"/>
              <w:rPr>
                <w:rFonts w:cs="Arial"/>
                <w:bCs/>
                <w:color w:val="000000"/>
                <w:sz w:val="20"/>
              </w:rPr>
            </w:pPr>
            <w:r w:rsidRPr="00122507">
              <w:rPr>
                <w:rFonts w:cs="Arial"/>
                <w:bCs/>
                <w:color w:val="000000"/>
                <w:sz w:val="20"/>
              </w:rPr>
              <w:t>Subtotal, Exposure Monitoring</w:t>
            </w:r>
          </w:p>
        </w:tc>
        <w:tc>
          <w:tcPr>
            <w:tcW w:w="990" w:type="dxa"/>
            <w:tcBorders>
              <w:top w:val="nil"/>
              <w:left w:val="nil"/>
              <w:bottom w:val="single" w:sz="8" w:space="0" w:color="auto"/>
              <w:right w:val="nil"/>
            </w:tcBorders>
            <w:shd w:val="clear" w:color="auto" w:fill="auto"/>
            <w:noWrap/>
            <w:vAlign w:val="center"/>
            <w:hideMark/>
          </w:tcPr>
          <w:p w:rsidR="00122507" w:rsidRPr="00122507" w:rsidP="00122507" w14:paraId="0870A970"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6520D4CC"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37908F45"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8" w:space="0" w:color="auto"/>
              <w:left w:val="nil"/>
              <w:bottom w:val="single" w:sz="8" w:space="0" w:color="auto"/>
              <w:right w:val="single" w:sz="12" w:space="0" w:color="auto"/>
            </w:tcBorders>
            <w:shd w:val="clear" w:color="auto" w:fill="auto"/>
            <w:noWrap/>
            <w:vAlign w:val="bottom"/>
            <w:hideMark/>
          </w:tcPr>
          <w:p w:rsidR="00122507" w:rsidRPr="00122507" w:rsidP="00122507" w14:paraId="3FD518E4"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8" w:space="0" w:color="auto"/>
              <w:left w:val="nil"/>
              <w:bottom w:val="single" w:sz="8" w:space="0" w:color="auto"/>
              <w:right w:val="single" w:sz="12" w:space="0" w:color="auto"/>
            </w:tcBorders>
            <w:shd w:val="clear" w:color="auto" w:fill="auto"/>
            <w:noWrap/>
            <w:vAlign w:val="center"/>
            <w:hideMark/>
          </w:tcPr>
          <w:p w:rsidR="00122507" w:rsidRPr="00122507" w:rsidP="00122507" w14:paraId="6D28BFF6" w14:textId="77777777">
            <w:pPr>
              <w:spacing w:after="0"/>
              <w:ind w:firstLine="0"/>
              <w:rPr>
                <w:rFonts w:cs="Arial"/>
                <w:bCs/>
                <w:color w:val="000000"/>
                <w:sz w:val="20"/>
              </w:rPr>
            </w:pPr>
            <w:r w:rsidRPr="00122507">
              <w:rPr>
                <w:rFonts w:cs="Arial"/>
                <w:bCs/>
                <w:color w:val="000000"/>
                <w:sz w:val="20"/>
              </w:rPr>
              <w:t>457.56</w:t>
            </w:r>
          </w:p>
        </w:tc>
        <w:tc>
          <w:tcPr>
            <w:tcW w:w="1530" w:type="dxa"/>
            <w:gridSpan w:val="2"/>
            <w:tcBorders>
              <w:top w:val="single" w:sz="8" w:space="0" w:color="auto"/>
              <w:left w:val="nil"/>
              <w:bottom w:val="single" w:sz="8" w:space="0" w:color="auto"/>
              <w:right w:val="single" w:sz="12" w:space="0" w:color="auto"/>
            </w:tcBorders>
            <w:shd w:val="clear" w:color="auto" w:fill="auto"/>
            <w:noWrap/>
            <w:vAlign w:val="center"/>
            <w:hideMark/>
          </w:tcPr>
          <w:p w:rsidR="00122507" w:rsidRPr="00122507" w:rsidP="00122507" w14:paraId="4F59381A" w14:textId="77777777">
            <w:pPr>
              <w:spacing w:after="0"/>
              <w:ind w:firstLine="0"/>
              <w:rPr>
                <w:rFonts w:cs="Arial"/>
                <w:bCs/>
                <w:color w:val="000000"/>
                <w:sz w:val="20"/>
              </w:rPr>
            </w:pPr>
            <w:r w:rsidRPr="00122507">
              <w:rPr>
                <w:rFonts w:cs="Arial"/>
                <w:bCs/>
                <w:color w:val="000000"/>
                <w:sz w:val="20"/>
              </w:rPr>
              <w:t>796.96</w:t>
            </w:r>
          </w:p>
        </w:tc>
      </w:tr>
      <w:tr w14:paraId="6F16CFEE"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single" w:sz="8" w:space="0" w:color="000000" w:themeColor="text1"/>
            </w:tcBorders>
            <w:shd w:val="clear" w:color="auto" w:fill="auto"/>
            <w:noWrap/>
            <w:vAlign w:val="center"/>
            <w:hideMark/>
          </w:tcPr>
          <w:p w:rsidR="00122507" w:rsidRPr="00122507" w:rsidP="00122507" w14:paraId="61730B9A" w14:textId="77777777">
            <w:pPr>
              <w:spacing w:after="0"/>
              <w:ind w:firstLine="0"/>
              <w:rPr>
                <w:rFonts w:cs="Arial"/>
                <w:bCs/>
                <w:color w:val="000000"/>
                <w:sz w:val="20"/>
              </w:rPr>
            </w:pPr>
            <w:r w:rsidRPr="00122507">
              <w:rPr>
                <w:rFonts w:cs="Arial"/>
                <w:bCs/>
                <w:color w:val="000000"/>
                <w:sz w:val="20"/>
              </w:rPr>
              <w:t>D) Hazard Communication</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1590FB53"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6065399"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6BC21A7A"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107EAAF1"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66709353"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07D0C4B4" w14:textId="77777777">
            <w:pPr>
              <w:spacing w:after="0"/>
              <w:ind w:firstLine="0"/>
              <w:rPr>
                <w:rFonts w:cs="Arial"/>
                <w:bCs/>
                <w:color w:val="000000"/>
                <w:sz w:val="20"/>
              </w:rPr>
            </w:pPr>
            <w:r w:rsidRPr="00122507">
              <w:rPr>
                <w:rFonts w:cs="Arial"/>
                <w:bCs/>
                <w:color w:val="000000"/>
                <w:sz w:val="20"/>
              </w:rPr>
              <w:t> </w:t>
            </w:r>
          </w:p>
        </w:tc>
      </w:tr>
      <w:tr w14:paraId="17CD6DA2"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5933D38C"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344785E4" w14:textId="77777777">
            <w:pPr>
              <w:spacing w:after="0"/>
              <w:ind w:firstLine="0"/>
              <w:rPr>
                <w:rFonts w:cs="Arial"/>
                <w:bCs/>
                <w:color w:val="000000"/>
                <w:sz w:val="20"/>
              </w:rPr>
            </w:pPr>
            <w:r w:rsidRPr="00122507">
              <w:rPr>
                <w:rFonts w:cs="Arial"/>
                <w:bCs/>
                <w:color w:val="000000"/>
                <w:sz w:val="20"/>
              </w:rPr>
              <w:t>1) Evaluate Risk (Class I, II projects)</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36E8421D"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073D148D"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4D4A19AC" w14:textId="77777777">
            <w:pPr>
              <w:spacing w:after="0"/>
              <w:ind w:firstLine="0"/>
              <w:rPr>
                <w:rFonts w:cs="Arial"/>
                <w:bCs/>
                <w:color w:val="000000"/>
                <w:sz w:val="20"/>
              </w:rPr>
            </w:pPr>
            <w:r w:rsidRPr="00122507">
              <w:rPr>
                <w:rFonts w:cs="Arial"/>
                <w:bCs/>
                <w:color w:val="000000"/>
                <w:sz w:val="20"/>
              </w:rPr>
              <w:t>125.19</w:t>
            </w:r>
          </w:p>
        </w:tc>
        <w:tc>
          <w:tcPr>
            <w:tcW w:w="1170" w:type="dxa"/>
            <w:gridSpan w:val="2"/>
            <w:tcBorders>
              <w:top w:val="nil"/>
              <w:left w:val="nil"/>
              <w:bottom w:val="nil"/>
              <w:right w:val="nil"/>
            </w:tcBorders>
            <w:shd w:val="clear" w:color="auto" w:fill="auto"/>
            <w:noWrap/>
            <w:vAlign w:val="bottom"/>
            <w:hideMark/>
          </w:tcPr>
          <w:p w:rsidR="00122507" w:rsidRPr="00122507" w:rsidP="00122507" w14:paraId="2EC7BB05"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3F5E78FF" w14:textId="77777777">
            <w:pPr>
              <w:spacing w:after="0"/>
              <w:ind w:firstLine="0"/>
              <w:rPr>
                <w:rFonts w:cs="Arial"/>
                <w:bCs/>
                <w:color w:val="000000"/>
                <w:sz w:val="20"/>
              </w:rPr>
            </w:pPr>
            <w:r w:rsidRPr="00122507">
              <w:rPr>
                <w:rFonts w:cs="Arial"/>
                <w:bCs/>
                <w:color w:val="000000"/>
                <w:sz w:val="20"/>
              </w:rPr>
              <w:t>125.19</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2654A1BC" w14:textId="77777777">
            <w:pPr>
              <w:spacing w:after="0"/>
              <w:ind w:firstLine="0"/>
              <w:rPr>
                <w:rFonts w:cs="Arial"/>
                <w:bCs/>
                <w:color w:val="000000"/>
                <w:sz w:val="20"/>
              </w:rPr>
            </w:pPr>
            <w:r w:rsidRPr="00122507">
              <w:rPr>
                <w:rFonts w:cs="Arial"/>
                <w:bCs/>
                <w:color w:val="000000"/>
                <w:sz w:val="20"/>
              </w:rPr>
              <w:t>166.93</w:t>
            </w:r>
          </w:p>
        </w:tc>
      </w:tr>
      <w:tr w14:paraId="67AAFF53"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3EF3AC81"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252DA3BC" w14:textId="77777777">
            <w:pPr>
              <w:spacing w:after="0"/>
              <w:ind w:firstLine="0"/>
              <w:rPr>
                <w:rFonts w:cs="Arial"/>
                <w:bCs/>
                <w:color w:val="000000"/>
                <w:sz w:val="20"/>
              </w:rPr>
            </w:pPr>
            <w:r w:rsidRPr="00122507">
              <w:rPr>
                <w:rFonts w:cs="Arial"/>
                <w:bCs/>
                <w:color w:val="000000"/>
                <w:sz w:val="20"/>
              </w:rPr>
              <w:t>2) Notify Employees</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62EF3917"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0E6E0060"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2D110E43"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025CDA57"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3F30DF59"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50F52576" w14:textId="77777777">
            <w:pPr>
              <w:spacing w:after="0"/>
              <w:ind w:firstLine="0"/>
              <w:rPr>
                <w:rFonts w:cs="Arial"/>
                <w:bCs/>
                <w:color w:val="000000"/>
                <w:sz w:val="20"/>
              </w:rPr>
            </w:pPr>
            <w:r w:rsidRPr="00122507">
              <w:rPr>
                <w:rFonts w:cs="Arial"/>
                <w:bCs/>
                <w:color w:val="000000"/>
                <w:sz w:val="20"/>
              </w:rPr>
              <w:t> </w:t>
            </w:r>
          </w:p>
        </w:tc>
      </w:tr>
      <w:tr w14:paraId="4F535847"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611FCBA"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1B1942CA"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bottom"/>
            <w:hideMark/>
          </w:tcPr>
          <w:p w:rsidR="00122507" w:rsidRPr="00122507" w:rsidP="00122507" w14:paraId="33240358" w14:textId="77777777">
            <w:pPr>
              <w:spacing w:after="0"/>
              <w:ind w:firstLine="0"/>
              <w:rPr>
                <w:rFonts w:cs="Arial"/>
                <w:bCs/>
                <w:color w:val="000000"/>
                <w:sz w:val="20"/>
              </w:rPr>
            </w:pPr>
            <w:r w:rsidRPr="00122507">
              <w:rPr>
                <w:rFonts w:cs="Arial"/>
                <w:bCs/>
                <w:color w:val="000000"/>
                <w:sz w:val="20"/>
              </w:rPr>
              <w:t>a) Construction</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07A11725"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4A01A78E"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C85C682" w14:textId="77777777">
            <w:pPr>
              <w:spacing w:after="0"/>
              <w:ind w:firstLine="0"/>
              <w:rPr>
                <w:rFonts w:cs="Arial"/>
                <w:bCs/>
                <w:color w:val="000000"/>
                <w:sz w:val="20"/>
              </w:rPr>
            </w:pPr>
            <w:r w:rsidRPr="00122507">
              <w:rPr>
                <w:rFonts w:cs="Arial"/>
                <w:bCs/>
                <w:color w:val="000000"/>
                <w:sz w:val="20"/>
              </w:rPr>
              <w:t>1,566.38</w:t>
            </w:r>
          </w:p>
        </w:tc>
        <w:tc>
          <w:tcPr>
            <w:tcW w:w="1170" w:type="dxa"/>
            <w:gridSpan w:val="2"/>
            <w:tcBorders>
              <w:top w:val="nil"/>
              <w:left w:val="nil"/>
              <w:bottom w:val="nil"/>
              <w:right w:val="nil"/>
            </w:tcBorders>
            <w:shd w:val="clear" w:color="auto" w:fill="auto"/>
            <w:noWrap/>
            <w:vAlign w:val="bottom"/>
            <w:hideMark/>
          </w:tcPr>
          <w:p w:rsidR="00122507" w:rsidRPr="00122507" w:rsidP="00122507" w14:paraId="731D2D7C"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4166DA18" w14:textId="77777777">
            <w:pPr>
              <w:spacing w:after="0"/>
              <w:ind w:firstLine="0"/>
              <w:rPr>
                <w:rFonts w:cs="Arial"/>
                <w:bCs/>
                <w:color w:val="000000"/>
                <w:sz w:val="20"/>
              </w:rPr>
            </w:pPr>
            <w:r w:rsidRPr="00122507">
              <w:rPr>
                <w:rFonts w:cs="Arial"/>
                <w:bCs/>
                <w:color w:val="000000"/>
                <w:sz w:val="20"/>
              </w:rPr>
              <w:t>1,566.38</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21C9A1DD" w14:textId="77777777">
            <w:pPr>
              <w:spacing w:after="0"/>
              <w:ind w:firstLine="0"/>
              <w:rPr>
                <w:rFonts w:cs="Arial"/>
                <w:bCs/>
                <w:color w:val="000000"/>
                <w:sz w:val="20"/>
              </w:rPr>
            </w:pPr>
            <w:r w:rsidRPr="00122507">
              <w:rPr>
                <w:rFonts w:cs="Arial"/>
                <w:bCs/>
                <w:color w:val="000000"/>
                <w:sz w:val="20"/>
              </w:rPr>
              <w:t>18,796.59</w:t>
            </w:r>
          </w:p>
        </w:tc>
      </w:tr>
      <w:tr w14:paraId="0319437E"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4B6E7016"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66CEE317"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bottom"/>
            <w:hideMark/>
          </w:tcPr>
          <w:p w:rsidR="00122507" w:rsidRPr="00122507" w:rsidP="00122507" w14:paraId="29EAE729" w14:textId="77777777">
            <w:pPr>
              <w:spacing w:after="0"/>
              <w:ind w:firstLine="0"/>
              <w:rPr>
                <w:rFonts w:cs="Arial"/>
                <w:bCs/>
                <w:color w:val="000000"/>
                <w:sz w:val="20"/>
              </w:rPr>
            </w:pPr>
            <w:r w:rsidRPr="00122507">
              <w:rPr>
                <w:rFonts w:cs="Arial"/>
                <w:bCs/>
                <w:color w:val="000000"/>
                <w:sz w:val="20"/>
              </w:rPr>
              <w:t>b) Brake and Clutch Repair</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33B2E8C3"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19844A6"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798E7CE7" w14:textId="77777777">
            <w:pPr>
              <w:spacing w:after="0"/>
              <w:ind w:firstLine="0"/>
              <w:rPr>
                <w:rFonts w:cs="Arial"/>
                <w:bCs/>
                <w:color w:val="000000"/>
                <w:sz w:val="20"/>
              </w:rPr>
            </w:pPr>
            <w:r w:rsidRPr="00122507">
              <w:rPr>
                <w:rFonts w:cs="Arial"/>
                <w:bCs/>
                <w:color w:val="000000"/>
                <w:sz w:val="20"/>
              </w:rPr>
              <w:t>36.99</w:t>
            </w:r>
          </w:p>
        </w:tc>
        <w:tc>
          <w:tcPr>
            <w:tcW w:w="1170" w:type="dxa"/>
            <w:gridSpan w:val="2"/>
            <w:tcBorders>
              <w:top w:val="nil"/>
              <w:left w:val="nil"/>
              <w:bottom w:val="nil"/>
              <w:right w:val="nil"/>
            </w:tcBorders>
            <w:shd w:val="clear" w:color="auto" w:fill="auto"/>
            <w:noWrap/>
            <w:vAlign w:val="bottom"/>
            <w:hideMark/>
          </w:tcPr>
          <w:p w:rsidR="00122507" w:rsidRPr="00122507" w:rsidP="00122507" w14:paraId="6A5A99A2"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30C4D576" w14:textId="77777777">
            <w:pPr>
              <w:spacing w:after="0"/>
              <w:ind w:firstLine="0"/>
              <w:rPr>
                <w:rFonts w:cs="Arial"/>
                <w:bCs/>
                <w:color w:val="000000"/>
                <w:sz w:val="20"/>
              </w:rPr>
            </w:pPr>
            <w:r w:rsidRPr="00122507">
              <w:rPr>
                <w:rFonts w:cs="Arial"/>
                <w:bCs/>
                <w:color w:val="000000"/>
                <w:sz w:val="20"/>
              </w:rPr>
              <w:t>36.99</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0A3DE224" w14:textId="77777777">
            <w:pPr>
              <w:spacing w:after="0"/>
              <w:ind w:firstLine="0"/>
              <w:rPr>
                <w:rFonts w:cs="Arial"/>
                <w:bCs/>
                <w:color w:val="000000"/>
                <w:sz w:val="20"/>
              </w:rPr>
            </w:pPr>
            <w:r w:rsidRPr="00122507">
              <w:rPr>
                <w:rFonts w:cs="Arial"/>
                <w:bCs/>
                <w:color w:val="000000"/>
                <w:sz w:val="20"/>
              </w:rPr>
              <w:t>443.85</w:t>
            </w:r>
          </w:p>
        </w:tc>
      </w:tr>
      <w:tr w14:paraId="1DFA26BF" w14:textId="77777777" w:rsidTr="00ED5D77">
        <w:tblPrEx>
          <w:tblW w:w="11070" w:type="dxa"/>
          <w:tblInd w:w="-735" w:type="dxa"/>
          <w:tblLayout w:type="fixed"/>
          <w:tblLook w:val="04A0"/>
        </w:tblPrEx>
        <w:trPr>
          <w:trHeight w:val="315"/>
        </w:trPr>
        <w:tc>
          <w:tcPr>
            <w:tcW w:w="270" w:type="dxa"/>
            <w:tcBorders>
              <w:top w:val="nil"/>
              <w:left w:val="single" w:sz="12" w:space="0" w:color="auto"/>
              <w:bottom w:val="single" w:sz="8" w:space="0" w:color="auto"/>
              <w:right w:val="nil"/>
            </w:tcBorders>
            <w:shd w:val="clear" w:color="auto" w:fill="auto"/>
            <w:noWrap/>
            <w:vAlign w:val="center"/>
            <w:hideMark/>
          </w:tcPr>
          <w:p w:rsidR="00122507" w:rsidRPr="00122507" w:rsidP="00122507" w14:paraId="7B3EE607"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single" w:sz="8" w:space="0" w:color="auto"/>
              <w:right w:val="single" w:sz="8" w:space="0" w:color="000000" w:themeColor="text1"/>
            </w:tcBorders>
            <w:shd w:val="clear" w:color="auto" w:fill="auto"/>
            <w:noWrap/>
            <w:vAlign w:val="bottom"/>
            <w:hideMark/>
          </w:tcPr>
          <w:p w:rsidR="00122507" w:rsidRPr="00122507" w:rsidP="00122507" w14:paraId="370B8FA9" w14:textId="77777777">
            <w:pPr>
              <w:spacing w:after="0"/>
              <w:ind w:firstLine="0"/>
              <w:rPr>
                <w:rFonts w:cs="Arial"/>
                <w:bCs/>
                <w:color w:val="000000"/>
                <w:sz w:val="20"/>
              </w:rPr>
            </w:pPr>
            <w:r w:rsidRPr="00122507">
              <w:rPr>
                <w:rFonts w:cs="Arial"/>
                <w:bCs/>
                <w:color w:val="000000"/>
                <w:sz w:val="20"/>
              </w:rPr>
              <w:t>3) Notify Other Employees/ Tenants</w:t>
            </w:r>
          </w:p>
        </w:tc>
        <w:tc>
          <w:tcPr>
            <w:tcW w:w="990" w:type="dxa"/>
            <w:tcBorders>
              <w:top w:val="nil"/>
              <w:left w:val="nil"/>
              <w:bottom w:val="single" w:sz="8" w:space="0" w:color="auto"/>
              <w:right w:val="single" w:sz="8" w:space="0" w:color="auto"/>
            </w:tcBorders>
            <w:shd w:val="clear" w:color="auto" w:fill="auto"/>
            <w:noWrap/>
            <w:vAlign w:val="center"/>
            <w:hideMark/>
          </w:tcPr>
          <w:p w:rsidR="00122507" w:rsidRPr="00122507" w:rsidP="00122507" w14:paraId="51930D33"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116E5052"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00C17C1" w14:textId="77777777">
            <w:pPr>
              <w:spacing w:after="0"/>
              <w:ind w:firstLine="0"/>
              <w:rPr>
                <w:rFonts w:cs="Arial"/>
                <w:bCs/>
                <w:color w:val="000000"/>
                <w:sz w:val="20"/>
              </w:rPr>
            </w:pPr>
            <w:r w:rsidRPr="00122507">
              <w:rPr>
                <w:rFonts w:cs="Arial"/>
                <w:bCs/>
                <w:color w:val="000000"/>
                <w:sz w:val="20"/>
              </w:rPr>
              <w:t>1,566.38</w:t>
            </w:r>
          </w:p>
        </w:tc>
        <w:tc>
          <w:tcPr>
            <w:tcW w:w="1170" w:type="dxa"/>
            <w:gridSpan w:val="2"/>
            <w:tcBorders>
              <w:top w:val="nil"/>
              <w:left w:val="nil"/>
              <w:bottom w:val="nil"/>
              <w:right w:val="nil"/>
            </w:tcBorders>
            <w:shd w:val="clear" w:color="auto" w:fill="auto"/>
            <w:noWrap/>
            <w:vAlign w:val="bottom"/>
            <w:hideMark/>
          </w:tcPr>
          <w:p w:rsidR="00122507" w:rsidRPr="00122507" w:rsidP="00122507" w14:paraId="7AF82944"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1D5413F6" w14:textId="77777777">
            <w:pPr>
              <w:spacing w:after="0"/>
              <w:ind w:firstLine="0"/>
              <w:rPr>
                <w:rFonts w:cs="Arial"/>
                <w:bCs/>
                <w:color w:val="000000"/>
                <w:sz w:val="20"/>
              </w:rPr>
            </w:pPr>
            <w:r w:rsidRPr="00122507">
              <w:rPr>
                <w:rFonts w:cs="Arial"/>
                <w:bCs/>
                <w:color w:val="000000"/>
                <w:sz w:val="20"/>
              </w:rPr>
              <w:t>1,566.38</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3D8E7A64" w14:textId="77777777">
            <w:pPr>
              <w:spacing w:after="0"/>
              <w:ind w:firstLine="0"/>
              <w:rPr>
                <w:rFonts w:cs="Arial"/>
                <w:bCs/>
                <w:color w:val="000000"/>
                <w:sz w:val="20"/>
              </w:rPr>
            </w:pPr>
            <w:r w:rsidRPr="00122507">
              <w:rPr>
                <w:rFonts w:cs="Arial"/>
                <w:bCs/>
                <w:color w:val="000000"/>
                <w:sz w:val="20"/>
              </w:rPr>
              <w:t>18,796.59</w:t>
            </w:r>
          </w:p>
        </w:tc>
      </w:tr>
      <w:tr w14:paraId="3750414F" w14:textId="77777777" w:rsidTr="00ED5D77">
        <w:tblPrEx>
          <w:tblW w:w="11070" w:type="dxa"/>
          <w:tblInd w:w="-735" w:type="dxa"/>
          <w:tblLayout w:type="fixed"/>
          <w:tblLook w:val="04A0"/>
        </w:tblPrEx>
        <w:trPr>
          <w:trHeight w:val="315"/>
        </w:trPr>
        <w:tc>
          <w:tcPr>
            <w:tcW w:w="3510" w:type="dxa"/>
            <w:gridSpan w:val="6"/>
            <w:tcBorders>
              <w:top w:val="nil"/>
              <w:left w:val="single" w:sz="12" w:space="0" w:color="auto"/>
              <w:bottom w:val="nil"/>
              <w:right w:val="single" w:sz="8" w:space="0" w:color="000000" w:themeColor="text1"/>
            </w:tcBorders>
            <w:shd w:val="clear" w:color="auto" w:fill="auto"/>
            <w:noWrap/>
            <w:vAlign w:val="center"/>
            <w:hideMark/>
          </w:tcPr>
          <w:p w:rsidR="00122507" w:rsidRPr="00122507" w:rsidP="00122507" w14:paraId="20AD2DC1" w14:textId="77777777">
            <w:pPr>
              <w:spacing w:after="0"/>
              <w:ind w:firstLine="0"/>
              <w:rPr>
                <w:rFonts w:cs="Arial"/>
                <w:bCs/>
                <w:color w:val="000000"/>
                <w:sz w:val="20"/>
              </w:rPr>
            </w:pPr>
            <w:r w:rsidRPr="00122507">
              <w:rPr>
                <w:rFonts w:cs="Arial"/>
                <w:bCs/>
                <w:color w:val="000000"/>
                <w:sz w:val="20"/>
              </w:rPr>
              <w:t>Subtotal, Hazard Communication</w:t>
            </w:r>
          </w:p>
        </w:tc>
        <w:tc>
          <w:tcPr>
            <w:tcW w:w="990" w:type="dxa"/>
            <w:tcBorders>
              <w:top w:val="nil"/>
              <w:left w:val="nil"/>
              <w:bottom w:val="single" w:sz="8" w:space="0" w:color="auto"/>
              <w:right w:val="nil"/>
            </w:tcBorders>
            <w:shd w:val="clear" w:color="auto" w:fill="auto"/>
            <w:noWrap/>
            <w:vAlign w:val="center"/>
            <w:hideMark/>
          </w:tcPr>
          <w:p w:rsidR="00122507" w:rsidRPr="00122507" w:rsidP="00122507" w14:paraId="2EC0F9B7"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3C38A897"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64A86ACA"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8" w:space="0" w:color="auto"/>
              <w:left w:val="nil"/>
              <w:bottom w:val="single" w:sz="8" w:space="0" w:color="auto"/>
              <w:right w:val="single" w:sz="12" w:space="0" w:color="auto"/>
            </w:tcBorders>
            <w:shd w:val="clear" w:color="auto" w:fill="auto"/>
            <w:noWrap/>
            <w:vAlign w:val="bottom"/>
            <w:hideMark/>
          </w:tcPr>
          <w:p w:rsidR="00122507" w:rsidRPr="00122507" w:rsidP="00122507" w14:paraId="2C15C198"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8" w:space="0" w:color="auto"/>
              <w:left w:val="nil"/>
              <w:bottom w:val="single" w:sz="8" w:space="0" w:color="auto"/>
              <w:right w:val="nil"/>
            </w:tcBorders>
            <w:shd w:val="clear" w:color="auto" w:fill="auto"/>
            <w:noWrap/>
            <w:vAlign w:val="center"/>
            <w:hideMark/>
          </w:tcPr>
          <w:p w:rsidR="00122507" w:rsidRPr="00122507" w:rsidP="00122507" w14:paraId="59B0A182" w14:textId="77777777">
            <w:pPr>
              <w:spacing w:after="0"/>
              <w:ind w:firstLine="0"/>
              <w:rPr>
                <w:rFonts w:cs="Arial"/>
                <w:bCs/>
                <w:color w:val="000000"/>
                <w:sz w:val="20"/>
              </w:rPr>
            </w:pPr>
            <w:r w:rsidRPr="00122507">
              <w:rPr>
                <w:rFonts w:cs="Arial"/>
                <w:bCs/>
                <w:color w:val="000000"/>
                <w:sz w:val="20"/>
              </w:rPr>
              <w:t>3,294.94</w:t>
            </w:r>
          </w:p>
        </w:tc>
        <w:tc>
          <w:tcPr>
            <w:tcW w:w="1530"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122507" w:rsidRPr="00122507" w:rsidP="00122507" w14:paraId="6830E864" w14:textId="77777777">
            <w:pPr>
              <w:spacing w:after="0"/>
              <w:ind w:firstLine="0"/>
              <w:rPr>
                <w:rFonts w:cs="Arial"/>
                <w:bCs/>
                <w:color w:val="000000"/>
                <w:sz w:val="20"/>
              </w:rPr>
            </w:pPr>
            <w:r w:rsidRPr="00122507">
              <w:rPr>
                <w:rFonts w:cs="Arial"/>
                <w:bCs/>
                <w:color w:val="000000"/>
                <w:sz w:val="20"/>
              </w:rPr>
              <w:t>38,203.96</w:t>
            </w:r>
          </w:p>
        </w:tc>
      </w:tr>
      <w:tr w14:paraId="250BC464"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single" w:sz="8" w:space="0" w:color="000000" w:themeColor="text1"/>
            </w:tcBorders>
            <w:shd w:val="clear" w:color="auto" w:fill="auto"/>
            <w:noWrap/>
            <w:vAlign w:val="center"/>
            <w:hideMark/>
          </w:tcPr>
          <w:p w:rsidR="00122507" w:rsidRPr="00122507" w:rsidP="00122507" w14:paraId="1CE64CA4" w14:textId="77777777">
            <w:pPr>
              <w:spacing w:after="0"/>
              <w:ind w:firstLine="0"/>
              <w:rPr>
                <w:rFonts w:cs="Arial"/>
                <w:bCs/>
                <w:color w:val="000000"/>
                <w:sz w:val="20"/>
              </w:rPr>
            </w:pPr>
            <w:r w:rsidRPr="00122507">
              <w:rPr>
                <w:rFonts w:cs="Arial"/>
                <w:bCs/>
                <w:color w:val="000000"/>
                <w:sz w:val="20"/>
              </w:rPr>
              <w:t>E) Training</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4A16FA5B"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6E8F5989"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0C6ACCDE"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784209EE"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1883F2E3"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1909B905" w14:textId="77777777">
            <w:pPr>
              <w:spacing w:after="0"/>
              <w:ind w:firstLine="0"/>
              <w:rPr>
                <w:rFonts w:cs="Arial"/>
                <w:bCs/>
                <w:color w:val="000000"/>
                <w:sz w:val="20"/>
              </w:rPr>
            </w:pPr>
            <w:r w:rsidRPr="00122507">
              <w:rPr>
                <w:rFonts w:cs="Arial"/>
                <w:bCs/>
                <w:color w:val="000000"/>
                <w:sz w:val="20"/>
              </w:rPr>
              <w:t> </w:t>
            </w:r>
          </w:p>
        </w:tc>
      </w:tr>
      <w:tr w14:paraId="6179DFC7"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4F7A066C"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17552BC3" w14:textId="77777777">
            <w:pPr>
              <w:spacing w:after="0"/>
              <w:ind w:firstLine="0"/>
              <w:rPr>
                <w:rFonts w:cs="Arial"/>
                <w:bCs/>
                <w:color w:val="000000"/>
                <w:sz w:val="20"/>
              </w:rPr>
            </w:pPr>
            <w:r w:rsidRPr="00122507">
              <w:rPr>
                <w:rFonts w:cs="Arial"/>
                <w:bCs/>
                <w:color w:val="000000"/>
                <w:sz w:val="20"/>
              </w:rPr>
              <w:t>1) Provide Training</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397C991A"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C0A5C4C"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483D85B"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410FE191"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194D4E98"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45CCEBAB" w14:textId="77777777">
            <w:pPr>
              <w:spacing w:after="0"/>
              <w:ind w:firstLine="0"/>
              <w:rPr>
                <w:rFonts w:cs="Arial"/>
                <w:bCs/>
                <w:color w:val="000000"/>
                <w:sz w:val="20"/>
              </w:rPr>
            </w:pPr>
            <w:r w:rsidRPr="00122507">
              <w:rPr>
                <w:rFonts w:cs="Arial"/>
                <w:bCs/>
                <w:color w:val="000000"/>
                <w:sz w:val="20"/>
              </w:rPr>
              <w:t> </w:t>
            </w:r>
          </w:p>
        </w:tc>
      </w:tr>
      <w:tr w14:paraId="2CABF32F"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1B8ABB46"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343F2813"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vAlign w:val="center"/>
            <w:hideMark/>
          </w:tcPr>
          <w:p w:rsidR="00122507" w:rsidRPr="00122507" w:rsidP="00122507" w14:paraId="75F12ADB" w14:textId="77777777">
            <w:pPr>
              <w:spacing w:after="0"/>
              <w:ind w:firstLine="0"/>
              <w:rPr>
                <w:rFonts w:cs="Arial"/>
                <w:bCs/>
                <w:color w:val="000000"/>
                <w:sz w:val="20"/>
              </w:rPr>
            </w:pPr>
            <w:r w:rsidRPr="00122507">
              <w:rPr>
                <w:rFonts w:cs="Arial"/>
                <w:bCs/>
                <w:color w:val="000000"/>
                <w:sz w:val="20"/>
              </w:rPr>
              <w:t>a) Class II</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4005F81D"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400C4162" w14:textId="77777777">
            <w:pPr>
              <w:spacing w:after="0"/>
              <w:ind w:firstLine="0"/>
              <w:rPr>
                <w:rFonts w:cs="Arial"/>
                <w:bCs/>
                <w:color w:val="000000"/>
                <w:sz w:val="20"/>
              </w:rPr>
            </w:pPr>
            <w:r w:rsidRPr="00122507">
              <w:rPr>
                <w:rFonts w:cs="Arial"/>
                <w:bCs/>
                <w:color w:val="000000"/>
                <w:sz w:val="20"/>
              </w:rPr>
              <w:t>2,536.30</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1352611"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5F022F5E"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71E01724" w14:textId="77777777">
            <w:pPr>
              <w:spacing w:after="0"/>
              <w:ind w:firstLine="0"/>
              <w:rPr>
                <w:rFonts w:cs="Arial"/>
                <w:bCs/>
                <w:color w:val="000000"/>
                <w:sz w:val="20"/>
              </w:rPr>
            </w:pPr>
            <w:r w:rsidRPr="00122507">
              <w:rPr>
                <w:rFonts w:cs="Arial"/>
                <w:bCs/>
                <w:color w:val="000000"/>
                <w:sz w:val="20"/>
              </w:rPr>
              <w:t>2,536.30</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3CE4B2CB" w14:textId="77777777">
            <w:pPr>
              <w:spacing w:after="0"/>
              <w:ind w:firstLine="0"/>
              <w:rPr>
                <w:rFonts w:cs="Arial"/>
                <w:bCs/>
                <w:color w:val="000000"/>
                <w:sz w:val="20"/>
              </w:rPr>
            </w:pPr>
            <w:r w:rsidRPr="00122507">
              <w:rPr>
                <w:rFonts w:cs="Arial"/>
                <w:bCs/>
                <w:color w:val="000000"/>
                <w:sz w:val="20"/>
              </w:rPr>
              <w:t>79.26</w:t>
            </w:r>
          </w:p>
        </w:tc>
      </w:tr>
      <w:tr w14:paraId="3B90F1DC" w14:textId="77777777" w:rsidTr="00ED5D77">
        <w:tblPrEx>
          <w:tblW w:w="11070" w:type="dxa"/>
          <w:tblInd w:w="-735" w:type="dxa"/>
          <w:tblLayout w:type="fixed"/>
          <w:tblLook w:val="04A0"/>
        </w:tblPrEx>
        <w:trPr>
          <w:trHeight w:val="45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5B9D18F4"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34D34266"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vAlign w:val="center"/>
            <w:hideMark/>
          </w:tcPr>
          <w:p w:rsidR="00122507" w:rsidRPr="00122507" w:rsidP="00122507" w14:paraId="27A72344" w14:textId="77777777">
            <w:pPr>
              <w:spacing w:after="0"/>
              <w:ind w:firstLine="0"/>
              <w:rPr>
                <w:rFonts w:cs="Arial"/>
                <w:bCs/>
                <w:color w:val="000000"/>
                <w:sz w:val="20"/>
              </w:rPr>
            </w:pPr>
            <w:r w:rsidRPr="00122507">
              <w:rPr>
                <w:rFonts w:cs="Arial"/>
                <w:bCs/>
                <w:color w:val="000000"/>
                <w:sz w:val="20"/>
              </w:rPr>
              <w:t>b) Class III (including new projects)</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5200A3DF"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D9B7661" w14:textId="77777777">
            <w:pPr>
              <w:spacing w:after="0"/>
              <w:ind w:firstLine="0"/>
              <w:rPr>
                <w:rFonts w:cs="Arial"/>
                <w:bCs/>
                <w:color w:val="000000"/>
                <w:sz w:val="20"/>
              </w:rPr>
            </w:pPr>
            <w:r w:rsidRPr="00122507">
              <w:rPr>
                <w:rFonts w:cs="Arial"/>
                <w:bCs/>
                <w:color w:val="000000"/>
                <w:sz w:val="20"/>
              </w:rPr>
              <w:t>592.59</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019554F"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76EA8B17"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1EE6F7EE" w14:textId="77777777">
            <w:pPr>
              <w:spacing w:after="0"/>
              <w:ind w:firstLine="0"/>
              <w:rPr>
                <w:rFonts w:cs="Arial"/>
                <w:bCs/>
                <w:color w:val="000000"/>
                <w:sz w:val="20"/>
              </w:rPr>
            </w:pPr>
            <w:r w:rsidRPr="00122507">
              <w:rPr>
                <w:rFonts w:cs="Arial"/>
                <w:bCs/>
                <w:color w:val="000000"/>
                <w:sz w:val="20"/>
              </w:rPr>
              <w:t>592.59</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1DC221A1" w14:textId="77777777">
            <w:pPr>
              <w:spacing w:after="0"/>
              <w:ind w:firstLine="0"/>
              <w:rPr>
                <w:rFonts w:cs="Arial"/>
                <w:bCs/>
                <w:color w:val="000000"/>
                <w:sz w:val="20"/>
              </w:rPr>
            </w:pPr>
            <w:r w:rsidRPr="00122507">
              <w:rPr>
                <w:rFonts w:cs="Arial"/>
                <w:bCs/>
                <w:color w:val="000000"/>
                <w:sz w:val="20"/>
              </w:rPr>
              <w:t>37.04</w:t>
            </w:r>
          </w:p>
        </w:tc>
      </w:tr>
      <w:tr w14:paraId="1E1916D8"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429B4CA1"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5AD78FCF"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vAlign w:val="center"/>
            <w:hideMark/>
          </w:tcPr>
          <w:p w:rsidR="00122507" w:rsidRPr="00122507" w:rsidP="00122507" w14:paraId="1AB4D171" w14:textId="77777777">
            <w:pPr>
              <w:spacing w:after="0"/>
              <w:ind w:firstLine="0"/>
              <w:rPr>
                <w:rFonts w:cs="Arial"/>
                <w:bCs/>
                <w:color w:val="000000"/>
                <w:sz w:val="20"/>
              </w:rPr>
            </w:pPr>
            <w:r w:rsidRPr="00122507">
              <w:rPr>
                <w:rFonts w:cs="Arial"/>
                <w:bCs/>
                <w:color w:val="000000"/>
                <w:sz w:val="20"/>
              </w:rPr>
              <w:t>c) Class IV</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25D39C57"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4221899A" w14:textId="77777777">
            <w:pPr>
              <w:spacing w:after="0"/>
              <w:ind w:firstLine="0"/>
              <w:rPr>
                <w:rFonts w:cs="Arial"/>
                <w:bCs/>
                <w:color w:val="000000"/>
                <w:sz w:val="20"/>
              </w:rPr>
            </w:pPr>
            <w:r w:rsidRPr="00122507">
              <w:rPr>
                <w:rFonts w:cs="Arial"/>
                <w:bCs/>
                <w:color w:val="000000"/>
                <w:sz w:val="20"/>
              </w:rPr>
              <w:t>3,844.81</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1BA8A42D"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2FAF13E9"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6A9BA902" w14:textId="77777777">
            <w:pPr>
              <w:spacing w:after="0"/>
              <w:ind w:firstLine="0"/>
              <w:rPr>
                <w:rFonts w:cs="Arial"/>
                <w:bCs/>
                <w:color w:val="000000"/>
                <w:sz w:val="20"/>
              </w:rPr>
            </w:pPr>
            <w:r w:rsidRPr="00122507">
              <w:rPr>
                <w:rFonts w:cs="Arial"/>
                <w:bCs/>
                <w:color w:val="000000"/>
                <w:sz w:val="20"/>
              </w:rPr>
              <w:t>3,844.81</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70AFA9FC" w14:textId="77777777">
            <w:pPr>
              <w:spacing w:after="0"/>
              <w:ind w:firstLine="0"/>
              <w:rPr>
                <w:rFonts w:cs="Arial"/>
                <w:bCs/>
                <w:color w:val="000000"/>
                <w:sz w:val="20"/>
              </w:rPr>
            </w:pPr>
            <w:r w:rsidRPr="00122507">
              <w:rPr>
                <w:rFonts w:cs="Arial"/>
                <w:bCs/>
                <w:color w:val="000000"/>
                <w:sz w:val="20"/>
              </w:rPr>
              <w:t>1,922.41</w:t>
            </w:r>
          </w:p>
        </w:tc>
      </w:tr>
      <w:tr w14:paraId="66A554CD" w14:textId="77777777" w:rsidTr="00ED5D77">
        <w:tblPrEx>
          <w:tblW w:w="11070" w:type="dxa"/>
          <w:tblInd w:w="-735" w:type="dxa"/>
          <w:tblLayout w:type="fixed"/>
          <w:tblLook w:val="04A0"/>
        </w:tblPrEx>
        <w:trPr>
          <w:trHeight w:val="315"/>
        </w:trPr>
        <w:tc>
          <w:tcPr>
            <w:tcW w:w="270" w:type="dxa"/>
            <w:tcBorders>
              <w:top w:val="nil"/>
              <w:left w:val="single" w:sz="12" w:space="0" w:color="auto"/>
              <w:bottom w:val="single" w:sz="8" w:space="0" w:color="auto"/>
              <w:right w:val="nil"/>
            </w:tcBorders>
            <w:shd w:val="clear" w:color="auto" w:fill="auto"/>
            <w:noWrap/>
            <w:vAlign w:val="center"/>
            <w:hideMark/>
          </w:tcPr>
          <w:p w:rsidR="00122507" w:rsidRPr="00122507" w:rsidP="00122507" w14:paraId="438E1E55"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single" w:sz="8" w:space="0" w:color="auto"/>
              <w:right w:val="single" w:sz="8" w:space="0" w:color="000000" w:themeColor="text1"/>
            </w:tcBorders>
            <w:shd w:val="clear" w:color="auto" w:fill="auto"/>
            <w:noWrap/>
            <w:vAlign w:val="bottom"/>
            <w:hideMark/>
          </w:tcPr>
          <w:p w:rsidR="00122507" w:rsidRPr="00122507" w:rsidP="00122507" w14:paraId="3E2E6FC1" w14:textId="77777777">
            <w:pPr>
              <w:spacing w:after="0"/>
              <w:ind w:firstLine="0"/>
              <w:rPr>
                <w:rFonts w:cs="Arial"/>
                <w:bCs/>
                <w:color w:val="000000"/>
                <w:sz w:val="20"/>
              </w:rPr>
            </w:pPr>
            <w:r w:rsidRPr="00122507">
              <w:rPr>
                <w:rFonts w:cs="Arial"/>
                <w:bCs/>
                <w:color w:val="000000"/>
                <w:sz w:val="20"/>
              </w:rPr>
              <w:t>2) Maintain Training Records</w:t>
            </w:r>
          </w:p>
        </w:tc>
        <w:tc>
          <w:tcPr>
            <w:tcW w:w="990" w:type="dxa"/>
            <w:tcBorders>
              <w:top w:val="nil"/>
              <w:left w:val="nil"/>
              <w:bottom w:val="single" w:sz="8" w:space="0" w:color="auto"/>
              <w:right w:val="single" w:sz="8" w:space="0" w:color="auto"/>
            </w:tcBorders>
            <w:shd w:val="clear" w:color="auto" w:fill="auto"/>
            <w:noWrap/>
            <w:vAlign w:val="bottom"/>
            <w:hideMark/>
          </w:tcPr>
          <w:p w:rsidR="00122507" w:rsidRPr="00122507" w:rsidP="00122507" w14:paraId="168226E4" w14:textId="77777777">
            <w:pPr>
              <w:spacing w:after="0"/>
              <w:ind w:firstLine="0"/>
              <w:rPr>
                <w:rFonts w:cs="Arial"/>
                <w:bCs/>
                <w:color w:val="000000"/>
                <w:sz w:val="20"/>
              </w:rPr>
            </w:pPr>
            <w:r w:rsidRPr="00122507">
              <w:rPr>
                <w:rFonts w:cs="Arial"/>
                <w:bCs/>
                <w:color w:val="000000"/>
                <w:sz w:val="20"/>
              </w:rPr>
              <w:t>169.89</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1A1AC243"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0F9B381E"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50C49E14"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21F15489" w14:textId="77777777">
            <w:pPr>
              <w:spacing w:after="0"/>
              <w:ind w:firstLine="0"/>
              <w:rPr>
                <w:rFonts w:cs="Arial"/>
                <w:bCs/>
                <w:color w:val="000000"/>
                <w:sz w:val="20"/>
              </w:rPr>
            </w:pPr>
            <w:r w:rsidRPr="00122507">
              <w:rPr>
                <w:rFonts w:cs="Arial"/>
                <w:bCs/>
                <w:color w:val="000000"/>
                <w:sz w:val="20"/>
              </w:rPr>
              <w:t>169.89</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4244DB7E" w14:textId="77777777">
            <w:pPr>
              <w:spacing w:after="0"/>
              <w:ind w:firstLine="0"/>
              <w:rPr>
                <w:rFonts w:cs="Arial"/>
                <w:bCs/>
                <w:color w:val="000000"/>
                <w:sz w:val="20"/>
              </w:rPr>
            </w:pPr>
            <w:r w:rsidRPr="00122507">
              <w:rPr>
                <w:rFonts w:cs="Arial"/>
                <w:bCs/>
                <w:color w:val="000000"/>
                <w:sz w:val="20"/>
              </w:rPr>
              <w:t>2,038.70</w:t>
            </w:r>
          </w:p>
        </w:tc>
      </w:tr>
      <w:tr w14:paraId="20488093" w14:textId="77777777" w:rsidTr="00ED5D77">
        <w:tblPrEx>
          <w:tblW w:w="11070" w:type="dxa"/>
          <w:tblInd w:w="-735" w:type="dxa"/>
          <w:tblLayout w:type="fixed"/>
          <w:tblLook w:val="04A0"/>
        </w:tblPrEx>
        <w:trPr>
          <w:trHeight w:val="315"/>
        </w:trPr>
        <w:tc>
          <w:tcPr>
            <w:tcW w:w="3510" w:type="dxa"/>
            <w:gridSpan w:val="6"/>
            <w:tcBorders>
              <w:top w:val="nil"/>
              <w:left w:val="single" w:sz="12" w:space="0" w:color="auto"/>
              <w:bottom w:val="nil"/>
              <w:right w:val="single" w:sz="8" w:space="0" w:color="000000" w:themeColor="text1"/>
            </w:tcBorders>
            <w:shd w:val="clear" w:color="auto" w:fill="auto"/>
            <w:noWrap/>
            <w:vAlign w:val="center"/>
            <w:hideMark/>
          </w:tcPr>
          <w:p w:rsidR="00122507" w:rsidRPr="00122507" w:rsidP="00122507" w14:paraId="6FB3291E" w14:textId="77777777">
            <w:pPr>
              <w:spacing w:after="0"/>
              <w:ind w:firstLine="0"/>
              <w:rPr>
                <w:rFonts w:cs="Arial"/>
                <w:bCs/>
                <w:color w:val="000000"/>
                <w:sz w:val="20"/>
              </w:rPr>
            </w:pPr>
            <w:r w:rsidRPr="00122507">
              <w:rPr>
                <w:rFonts w:cs="Arial"/>
                <w:bCs/>
                <w:color w:val="000000"/>
                <w:sz w:val="20"/>
              </w:rPr>
              <w:t>Subtotal, Training</w:t>
            </w:r>
          </w:p>
        </w:tc>
        <w:tc>
          <w:tcPr>
            <w:tcW w:w="990" w:type="dxa"/>
            <w:tcBorders>
              <w:top w:val="nil"/>
              <w:left w:val="nil"/>
              <w:bottom w:val="single" w:sz="8" w:space="0" w:color="auto"/>
              <w:right w:val="nil"/>
            </w:tcBorders>
            <w:shd w:val="clear" w:color="auto" w:fill="auto"/>
            <w:noWrap/>
            <w:vAlign w:val="center"/>
            <w:hideMark/>
          </w:tcPr>
          <w:p w:rsidR="00122507" w:rsidRPr="00122507" w:rsidP="00122507" w14:paraId="473D4C46"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15A3F452"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4DE0ADED"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8" w:space="0" w:color="auto"/>
              <w:left w:val="nil"/>
              <w:bottom w:val="single" w:sz="8" w:space="0" w:color="auto"/>
              <w:right w:val="single" w:sz="12" w:space="0" w:color="auto"/>
            </w:tcBorders>
            <w:shd w:val="clear" w:color="auto" w:fill="auto"/>
            <w:noWrap/>
            <w:vAlign w:val="bottom"/>
            <w:hideMark/>
          </w:tcPr>
          <w:p w:rsidR="00122507" w:rsidRPr="00122507" w:rsidP="00122507" w14:paraId="3F7D4985"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8" w:space="0" w:color="auto"/>
              <w:left w:val="nil"/>
              <w:bottom w:val="single" w:sz="8" w:space="0" w:color="auto"/>
              <w:right w:val="nil"/>
            </w:tcBorders>
            <w:shd w:val="clear" w:color="auto" w:fill="auto"/>
            <w:noWrap/>
            <w:vAlign w:val="center"/>
            <w:hideMark/>
          </w:tcPr>
          <w:p w:rsidR="00122507" w:rsidRPr="00122507" w:rsidP="00122507" w14:paraId="447A46C9" w14:textId="77777777">
            <w:pPr>
              <w:spacing w:after="0"/>
              <w:ind w:firstLine="0"/>
              <w:rPr>
                <w:rFonts w:cs="Arial"/>
                <w:bCs/>
                <w:color w:val="000000"/>
                <w:sz w:val="20"/>
              </w:rPr>
            </w:pPr>
            <w:r w:rsidRPr="00122507">
              <w:rPr>
                <w:rFonts w:cs="Arial"/>
                <w:bCs/>
                <w:color w:val="000000"/>
                <w:sz w:val="20"/>
              </w:rPr>
              <w:t>7,143.59</w:t>
            </w:r>
          </w:p>
        </w:tc>
        <w:tc>
          <w:tcPr>
            <w:tcW w:w="1530"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122507" w:rsidRPr="00122507" w:rsidP="00122507" w14:paraId="21FA7433" w14:textId="77777777">
            <w:pPr>
              <w:spacing w:after="0"/>
              <w:ind w:firstLine="0"/>
              <w:rPr>
                <w:rFonts w:cs="Arial"/>
                <w:bCs/>
                <w:color w:val="000000"/>
                <w:sz w:val="20"/>
              </w:rPr>
            </w:pPr>
            <w:r w:rsidRPr="00122507">
              <w:rPr>
                <w:rFonts w:cs="Arial"/>
                <w:bCs/>
                <w:color w:val="000000"/>
                <w:sz w:val="20"/>
              </w:rPr>
              <w:t>4,077.41</w:t>
            </w:r>
          </w:p>
        </w:tc>
      </w:tr>
      <w:tr w14:paraId="624188F8"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single" w:sz="8" w:space="0" w:color="000000" w:themeColor="text1"/>
            </w:tcBorders>
            <w:shd w:val="clear" w:color="auto" w:fill="auto"/>
            <w:noWrap/>
            <w:vAlign w:val="center"/>
            <w:hideMark/>
          </w:tcPr>
          <w:p w:rsidR="00122507" w:rsidRPr="00122507" w:rsidP="00122507" w14:paraId="18795C26" w14:textId="77777777">
            <w:pPr>
              <w:spacing w:after="0"/>
              <w:ind w:firstLine="0"/>
              <w:rPr>
                <w:rFonts w:cs="Arial"/>
                <w:bCs/>
                <w:color w:val="000000"/>
                <w:sz w:val="20"/>
              </w:rPr>
            </w:pPr>
            <w:r w:rsidRPr="00122507">
              <w:rPr>
                <w:rFonts w:cs="Arial"/>
                <w:bCs/>
                <w:color w:val="000000"/>
                <w:sz w:val="20"/>
              </w:rPr>
              <w:t>F) Medical Surveillance</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02D0E1FE"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227A8BFE"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2594406"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4593863A"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47913610"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28D3D93C" w14:textId="77777777">
            <w:pPr>
              <w:spacing w:after="0"/>
              <w:ind w:firstLine="0"/>
              <w:rPr>
                <w:rFonts w:cs="Arial"/>
                <w:bCs/>
                <w:color w:val="000000"/>
                <w:sz w:val="20"/>
              </w:rPr>
            </w:pPr>
            <w:r w:rsidRPr="00122507">
              <w:rPr>
                <w:rFonts w:cs="Arial"/>
                <w:bCs/>
                <w:color w:val="000000"/>
                <w:sz w:val="20"/>
              </w:rPr>
              <w:t> </w:t>
            </w:r>
          </w:p>
        </w:tc>
      </w:tr>
      <w:tr w14:paraId="17F1972C" w14:textId="77777777" w:rsidTr="00ED5D77">
        <w:tblPrEx>
          <w:tblW w:w="11070" w:type="dxa"/>
          <w:tblInd w:w="-735" w:type="dxa"/>
          <w:tblLayout w:type="fixed"/>
          <w:tblLook w:val="04A0"/>
        </w:tblPrEx>
        <w:trPr>
          <w:trHeight w:val="300"/>
        </w:trPr>
        <w:tc>
          <w:tcPr>
            <w:tcW w:w="3510" w:type="dxa"/>
            <w:gridSpan w:val="6"/>
            <w:tcBorders>
              <w:top w:val="nil"/>
              <w:left w:val="single" w:sz="12" w:space="0" w:color="auto"/>
              <w:bottom w:val="nil"/>
              <w:right w:val="single" w:sz="8" w:space="0" w:color="000000" w:themeColor="text1"/>
            </w:tcBorders>
            <w:shd w:val="clear" w:color="auto" w:fill="auto"/>
            <w:noWrap/>
            <w:vAlign w:val="center"/>
            <w:hideMark/>
          </w:tcPr>
          <w:p w:rsidR="00122507" w:rsidRPr="00122507" w:rsidP="00122507" w14:paraId="07307873" w14:textId="77777777">
            <w:pPr>
              <w:spacing w:after="0"/>
              <w:ind w:firstLine="0"/>
              <w:rPr>
                <w:rFonts w:cs="Arial"/>
                <w:bCs/>
                <w:color w:val="000000"/>
                <w:sz w:val="20"/>
              </w:rPr>
            </w:pPr>
            <w:r w:rsidRPr="00122507">
              <w:rPr>
                <w:rFonts w:cs="Arial"/>
                <w:bCs/>
                <w:color w:val="000000"/>
                <w:sz w:val="20"/>
              </w:rPr>
              <w:t xml:space="preserve"> (includes +5% for turnover)</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69898BE5"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5CC8D244"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1F376122"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2A961471"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5A9B0AA4"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08F41C62" w14:textId="77777777">
            <w:pPr>
              <w:spacing w:after="0"/>
              <w:ind w:firstLine="0"/>
              <w:rPr>
                <w:rFonts w:cs="Arial"/>
                <w:bCs/>
                <w:color w:val="000000"/>
                <w:sz w:val="20"/>
              </w:rPr>
            </w:pPr>
            <w:r w:rsidRPr="00122507">
              <w:rPr>
                <w:rFonts w:cs="Arial"/>
                <w:bCs/>
                <w:color w:val="000000"/>
                <w:sz w:val="20"/>
              </w:rPr>
              <w:t> </w:t>
            </w:r>
          </w:p>
        </w:tc>
      </w:tr>
      <w:tr w14:paraId="5C39B4EE"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A4135F9"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22C053C5" w14:textId="77777777">
            <w:pPr>
              <w:spacing w:after="0"/>
              <w:ind w:firstLine="0"/>
              <w:rPr>
                <w:rFonts w:cs="Arial"/>
                <w:bCs/>
                <w:color w:val="000000"/>
                <w:sz w:val="20"/>
              </w:rPr>
            </w:pPr>
            <w:r w:rsidRPr="00122507">
              <w:rPr>
                <w:rFonts w:cs="Arial"/>
                <w:bCs/>
                <w:color w:val="000000"/>
                <w:sz w:val="20"/>
              </w:rPr>
              <w:t>1) Medical Exams</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475A7CE4"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57605E0" w14:textId="77777777">
            <w:pPr>
              <w:spacing w:after="0"/>
              <w:ind w:firstLine="0"/>
              <w:rPr>
                <w:rFonts w:cs="Arial"/>
                <w:bCs/>
                <w:color w:val="000000"/>
                <w:sz w:val="20"/>
              </w:rPr>
            </w:pPr>
            <w:r w:rsidRPr="00122507">
              <w:rPr>
                <w:rFonts w:cs="Arial"/>
                <w:bCs/>
                <w:color w:val="000000"/>
                <w:sz w:val="20"/>
              </w:rPr>
              <w:t>53.22</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4BCC546A" w14:textId="77777777">
            <w:pPr>
              <w:spacing w:after="0"/>
              <w:ind w:firstLine="0"/>
              <w:rPr>
                <w:rFonts w:cs="Arial"/>
                <w:bCs/>
                <w:color w:val="000000"/>
                <w:sz w:val="20"/>
              </w:rPr>
            </w:pPr>
            <w:r w:rsidRPr="00122507">
              <w:rPr>
                <w:rFonts w:cs="Arial"/>
                <w:bCs/>
                <w:color w:val="000000"/>
                <w:sz w:val="20"/>
              </w:rPr>
              <w:t>35.22</w:t>
            </w:r>
          </w:p>
        </w:tc>
        <w:tc>
          <w:tcPr>
            <w:tcW w:w="1170" w:type="dxa"/>
            <w:gridSpan w:val="2"/>
            <w:tcBorders>
              <w:top w:val="nil"/>
              <w:left w:val="nil"/>
              <w:bottom w:val="nil"/>
              <w:right w:val="nil"/>
            </w:tcBorders>
            <w:shd w:val="clear" w:color="auto" w:fill="auto"/>
            <w:noWrap/>
            <w:vAlign w:val="bottom"/>
            <w:hideMark/>
          </w:tcPr>
          <w:p w:rsidR="00122507" w:rsidRPr="00122507" w:rsidP="00122507" w14:paraId="78CF5207"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448AC97C" w14:textId="77777777">
            <w:pPr>
              <w:spacing w:after="0"/>
              <w:ind w:firstLine="0"/>
              <w:rPr>
                <w:rFonts w:cs="Arial"/>
                <w:bCs/>
                <w:color w:val="000000"/>
                <w:sz w:val="20"/>
              </w:rPr>
            </w:pPr>
            <w:r w:rsidRPr="00122507">
              <w:rPr>
                <w:rFonts w:cs="Arial"/>
                <w:bCs/>
                <w:color w:val="000000"/>
                <w:sz w:val="20"/>
              </w:rPr>
              <w:t>88.44</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1B60661A" w14:textId="77777777">
            <w:pPr>
              <w:spacing w:after="0"/>
              <w:ind w:firstLine="0"/>
              <w:rPr>
                <w:rFonts w:cs="Arial"/>
                <w:bCs/>
                <w:color w:val="000000"/>
                <w:sz w:val="20"/>
              </w:rPr>
            </w:pPr>
            <w:r w:rsidRPr="00122507">
              <w:rPr>
                <w:rFonts w:cs="Arial"/>
                <w:bCs/>
                <w:color w:val="000000"/>
                <w:sz w:val="20"/>
              </w:rPr>
              <w:t>117.93</w:t>
            </w:r>
          </w:p>
        </w:tc>
      </w:tr>
      <w:tr w14:paraId="7EF59917"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CDF0539"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02D831BB" w14:textId="77777777">
            <w:pPr>
              <w:spacing w:after="0"/>
              <w:ind w:firstLine="0"/>
              <w:rPr>
                <w:rFonts w:cs="Arial"/>
                <w:bCs/>
                <w:color w:val="000000"/>
                <w:sz w:val="20"/>
              </w:rPr>
            </w:pPr>
            <w:r w:rsidRPr="00122507">
              <w:rPr>
                <w:rFonts w:cs="Arial"/>
                <w:bCs/>
                <w:color w:val="000000"/>
                <w:sz w:val="20"/>
              </w:rPr>
              <w:t>2) Initial Questionnaire</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3AF87421"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688BDB5F" w14:textId="77777777">
            <w:pPr>
              <w:spacing w:after="0"/>
              <w:ind w:firstLine="0"/>
              <w:rPr>
                <w:rFonts w:cs="Arial"/>
                <w:bCs/>
                <w:color w:val="000000"/>
                <w:sz w:val="20"/>
              </w:rPr>
            </w:pPr>
            <w:r w:rsidRPr="00122507">
              <w:rPr>
                <w:rFonts w:cs="Arial"/>
                <w:bCs/>
                <w:color w:val="000000"/>
                <w:sz w:val="20"/>
              </w:rPr>
              <w:t>1.87</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86BC3FF" w14:textId="77777777">
            <w:pPr>
              <w:spacing w:after="0"/>
              <w:ind w:firstLine="0"/>
              <w:rPr>
                <w:rFonts w:cs="Arial"/>
                <w:bCs/>
                <w:color w:val="000000"/>
                <w:sz w:val="20"/>
              </w:rPr>
            </w:pPr>
            <w:r w:rsidRPr="00122507">
              <w:rPr>
                <w:rFonts w:cs="Arial"/>
                <w:bCs/>
                <w:color w:val="000000"/>
                <w:sz w:val="20"/>
              </w:rPr>
              <w:t>1.23</w:t>
            </w:r>
          </w:p>
        </w:tc>
        <w:tc>
          <w:tcPr>
            <w:tcW w:w="1170" w:type="dxa"/>
            <w:gridSpan w:val="2"/>
            <w:tcBorders>
              <w:top w:val="nil"/>
              <w:left w:val="nil"/>
              <w:bottom w:val="nil"/>
              <w:right w:val="nil"/>
            </w:tcBorders>
            <w:shd w:val="clear" w:color="auto" w:fill="auto"/>
            <w:noWrap/>
            <w:vAlign w:val="bottom"/>
            <w:hideMark/>
          </w:tcPr>
          <w:p w:rsidR="00122507" w:rsidRPr="00122507" w:rsidP="00122507" w14:paraId="394AEA79"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0A11FFD3" w14:textId="77777777">
            <w:pPr>
              <w:spacing w:after="0"/>
              <w:ind w:firstLine="0"/>
              <w:rPr>
                <w:rFonts w:cs="Arial"/>
                <w:bCs/>
                <w:color w:val="000000"/>
                <w:sz w:val="20"/>
              </w:rPr>
            </w:pPr>
            <w:r w:rsidRPr="00122507">
              <w:rPr>
                <w:rFonts w:cs="Arial"/>
                <w:bCs/>
                <w:color w:val="000000"/>
                <w:sz w:val="20"/>
              </w:rPr>
              <w:t>3.10</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6F8FE949" w14:textId="77777777">
            <w:pPr>
              <w:spacing w:after="0"/>
              <w:ind w:firstLine="0"/>
              <w:rPr>
                <w:rFonts w:cs="Arial"/>
                <w:bCs/>
                <w:color w:val="000000"/>
                <w:sz w:val="20"/>
              </w:rPr>
            </w:pPr>
            <w:r w:rsidRPr="00122507">
              <w:rPr>
                <w:rFonts w:cs="Arial"/>
                <w:bCs/>
                <w:color w:val="000000"/>
                <w:sz w:val="20"/>
              </w:rPr>
              <w:t>5.89</w:t>
            </w:r>
          </w:p>
        </w:tc>
      </w:tr>
      <w:tr w14:paraId="0059A612"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EFF0610"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08984D49" w14:textId="77777777">
            <w:pPr>
              <w:spacing w:after="0"/>
              <w:ind w:firstLine="0"/>
              <w:rPr>
                <w:rFonts w:cs="Arial"/>
                <w:bCs/>
                <w:color w:val="000000"/>
                <w:sz w:val="20"/>
              </w:rPr>
            </w:pPr>
            <w:r w:rsidRPr="00122507">
              <w:rPr>
                <w:rFonts w:cs="Arial"/>
                <w:bCs/>
                <w:color w:val="000000"/>
                <w:sz w:val="20"/>
              </w:rPr>
              <w:t>3) Periodic Questionnaire</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55D9A935"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1A3D3F3B" w14:textId="77777777">
            <w:pPr>
              <w:spacing w:after="0"/>
              <w:ind w:firstLine="0"/>
              <w:rPr>
                <w:rFonts w:cs="Arial"/>
                <w:bCs/>
                <w:color w:val="000000"/>
                <w:sz w:val="20"/>
              </w:rPr>
            </w:pPr>
            <w:r w:rsidRPr="00122507">
              <w:rPr>
                <w:rFonts w:cs="Arial"/>
                <w:bCs/>
                <w:color w:val="000000"/>
                <w:sz w:val="20"/>
              </w:rPr>
              <w:t>11.80</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AAF8044" w14:textId="77777777">
            <w:pPr>
              <w:spacing w:after="0"/>
              <w:ind w:firstLine="0"/>
              <w:rPr>
                <w:rFonts w:cs="Arial"/>
                <w:bCs/>
                <w:color w:val="000000"/>
                <w:sz w:val="20"/>
              </w:rPr>
            </w:pPr>
            <w:r w:rsidRPr="00122507">
              <w:rPr>
                <w:rFonts w:cs="Arial"/>
                <w:bCs/>
                <w:color w:val="000000"/>
                <w:sz w:val="20"/>
              </w:rPr>
              <w:t>7.81</w:t>
            </w:r>
          </w:p>
        </w:tc>
        <w:tc>
          <w:tcPr>
            <w:tcW w:w="1170" w:type="dxa"/>
            <w:gridSpan w:val="2"/>
            <w:tcBorders>
              <w:top w:val="nil"/>
              <w:left w:val="nil"/>
              <w:bottom w:val="nil"/>
              <w:right w:val="nil"/>
            </w:tcBorders>
            <w:shd w:val="clear" w:color="auto" w:fill="auto"/>
            <w:noWrap/>
            <w:vAlign w:val="bottom"/>
            <w:hideMark/>
          </w:tcPr>
          <w:p w:rsidR="00122507" w:rsidRPr="00122507" w:rsidP="00122507" w14:paraId="79D895A1"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04F13508" w14:textId="77777777">
            <w:pPr>
              <w:spacing w:after="0"/>
              <w:ind w:firstLine="0"/>
              <w:rPr>
                <w:rFonts w:cs="Arial"/>
                <w:bCs/>
                <w:color w:val="000000"/>
                <w:sz w:val="20"/>
              </w:rPr>
            </w:pPr>
            <w:r w:rsidRPr="00122507">
              <w:rPr>
                <w:rFonts w:cs="Arial"/>
                <w:bCs/>
                <w:color w:val="000000"/>
                <w:sz w:val="20"/>
              </w:rPr>
              <w:t>19.61</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348C2AFB" w14:textId="77777777">
            <w:pPr>
              <w:spacing w:after="0"/>
              <w:ind w:firstLine="0"/>
              <w:rPr>
                <w:rFonts w:cs="Arial"/>
                <w:bCs/>
                <w:color w:val="000000"/>
                <w:sz w:val="20"/>
              </w:rPr>
            </w:pPr>
            <w:r w:rsidRPr="00122507">
              <w:rPr>
                <w:rFonts w:cs="Arial"/>
                <w:bCs/>
                <w:color w:val="000000"/>
                <w:sz w:val="20"/>
              </w:rPr>
              <w:t>112.04</w:t>
            </w:r>
          </w:p>
        </w:tc>
      </w:tr>
      <w:tr w14:paraId="24F4A068" w14:textId="77777777" w:rsidTr="00ED5D77">
        <w:tblPrEx>
          <w:tblW w:w="11070" w:type="dxa"/>
          <w:tblInd w:w="-735" w:type="dxa"/>
          <w:tblLayout w:type="fixed"/>
          <w:tblLook w:val="04A0"/>
        </w:tblPrEx>
        <w:trPr>
          <w:trHeight w:val="300"/>
        </w:trPr>
        <w:tc>
          <w:tcPr>
            <w:tcW w:w="270" w:type="dxa"/>
            <w:tcBorders>
              <w:top w:val="nil"/>
              <w:left w:val="single" w:sz="12" w:space="0" w:color="auto"/>
              <w:right w:val="nil"/>
            </w:tcBorders>
            <w:shd w:val="clear" w:color="auto" w:fill="auto"/>
            <w:noWrap/>
            <w:vAlign w:val="center"/>
            <w:hideMark/>
          </w:tcPr>
          <w:p w:rsidR="00122507" w:rsidRPr="00122507" w:rsidP="00122507" w14:paraId="0A44AD93"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right w:val="single" w:sz="8" w:space="0" w:color="000000" w:themeColor="text1"/>
            </w:tcBorders>
            <w:shd w:val="clear" w:color="auto" w:fill="auto"/>
            <w:noWrap/>
            <w:vAlign w:val="bottom"/>
            <w:hideMark/>
          </w:tcPr>
          <w:p w:rsidR="00122507" w:rsidRPr="00122507" w:rsidP="00122507" w14:paraId="07C39A41" w14:textId="77777777">
            <w:pPr>
              <w:spacing w:after="0"/>
              <w:ind w:firstLine="0"/>
              <w:rPr>
                <w:rFonts w:cs="Arial"/>
                <w:bCs/>
                <w:color w:val="000000"/>
                <w:sz w:val="20"/>
              </w:rPr>
            </w:pPr>
            <w:r w:rsidRPr="00122507">
              <w:rPr>
                <w:rFonts w:cs="Arial"/>
                <w:bCs/>
                <w:color w:val="000000"/>
                <w:sz w:val="20"/>
              </w:rPr>
              <w:t>4) Information to Physicians</w:t>
            </w:r>
          </w:p>
        </w:tc>
        <w:tc>
          <w:tcPr>
            <w:tcW w:w="990" w:type="dxa"/>
            <w:tcBorders>
              <w:top w:val="nil"/>
              <w:left w:val="nil"/>
              <w:right w:val="single" w:sz="8" w:space="0" w:color="auto"/>
            </w:tcBorders>
            <w:shd w:val="clear" w:color="auto" w:fill="auto"/>
            <w:noWrap/>
            <w:vAlign w:val="bottom"/>
            <w:hideMark/>
          </w:tcPr>
          <w:p w:rsidR="00122507" w:rsidRPr="00122507" w:rsidP="00122507" w14:paraId="760153CB" w14:textId="77777777">
            <w:pPr>
              <w:spacing w:after="0"/>
              <w:ind w:firstLine="0"/>
              <w:rPr>
                <w:rFonts w:cs="Arial"/>
                <w:bCs/>
                <w:color w:val="000000"/>
                <w:sz w:val="20"/>
              </w:rPr>
            </w:pPr>
            <w:r w:rsidRPr="00122507">
              <w:rPr>
                <w:rFonts w:cs="Arial"/>
                <w:bCs/>
                <w:color w:val="000000"/>
                <w:sz w:val="20"/>
              </w:rPr>
              <w:t>10.32</w:t>
            </w:r>
          </w:p>
        </w:tc>
        <w:tc>
          <w:tcPr>
            <w:tcW w:w="1350" w:type="dxa"/>
            <w:gridSpan w:val="2"/>
            <w:tcBorders>
              <w:top w:val="nil"/>
              <w:left w:val="nil"/>
              <w:right w:val="single" w:sz="8" w:space="0" w:color="auto"/>
            </w:tcBorders>
            <w:shd w:val="clear" w:color="auto" w:fill="auto"/>
            <w:noWrap/>
            <w:vAlign w:val="bottom"/>
            <w:hideMark/>
          </w:tcPr>
          <w:p w:rsidR="00122507" w:rsidRPr="00122507" w:rsidP="00122507" w14:paraId="2BF8796D"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right w:val="single" w:sz="8" w:space="0" w:color="auto"/>
            </w:tcBorders>
            <w:shd w:val="clear" w:color="auto" w:fill="auto"/>
            <w:noWrap/>
            <w:vAlign w:val="bottom"/>
            <w:hideMark/>
          </w:tcPr>
          <w:p w:rsidR="00122507" w:rsidRPr="00122507" w:rsidP="00122507" w14:paraId="76572615"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right w:val="nil"/>
            </w:tcBorders>
            <w:shd w:val="clear" w:color="auto" w:fill="auto"/>
            <w:noWrap/>
            <w:vAlign w:val="bottom"/>
            <w:hideMark/>
          </w:tcPr>
          <w:p w:rsidR="00122507" w:rsidRPr="00122507" w:rsidP="00122507" w14:paraId="085CEB85"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right w:val="nil"/>
            </w:tcBorders>
            <w:shd w:val="clear" w:color="auto" w:fill="auto"/>
            <w:noWrap/>
            <w:vAlign w:val="bottom"/>
            <w:hideMark/>
          </w:tcPr>
          <w:p w:rsidR="00122507" w:rsidRPr="00122507" w:rsidP="00122507" w14:paraId="6FC3F267" w14:textId="77777777">
            <w:pPr>
              <w:spacing w:after="0"/>
              <w:ind w:firstLine="0"/>
              <w:rPr>
                <w:rFonts w:cs="Arial"/>
                <w:bCs/>
                <w:color w:val="000000"/>
                <w:sz w:val="20"/>
              </w:rPr>
            </w:pPr>
            <w:r w:rsidRPr="00122507">
              <w:rPr>
                <w:rFonts w:cs="Arial"/>
                <w:bCs/>
                <w:color w:val="000000"/>
                <w:sz w:val="20"/>
              </w:rPr>
              <w:t>10.32</w:t>
            </w:r>
          </w:p>
        </w:tc>
        <w:tc>
          <w:tcPr>
            <w:tcW w:w="1530" w:type="dxa"/>
            <w:gridSpan w:val="2"/>
            <w:tcBorders>
              <w:top w:val="nil"/>
              <w:left w:val="single" w:sz="12" w:space="0" w:color="auto"/>
              <w:right w:val="single" w:sz="12" w:space="0" w:color="auto"/>
            </w:tcBorders>
            <w:shd w:val="clear" w:color="auto" w:fill="auto"/>
            <w:noWrap/>
            <w:vAlign w:val="bottom"/>
            <w:hideMark/>
          </w:tcPr>
          <w:p w:rsidR="00122507" w:rsidRPr="00122507" w:rsidP="00122507" w14:paraId="4B375640" w14:textId="77777777">
            <w:pPr>
              <w:spacing w:after="0"/>
              <w:ind w:firstLine="0"/>
              <w:rPr>
                <w:rFonts w:cs="Arial"/>
                <w:bCs/>
                <w:color w:val="000000"/>
                <w:sz w:val="20"/>
              </w:rPr>
            </w:pPr>
            <w:r w:rsidRPr="00122507">
              <w:rPr>
                <w:rFonts w:cs="Arial"/>
                <w:bCs/>
                <w:color w:val="000000"/>
                <w:sz w:val="20"/>
              </w:rPr>
              <w:t>117.93</w:t>
            </w:r>
          </w:p>
        </w:tc>
      </w:tr>
      <w:tr w14:paraId="0381EDBB" w14:textId="77777777" w:rsidTr="00ED5D77">
        <w:tblPrEx>
          <w:tblW w:w="11070" w:type="dxa"/>
          <w:tblInd w:w="-735" w:type="dxa"/>
          <w:tblLayout w:type="fixed"/>
          <w:tblLook w:val="04A0"/>
        </w:tblPrEx>
        <w:trPr>
          <w:trHeight w:val="300"/>
        </w:trPr>
        <w:tc>
          <w:tcPr>
            <w:tcW w:w="270" w:type="dxa"/>
            <w:tcBorders>
              <w:top w:val="nil"/>
              <w:left w:val="single" w:sz="12" w:space="0" w:color="auto"/>
              <w:bottom w:val="single" w:sz="8" w:space="0" w:color="auto"/>
              <w:right w:val="nil"/>
            </w:tcBorders>
            <w:shd w:val="clear" w:color="auto" w:fill="auto"/>
            <w:noWrap/>
            <w:vAlign w:val="center"/>
            <w:hideMark/>
          </w:tcPr>
          <w:p w:rsidR="00122507" w:rsidRPr="00122507" w:rsidP="00122507" w14:paraId="57BA7060"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single" w:sz="8" w:space="0" w:color="auto"/>
              <w:right w:val="single" w:sz="8" w:space="0" w:color="000000" w:themeColor="text1"/>
            </w:tcBorders>
            <w:shd w:val="clear" w:color="auto" w:fill="auto"/>
            <w:noWrap/>
            <w:vAlign w:val="bottom"/>
            <w:hideMark/>
          </w:tcPr>
          <w:p w:rsidR="00122507" w:rsidRPr="00122507" w:rsidP="00122507" w14:paraId="2675EE5D" w14:textId="77777777">
            <w:pPr>
              <w:spacing w:after="0"/>
              <w:ind w:firstLine="0"/>
              <w:rPr>
                <w:rFonts w:cs="Arial"/>
                <w:bCs/>
                <w:color w:val="000000"/>
                <w:sz w:val="20"/>
              </w:rPr>
            </w:pPr>
            <w:r w:rsidRPr="00122507">
              <w:rPr>
                <w:rFonts w:cs="Arial"/>
                <w:bCs/>
                <w:color w:val="000000"/>
                <w:sz w:val="20"/>
              </w:rPr>
              <w:t>5) Physician’s Written Opinion</w:t>
            </w:r>
          </w:p>
        </w:tc>
        <w:tc>
          <w:tcPr>
            <w:tcW w:w="990" w:type="dxa"/>
            <w:tcBorders>
              <w:top w:val="nil"/>
              <w:left w:val="nil"/>
              <w:bottom w:val="single" w:sz="8" w:space="0" w:color="auto"/>
              <w:right w:val="single" w:sz="8" w:space="0" w:color="auto"/>
            </w:tcBorders>
            <w:shd w:val="clear" w:color="auto" w:fill="auto"/>
            <w:noWrap/>
            <w:vAlign w:val="bottom"/>
            <w:hideMark/>
          </w:tcPr>
          <w:p w:rsidR="00122507" w:rsidRPr="00122507" w:rsidP="00122507" w14:paraId="1546374F" w14:textId="77777777">
            <w:pPr>
              <w:spacing w:after="0"/>
              <w:ind w:firstLine="0"/>
              <w:rPr>
                <w:rFonts w:cs="Arial"/>
                <w:bCs/>
                <w:color w:val="000000"/>
                <w:sz w:val="20"/>
              </w:rPr>
            </w:pPr>
            <w:r w:rsidRPr="00122507">
              <w:rPr>
                <w:rFonts w:cs="Arial"/>
                <w:bCs/>
                <w:color w:val="000000"/>
                <w:sz w:val="20"/>
              </w:rPr>
              <w:t>9.83</w:t>
            </w:r>
          </w:p>
        </w:tc>
        <w:tc>
          <w:tcPr>
            <w:tcW w:w="1350" w:type="dxa"/>
            <w:gridSpan w:val="2"/>
            <w:tcBorders>
              <w:top w:val="nil"/>
              <w:left w:val="nil"/>
              <w:bottom w:val="single" w:sz="8" w:space="0" w:color="auto"/>
              <w:right w:val="single" w:sz="8" w:space="0" w:color="auto"/>
            </w:tcBorders>
            <w:shd w:val="clear" w:color="auto" w:fill="auto"/>
            <w:noWrap/>
            <w:vAlign w:val="bottom"/>
            <w:hideMark/>
          </w:tcPr>
          <w:p w:rsidR="00122507" w:rsidRPr="00122507" w:rsidP="00122507" w14:paraId="41C49D27"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single" w:sz="8" w:space="0" w:color="auto"/>
              <w:right w:val="single" w:sz="8" w:space="0" w:color="auto"/>
            </w:tcBorders>
            <w:shd w:val="clear" w:color="auto" w:fill="auto"/>
            <w:noWrap/>
            <w:vAlign w:val="bottom"/>
            <w:hideMark/>
          </w:tcPr>
          <w:p w:rsidR="00122507" w:rsidRPr="00122507" w:rsidP="00122507" w14:paraId="2ECDB7A3"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single" w:sz="8" w:space="0" w:color="auto"/>
              <w:right w:val="nil"/>
            </w:tcBorders>
            <w:shd w:val="clear" w:color="auto" w:fill="auto"/>
            <w:noWrap/>
            <w:vAlign w:val="bottom"/>
            <w:hideMark/>
          </w:tcPr>
          <w:p w:rsidR="00122507" w:rsidRPr="00122507" w:rsidP="00122507" w14:paraId="250AB338"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single" w:sz="8" w:space="0" w:color="auto"/>
              <w:right w:val="nil"/>
            </w:tcBorders>
            <w:shd w:val="clear" w:color="auto" w:fill="auto"/>
            <w:noWrap/>
            <w:vAlign w:val="bottom"/>
            <w:hideMark/>
          </w:tcPr>
          <w:p w:rsidR="00122507" w:rsidRPr="00122507" w:rsidP="00122507" w14:paraId="268A3E5E" w14:textId="77777777">
            <w:pPr>
              <w:spacing w:after="0"/>
              <w:ind w:firstLine="0"/>
              <w:rPr>
                <w:rFonts w:cs="Arial"/>
                <w:bCs/>
                <w:color w:val="000000"/>
                <w:sz w:val="20"/>
              </w:rPr>
            </w:pPr>
            <w:r w:rsidRPr="00122507">
              <w:rPr>
                <w:rFonts w:cs="Arial"/>
                <w:bCs/>
                <w:color w:val="000000"/>
                <w:sz w:val="20"/>
              </w:rPr>
              <w:t>9.83</w:t>
            </w:r>
          </w:p>
        </w:tc>
        <w:tc>
          <w:tcPr>
            <w:tcW w:w="1530" w:type="dxa"/>
            <w:gridSpan w:val="2"/>
            <w:tcBorders>
              <w:top w:val="nil"/>
              <w:left w:val="single" w:sz="12" w:space="0" w:color="auto"/>
              <w:bottom w:val="single" w:sz="8" w:space="0" w:color="auto"/>
              <w:right w:val="single" w:sz="12" w:space="0" w:color="auto"/>
            </w:tcBorders>
            <w:shd w:val="clear" w:color="auto" w:fill="auto"/>
            <w:noWrap/>
            <w:vAlign w:val="bottom"/>
            <w:hideMark/>
          </w:tcPr>
          <w:p w:rsidR="00122507" w:rsidRPr="00122507" w:rsidP="00122507" w14:paraId="20875984" w14:textId="77777777">
            <w:pPr>
              <w:spacing w:after="0"/>
              <w:ind w:firstLine="0"/>
              <w:rPr>
                <w:rFonts w:cs="Arial"/>
                <w:bCs/>
                <w:color w:val="000000"/>
                <w:sz w:val="20"/>
              </w:rPr>
            </w:pPr>
            <w:r w:rsidRPr="00122507">
              <w:rPr>
                <w:rFonts w:cs="Arial"/>
                <w:bCs/>
                <w:color w:val="000000"/>
                <w:sz w:val="20"/>
              </w:rPr>
              <w:t>117.93</w:t>
            </w:r>
          </w:p>
        </w:tc>
      </w:tr>
      <w:tr w14:paraId="7519BE5E" w14:textId="77777777" w:rsidTr="00ED5D77">
        <w:tblPrEx>
          <w:tblW w:w="11070" w:type="dxa"/>
          <w:tblInd w:w="-735" w:type="dxa"/>
          <w:tblLayout w:type="fixed"/>
          <w:tblLook w:val="04A0"/>
        </w:tblPrEx>
        <w:trPr>
          <w:trHeight w:val="315"/>
        </w:trPr>
        <w:tc>
          <w:tcPr>
            <w:tcW w:w="270" w:type="dxa"/>
            <w:tcBorders>
              <w:top w:val="single" w:sz="8" w:space="0" w:color="auto"/>
              <w:left w:val="single" w:sz="12" w:space="0" w:color="auto"/>
              <w:bottom w:val="single" w:sz="8" w:space="0" w:color="auto"/>
              <w:right w:val="nil"/>
            </w:tcBorders>
            <w:shd w:val="clear" w:color="auto" w:fill="auto"/>
            <w:noWrap/>
            <w:vAlign w:val="center"/>
            <w:hideMark/>
          </w:tcPr>
          <w:p w:rsidR="00122507" w:rsidRPr="00122507" w:rsidP="00122507" w14:paraId="2A89CB11"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single" w:sz="8" w:space="0" w:color="auto"/>
              <w:left w:val="nil"/>
              <w:bottom w:val="single" w:sz="8" w:space="0" w:color="auto"/>
              <w:right w:val="single" w:sz="8" w:space="0" w:color="000000" w:themeColor="text1"/>
            </w:tcBorders>
            <w:shd w:val="clear" w:color="auto" w:fill="auto"/>
            <w:noWrap/>
            <w:vAlign w:val="bottom"/>
            <w:hideMark/>
          </w:tcPr>
          <w:p w:rsidR="00122507" w:rsidRPr="00122507" w:rsidP="00122507" w14:paraId="0340247F" w14:textId="77777777">
            <w:pPr>
              <w:spacing w:after="0"/>
              <w:ind w:firstLine="0"/>
              <w:rPr>
                <w:rFonts w:cs="Arial"/>
                <w:bCs/>
                <w:color w:val="000000"/>
                <w:sz w:val="20"/>
              </w:rPr>
            </w:pPr>
            <w:r w:rsidRPr="00122507">
              <w:rPr>
                <w:rFonts w:cs="Arial"/>
                <w:bCs/>
                <w:color w:val="000000"/>
                <w:sz w:val="20"/>
              </w:rPr>
              <w:t>6) Maintain Exam Records</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122507" w:rsidRPr="00122507" w:rsidP="00122507" w14:paraId="4EC4BD08" w14:textId="77777777">
            <w:pPr>
              <w:spacing w:after="0"/>
              <w:ind w:firstLine="0"/>
              <w:rPr>
                <w:rFonts w:cs="Arial"/>
                <w:bCs/>
                <w:color w:val="000000"/>
                <w:sz w:val="20"/>
              </w:rPr>
            </w:pPr>
            <w:r w:rsidRPr="00122507">
              <w:rPr>
                <w:rFonts w:cs="Arial"/>
                <w:bCs/>
                <w:color w:val="000000"/>
                <w:sz w:val="20"/>
              </w:rPr>
              <w:t>9.83</w:t>
            </w:r>
          </w:p>
        </w:tc>
        <w:tc>
          <w:tcPr>
            <w:tcW w:w="1350" w:type="dxa"/>
            <w:gridSpan w:val="2"/>
            <w:tcBorders>
              <w:top w:val="single" w:sz="8" w:space="0" w:color="auto"/>
              <w:left w:val="nil"/>
              <w:bottom w:val="single" w:sz="4" w:space="0" w:color="auto"/>
              <w:right w:val="single" w:sz="8" w:space="0" w:color="auto"/>
            </w:tcBorders>
            <w:shd w:val="clear" w:color="auto" w:fill="auto"/>
            <w:noWrap/>
            <w:vAlign w:val="bottom"/>
            <w:hideMark/>
          </w:tcPr>
          <w:p w:rsidR="00122507" w:rsidRPr="00122507" w:rsidP="00122507" w14:paraId="6C94ABC8"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8" w:space="0" w:color="auto"/>
              <w:left w:val="nil"/>
              <w:bottom w:val="single" w:sz="4" w:space="0" w:color="auto"/>
              <w:right w:val="single" w:sz="8" w:space="0" w:color="auto"/>
            </w:tcBorders>
            <w:shd w:val="clear" w:color="auto" w:fill="auto"/>
            <w:noWrap/>
            <w:vAlign w:val="bottom"/>
            <w:hideMark/>
          </w:tcPr>
          <w:p w:rsidR="00122507" w:rsidRPr="00122507" w:rsidP="00122507" w14:paraId="1E8EFA44"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8" w:space="0" w:color="auto"/>
              <w:left w:val="nil"/>
              <w:bottom w:val="single" w:sz="4" w:space="0" w:color="auto"/>
              <w:right w:val="nil"/>
            </w:tcBorders>
            <w:shd w:val="clear" w:color="auto" w:fill="auto"/>
            <w:noWrap/>
            <w:vAlign w:val="bottom"/>
            <w:hideMark/>
          </w:tcPr>
          <w:p w:rsidR="00122507" w:rsidRPr="00122507" w:rsidP="00122507" w14:paraId="6E23B7AD"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8" w:space="0" w:color="auto"/>
              <w:left w:val="single" w:sz="12" w:space="0" w:color="auto"/>
              <w:bottom w:val="single" w:sz="4" w:space="0" w:color="auto"/>
              <w:right w:val="nil"/>
            </w:tcBorders>
            <w:shd w:val="clear" w:color="auto" w:fill="auto"/>
            <w:noWrap/>
            <w:vAlign w:val="bottom"/>
            <w:hideMark/>
          </w:tcPr>
          <w:p w:rsidR="00122507" w:rsidRPr="00122507" w:rsidP="00122507" w14:paraId="6B4A51CB" w14:textId="77777777">
            <w:pPr>
              <w:spacing w:after="0"/>
              <w:ind w:firstLine="0"/>
              <w:rPr>
                <w:rFonts w:cs="Arial"/>
                <w:bCs/>
                <w:color w:val="000000"/>
                <w:sz w:val="20"/>
              </w:rPr>
            </w:pPr>
            <w:r w:rsidRPr="00122507">
              <w:rPr>
                <w:rFonts w:cs="Arial"/>
                <w:bCs/>
                <w:color w:val="000000"/>
                <w:sz w:val="20"/>
              </w:rPr>
              <w:t>9.83</w:t>
            </w:r>
          </w:p>
        </w:tc>
        <w:tc>
          <w:tcPr>
            <w:tcW w:w="1530" w:type="dxa"/>
            <w:gridSpan w:val="2"/>
            <w:tcBorders>
              <w:top w:val="single" w:sz="8" w:space="0" w:color="auto"/>
              <w:left w:val="single" w:sz="12" w:space="0" w:color="auto"/>
              <w:bottom w:val="single" w:sz="4" w:space="0" w:color="auto"/>
              <w:right w:val="single" w:sz="12" w:space="0" w:color="auto"/>
            </w:tcBorders>
            <w:shd w:val="clear" w:color="auto" w:fill="auto"/>
            <w:noWrap/>
            <w:vAlign w:val="bottom"/>
            <w:hideMark/>
          </w:tcPr>
          <w:p w:rsidR="00122507" w:rsidRPr="00122507" w:rsidP="00122507" w14:paraId="1D30D2F5" w14:textId="77777777">
            <w:pPr>
              <w:spacing w:after="0"/>
              <w:ind w:firstLine="0"/>
              <w:rPr>
                <w:rFonts w:cs="Arial"/>
                <w:bCs/>
                <w:color w:val="000000"/>
                <w:sz w:val="20"/>
              </w:rPr>
            </w:pPr>
            <w:r w:rsidRPr="00122507">
              <w:rPr>
                <w:rFonts w:cs="Arial"/>
                <w:bCs/>
                <w:color w:val="000000"/>
                <w:sz w:val="20"/>
              </w:rPr>
              <w:t>117.93</w:t>
            </w:r>
          </w:p>
        </w:tc>
      </w:tr>
      <w:tr w14:paraId="3C4EEEB7" w14:textId="77777777" w:rsidTr="00ED5D77">
        <w:tblPrEx>
          <w:tblW w:w="11070" w:type="dxa"/>
          <w:tblInd w:w="-735" w:type="dxa"/>
          <w:tblLayout w:type="fixed"/>
          <w:tblLook w:val="04A0"/>
        </w:tblPrEx>
        <w:trPr>
          <w:trHeight w:val="315"/>
        </w:trPr>
        <w:tc>
          <w:tcPr>
            <w:tcW w:w="3510" w:type="dxa"/>
            <w:gridSpan w:val="6"/>
            <w:tcBorders>
              <w:top w:val="nil"/>
              <w:left w:val="single" w:sz="12" w:space="0" w:color="auto"/>
              <w:bottom w:val="nil"/>
              <w:right w:val="single" w:sz="8" w:space="0" w:color="000000" w:themeColor="text1"/>
            </w:tcBorders>
            <w:shd w:val="clear" w:color="auto" w:fill="auto"/>
            <w:noWrap/>
            <w:vAlign w:val="center"/>
            <w:hideMark/>
          </w:tcPr>
          <w:p w:rsidR="00122507" w:rsidRPr="00122507" w:rsidP="00122507" w14:paraId="77A91348" w14:textId="77777777">
            <w:pPr>
              <w:spacing w:after="0"/>
              <w:ind w:firstLine="0"/>
              <w:rPr>
                <w:rFonts w:cs="Arial"/>
                <w:bCs/>
                <w:color w:val="000000"/>
                <w:sz w:val="20"/>
              </w:rPr>
            </w:pPr>
            <w:r w:rsidRPr="00122507">
              <w:rPr>
                <w:rFonts w:cs="Arial"/>
                <w:bCs/>
                <w:color w:val="000000"/>
                <w:sz w:val="20"/>
              </w:rPr>
              <w:t>Subtotal, Medical Surveillance</w:t>
            </w:r>
          </w:p>
        </w:tc>
        <w:tc>
          <w:tcPr>
            <w:tcW w:w="990" w:type="dxa"/>
            <w:tcBorders>
              <w:top w:val="nil"/>
              <w:left w:val="nil"/>
              <w:bottom w:val="single" w:sz="8" w:space="0" w:color="auto"/>
              <w:right w:val="nil"/>
            </w:tcBorders>
            <w:shd w:val="clear" w:color="auto" w:fill="auto"/>
            <w:noWrap/>
            <w:vAlign w:val="center"/>
            <w:hideMark/>
          </w:tcPr>
          <w:p w:rsidR="00122507" w:rsidRPr="00122507" w:rsidP="00122507" w14:paraId="2C55AA2B"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4" w:space="0" w:color="auto"/>
              <w:left w:val="nil"/>
              <w:bottom w:val="single" w:sz="8" w:space="0" w:color="auto"/>
              <w:right w:val="nil"/>
            </w:tcBorders>
            <w:shd w:val="clear" w:color="auto" w:fill="auto"/>
            <w:noWrap/>
            <w:vAlign w:val="bottom"/>
            <w:hideMark/>
          </w:tcPr>
          <w:p w:rsidR="00122507" w:rsidRPr="00122507" w:rsidP="00122507" w14:paraId="6D6DF495"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4" w:space="0" w:color="auto"/>
              <w:left w:val="nil"/>
              <w:bottom w:val="single" w:sz="8" w:space="0" w:color="auto"/>
              <w:right w:val="nil"/>
            </w:tcBorders>
            <w:shd w:val="clear" w:color="auto" w:fill="auto"/>
            <w:noWrap/>
            <w:vAlign w:val="bottom"/>
            <w:hideMark/>
          </w:tcPr>
          <w:p w:rsidR="00122507" w:rsidRPr="00122507" w:rsidP="00122507" w14:paraId="2E4CE47A"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4" w:space="0" w:color="auto"/>
              <w:left w:val="nil"/>
              <w:bottom w:val="single" w:sz="8" w:space="0" w:color="auto"/>
              <w:right w:val="single" w:sz="12" w:space="0" w:color="auto"/>
            </w:tcBorders>
            <w:shd w:val="clear" w:color="auto" w:fill="auto"/>
            <w:noWrap/>
            <w:vAlign w:val="bottom"/>
            <w:hideMark/>
          </w:tcPr>
          <w:p w:rsidR="00122507" w:rsidRPr="00122507" w:rsidP="00122507" w14:paraId="56E5E8F9"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4" w:space="0" w:color="auto"/>
              <w:left w:val="nil"/>
              <w:bottom w:val="single" w:sz="8" w:space="0" w:color="auto"/>
              <w:right w:val="nil"/>
            </w:tcBorders>
            <w:shd w:val="clear" w:color="auto" w:fill="auto"/>
            <w:noWrap/>
            <w:vAlign w:val="center"/>
            <w:hideMark/>
          </w:tcPr>
          <w:p w:rsidR="00122507" w:rsidRPr="00122507" w:rsidP="00122507" w14:paraId="4D276B54" w14:textId="77777777">
            <w:pPr>
              <w:spacing w:after="0"/>
              <w:ind w:firstLine="0"/>
              <w:rPr>
                <w:rFonts w:cs="Arial"/>
                <w:bCs/>
                <w:color w:val="000000"/>
                <w:sz w:val="20"/>
              </w:rPr>
            </w:pPr>
            <w:r w:rsidRPr="00122507">
              <w:rPr>
                <w:rFonts w:cs="Arial"/>
                <w:bCs/>
                <w:color w:val="000000"/>
                <w:sz w:val="20"/>
              </w:rPr>
              <w:t>141.13</w:t>
            </w:r>
          </w:p>
        </w:tc>
        <w:tc>
          <w:tcPr>
            <w:tcW w:w="1530" w:type="dxa"/>
            <w:gridSpan w:val="2"/>
            <w:tcBorders>
              <w:top w:val="single" w:sz="4" w:space="0" w:color="auto"/>
              <w:left w:val="single" w:sz="12" w:space="0" w:color="auto"/>
              <w:bottom w:val="single" w:sz="8" w:space="0" w:color="auto"/>
              <w:right w:val="single" w:sz="12" w:space="0" w:color="auto"/>
            </w:tcBorders>
            <w:shd w:val="clear" w:color="auto" w:fill="auto"/>
            <w:noWrap/>
            <w:vAlign w:val="center"/>
            <w:hideMark/>
          </w:tcPr>
          <w:p w:rsidR="00122507" w:rsidRPr="00122507" w:rsidP="00122507" w14:paraId="7C4D4B4E" w14:textId="77777777">
            <w:pPr>
              <w:spacing w:after="0"/>
              <w:ind w:firstLine="0"/>
              <w:rPr>
                <w:rFonts w:cs="Arial"/>
                <w:bCs/>
                <w:color w:val="000000"/>
                <w:sz w:val="20"/>
              </w:rPr>
            </w:pPr>
            <w:r w:rsidRPr="00122507">
              <w:rPr>
                <w:rFonts w:cs="Arial"/>
                <w:bCs/>
                <w:color w:val="000000"/>
                <w:sz w:val="20"/>
              </w:rPr>
              <w:t>589.65</w:t>
            </w:r>
          </w:p>
        </w:tc>
      </w:tr>
      <w:tr w14:paraId="550E6454"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single" w:sz="8" w:space="0" w:color="000000" w:themeColor="text1"/>
            </w:tcBorders>
            <w:shd w:val="clear" w:color="auto" w:fill="auto"/>
            <w:noWrap/>
            <w:vAlign w:val="center"/>
            <w:hideMark/>
          </w:tcPr>
          <w:p w:rsidR="00122507" w:rsidRPr="00122507" w:rsidP="00122507" w14:paraId="3B28B43A" w14:textId="77777777">
            <w:pPr>
              <w:spacing w:after="0"/>
              <w:ind w:firstLine="0"/>
              <w:rPr>
                <w:rFonts w:cs="Arial"/>
                <w:bCs/>
                <w:color w:val="000000"/>
                <w:sz w:val="20"/>
              </w:rPr>
            </w:pPr>
            <w:r w:rsidRPr="00122507">
              <w:rPr>
                <w:rFonts w:cs="Arial"/>
                <w:bCs/>
                <w:color w:val="000000"/>
                <w:sz w:val="20"/>
              </w:rPr>
              <w:t>G) Access to Records</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2396F56E"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1524710"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7C7D234D"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67C02FCA"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52F64B19"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4DABDB71" w14:textId="77777777">
            <w:pPr>
              <w:spacing w:after="0"/>
              <w:ind w:firstLine="0"/>
              <w:rPr>
                <w:rFonts w:cs="Arial"/>
                <w:bCs/>
                <w:color w:val="000000"/>
                <w:sz w:val="20"/>
              </w:rPr>
            </w:pPr>
            <w:r w:rsidRPr="00122507">
              <w:rPr>
                <w:rFonts w:cs="Arial"/>
                <w:bCs/>
                <w:color w:val="000000"/>
                <w:sz w:val="20"/>
              </w:rPr>
              <w:t> </w:t>
            </w:r>
          </w:p>
        </w:tc>
      </w:tr>
      <w:tr w14:paraId="7A8E5D7E"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42BC209"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3DBF8CBD" w14:textId="77777777">
            <w:pPr>
              <w:spacing w:after="0"/>
              <w:ind w:firstLine="0"/>
              <w:rPr>
                <w:rFonts w:cs="Arial"/>
                <w:bCs/>
                <w:color w:val="000000"/>
                <w:sz w:val="20"/>
              </w:rPr>
            </w:pPr>
            <w:r w:rsidRPr="00122507">
              <w:rPr>
                <w:rFonts w:cs="Arial"/>
                <w:bCs/>
                <w:color w:val="000000"/>
                <w:sz w:val="20"/>
              </w:rPr>
              <w:t>1) Employee Access</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788714B6" w14:textId="77777777">
            <w:pPr>
              <w:spacing w:after="0"/>
              <w:ind w:firstLine="0"/>
              <w:rPr>
                <w:rFonts w:cs="Arial"/>
                <w:bCs/>
                <w:color w:val="000000"/>
                <w:sz w:val="20"/>
              </w:rPr>
            </w:pPr>
            <w:r w:rsidRPr="00122507">
              <w:rPr>
                <w:rFonts w:cs="Arial"/>
                <w:bCs/>
                <w:color w:val="000000"/>
                <w:sz w:val="20"/>
              </w:rPr>
              <w:t>18.79</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1327317"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377625A1"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4A8E5719"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51B02A1B" w14:textId="77777777">
            <w:pPr>
              <w:spacing w:after="0"/>
              <w:ind w:firstLine="0"/>
              <w:rPr>
                <w:rFonts w:cs="Arial"/>
                <w:bCs/>
                <w:color w:val="000000"/>
                <w:sz w:val="20"/>
              </w:rPr>
            </w:pPr>
            <w:r w:rsidRPr="00122507">
              <w:rPr>
                <w:rFonts w:cs="Arial"/>
                <w:bCs/>
                <w:color w:val="000000"/>
                <w:sz w:val="20"/>
              </w:rPr>
              <w:t>18.79</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6E4C2758" w14:textId="77777777">
            <w:pPr>
              <w:spacing w:after="0"/>
              <w:ind w:firstLine="0"/>
              <w:rPr>
                <w:rFonts w:cs="Arial"/>
                <w:bCs/>
                <w:color w:val="000000"/>
                <w:sz w:val="20"/>
              </w:rPr>
            </w:pPr>
            <w:r w:rsidRPr="00122507">
              <w:rPr>
                <w:rFonts w:cs="Arial"/>
                <w:bCs/>
                <w:color w:val="000000"/>
                <w:sz w:val="20"/>
              </w:rPr>
              <w:t>225.52</w:t>
            </w:r>
          </w:p>
        </w:tc>
      </w:tr>
      <w:tr w14:paraId="770E346A"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42A594CC"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654A30D8" w14:textId="77777777">
            <w:pPr>
              <w:spacing w:after="0"/>
              <w:ind w:firstLine="0"/>
              <w:rPr>
                <w:rFonts w:cs="Arial"/>
                <w:bCs/>
                <w:color w:val="000000"/>
                <w:sz w:val="20"/>
              </w:rPr>
            </w:pPr>
            <w:r w:rsidRPr="00122507">
              <w:rPr>
                <w:rFonts w:cs="Arial"/>
                <w:bCs/>
                <w:color w:val="000000"/>
                <w:sz w:val="20"/>
              </w:rPr>
              <w:t>2) EPA Access</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6A40CD65"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5314905B"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6F2C5C7"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3A9A5183"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4D35EFD9"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293F28D5" w14:textId="77777777">
            <w:pPr>
              <w:spacing w:after="0"/>
              <w:ind w:firstLine="0"/>
              <w:rPr>
                <w:rFonts w:cs="Arial"/>
                <w:bCs/>
                <w:color w:val="000000"/>
                <w:sz w:val="20"/>
              </w:rPr>
            </w:pPr>
          </w:p>
        </w:tc>
      </w:tr>
      <w:tr w14:paraId="3EF8DF2B"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76FDB9D2"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7ECE9C1B"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center"/>
            <w:hideMark/>
          </w:tcPr>
          <w:p w:rsidR="00122507" w:rsidRPr="00122507" w:rsidP="00122507" w14:paraId="5747AA86" w14:textId="77777777">
            <w:pPr>
              <w:spacing w:after="0"/>
              <w:ind w:firstLine="0"/>
              <w:rPr>
                <w:rFonts w:cs="Arial"/>
                <w:bCs/>
                <w:color w:val="000000"/>
                <w:sz w:val="20"/>
              </w:rPr>
            </w:pPr>
            <w:r w:rsidRPr="00122507">
              <w:rPr>
                <w:rFonts w:cs="Arial"/>
                <w:bCs/>
                <w:color w:val="000000"/>
                <w:sz w:val="20"/>
              </w:rPr>
              <w:t>a) Construction</w:t>
            </w:r>
          </w:p>
        </w:tc>
        <w:tc>
          <w:tcPr>
            <w:tcW w:w="990" w:type="dxa"/>
            <w:tcBorders>
              <w:top w:val="nil"/>
              <w:left w:val="nil"/>
              <w:bottom w:val="nil"/>
              <w:right w:val="single" w:sz="8" w:space="0" w:color="auto"/>
            </w:tcBorders>
            <w:shd w:val="clear" w:color="auto" w:fill="auto"/>
            <w:noWrap/>
            <w:vAlign w:val="bottom"/>
            <w:hideMark/>
          </w:tcPr>
          <w:p w:rsidR="00122507" w:rsidRPr="00122507" w:rsidP="00122507" w14:paraId="7365B41D" w14:textId="77777777">
            <w:pPr>
              <w:spacing w:after="0"/>
              <w:ind w:firstLine="0"/>
              <w:rPr>
                <w:rFonts w:cs="Arial"/>
                <w:bCs/>
                <w:color w:val="000000"/>
                <w:sz w:val="20"/>
              </w:rPr>
            </w:pPr>
            <w:r w:rsidRPr="00122507">
              <w:rPr>
                <w:rFonts w:cs="Arial"/>
                <w:bCs/>
                <w:color w:val="000000"/>
                <w:sz w:val="20"/>
              </w:rPr>
              <w:t>15.73</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1FBBA9C8"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7D6D3133" w14:textId="77777777">
            <w:pPr>
              <w:spacing w:after="0"/>
              <w:ind w:firstLine="0"/>
              <w:rPr>
                <w:rFonts w:cs="Arial"/>
                <w:bCs/>
                <w:color w:val="000000"/>
                <w:sz w:val="20"/>
              </w:rPr>
            </w:pPr>
            <w:r w:rsidRPr="00122507">
              <w:rPr>
                <w:rFonts w:cs="Arial"/>
                <w:bCs/>
                <w:color w:val="000000"/>
                <w:sz w:val="20"/>
              </w:rPr>
              <w:t>15.73</w:t>
            </w:r>
          </w:p>
        </w:tc>
        <w:tc>
          <w:tcPr>
            <w:tcW w:w="1170" w:type="dxa"/>
            <w:gridSpan w:val="2"/>
            <w:tcBorders>
              <w:top w:val="nil"/>
              <w:left w:val="nil"/>
              <w:bottom w:val="nil"/>
              <w:right w:val="nil"/>
            </w:tcBorders>
            <w:shd w:val="clear" w:color="auto" w:fill="auto"/>
            <w:noWrap/>
            <w:vAlign w:val="bottom"/>
            <w:hideMark/>
          </w:tcPr>
          <w:p w:rsidR="00122507" w:rsidRPr="00122507" w:rsidP="00122507" w14:paraId="61055FAC"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263423ED" w14:textId="77777777">
            <w:pPr>
              <w:spacing w:after="0"/>
              <w:ind w:firstLine="0"/>
              <w:rPr>
                <w:rFonts w:cs="Arial"/>
                <w:bCs/>
                <w:color w:val="000000"/>
                <w:sz w:val="20"/>
              </w:rPr>
            </w:pPr>
            <w:r w:rsidRPr="00122507">
              <w:rPr>
                <w:rFonts w:cs="Arial"/>
                <w:bCs/>
                <w:color w:val="000000"/>
                <w:sz w:val="20"/>
              </w:rPr>
              <w:t>31.46</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3952F7CA" w14:textId="77777777">
            <w:pPr>
              <w:spacing w:after="0"/>
              <w:ind w:firstLine="0"/>
              <w:rPr>
                <w:rFonts w:cs="Arial"/>
                <w:bCs/>
                <w:color w:val="000000"/>
                <w:sz w:val="20"/>
              </w:rPr>
            </w:pPr>
            <w:r w:rsidRPr="00122507">
              <w:rPr>
                <w:rFonts w:cs="Arial"/>
                <w:bCs/>
                <w:color w:val="000000"/>
                <w:sz w:val="20"/>
              </w:rPr>
              <w:t>377.56</w:t>
            </w:r>
          </w:p>
        </w:tc>
      </w:tr>
      <w:tr w14:paraId="1F03464A" w14:textId="77777777" w:rsidTr="00ED5D77">
        <w:tblPrEx>
          <w:tblW w:w="11070" w:type="dxa"/>
          <w:tblInd w:w="-735" w:type="dxa"/>
          <w:tblLayout w:type="fixed"/>
          <w:tblLook w:val="04A0"/>
        </w:tblPrEx>
        <w:trPr>
          <w:trHeight w:val="315"/>
        </w:trPr>
        <w:tc>
          <w:tcPr>
            <w:tcW w:w="270" w:type="dxa"/>
            <w:tcBorders>
              <w:top w:val="nil"/>
              <w:left w:val="single" w:sz="12" w:space="0" w:color="auto"/>
              <w:bottom w:val="single" w:sz="8" w:space="0" w:color="auto"/>
              <w:right w:val="nil"/>
            </w:tcBorders>
            <w:shd w:val="clear" w:color="auto" w:fill="auto"/>
            <w:noWrap/>
            <w:vAlign w:val="center"/>
            <w:hideMark/>
          </w:tcPr>
          <w:p w:rsidR="00122507" w:rsidRPr="00122507" w:rsidP="00122507" w14:paraId="6C9645D7"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single" w:sz="8" w:space="0" w:color="auto"/>
              <w:right w:val="nil"/>
            </w:tcBorders>
            <w:shd w:val="clear" w:color="auto" w:fill="auto"/>
            <w:noWrap/>
            <w:vAlign w:val="bottom"/>
            <w:hideMark/>
          </w:tcPr>
          <w:p w:rsidR="00122507" w:rsidRPr="00122507" w:rsidP="00122507" w14:paraId="5C024569" w14:textId="77777777">
            <w:pPr>
              <w:spacing w:after="0"/>
              <w:ind w:firstLine="0"/>
              <w:rPr>
                <w:rFonts w:cs="Arial"/>
                <w:bCs/>
                <w:color w:val="000000"/>
                <w:sz w:val="20"/>
              </w:rPr>
            </w:pPr>
            <w:r w:rsidRPr="00122507">
              <w:rPr>
                <w:rFonts w:cs="Arial"/>
                <w:bCs/>
                <w:color w:val="000000"/>
                <w:sz w:val="20"/>
              </w:rPr>
              <w:t> </w:t>
            </w:r>
          </w:p>
        </w:tc>
        <w:tc>
          <w:tcPr>
            <w:tcW w:w="2970" w:type="dxa"/>
            <w:gridSpan w:val="3"/>
            <w:tcBorders>
              <w:top w:val="nil"/>
              <w:left w:val="nil"/>
              <w:bottom w:val="single" w:sz="8" w:space="0" w:color="auto"/>
              <w:right w:val="single" w:sz="8" w:space="0" w:color="auto"/>
            </w:tcBorders>
            <w:shd w:val="clear" w:color="auto" w:fill="auto"/>
            <w:noWrap/>
            <w:vAlign w:val="center"/>
            <w:hideMark/>
          </w:tcPr>
          <w:p w:rsidR="00122507" w:rsidRPr="00122507" w:rsidP="00122507" w14:paraId="5E2DB42B" w14:textId="77777777">
            <w:pPr>
              <w:spacing w:after="0"/>
              <w:ind w:firstLine="0"/>
              <w:rPr>
                <w:rFonts w:cs="Arial"/>
                <w:bCs/>
                <w:color w:val="000000"/>
                <w:sz w:val="20"/>
              </w:rPr>
            </w:pPr>
            <w:r w:rsidRPr="00122507">
              <w:rPr>
                <w:rFonts w:cs="Arial"/>
                <w:bCs/>
                <w:color w:val="000000"/>
                <w:sz w:val="20"/>
              </w:rPr>
              <w:t>b) Brake and Clutch Repair</w:t>
            </w:r>
          </w:p>
        </w:tc>
        <w:tc>
          <w:tcPr>
            <w:tcW w:w="990" w:type="dxa"/>
            <w:tcBorders>
              <w:top w:val="nil"/>
              <w:left w:val="nil"/>
              <w:bottom w:val="single" w:sz="8" w:space="0" w:color="auto"/>
              <w:right w:val="single" w:sz="8" w:space="0" w:color="auto"/>
            </w:tcBorders>
            <w:shd w:val="clear" w:color="auto" w:fill="auto"/>
            <w:noWrap/>
            <w:vAlign w:val="bottom"/>
            <w:hideMark/>
          </w:tcPr>
          <w:p w:rsidR="00122507" w:rsidRPr="00122507" w:rsidP="00122507" w14:paraId="1A65CC76" w14:textId="77777777">
            <w:pPr>
              <w:spacing w:after="0"/>
              <w:ind w:firstLine="0"/>
              <w:rPr>
                <w:rFonts w:cs="Arial"/>
                <w:bCs/>
                <w:color w:val="000000"/>
                <w:sz w:val="20"/>
              </w:rPr>
            </w:pPr>
            <w:r w:rsidRPr="00122507">
              <w:rPr>
                <w:rFonts w:cs="Arial"/>
                <w:bCs/>
                <w:color w:val="000000"/>
                <w:sz w:val="20"/>
              </w:rPr>
              <w:t>0.09</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4E61817D"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0DB18236" w14:textId="77777777">
            <w:pPr>
              <w:spacing w:after="0"/>
              <w:ind w:firstLine="0"/>
              <w:rPr>
                <w:rFonts w:cs="Arial"/>
                <w:bCs/>
                <w:color w:val="000000"/>
                <w:sz w:val="20"/>
              </w:rPr>
            </w:pPr>
            <w:r w:rsidRPr="00122507">
              <w:rPr>
                <w:rFonts w:cs="Arial"/>
                <w:bCs/>
                <w:color w:val="000000"/>
                <w:sz w:val="20"/>
              </w:rPr>
              <w:t>0.09</w:t>
            </w:r>
          </w:p>
        </w:tc>
        <w:tc>
          <w:tcPr>
            <w:tcW w:w="1170" w:type="dxa"/>
            <w:gridSpan w:val="2"/>
            <w:tcBorders>
              <w:top w:val="nil"/>
              <w:left w:val="nil"/>
              <w:bottom w:val="nil"/>
              <w:right w:val="nil"/>
            </w:tcBorders>
            <w:shd w:val="clear" w:color="auto" w:fill="auto"/>
            <w:noWrap/>
            <w:vAlign w:val="bottom"/>
            <w:hideMark/>
          </w:tcPr>
          <w:p w:rsidR="00122507" w:rsidRPr="00122507" w:rsidP="00122507" w14:paraId="6DDD175F"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55D69BD6" w14:textId="77777777">
            <w:pPr>
              <w:spacing w:after="0"/>
              <w:ind w:firstLine="0"/>
              <w:rPr>
                <w:rFonts w:cs="Arial"/>
                <w:bCs/>
                <w:color w:val="000000"/>
                <w:sz w:val="20"/>
              </w:rPr>
            </w:pPr>
            <w:r w:rsidRPr="00122507">
              <w:rPr>
                <w:rFonts w:cs="Arial"/>
                <w:bCs/>
                <w:color w:val="000000"/>
                <w:sz w:val="20"/>
              </w:rPr>
              <w:t>0.18</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25253231" w14:textId="77777777">
            <w:pPr>
              <w:spacing w:after="0"/>
              <w:ind w:firstLine="0"/>
              <w:rPr>
                <w:rFonts w:cs="Arial"/>
                <w:bCs/>
                <w:color w:val="000000"/>
                <w:sz w:val="20"/>
              </w:rPr>
            </w:pPr>
            <w:r w:rsidRPr="00122507">
              <w:rPr>
                <w:rFonts w:cs="Arial"/>
                <w:bCs/>
                <w:color w:val="000000"/>
                <w:sz w:val="20"/>
              </w:rPr>
              <w:t>2.22</w:t>
            </w:r>
          </w:p>
        </w:tc>
      </w:tr>
      <w:tr w14:paraId="63B2C98D" w14:textId="77777777" w:rsidTr="00ED5D77">
        <w:tblPrEx>
          <w:tblW w:w="11070" w:type="dxa"/>
          <w:tblInd w:w="-735" w:type="dxa"/>
          <w:tblLayout w:type="fixed"/>
          <w:tblLook w:val="04A0"/>
        </w:tblPrEx>
        <w:trPr>
          <w:trHeight w:val="315"/>
        </w:trPr>
        <w:tc>
          <w:tcPr>
            <w:tcW w:w="3510" w:type="dxa"/>
            <w:gridSpan w:val="6"/>
            <w:tcBorders>
              <w:top w:val="nil"/>
              <w:left w:val="single" w:sz="12" w:space="0" w:color="auto"/>
              <w:bottom w:val="nil"/>
              <w:right w:val="single" w:sz="8" w:space="0" w:color="000000" w:themeColor="text1"/>
            </w:tcBorders>
            <w:shd w:val="clear" w:color="auto" w:fill="auto"/>
            <w:noWrap/>
            <w:vAlign w:val="center"/>
            <w:hideMark/>
          </w:tcPr>
          <w:p w:rsidR="00122507" w:rsidRPr="00122507" w:rsidP="00122507" w14:paraId="5BAC391B" w14:textId="77777777">
            <w:pPr>
              <w:spacing w:after="0"/>
              <w:ind w:firstLine="0"/>
              <w:rPr>
                <w:rFonts w:cs="Arial"/>
                <w:bCs/>
                <w:color w:val="000000"/>
                <w:sz w:val="20"/>
              </w:rPr>
            </w:pPr>
            <w:r w:rsidRPr="00122507">
              <w:rPr>
                <w:rFonts w:cs="Arial"/>
                <w:bCs/>
                <w:color w:val="000000"/>
                <w:sz w:val="20"/>
              </w:rPr>
              <w:t>Subtotal, Access to Records</w:t>
            </w:r>
          </w:p>
        </w:tc>
        <w:tc>
          <w:tcPr>
            <w:tcW w:w="990" w:type="dxa"/>
            <w:tcBorders>
              <w:top w:val="nil"/>
              <w:left w:val="nil"/>
              <w:bottom w:val="single" w:sz="8" w:space="0" w:color="auto"/>
              <w:right w:val="nil"/>
            </w:tcBorders>
            <w:shd w:val="clear" w:color="auto" w:fill="auto"/>
            <w:noWrap/>
            <w:vAlign w:val="center"/>
            <w:hideMark/>
          </w:tcPr>
          <w:p w:rsidR="00122507" w:rsidRPr="00122507" w:rsidP="00122507" w14:paraId="7917B1CC"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1D0CDC04"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8" w:space="0" w:color="auto"/>
              <w:left w:val="nil"/>
              <w:bottom w:val="single" w:sz="8" w:space="0" w:color="auto"/>
              <w:right w:val="nil"/>
            </w:tcBorders>
            <w:shd w:val="clear" w:color="auto" w:fill="auto"/>
            <w:noWrap/>
            <w:vAlign w:val="bottom"/>
            <w:hideMark/>
          </w:tcPr>
          <w:p w:rsidR="00122507" w:rsidRPr="00122507" w:rsidP="00122507" w14:paraId="11615781"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8" w:space="0" w:color="auto"/>
              <w:left w:val="nil"/>
              <w:bottom w:val="single" w:sz="8" w:space="0" w:color="auto"/>
              <w:right w:val="single" w:sz="12" w:space="0" w:color="auto"/>
            </w:tcBorders>
            <w:shd w:val="clear" w:color="auto" w:fill="auto"/>
            <w:noWrap/>
            <w:vAlign w:val="bottom"/>
            <w:hideMark/>
          </w:tcPr>
          <w:p w:rsidR="00122507" w:rsidRPr="00122507" w:rsidP="00122507" w14:paraId="5E669F5E"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8" w:space="0" w:color="auto"/>
              <w:left w:val="nil"/>
              <w:bottom w:val="single" w:sz="8" w:space="0" w:color="auto"/>
              <w:right w:val="nil"/>
            </w:tcBorders>
            <w:shd w:val="clear" w:color="auto" w:fill="auto"/>
            <w:noWrap/>
            <w:vAlign w:val="center"/>
            <w:hideMark/>
          </w:tcPr>
          <w:p w:rsidR="00122507" w:rsidRPr="00122507" w:rsidP="00122507" w14:paraId="21FCB922" w14:textId="77777777">
            <w:pPr>
              <w:spacing w:after="0"/>
              <w:ind w:firstLine="0"/>
              <w:rPr>
                <w:rFonts w:cs="Arial"/>
                <w:bCs/>
                <w:color w:val="000000"/>
                <w:sz w:val="20"/>
              </w:rPr>
            </w:pPr>
            <w:r w:rsidRPr="00122507">
              <w:rPr>
                <w:rFonts w:cs="Arial"/>
                <w:bCs/>
                <w:color w:val="000000"/>
                <w:sz w:val="20"/>
              </w:rPr>
              <w:t>50.43</w:t>
            </w:r>
          </w:p>
        </w:tc>
        <w:tc>
          <w:tcPr>
            <w:tcW w:w="1530"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122507" w:rsidRPr="00122507" w:rsidP="00122507" w14:paraId="77571AF9" w14:textId="77777777">
            <w:pPr>
              <w:spacing w:after="0"/>
              <w:ind w:firstLine="0"/>
              <w:rPr>
                <w:rFonts w:cs="Arial"/>
                <w:bCs/>
                <w:color w:val="000000"/>
                <w:sz w:val="20"/>
              </w:rPr>
            </w:pPr>
            <w:r w:rsidRPr="00122507">
              <w:rPr>
                <w:rFonts w:cs="Arial"/>
                <w:bCs/>
                <w:color w:val="000000"/>
                <w:sz w:val="20"/>
              </w:rPr>
              <w:t>605.30</w:t>
            </w:r>
          </w:p>
        </w:tc>
      </w:tr>
      <w:tr w14:paraId="25E90B1C"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single" w:sz="8" w:space="0" w:color="000000" w:themeColor="text1"/>
            </w:tcBorders>
            <w:shd w:val="clear" w:color="auto" w:fill="auto"/>
            <w:noWrap/>
            <w:vAlign w:val="center"/>
            <w:hideMark/>
          </w:tcPr>
          <w:p w:rsidR="00122507" w:rsidRPr="00122507" w:rsidP="00122507" w14:paraId="5CEB133E" w14:textId="77777777">
            <w:pPr>
              <w:spacing w:after="0"/>
              <w:ind w:firstLine="0"/>
              <w:rPr>
                <w:rFonts w:cs="Arial"/>
                <w:bCs/>
                <w:color w:val="000000"/>
                <w:sz w:val="20"/>
              </w:rPr>
            </w:pPr>
            <w:r w:rsidRPr="00122507">
              <w:rPr>
                <w:rFonts w:cs="Arial"/>
                <w:bCs/>
                <w:color w:val="000000"/>
                <w:sz w:val="20"/>
              </w:rPr>
              <w:t>H) Competent Person</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414E1661"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6BBD4D72"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850EFD2"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340D2A39"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7819ABDD"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0BE3315A" w14:textId="77777777">
            <w:pPr>
              <w:spacing w:after="0"/>
              <w:ind w:firstLine="0"/>
              <w:rPr>
                <w:rFonts w:cs="Arial"/>
                <w:bCs/>
                <w:color w:val="000000"/>
                <w:sz w:val="20"/>
              </w:rPr>
            </w:pPr>
            <w:r w:rsidRPr="00122507">
              <w:rPr>
                <w:rFonts w:cs="Arial"/>
                <w:bCs/>
                <w:color w:val="000000"/>
                <w:sz w:val="20"/>
              </w:rPr>
              <w:t> </w:t>
            </w:r>
          </w:p>
        </w:tc>
      </w:tr>
      <w:tr w14:paraId="6CDE470D"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785BFA99"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nil"/>
              <w:right w:val="single" w:sz="8" w:space="0" w:color="000000" w:themeColor="text1"/>
            </w:tcBorders>
            <w:shd w:val="clear" w:color="auto" w:fill="auto"/>
            <w:noWrap/>
            <w:vAlign w:val="bottom"/>
            <w:hideMark/>
          </w:tcPr>
          <w:p w:rsidR="00122507" w:rsidRPr="00122507" w:rsidP="00122507" w14:paraId="7BA9C015" w14:textId="77777777">
            <w:pPr>
              <w:spacing w:after="0"/>
              <w:ind w:firstLine="0"/>
              <w:rPr>
                <w:rFonts w:cs="Arial"/>
                <w:bCs/>
                <w:color w:val="000000"/>
                <w:sz w:val="20"/>
              </w:rPr>
            </w:pPr>
            <w:r w:rsidRPr="00122507">
              <w:rPr>
                <w:rFonts w:cs="Arial"/>
                <w:bCs/>
                <w:color w:val="000000"/>
                <w:sz w:val="20"/>
              </w:rPr>
              <w:t>1) Training</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3A3AD340"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DC70E32"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8788D19"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23C9D884"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11841107"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128E018D" w14:textId="77777777">
            <w:pPr>
              <w:spacing w:after="0"/>
              <w:ind w:firstLine="0"/>
              <w:rPr>
                <w:rFonts w:cs="Arial"/>
                <w:bCs/>
                <w:color w:val="000000"/>
                <w:sz w:val="20"/>
              </w:rPr>
            </w:pPr>
            <w:r w:rsidRPr="00122507">
              <w:rPr>
                <w:rFonts w:cs="Arial"/>
                <w:bCs/>
                <w:color w:val="000000"/>
                <w:sz w:val="20"/>
              </w:rPr>
              <w:t> </w:t>
            </w:r>
          </w:p>
        </w:tc>
      </w:tr>
      <w:tr w14:paraId="20C192CE"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2658ACD8"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32EB9C55"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center"/>
            <w:hideMark/>
          </w:tcPr>
          <w:p w:rsidR="00122507" w:rsidRPr="00122507" w:rsidP="00122507" w14:paraId="13D935C2" w14:textId="77777777">
            <w:pPr>
              <w:spacing w:after="0"/>
              <w:ind w:firstLine="0"/>
              <w:rPr>
                <w:rFonts w:cs="Arial"/>
                <w:bCs/>
                <w:color w:val="000000"/>
                <w:sz w:val="20"/>
              </w:rPr>
            </w:pPr>
            <w:r w:rsidRPr="00122507">
              <w:rPr>
                <w:rFonts w:cs="Arial"/>
                <w:bCs/>
                <w:color w:val="000000"/>
                <w:sz w:val="20"/>
              </w:rPr>
              <w:t xml:space="preserve">a) Class II </w:t>
            </w:r>
            <w:r w:rsidRPr="00122507">
              <w:rPr>
                <w:rFonts w:cs="Arial"/>
                <w:bCs/>
                <w:color w:val="000000"/>
                <w:sz w:val="20"/>
                <w:vertAlign w:val="superscript"/>
              </w:rPr>
              <w:t>b</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0EF014E4"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2B5E3842"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58A1161D" w14:textId="77777777">
            <w:pPr>
              <w:spacing w:after="0"/>
              <w:ind w:firstLine="0"/>
              <w:rPr>
                <w:rFonts w:cs="Arial"/>
                <w:bCs/>
                <w:color w:val="000000"/>
                <w:sz w:val="20"/>
              </w:rPr>
            </w:pPr>
            <w:r w:rsidRPr="00122507">
              <w:rPr>
                <w:rFonts w:cs="Arial"/>
                <w:bCs/>
                <w:color w:val="000000"/>
                <w:sz w:val="20"/>
              </w:rPr>
              <w:t>365.04</w:t>
            </w:r>
          </w:p>
        </w:tc>
        <w:tc>
          <w:tcPr>
            <w:tcW w:w="1170" w:type="dxa"/>
            <w:gridSpan w:val="2"/>
            <w:tcBorders>
              <w:top w:val="nil"/>
              <w:left w:val="nil"/>
              <w:bottom w:val="nil"/>
              <w:right w:val="nil"/>
            </w:tcBorders>
            <w:shd w:val="clear" w:color="auto" w:fill="auto"/>
            <w:noWrap/>
            <w:vAlign w:val="bottom"/>
            <w:hideMark/>
          </w:tcPr>
          <w:p w:rsidR="00122507" w:rsidRPr="00122507" w:rsidP="00122507" w14:paraId="36DA4415"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6E72A288" w14:textId="77777777">
            <w:pPr>
              <w:spacing w:after="0"/>
              <w:ind w:firstLine="0"/>
              <w:rPr>
                <w:rFonts w:cs="Arial"/>
                <w:bCs/>
                <w:color w:val="000000"/>
                <w:sz w:val="20"/>
              </w:rPr>
            </w:pPr>
            <w:r w:rsidRPr="00122507">
              <w:rPr>
                <w:rFonts w:cs="Arial"/>
                <w:bCs/>
                <w:color w:val="000000"/>
                <w:sz w:val="20"/>
              </w:rPr>
              <w:t>365.04</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3ED2317E" w14:textId="77777777">
            <w:pPr>
              <w:spacing w:after="0"/>
              <w:ind w:firstLine="0"/>
              <w:rPr>
                <w:rFonts w:cs="Arial"/>
                <w:bCs/>
                <w:color w:val="000000"/>
                <w:sz w:val="20"/>
              </w:rPr>
            </w:pPr>
            <w:r w:rsidRPr="00122507">
              <w:rPr>
                <w:rFonts w:cs="Arial"/>
                <w:bCs/>
                <w:color w:val="000000"/>
                <w:sz w:val="20"/>
              </w:rPr>
              <w:t>26.07</w:t>
            </w:r>
          </w:p>
        </w:tc>
      </w:tr>
      <w:tr w14:paraId="7ED2DF57" w14:textId="77777777" w:rsidTr="00ED5D77">
        <w:tblPrEx>
          <w:tblW w:w="11070" w:type="dxa"/>
          <w:tblInd w:w="-735" w:type="dxa"/>
          <w:tblLayout w:type="fixed"/>
          <w:tblLook w:val="04A0"/>
        </w:tblPrEx>
        <w:trPr>
          <w:trHeight w:val="300"/>
        </w:trPr>
        <w:tc>
          <w:tcPr>
            <w:tcW w:w="270" w:type="dxa"/>
            <w:tcBorders>
              <w:top w:val="nil"/>
              <w:left w:val="single" w:sz="12" w:space="0" w:color="auto"/>
              <w:bottom w:val="nil"/>
              <w:right w:val="nil"/>
            </w:tcBorders>
            <w:shd w:val="clear" w:color="auto" w:fill="auto"/>
            <w:noWrap/>
            <w:vAlign w:val="center"/>
            <w:hideMark/>
          </w:tcPr>
          <w:p w:rsidR="00122507" w:rsidRPr="00122507" w:rsidP="00122507" w14:paraId="3D29AF1F" w14:textId="77777777">
            <w:pPr>
              <w:spacing w:after="0"/>
              <w:ind w:firstLine="0"/>
              <w:rPr>
                <w:rFonts w:cs="Arial"/>
                <w:bCs/>
                <w:color w:val="000000"/>
                <w:sz w:val="20"/>
              </w:rPr>
            </w:pPr>
            <w:r w:rsidRPr="00122507">
              <w:rPr>
                <w:rFonts w:cs="Arial"/>
                <w:bCs/>
                <w:color w:val="000000"/>
                <w:sz w:val="20"/>
              </w:rPr>
              <w:t> </w:t>
            </w:r>
          </w:p>
        </w:tc>
        <w:tc>
          <w:tcPr>
            <w:tcW w:w="270" w:type="dxa"/>
            <w:gridSpan w:val="2"/>
            <w:tcBorders>
              <w:top w:val="nil"/>
              <w:left w:val="nil"/>
              <w:bottom w:val="nil"/>
              <w:right w:val="nil"/>
            </w:tcBorders>
            <w:shd w:val="clear" w:color="auto" w:fill="auto"/>
            <w:noWrap/>
            <w:vAlign w:val="bottom"/>
            <w:hideMark/>
          </w:tcPr>
          <w:p w:rsidR="00122507" w:rsidRPr="00122507" w:rsidP="00122507" w14:paraId="032FFA47" w14:textId="77777777">
            <w:pPr>
              <w:spacing w:after="0"/>
              <w:ind w:firstLine="0"/>
              <w:rPr>
                <w:rFonts w:cs="Arial"/>
                <w:bCs/>
                <w:color w:val="000000"/>
                <w:sz w:val="20"/>
              </w:rPr>
            </w:pPr>
          </w:p>
        </w:tc>
        <w:tc>
          <w:tcPr>
            <w:tcW w:w="2970" w:type="dxa"/>
            <w:gridSpan w:val="3"/>
            <w:tcBorders>
              <w:top w:val="nil"/>
              <w:left w:val="nil"/>
              <w:bottom w:val="nil"/>
              <w:right w:val="single" w:sz="8" w:space="0" w:color="auto"/>
            </w:tcBorders>
            <w:shd w:val="clear" w:color="auto" w:fill="auto"/>
            <w:noWrap/>
            <w:vAlign w:val="center"/>
            <w:hideMark/>
          </w:tcPr>
          <w:p w:rsidR="00122507" w:rsidRPr="00122507" w:rsidP="00122507" w14:paraId="62A12A3E" w14:textId="77777777">
            <w:pPr>
              <w:spacing w:after="0"/>
              <w:ind w:firstLine="0"/>
              <w:rPr>
                <w:rFonts w:cs="Arial"/>
                <w:bCs/>
                <w:color w:val="000000"/>
                <w:sz w:val="20"/>
              </w:rPr>
            </w:pPr>
            <w:r w:rsidRPr="00122507">
              <w:rPr>
                <w:rFonts w:cs="Arial"/>
                <w:bCs/>
                <w:color w:val="000000"/>
                <w:sz w:val="20"/>
              </w:rPr>
              <w:t xml:space="preserve">b) Class III and IV </w:t>
            </w:r>
            <w:r w:rsidRPr="00122507">
              <w:rPr>
                <w:rFonts w:cs="Arial"/>
                <w:bCs/>
                <w:color w:val="000000"/>
                <w:sz w:val="20"/>
                <w:vertAlign w:val="superscript"/>
              </w:rPr>
              <w:t>b</w:t>
            </w:r>
          </w:p>
        </w:tc>
        <w:tc>
          <w:tcPr>
            <w:tcW w:w="990" w:type="dxa"/>
            <w:tcBorders>
              <w:top w:val="nil"/>
              <w:left w:val="nil"/>
              <w:bottom w:val="nil"/>
              <w:right w:val="single" w:sz="8" w:space="0" w:color="auto"/>
            </w:tcBorders>
            <w:shd w:val="clear" w:color="auto" w:fill="auto"/>
            <w:noWrap/>
            <w:vAlign w:val="center"/>
            <w:hideMark/>
          </w:tcPr>
          <w:p w:rsidR="00122507" w:rsidRPr="00122507" w:rsidP="00122507" w14:paraId="5BDE6C0F"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EE45CA1"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19C27CE2" w14:textId="77777777">
            <w:pPr>
              <w:spacing w:after="0"/>
              <w:ind w:firstLine="0"/>
              <w:rPr>
                <w:rFonts w:cs="Arial"/>
                <w:bCs/>
                <w:color w:val="000000"/>
                <w:sz w:val="20"/>
              </w:rPr>
            </w:pPr>
            <w:r w:rsidRPr="00122507">
              <w:rPr>
                <w:rFonts w:cs="Arial"/>
                <w:bCs/>
                <w:color w:val="000000"/>
                <w:sz w:val="20"/>
              </w:rPr>
              <w:t>3,260.33</w:t>
            </w:r>
          </w:p>
        </w:tc>
        <w:tc>
          <w:tcPr>
            <w:tcW w:w="1170" w:type="dxa"/>
            <w:gridSpan w:val="2"/>
            <w:tcBorders>
              <w:top w:val="nil"/>
              <w:left w:val="nil"/>
              <w:bottom w:val="nil"/>
              <w:right w:val="nil"/>
            </w:tcBorders>
            <w:shd w:val="clear" w:color="auto" w:fill="auto"/>
            <w:noWrap/>
            <w:vAlign w:val="bottom"/>
            <w:hideMark/>
          </w:tcPr>
          <w:p w:rsidR="00122507" w:rsidRPr="00122507" w:rsidP="00122507" w14:paraId="553DAF42"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3A7969EB" w14:textId="77777777">
            <w:pPr>
              <w:spacing w:after="0"/>
              <w:ind w:firstLine="0"/>
              <w:rPr>
                <w:rFonts w:cs="Arial"/>
                <w:bCs/>
                <w:color w:val="000000"/>
                <w:sz w:val="20"/>
              </w:rPr>
            </w:pPr>
            <w:r w:rsidRPr="00122507">
              <w:rPr>
                <w:rFonts w:cs="Arial"/>
                <w:bCs/>
                <w:color w:val="000000"/>
                <w:sz w:val="20"/>
              </w:rPr>
              <w:t>3,260.33</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5EE12846" w14:textId="77777777">
            <w:pPr>
              <w:spacing w:after="0"/>
              <w:ind w:firstLine="0"/>
              <w:rPr>
                <w:rFonts w:cs="Arial"/>
                <w:bCs/>
                <w:color w:val="000000"/>
                <w:sz w:val="20"/>
              </w:rPr>
            </w:pPr>
            <w:r w:rsidRPr="00122507">
              <w:rPr>
                <w:rFonts w:cs="Arial"/>
                <w:bCs/>
                <w:color w:val="000000"/>
                <w:sz w:val="20"/>
              </w:rPr>
              <w:t>1,086.78</w:t>
            </w:r>
          </w:p>
        </w:tc>
      </w:tr>
      <w:tr w14:paraId="715C6E3B" w14:textId="77777777" w:rsidTr="00ED5D77">
        <w:tblPrEx>
          <w:tblW w:w="11070" w:type="dxa"/>
          <w:tblInd w:w="-735" w:type="dxa"/>
          <w:tblLayout w:type="fixed"/>
          <w:tblLook w:val="04A0"/>
        </w:tblPrEx>
        <w:trPr>
          <w:trHeight w:val="315"/>
        </w:trPr>
        <w:tc>
          <w:tcPr>
            <w:tcW w:w="270" w:type="dxa"/>
            <w:tcBorders>
              <w:top w:val="nil"/>
              <w:left w:val="single" w:sz="12" w:space="0" w:color="auto"/>
              <w:bottom w:val="single" w:sz="8" w:space="0" w:color="auto"/>
              <w:right w:val="nil"/>
            </w:tcBorders>
            <w:shd w:val="clear" w:color="auto" w:fill="auto"/>
            <w:noWrap/>
            <w:vAlign w:val="center"/>
            <w:hideMark/>
          </w:tcPr>
          <w:p w:rsidR="00122507" w:rsidRPr="00122507" w:rsidP="00122507" w14:paraId="7ACF0B9B" w14:textId="77777777">
            <w:pPr>
              <w:spacing w:after="0"/>
              <w:ind w:firstLine="0"/>
              <w:rPr>
                <w:rFonts w:cs="Arial"/>
                <w:bCs/>
                <w:color w:val="000000"/>
                <w:sz w:val="20"/>
              </w:rPr>
            </w:pPr>
            <w:r w:rsidRPr="00122507">
              <w:rPr>
                <w:rFonts w:cs="Arial"/>
                <w:bCs/>
                <w:color w:val="000000"/>
                <w:sz w:val="20"/>
              </w:rPr>
              <w:t> </w:t>
            </w:r>
          </w:p>
        </w:tc>
        <w:tc>
          <w:tcPr>
            <w:tcW w:w="3240" w:type="dxa"/>
            <w:gridSpan w:val="5"/>
            <w:tcBorders>
              <w:top w:val="nil"/>
              <w:left w:val="nil"/>
              <w:bottom w:val="single" w:sz="8" w:space="0" w:color="auto"/>
              <w:right w:val="single" w:sz="8" w:space="0" w:color="000000" w:themeColor="text1"/>
            </w:tcBorders>
            <w:shd w:val="clear" w:color="auto" w:fill="auto"/>
            <w:noWrap/>
            <w:vAlign w:val="bottom"/>
            <w:hideMark/>
          </w:tcPr>
          <w:p w:rsidR="00122507" w:rsidRPr="00122507" w:rsidP="00122507" w14:paraId="73FD3503" w14:textId="77777777">
            <w:pPr>
              <w:spacing w:after="0"/>
              <w:ind w:firstLine="0"/>
              <w:rPr>
                <w:rFonts w:cs="Arial"/>
                <w:bCs/>
                <w:color w:val="000000"/>
                <w:sz w:val="20"/>
              </w:rPr>
            </w:pPr>
            <w:r w:rsidRPr="00122507">
              <w:rPr>
                <w:rFonts w:cs="Arial"/>
                <w:bCs/>
                <w:color w:val="000000"/>
                <w:sz w:val="20"/>
              </w:rPr>
              <w:t>2) Maintain Training Records</w:t>
            </w:r>
          </w:p>
        </w:tc>
        <w:tc>
          <w:tcPr>
            <w:tcW w:w="990" w:type="dxa"/>
            <w:tcBorders>
              <w:top w:val="nil"/>
              <w:left w:val="nil"/>
              <w:bottom w:val="single" w:sz="8" w:space="0" w:color="auto"/>
              <w:right w:val="single" w:sz="8" w:space="0" w:color="auto"/>
            </w:tcBorders>
            <w:shd w:val="clear" w:color="auto" w:fill="auto"/>
            <w:noWrap/>
            <w:vAlign w:val="bottom"/>
            <w:hideMark/>
          </w:tcPr>
          <w:p w:rsidR="00122507" w:rsidRPr="00122507" w:rsidP="00122507" w14:paraId="53E7B018" w14:textId="77777777">
            <w:pPr>
              <w:spacing w:after="0"/>
              <w:ind w:firstLine="0"/>
              <w:rPr>
                <w:rFonts w:cs="Arial"/>
                <w:bCs/>
                <w:color w:val="000000"/>
                <w:sz w:val="20"/>
              </w:rPr>
            </w:pPr>
            <w:r w:rsidRPr="00122507">
              <w:rPr>
                <w:rFonts w:cs="Arial"/>
                <w:bCs/>
                <w:color w:val="000000"/>
                <w:sz w:val="20"/>
              </w:rPr>
              <w:t>92.74</w:t>
            </w:r>
          </w:p>
        </w:tc>
        <w:tc>
          <w:tcPr>
            <w:tcW w:w="1350" w:type="dxa"/>
            <w:gridSpan w:val="2"/>
            <w:tcBorders>
              <w:top w:val="nil"/>
              <w:left w:val="nil"/>
              <w:bottom w:val="nil"/>
              <w:right w:val="single" w:sz="8" w:space="0" w:color="auto"/>
            </w:tcBorders>
            <w:shd w:val="clear" w:color="auto" w:fill="auto"/>
            <w:noWrap/>
            <w:vAlign w:val="bottom"/>
            <w:hideMark/>
          </w:tcPr>
          <w:p w:rsidR="00122507" w:rsidRPr="00122507" w:rsidP="00122507" w14:paraId="7A5B7A3B"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single" w:sz="8" w:space="0" w:color="auto"/>
            </w:tcBorders>
            <w:shd w:val="clear" w:color="auto" w:fill="auto"/>
            <w:noWrap/>
            <w:vAlign w:val="bottom"/>
            <w:hideMark/>
          </w:tcPr>
          <w:p w:rsidR="00122507" w:rsidRPr="00122507" w:rsidP="00122507" w14:paraId="226D30C2"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51F437C0"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single" w:sz="12" w:space="0" w:color="auto"/>
              <w:bottom w:val="nil"/>
              <w:right w:val="nil"/>
            </w:tcBorders>
            <w:shd w:val="clear" w:color="auto" w:fill="auto"/>
            <w:noWrap/>
            <w:vAlign w:val="bottom"/>
            <w:hideMark/>
          </w:tcPr>
          <w:p w:rsidR="00122507" w:rsidRPr="00122507" w:rsidP="00122507" w14:paraId="210BA036" w14:textId="77777777">
            <w:pPr>
              <w:spacing w:after="0"/>
              <w:ind w:firstLine="0"/>
              <w:rPr>
                <w:rFonts w:cs="Arial"/>
                <w:bCs/>
                <w:color w:val="000000"/>
                <w:sz w:val="20"/>
              </w:rPr>
            </w:pPr>
            <w:r w:rsidRPr="00122507">
              <w:rPr>
                <w:rFonts w:cs="Arial"/>
                <w:bCs/>
                <w:color w:val="000000"/>
                <w:sz w:val="20"/>
              </w:rPr>
              <w:t>92.74</w:t>
            </w:r>
          </w:p>
        </w:tc>
        <w:tc>
          <w:tcPr>
            <w:tcW w:w="1530" w:type="dxa"/>
            <w:gridSpan w:val="2"/>
            <w:tcBorders>
              <w:top w:val="nil"/>
              <w:left w:val="single" w:sz="12" w:space="0" w:color="auto"/>
              <w:bottom w:val="nil"/>
              <w:right w:val="single" w:sz="12" w:space="0" w:color="auto"/>
            </w:tcBorders>
            <w:shd w:val="clear" w:color="auto" w:fill="auto"/>
            <w:noWrap/>
            <w:vAlign w:val="bottom"/>
            <w:hideMark/>
          </w:tcPr>
          <w:p w:rsidR="00122507" w:rsidRPr="00122507" w:rsidP="00122507" w14:paraId="560DFAD4" w14:textId="77777777">
            <w:pPr>
              <w:spacing w:after="0"/>
              <w:ind w:firstLine="0"/>
              <w:rPr>
                <w:rFonts w:cs="Arial"/>
                <w:bCs/>
                <w:color w:val="000000"/>
                <w:sz w:val="20"/>
              </w:rPr>
            </w:pPr>
            <w:r w:rsidRPr="00122507">
              <w:rPr>
                <w:rFonts w:cs="Arial"/>
                <w:bCs/>
                <w:color w:val="000000"/>
                <w:sz w:val="20"/>
              </w:rPr>
              <w:t>1,112.85</w:t>
            </w:r>
          </w:p>
        </w:tc>
      </w:tr>
      <w:tr w14:paraId="196DF90A" w14:textId="77777777" w:rsidTr="00ED5D77">
        <w:tblPrEx>
          <w:tblW w:w="11070" w:type="dxa"/>
          <w:tblInd w:w="-735" w:type="dxa"/>
          <w:tblLayout w:type="fixed"/>
          <w:tblLook w:val="04A0"/>
        </w:tblPrEx>
        <w:trPr>
          <w:trHeight w:val="315"/>
        </w:trPr>
        <w:tc>
          <w:tcPr>
            <w:tcW w:w="3510" w:type="dxa"/>
            <w:gridSpan w:val="6"/>
            <w:tcBorders>
              <w:top w:val="single" w:sz="8" w:space="0" w:color="auto"/>
              <w:left w:val="single" w:sz="12" w:space="0" w:color="auto"/>
              <w:bottom w:val="single" w:sz="12" w:space="0" w:color="auto"/>
              <w:right w:val="single" w:sz="8" w:space="0" w:color="000000" w:themeColor="text1"/>
            </w:tcBorders>
            <w:shd w:val="clear" w:color="auto" w:fill="auto"/>
            <w:noWrap/>
            <w:vAlign w:val="center"/>
            <w:hideMark/>
          </w:tcPr>
          <w:p w:rsidR="00122507" w:rsidRPr="00122507" w:rsidP="00122507" w14:paraId="01FDB7C3" w14:textId="77777777">
            <w:pPr>
              <w:spacing w:after="0"/>
              <w:ind w:firstLine="0"/>
              <w:rPr>
                <w:rFonts w:cs="Arial"/>
                <w:bCs/>
                <w:color w:val="000000"/>
                <w:sz w:val="20"/>
              </w:rPr>
            </w:pPr>
            <w:r w:rsidRPr="00122507">
              <w:rPr>
                <w:rFonts w:cs="Arial"/>
                <w:bCs/>
                <w:color w:val="000000"/>
                <w:sz w:val="20"/>
              </w:rPr>
              <w:t>Subtotal, Competent Person</w:t>
            </w:r>
          </w:p>
        </w:tc>
        <w:tc>
          <w:tcPr>
            <w:tcW w:w="990" w:type="dxa"/>
            <w:tcBorders>
              <w:top w:val="nil"/>
              <w:left w:val="nil"/>
              <w:bottom w:val="nil"/>
              <w:right w:val="nil"/>
            </w:tcBorders>
            <w:shd w:val="clear" w:color="auto" w:fill="auto"/>
            <w:noWrap/>
            <w:vAlign w:val="center"/>
            <w:hideMark/>
          </w:tcPr>
          <w:p w:rsidR="00122507" w:rsidRPr="00122507" w:rsidP="00122507" w14:paraId="7D7F5DB9"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8" w:space="0" w:color="auto"/>
              <w:left w:val="nil"/>
              <w:bottom w:val="nil"/>
              <w:right w:val="nil"/>
            </w:tcBorders>
            <w:shd w:val="clear" w:color="auto" w:fill="auto"/>
            <w:noWrap/>
            <w:vAlign w:val="bottom"/>
            <w:hideMark/>
          </w:tcPr>
          <w:p w:rsidR="00122507" w:rsidRPr="00122507" w:rsidP="00122507" w14:paraId="1A3B70A8"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8" w:space="0" w:color="auto"/>
              <w:left w:val="nil"/>
              <w:bottom w:val="nil"/>
              <w:right w:val="nil"/>
            </w:tcBorders>
            <w:shd w:val="clear" w:color="auto" w:fill="auto"/>
            <w:noWrap/>
            <w:vAlign w:val="bottom"/>
            <w:hideMark/>
          </w:tcPr>
          <w:p w:rsidR="00122507" w:rsidRPr="00122507" w:rsidP="00122507" w14:paraId="755D9D8B"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8" w:space="0" w:color="auto"/>
              <w:left w:val="nil"/>
              <w:bottom w:val="nil"/>
              <w:right w:val="single" w:sz="12" w:space="0" w:color="auto"/>
            </w:tcBorders>
            <w:shd w:val="clear" w:color="auto" w:fill="auto"/>
            <w:noWrap/>
            <w:vAlign w:val="bottom"/>
            <w:hideMark/>
          </w:tcPr>
          <w:p w:rsidR="00122507" w:rsidRPr="00122507" w:rsidP="00122507" w14:paraId="2371C666"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8" w:space="0" w:color="auto"/>
              <w:left w:val="nil"/>
              <w:bottom w:val="nil"/>
              <w:right w:val="nil"/>
            </w:tcBorders>
            <w:shd w:val="clear" w:color="auto" w:fill="auto"/>
            <w:noWrap/>
            <w:vAlign w:val="center"/>
            <w:hideMark/>
          </w:tcPr>
          <w:p w:rsidR="00122507" w:rsidRPr="00122507" w:rsidP="00122507" w14:paraId="5ED4F5EB" w14:textId="77777777">
            <w:pPr>
              <w:spacing w:after="0"/>
              <w:ind w:firstLine="0"/>
              <w:rPr>
                <w:rFonts w:cs="Arial"/>
                <w:bCs/>
                <w:color w:val="000000"/>
                <w:sz w:val="20"/>
              </w:rPr>
            </w:pPr>
            <w:r w:rsidRPr="00122507">
              <w:rPr>
                <w:rFonts w:cs="Arial"/>
                <w:bCs/>
                <w:color w:val="000000"/>
                <w:sz w:val="20"/>
              </w:rPr>
              <w:t>3,718.11</w:t>
            </w:r>
          </w:p>
        </w:tc>
        <w:tc>
          <w:tcPr>
            <w:tcW w:w="1530" w:type="dxa"/>
            <w:gridSpan w:val="2"/>
            <w:tcBorders>
              <w:top w:val="single" w:sz="8" w:space="0" w:color="auto"/>
              <w:left w:val="single" w:sz="12" w:space="0" w:color="auto"/>
              <w:bottom w:val="nil"/>
              <w:right w:val="single" w:sz="12" w:space="0" w:color="auto"/>
            </w:tcBorders>
            <w:shd w:val="clear" w:color="auto" w:fill="auto"/>
            <w:noWrap/>
            <w:vAlign w:val="center"/>
            <w:hideMark/>
          </w:tcPr>
          <w:p w:rsidR="00122507" w:rsidRPr="00122507" w:rsidP="00122507" w14:paraId="2AEB216C" w14:textId="77777777">
            <w:pPr>
              <w:spacing w:after="0"/>
              <w:ind w:firstLine="0"/>
              <w:rPr>
                <w:rFonts w:cs="Arial"/>
                <w:bCs/>
                <w:color w:val="000000"/>
                <w:sz w:val="20"/>
              </w:rPr>
            </w:pPr>
            <w:r w:rsidRPr="00122507">
              <w:rPr>
                <w:rFonts w:cs="Arial"/>
                <w:bCs/>
                <w:color w:val="000000"/>
                <w:sz w:val="20"/>
              </w:rPr>
              <w:t>2,225.70</w:t>
            </w:r>
          </w:p>
        </w:tc>
      </w:tr>
      <w:tr w14:paraId="2C672C3C" w14:textId="77777777" w:rsidTr="00ED5D77">
        <w:tblPrEx>
          <w:tblW w:w="11070" w:type="dxa"/>
          <w:tblInd w:w="-735" w:type="dxa"/>
          <w:tblLayout w:type="fixed"/>
          <w:tblLook w:val="04A0"/>
        </w:tblPrEx>
        <w:trPr>
          <w:trHeight w:val="330"/>
        </w:trPr>
        <w:tc>
          <w:tcPr>
            <w:tcW w:w="3510" w:type="dxa"/>
            <w:gridSpan w:val="6"/>
            <w:tcBorders>
              <w:top w:val="single" w:sz="12" w:space="0" w:color="auto"/>
              <w:left w:val="single" w:sz="12" w:space="0" w:color="auto"/>
              <w:bottom w:val="single" w:sz="8" w:space="0" w:color="auto"/>
              <w:right w:val="nil"/>
            </w:tcBorders>
            <w:shd w:val="clear" w:color="auto" w:fill="D9D9D9" w:themeFill="background1" w:themeFillShade="D9"/>
            <w:noWrap/>
            <w:vAlign w:val="center"/>
            <w:hideMark/>
          </w:tcPr>
          <w:p w:rsidR="00122507" w:rsidRPr="00122507" w:rsidP="00122507" w14:paraId="2AF7AF14" w14:textId="77777777">
            <w:pPr>
              <w:spacing w:after="0"/>
              <w:ind w:firstLine="0"/>
              <w:rPr>
                <w:rFonts w:cs="Arial"/>
                <w:bCs/>
                <w:color w:val="000000"/>
                <w:sz w:val="20"/>
              </w:rPr>
            </w:pPr>
            <w:r w:rsidRPr="00122507">
              <w:rPr>
                <w:rFonts w:cs="Arial"/>
                <w:bCs/>
                <w:color w:val="000000"/>
                <w:sz w:val="20"/>
              </w:rPr>
              <w:t>Total</w:t>
            </w:r>
          </w:p>
        </w:tc>
        <w:tc>
          <w:tcPr>
            <w:tcW w:w="990" w:type="dxa"/>
            <w:tcBorders>
              <w:top w:val="single" w:sz="12" w:space="0" w:color="auto"/>
              <w:left w:val="nil"/>
              <w:bottom w:val="single" w:sz="8" w:space="0" w:color="auto"/>
              <w:right w:val="nil"/>
            </w:tcBorders>
            <w:shd w:val="clear" w:color="auto" w:fill="D9D9D9" w:themeFill="background1" w:themeFillShade="D9"/>
            <w:noWrap/>
            <w:vAlign w:val="center"/>
            <w:hideMark/>
          </w:tcPr>
          <w:p w:rsidR="00122507" w:rsidRPr="00122507" w:rsidP="00122507" w14:paraId="7B045FD0"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single" w:sz="12" w:space="0" w:color="auto"/>
              <w:left w:val="nil"/>
              <w:bottom w:val="single" w:sz="8" w:space="0" w:color="auto"/>
              <w:right w:val="nil"/>
            </w:tcBorders>
            <w:shd w:val="clear" w:color="auto" w:fill="D9D9D9" w:themeFill="background1" w:themeFillShade="D9"/>
            <w:noWrap/>
            <w:vAlign w:val="bottom"/>
            <w:hideMark/>
          </w:tcPr>
          <w:p w:rsidR="00122507" w:rsidRPr="00122507" w:rsidP="00122507" w14:paraId="71DCAEB0"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single" w:sz="12" w:space="0" w:color="auto"/>
              <w:left w:val="nil"/>
              <w:bottom w:val="single" w:sz="8" w:space="0" w:color="auto"/>
              <w:right w:val="nil"/>
            </w:tcBorders>
            <w:shd w:val="clear" w:color="auto" w:fill="D9D9D9" w:themeFill="background1" w:themeFillShade="D9"/>
            <w:noWrap/>
            <w:vAlign w:val="bottom"/>
            <w:hideMark/>
          </w:tcPr>
          <w:p w:rsidR="00122507" w:rsidRPr="00122507" w:rsidP="00122507" w14:paraId="3A268728"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single" w:sz="12" w:space="0" w:color="auto"/>
              <w:left w:val="nil"/>
              <w:bottom w:val="single" w:sz="8" w:space="0" w:color="auto"/>
              <w:right w:val="single" w:sz="12" w:space="0" w:color="auto"/>
            </w:tcBorders>
            <w:shd w:val="clear" w:color="auto" w:fill="D9D9D9" w:themeFill="background1" w:themeFillShade="D9"/>
            <w:noWrap/>
            <w:vAlign w:val="bottom"/>
            <w:hideMark/>
          </w:tcPr>
          <w:p w:rsidR="00122507" w:rsidRPr="00122507" w:rsidP="00122507" w14:paraId="731BCEB0" w14:textId="77777777">
            <w:pPr>
              <w:spacing w:after="0"/>
              <w:ind w:firstLine="0"/>
              <w:rPr>
                <w:rFonts w:cs="Arial"/>
                <w:bCs/>
                <w:color w:val="000000"/>
                <w:sz w:val="20"/>
              </w:rPr>
            </w:pPr>
            <w:r w:rsidRPr="00122507">
              <w:rPr>
                <w:rFonts w:cs="Arial"/>
                <w:bCs/>
                <w:color w:val="000000"/>
                <w:sz w:val="20"/>
              </w:rPr>
              <w:t> </w:t>
            </w:r>
          </w:p>
        </w:tc>
        <w:tc>
          <w:tcPr>
            <w:tcW w:w="1080" w:type="dxa"/>
            <w:tcBorders>
              <w:top w:val="single" w:sz="12" w:space="0" w:color="auto"/>
              <w:left w:val="nil"/>
              <w:bottom w:val="single" w:sz="8" w:space="0" w:color="auto"/>
              <w:right w:val="nil"/>
            </w:tcBorders>
            <w:shd w:val="clear" w:color="auto" w:fill="D9D9D9" w:themeFill="background1" w:themeFillShade="D9"/>
            <w:noWrap/>
            <w:vAlign w:val="center"/>
            <w:hideMark/>
          </w:tcPr>
          <w:p w:rsidR="00122507" w:rsidRPr="00122507" w:rsidP="00122507" w14:paraId="0CD528E2" w14:textId="77777777">
            <w:pPr>
              <w:spacing w:after="0"/>
              <w:ind w:firstLine="0"/>
              <w:rPr>
                <w:rFonts w:cs="Arial"/>
                <w:bCs/>
                <w:color w:val="000000"/>
                <w:sz w:val="20"/>
              </w:rPr>
            </w:pPr>
            <w:r w:rsidRPr="00122507">
              <w:rPr>
                <w:rFonts w:cs="Arial"/>
                <w:bCs/>
                <w:color w:val="000000"/>
                <w:sz w:val="20"/>
              </w:rPr>
              <w:t>14,919</w:t>
            </w:r>
          </w:p>
        </w:tc>
        <w:tc>
          <w:tcPr>
            <w:tcW w:w="1530" w:type="dxa"/>
            <w:gridSpan w:val="2"/>
            <w:tcBorders>
              <w:top w:val="single" w:sz="12" w:space="0" w:color="auto"/>
              <w:left w:val="single" w:sz="12" w:space="0" w:color="auto"/>
              <w:bottom w:val="single" w:sz="8" w:space="0" w:color="auto"/>
              <w:right w:val="single" w:sz="12" w:space="0" w:color="auto"/>
            </w:tcBorders>
            <w:shd w:val="clear" w:color="auto" w:fill="D9D9D9" w:themeFill="background1" w:themeFillShade="D9"/>
            <w:noWrap/>
            <w:vAlign w:val="center"/>
            <w:hideMark/>
          </w:tcPr>
          <w:p w:rsidR="00122507" w:rsidRPr="00122507" w:rsidP="00122507" w14:paraId="688E0BCA" w14:textId="77777777">
            <w:pPr>
              <w:spacing w:after="0"/>
              <w:ind w:firstLine="0"/>
              <w:rPr>
                <w:rFonts w:cs="Arial"/>
                <w:bCs/>
                <w:color w:val="000000"/>
                <w:sz w:val="20"/>
              </w:rPr>
            </w:pPr>
            <w:r w:rsidRPr="00122507">
              <w:rPr>
                <w:rFonts w:cs="Arial"/>
                <w:bCs/>
                <w:color w:val="000000"/>
                <w:sz w:val="20"/>
              </w:rPr>
              <w:t>46,820</w:t>
            </w:r>
          </w:p>
        </w:tc>
      </w:tr>
      <w:tr w14:paraId="7F58245A" w14:textId="77777777" w:rsidTr="00ED5D77">
        <w:tblPrEx>
          <w:tblW w:w="11070" w:type="dxa"/>
          <w:tblInd w:w="-735" w:type="dxa"/>
          <w:tblLayout w:type="fixed"/>
          <w:tblLook w:val="04A0"/>
        </w:tblPrEx>
        <w:trPr>
          <w:trHeight w:val="300"/>
        </w:trPr>
        <w:tc>
          <w:tcPr>
            <w:tcW w:w="3510" w:type="dxa"/>
            <w:gridSpan w:val="6"/>
            <w:tcBorders>
              <w:top w:val="single" w:sz="8" w:space="0" w:color="auto"/>
              <w:left w:val="single" w:sz="12" w:space="0" w:color="auto"/>
              <w:bottom w:val="nil"/>
              <w:right w:val="nil"/>
            </w:tcBorders>
            <w:shd w:val="clear" w:color="auto" w:fill="auto"/>
            <w:noWrap/>
            <w:vAlign w:val="bottom"/>
            <w:hideMark/>
          </w:tcPr>
          <w:p w:rsidR="00122507" w:rsidRPr="00122507" w:rsidP="00122507" w14:paraId="0D18CA33" w14:textId="77777777">
            <w:pPr>
              <w:spacing w:after="0"/>
              <w:ind w:firstLine="0"/>
              <w:rPr>
                <w:rFonts w:cs="Arial"/>
                <w:bCs/>
                <w:color w:val="000000"/>
                <w:sz w:val="20"/>
              </w:rPr>
            </w:pPr>
            <w:r w:rsidRPr="00122507">
              <w:rPr>
                <w:rFonts w:cs="Arial"/>
                <w:bCs/>
                <w:color w:val="000000"/>
                <w:sz w:val="20"/>
              </w:rPr>
              <w:t>General Notes</w:t>
            </w:r>
          </w:p>
        </w:tc>
        <w:tc>
          <w:tcPr>
            <w:tcW w:w="990" w:type="dxa"/>
            <w:tcBorders>
              <w:top w:val="nil"/>
              <w:left w:val="nil"/>
              <w:bottom w:val="nil"/>
              <w:right w:val="nil"/>
            </w:tcBorders>
            <w:shd w:val="clear" w:color="auto" w:fill="auto"/>
            <w:noWrap/>
            <w:vAlign w:val="bottom"/>
            <w:hideMark/>
          </w:tcPr>
          <w:p w:rsidR="00122507" w:rsidRPr="00122507" w:rsidP="00122507" w14:paraId="0B11B62F" w14:textId="77777777">
            <w:pPr>
              <w:spacing w:after="0"/>
              <w:ind w:firstLine="0"/>
              <w:rPr>
                <w:rFonts w:cs="Arial"/>
                <w:bCs/>
                <w:color w:val="000000"/>
                <w:sz w:val="20"/>
              </w:rPr>
            </w:pPr>
            <w:r w:rsidRPr="00122507">
              <w:rPr>
                <w:rFonts w:cs="Arial"/>
                <w:bCs/>
                <w:color w:val="000000"/>
                <w:sz w:val="20"/>
              </w:rPr>
              <w:t> </w:t>
            </w:r>
          </w:p>
        </w:tc>
        <w:tc>
          <w:tcPr>
            <w:tcW w:w="1350" w:type="dxa"/>
            <w:gridSpan w:val="2"/>
            <w:tcBorders>
              <w:top w:val="nil"/>
              <w:left w:val="nil"/>
              <w:bottom w:val="nil"/>
              <w:right w:val="nil"/>
            </w:tcBorders>
            <w:shd w:val="clear" w:color="auto" w:fill="auto"/>
            <w:noWrap/>
            <w:vAlign w:val="bottom"/>
            <w:hideMark/>
          </w:tcPr>
          <w:p w:rsidR="00122507" w:rsidRPr="00122507" w:rsidP="00122507" w14:paraId="4186F0A2" w14:textId="77777777">
            <w:pPr>
              <w:spacing w:after="0"/>
              <w:ind w:firstLine="0"/>
              <w:rPr>
                <w:rFonts w:cs="Arial"/>
                <w:bCs/>
                <w:color w:val="000000"/>
                <w:sz w:val="20"/>
              </w:rPr>
            </w:pPr>
            <w:r w:rsidRPr="00122507">
              <w:rPr>
                <w:rFonts w:cs="Arial"/>
                <w:bCs/>
                <w:color w:val="000000"/>
                <w:sz w:val="20"/>
              </w:rPr>
              <w:t> </w:t>
            </w:r>
          </w:p>
        </w:tc>
        <w:tc>
          <w:tcPr>
            <w:tcW w:w="1440" w:type="dxa"/>
            <w:gridSpan w:val="2"/>
            <w:tcBorders>
              <w:top w:val="nil"/>
              <w:left w:val="nil"/>
              <w:bottom w:val="nil"/>
              <w:right w:val="nil"/>
            </w:tcBorders>
            <w:shd w:val="clear" w:color="auto" w:fill="auto"/>
            <w:noWrap/>
            <w:vAlign w:val="bottom"/>
            <w:hideMark/>
          </w:tcPr>
          <w:p w:rsidR="00122507" w:rsidRPr="00122507" w:rsidP="00122507" w14:paraId="70CA3C3C" w14:textId="77777777">
            <w:pPr>
              <w:spacing w:after="0"/>
              <w:ind w:firstLine="0"/>
              <w:rPr>
                <w:rFonts w:cs="Arial"/>
                <w:bCs/>
                <w:color w:val="000000"/>
                <w:sz w:val="20"/>
              </w:rPr>
            </w:pPr>
            <w:r w:rsidRPr="00122507">
              <w:rPr>
                <w:rFonts w:cs="Arial"/>
                <w:bCs/>
                <w:color w:val="000000"/>
                <w:sz w:val="20"/>
              </w:rPr>
              <w:t> </w:t>
            </w:r>
          </w:p>
        </w:tc>
        <w:tc>
          <w:tcPr>
            <w:tcW w:w="1170" w:type="dxa"/>
            <w:gridSpan w:val="2"/>
            <w:tcBorders>
              <w:top w:val="nil"/>
              <w:left w:val="nil"/>
              <w:bottom w:val="nil"/>
              <w:right w:val="nil"/>
            </w:tcBorders>
            <w:shd w:val="clear" w:color="auto" w:fill="auto"/>
            <w:noWrap/>
            <w:vAlign w:val="bottom"/>
            <w:hideMark/>
          </w:tcPr>
          <w:p w:rsidR="00122507" w:rsidRPr="00122507" w:rsidP="00122507" w14:paraId="1975AB48" w14:textId="77777777">
            <w:pPr>
              <w:spacing w:after="0"/>
              <w:ind w:firstLine="0"/>
              <w:rPr>
                <w:rFonts w:cs="Arial"/>
                <w:bCs/>
                <w:color w:val="000000"/>
                <w:sz w:val="20"/>
              </w:rPr>
            </w:pPr>
            <w:r w:rsidRPr="00122507">
              <w:rPr>
                <w:rFonts w:cs="Arial"/>
                <w:bCs/>
                <w:color w:val="000000"/>
                <w:sz w:val="20"/>
              </w:rPr>
              <w:t> </w:t>
            </w:r>
          </w:p>
        </w:tc>
        <w:tc>
          <w:tcPr>
            <w:tcW w:w="1080" w:type="dxa"/>
            <w:tcBorders>
              <w:top w:val="nil"/>
              <w:left w:val="nil"/>
              <w:bottom w:val="nil"/>
              <w:right w:val="nil"/>
            </w:tcBorders>
            <w:shd w:val="clear" w:color="auto" w:fill="auto"/>
            <w:noWrap/>
            <w:vAlign w:val="bottom"/>
            <w:hideMark/>
          </w:tcPr>
          <w:p w:rsidR="00122507" w:rsidRPr="00122507" w:rsidP="00122507" w14:paraId="5238A8C5" w14:textId="77777777">
            <w:pPr>
              <w:spacing w:after="0"/>
              <w:ind w:firstLine="0"/>
              <w:rPr>
                <w:rFonts w:cs="Arial"/>
                <w:bCs/>
                <w:color w:val="000000"/>
                <w:sz w:val="20"/>
              </w:rPr>
            </w:pPr>
            <w:r w:rsidRPr="00122507">
              <w:rPr>
                <w:rFonts w:cs="Arial"/>
                <w:bCs/>
                <w:color w:val="000000"/>
                <w:sz w:val="20"/>
              </w:rPr>
              <w:t> </w:t>
            </w:r>
          </w:p>
        </w:tc>
        <w:tc>
          <w:tcPr>
            <w:tcW w:w="1530" w:type="dxa"/>
            <w:gridSpan w:val="2"/>
            <w:tcBorders>
              <w:top w:val="nil"/>
              <w:left w:val="nil"/>
              <w:bottom w:val="nil"/>
              <w:right w:val="single" w:sz="12" w:space="0" w:color="auto"/>
            </w:tcBorders>
            <w:shd w:val="clear" w:color="auto" w:fill="auto"/>
            <w:noWrap/>
            <w:vAlign w:val="bottom"/>
            <w:hideMark/>
          </w:tcPr>
          <w:p w:rsidR="00122507" w:rsidRPr="00122507" w:rsidP="00122507" w14:paraId="62AF6F92" w14:textId="77777777">
            <w:pPr>
              <w:spacing w:after="0"/>
              <w:ind w:firstLine="0"/>
              <w:rPr>
                <w:rFonts w:cs="Arial"/>
                <w:bCs/>
                <w:color w:val="000000"/>
                <w:sz w:val="20"/>
              </w:rPr>
            </w:pPr>
            <w:r w:rsidRPr="00122507">
              <w:rPr>
                <w:rFonts w:cs="Arial"/>
                <w:bCs/>
                <w:color w:val="000000"/>
                <w:sz w:val="20"/>
              </w:rPr>
              <w:t> </w:t>
            </w:r>
          </w:p>
        </w:tc>
      </w:tr>
      <w:tr w14:paraId="77A405A3" w14:textId="77777777" w:rsidTr="00ED5D77">
        <w:tblPrEx>
          <w:tblW w:w="11070" w:type="dxa"/>
          <w:tblInd w:w="-735" w:type="dxa"/>
          <w:tblLayout w:type="fixed"/>
          <w:tblLook w:val="04A0"/>
        </w:tblPrEx>
        <w:trPr>
          <w:trHeight w:val="885"/>
        </w:trPr>
        <w:tc>
          <w:tcPr>
            <w:tcW w:w="540" w:type="dxa"/>
            <w:gridSpan w:val="3"/>
            <w:tcBorders>
              <w:top w:val="nil"/>
              <w:left w:val="single" w:sz="12" w:space="0" w:color="auto"/>
              <w:bottom w:val="nil"/>
              <w:right w:val="nil"/>
            </w:tcBorders>
            <w:shd w:val="clear" w:color="auto" w:fill="auto"/>
            <w:noWrap/>
            <w:hideMark/>
          </w:tcPr>
          <w:p w:rsidR="00122507" w:rsidRPr="00122507" w:rsidP="00122507" w14:paraId="73779B9C" w14:textId="77777777">
            <w:pPr>
              <w:spacing w:after="0"/>
              <w:ind w:firstLine="0"/>
              <w:rPr>
                <w:rFonts w:cs="Arial"/>
                <w:bCs/>
                <w:color w:val="000000"/>
                <w:sz w:val="20"/>
              </w:rPr>
            </w:pPr>
            <w:r w:rsidRPr="00122507">
              <w:rPr>
                <w:rFonts w:cs="Arial"/>
                <w:bCs/>
                <w:color w:val="000000"/>
                <w:sz w:val="20"/>
              </w:rPr>
              <w:t>1.</w:t>
            </w:r>
          </w:p>
        </w:tc>
        <w:tc>
          <w:tcPr>
            <w:tcW w:w="10530" w:type="dxa"/>
            <w:gridSpan w:val="13"/>
            <w:tcBorders>
              <w:top w:val="nil"/>
              <w:left w:val="nil"/>
              <w:bottom w:val="nil"/>
              <w:right w:val="single" w:sz="12" w:space="0" w:color="000000" w:themeColor="text1"/>
            </w:tcBorders>
            <w:shd w:val="clear" w:color="auto" w:fill="auto"/>
            <w:hideMark/>
          </w:tcPr>
          <w:p w:rsidR="00122507" w:rsidRPr="00122507" w:rsidP="00122507" w14:paraId="4E99A6E2" w14:textId="77777777">
            <w:pPr>
              <w:spacing w:after="0"/>
              <w:ind w:firstLine="0"/>
              <w:rPr>
                <w:rFonts w:cs="Arial"/>
                <w:bCs/>
                <w:color w:val="000000"/>
                <w:sz w:val="20"/>
              </w:rPr>
            </w:pPr>
            <w:r w:rsidRPr="00122507">
              <w:rPr>
                <w:rFonts w:cs="Arial"/>
                <w:bCs/>
                <w:color w:val="000000" w:themeColor="text1"/>
                <w:sz w:val="20"/>
              </w:rPr>
              <w:t xml:space="preserve">Source for unit burdens is </w:t>
            </w:r>
            <w:r w:rsidRPr="00122507">
              <w:rPr>
                <w:rFonts w:cs="Arial"/>
                <w:bCs/>
                <w:i/>
                <w:iCs/>
                <w:color w:val="000000" w:themeColor="text1"/>
                <w:sz w:val="20"/>
              </w:rPr>
              <w:t>Supporting Statement for a Request for OMB Review under the Paperwork Reduction Act - Reporting and Recordkeeping for Asbestos Abatement Worker Protection.</w:t>
            </w:r>
            <w:r w:rsidRPr="00122507">
              <w:rPr>
                <w:rFonts w:cs="Arial"/>
                <w:bCs/>
                <w:color w:val="000000" w:themeColor="text1"/>
                <w:sz w:val="20"/>
              </w:rPr>
              <w:t xml:space="preserve">  October 11, 2007. (EPA 2007). </w:t>
            </w:r>
          </w:p>
        </w:tc>
      </w:tr>
      <w:tr w14:paraId="757D203C" w14:textId="77777777" w:rsidTr="00ED5D77">
        <w:tblPrEx>
          <w:tblW w:w="11070" w:type="dxa"/>
          <w:tblInd w:w="-735" w:type="dxa"/>
          <w:tblLayout w:type="fixed"/>
          <w:tblLook w:val="04A0"/>
        </w:tblPrEx>
        <w:trPr>
          <w:trHeight w:val="1050"/>
        </w:trPr>
        <w:tc>
          <w:tcPr>
            <w:tcW w:w="540" w:type="dxa"/>
            <w:gridSpan w:val="3"/>
            <w:tcBorders>
              <w:top w:val="nil"/>
              <w:left w:val="single" w:sz="12" w:space="0" w:color="auto"/>
              <w:bottom w:val="nil"/>
              <w:right w:val="nil"/>
            </w:tcBorders>
            <w:shd w:val="clear" w:color="auto" w:fill="auto"/>
            <w:noWrap/>
            <w:hideMark/>
          </w:tcPr>
          <w:p w:rsidR="00122507" w:rsidRPr="00122507" w:rsidP="00122507" w14:paraId="6A7940BD" w14:textId="77777777">
            <w:pPr>
              <w:spacing w:after="0"/>
              <w:ind w:firstLine="0"/>
              <w:rPr>
                <w:rFonts w:cs="Arial"/>
                <w:bCs/>
                <w:color w:val="000000"/>
                <w:sz w:val="20"/>
              </w:rPr>
            </w:pPr>
            <w:r w:rsidRPr="00122507">
              <w:rPr>
                <w:rFonts w:cs="Arial"/>
                <w:bCs/>
                <w:color w:val="000000"/>
                <w:sz w:val="20"/>
              </w:rPr>
              <w:t>2.</w:t>
            </w:r>
          </w:p>
        </w:tc>
        <w:tc>
          <w:tcPr>
            <w:tcW w:w="10530" w:type="dxa"/>
            <w:gridSpan w:val="13"/>
            <w:tcBorders>
              <w:top w:val="nil"/>
              <w:left w:val="nil"/>
              <w:bottom w:val="nil"/>
              <w:right w:val="single" w:sz="12" w:space="0" w:color="000000" w:themeColor="text1"/>
            </w:tcBorders>
            <w:shd w:val="clear" w:color="auto" w:fill="auto"/>
            <w:hideMark/>
          </w:tcPr>
          <w:p w:rsidR="00122507" w:rsidRPr="00122507" w:rsidP="00122507" w14:paraId="48B57CAF" w14:textId="77777777">
            <w:pPr>
              <w:spacing w:after="0"/>
              <w:ind w:firstLine="0"/>
              <w:rPr>
                <w:rFonts w:cs="Arial"/>
                <w:bCs/>
                <w:color w:val="000000"/>
                <w:sz w:val="20"/>
              </w:rPr>
            </w:pPr>
            <w:r w:rsidRPr="00122507">
              <w:rPr>
                <w:rFonts w:cs="Arial"/>
                <w:bCs/>
                <w:color w:val="000000" w:themeColor="text1"/>
                <w:sz w:val="20"/>
              </w:rPr>
              <w:t>The unit burden per state has implied numbers of respondents and responses. As provided in the 2007 ICR (see General Note 1 above for citation), on average each state has an associated 1,422 affected state and local government entities with an associated total count of 46,820 responses. Unless otherwise noted as involving a subpopulation set of respondents, activities occur within all affected entity jurisdictions.</w:t>
            </w:r>
          </w:p>
        </w:tc>
      </w:tr>
      <w:tr w14:paraId="2D299605" w14:textId="77777777" w:rsidTr="00ED5D77">
        <w:tblPrEx>
          <w:tblW w:w="11070" w:type="dxa"/>
          <w:tblInd w:w="-735" w:type="dxa"/>
          <w:tblLayout w:type="fixed"/>
          <w:tblLook w:val="04A0"/>
        </w:tblPrEx>
        <w:trPr>
          <w:trHeight w:val="300"/>
        </w:trPr>
        <w:tc>
          <w:tcPr>
            <w:tcW w:w="3510" w:type="dxa"/>
            <w:gridSpan w:val="6"/>
            <w:tcBorders>
              <w:top w:val="nil"/>
              <w:left w:val="single" w:sz="12" w:space="0" w:color="auto"/>
              <w:bottom w:val="nil"/>
              <w:right w:val="nil"/>
            </w:tcBorders>
            <w:shd w:val="clear" w:color="auto" w:fill="auto"/>
            <w:noWrap/>
            <w:vAlign w:val="bottom"/>
            <w:hideMark/>
          </w:tcPr>
          <w:p w:rsidR="00122507" w:rsidRPr="00122507" w:rsidP="00122507" w14:paraId="5C4A95C1" w14:textId="77777777">
            <w:pPr>
              <w:spacing w:after="0"/>
              <w:ind w:firstLine="0"/>
              <w:rPr>
                <w:rFonts w:cs="Arial"/>
                <w:bCs/>
                <w:color w:val="000000"/>
                <w:sz w:val="20"/>
              </w:rPr>
            </w:pPr>
            <w:r w:rsidRPr="00122507">
              <w:rPr>
                <w:rFonts w:cs="Arial"/>
                <w:bCs/>
                <w:color w:val="000000"/>
                <w:sz w:val="20"/>
              </w:rPr>
              <w:t>Footnotes</w:t>
            </w:r>
          </w:p>
        </w:tc>
        <w:tc>
          <w:tcPr>
            <w:tcW w:w="1752" w:type="dxa"/>
            <w:gridSpan w:val="2"/>
            <w:tcBorders>
              <w:top w:val="nil"/>
              <w:left w:val="nil"/>
              <w:bottom w:val="nil"/>
              <w:right w:val="nil"/>
            </w:tcBorders>
            <w:shd w:val="clear" w:color="auto" w:fill="auto"/>
            <w:noWrap/>
            <w:vAlign w:val="bottom"/>
            <w:hideMark/>
          </w:tcPr>
          <w:p w:rsidR="00122507" w:rsidRPr="00122507" w:rsidP="00122507" w14:paraId="346005F9" w14:textId="77777777">
            <w:pPr>
              <w:spacing w:after="0"/>
              <w:ind w:firstLine="0"/>
              <w:rPr>
                <w:rFonts w:cs="Arial"/>
                <w:bCs/>
                <w:color w:val="000000"/>
                <w:sz w:val="20"/>
              </w:rPr>
            </w:pPr>
          </w:p>
        </w:tc>
        <w:tc>
          <w:tcPr>
            <w:tcW w:w="1201" w:type="dxa"/>
            <w:gridSpan w:val="2"/>
            <w:tcBorders>
              <w:top w:val="nil"/>
              <w:left w:val="nil"/>
              <w:bottom w:val="nil"/>
              <w:right w:val="nil"/>
            </w:tcBorders>
            <w:shd w:val="clear" w:color="auto" w:fill="auto"/>
            <w:noWrap/>
            <w:vAlign w:val="bottom"/>
            <w:hideMark/>
          </w:tcPr>
          <w:p w:rsidR="00122507" w:rsidRPr="00122507" w:rsidP="00122507" w14:paraId="62D1FAC5" w14:textId="77777777">
            <w:pPr>
              <w:spacing w:after="0"/>
              <w:ind w:firstLine="0"/>
              <w:rPr>
                <w:rFonts w:cs="Arial"/>
                <w:bCs/>
                <w:color w:val="000000"/>
                <w:sz w:val="20"/>
              </w:rPr>
            </w:pPr>
          </w:p>
        </w:tc>
        <w:tc>
          <w:tcPr>
            <w:tcW w:w="1238" w:type="dxa"/>
            <w:gridSpan w:val="2"/>
            <w:tcBorders>
              <w:top w:val="nil"/>
              <w:left w:val="nil"/>
              <w:bottom w:val="nil"/>
              <w:right w:val="nil"/>
            </w:tcBorders>
            <w:shd w:val="clear" w:color="auto" w:fill="auto"/>
            <w:noWrap/>
            <w:vAlign w:val="bottom"/>
            <w:hideMark/>
          </w:tcPr>
          <w:p w:rsidR="00122507" w:rsidRPr="00122507" w:rsidP="00122507" w14:paraId="2C8E4530" w14:textId="77777777">
            <w:pPr>
              <w:spacing w:after="0"/>
              <w:ind w:firstLine="0"/>
              <w:rPr>
                <w:rFonts w:cs="Arial"/>
                <w:bCs/>
                <w:color w:val="000000"/>
                <w:sz w:val="20"/>
              </w:rPr>
            </w:pPr>
          </w:p>
        </w:tc>
        <w:tc>
          <w:tcPr>
            <w:tcW w:w="759" w:type="dxa"/>
            <w:tcBorders>
              <w:top w:val="nil"/>
              <w:left w:val="nil"/>
              <w:bottom w:val="nil"/>
              <w:right w:val="nil"/>
            </w:tcBorders>
            <w:shd w:val="clear" w:color="auto" w:fill="auto"/>
            <w:noWrap/>
            <w:vAlign w:val="bottom"/>
            <w:hideMark/>
          </w:tcPr>
          <w:p w:rsidR="00122507" w:rsidRPr="00122507" w:rsidP="00122507" w14:paraId="6901124F" w14:textId="77777777">
            <w:pPr>
              <w:spacing w:after="0"/>
              <w:ind w:firstLine="0"/>
              <w:rPr>
                <w:rFonts w:cs="Arial"/>
                <w:bCs/>
                <w:color w:val="000000"/>
                <w:sz w:val="20"/>
              </w:rPr>
            </w:pPr>
          </w:p>
        </w:tc>
        <w:tc>
          <w:tcPr>
            <w:tcW w:w="1819" w:type="dxa"/>
            <w:gridSpan w:val="2"/>
            <w:tcBorders>
              <w:top w:val="nil"/>
              <w:left w:val="nil"/>
              <w:bottom w:val="nil"/>
              <w:right w:val="nil"/>
            </w:tcBorders>
            <w:shd w:val="clear" w:color="auto" w:fill="auto"/>
            <w:noWrap/>
            <w:vAlign w:val="bottom"/>
            <w:hideMark/>
          </w:tcPr>
          <w:p w:rsidR="00122507" w:rsidRPr="00122507" w:rsidP="00122507" w14:paraId="692852AA" w14:textId="77777777">
            <w:pPr>
              <w:spacing w:after="0"/>
              <w:ind w:firstLine="0"/>
              <w:rPr>
                <w:rFonts w:cs="Arial"/>
                <w:bCs/>
                <w:color w:val="000000"/>
                <w:sz w:val="20"/>
              </w:rPr>
            </w:pPr>
          </w:p>
        </w:tc>
        <w:tc>
          <w:tcPr>
            <w:tcW w:w="791" w:type="dxa"/>
            <w:tcBorders>
              <w:top w:val="nil"/>
              <w:left w:val="nil"/>
              <w:bottom w:val="nil"/>
              <w:right w:val="single" w:sz="12" w:space="0" w:color="auto"/>
            </w:tcBorders>
            <w:shd w:val="clear" w:color="auto" w:fill="auto"/>
            <w:noWrap/>
            <w:vAlign w:val="bottom"/>
            <w:hideMark/>
          </w:tcPr>
          <w:p w:rsidR="00122507" w:rsidRPr="00122507" w:rsidP="00122507" w14:paraId="4AF82829" w14:textId="77777777">
            <w:pPr>
              <w:spacing w:after="0"/>
              <w:ind w:firstLine="0"/>
              <w:rPr>
                <w:rFonts w:cs="Arial"/>
                <w:bCs/>
                <w:color w:val="000000"/>
                <w:sz w:val="20"/>
              </w:rPr>
            </w:pPr>
            <w:r w:rsidRPr="00122507">
              <w:rPr>
                <w:rFonts w:cs="Arial"/>
                <w:bCs/>
                <w:color w:val="000000"/>
                <w:sz w:val="20"/>
              </w:rPr>
              <w:t> </w:t>
            </w:r>
          </w:p>
        </w:tc>
      </w:tr>
      <w:tr w14:paraId="2703A6A3" w14:textId="77777777" w:rsidTr="00ED5D77">
        <w:tblPrEx>
          <w:tblW w:w="11070" w:type="dxa"/>
          <w:tblInd w:w="-735" w:type="dxa"/>
          <w:tblLayout w:type="fixed"/>
          <w:tblLook w:val="04A0"/>
        </w:tblPrEx>
        <w:trPr>
          <w:trHeight w:val="825"/>
        </w:trPr>
        <w:tc>
          <w:tcPr>
            <w:tcW w:w="450" w:type="dxa"/>
            <w:gridSpan w:val="2"/>
            <w:tcBorders>
              <w:top w:val="nil"/>
              <w:left w:val="single" w:sz="12" w:space="0" w:color="auto"/>
              <w:bottom w:val="nil"/>
              <w:right w:val="nil"/>
            </w:tcBorders>
            <w:shd w:val="clear" w:color="auto" w:fill="auto"/>
            <w:noWrap/>
            <w:hideMark/>
          </w:tcPr>
          <w:p w:rsidR="00122507" w:rsidRPr="00122507" w:rsidP="00122507" w14:paraId="2F6D1196" w14:textId="77777777">
            <w:pPr>
              <w:spacing w:after="0"/>
              <w:ind w:firstLine="0"/>
              <w:rPr>
                <w:rFonts w:cs="Arial"/>
                <w:bCs/>
                <w:color w:val="000000"/>
                <w:sz w:val="20"/>
              </w:rPr>
            </w:pPr>
            <w:r w:rsidRPr="00122507">
              <w:rPr>
                <w:rFonts w:cs="Arial"/>
                <w:bCs/>
                <w:color w:val="000000"/>
                <w:sz w:val="20"/>
              </w:rPr>
              <w:t>a</w:t>
            </w:r>
          </w:p>
        </w:tc>
        <w:tc>
          <w:tcPr>
            <w:tcW w:w="10620" w:type="dxa"/>
            <w:gridSpan w:val="14"/>
            <w:tcBorders>
              <w:top w:val="nil"/>
              <w:left w:val="nil"/>
              <w:bottom w:val="nil"/>
              <w:right w:val="single" w:sz="12" w:space="0" w:color="000000" w:themeColor="text1"/>
            </w:tcBorders>
            <w:shd w:val="clear" w:color="auto" w:fill="auto"/>
            <w:hideMark/>
          </w:tcPr>
          <w:p w:rsidR="00122507" w:rsidRPr="00122507" w:rsidP="00122507" w14:paraId="0648842F" w14:textId="77777777">
            <w:pPr>
              <w:spacing w:after="0"/>
              <w:ind w:firstLine="0"/>
              <w:rPr>
                <w:rFonts w:cs="Arial"/>
                <w:bCs/>
                <w:color w:val="000000"/>
                <w:sz w:val="20"/>
              </w:rPr>
            </w:pPr>
            <w:r w:rsidRPr="00122507">
              <w:rPr>
                <w:rFonts w:cs="Arial"/>
                <w:bCs/>
                <w:color w:val="000000" w:themeColor="text1"/>
                <w:sz w:val="20"/>
              </w:rPr>
              <w:t>Applies to large entities, identified as those not in the small entity category based on the RFA definition that a small government is any specified government entity, excluding states, with jurisdiction over a population of less than 50,000. Per 2007 ICR (see General Note 1 for citation) large governments constitute 3.23% of the affected entities.</w:t>
            </w:r>
            <w:r w:rsidRPr="00122507">
              <w:rPr>
                <w:rFonts w:cs="Arial"/>
                <w:bCs/>
                <w:color w:val="000000"/>
                <w:sz w:val="20"/>
              </w:rPr>
              <w:tab/>
            </w:r>
            <w:r w:rsidRPr="00122507">
              <w:rPr>
                <w:rFonts w:cs="Arial"/>
                <w:bCs/>
                <w:color w:val="000000"/>
                <w:sz w:val="20"/>
              </w:rPr>
              <w:tab/>
            </w:r>
            <w:r w:rsidRPr="00122507">
              <w:rPr>
                <w:rFonts w:cs="Arial"/>
                <w:bCs/>
                <w:color w:val="000000"/>
                <w:sz w:val="20"/>
              </w:rPr>
              <w:tab/>
            </w:r>
            <w:r w:rsidRPr="00122507">
              <w:rPr>
                <w:rFonts w:cs="Arial"/>
                <w:bCs/>
                <w:color w:val="000000"/>
                <w:sz w:val="20"/>
              </w:rPr>
              <w:tab/>
            </w:r>
            <w:r w:rsidRPr="00122507">
              <w:rPr>
                <w:rFonts w:cs="Arial"/>
                <w:bCs/>
                <w:color w:val="000000"/>
                <w:sz w:val="20"/>
              </w:rPr>
              <w:tab/>
            </w:r>
          </w:p>
        </w:tc>
      </w:tr>
      <w:tr w14:paraId="368F101D" w14:textId="77777777" w:rsidTr="00ED5D77">
        <w:tblPrEx>
          <w:tblW w:w="11070" w:type="dxa"/>
          <w:tblInd w:w="-735" w:type="dxa"/>
          <w:tblLayout w:type="fixed"/>
          <w:tblLook w:val="04A0"/>
        </w:tblPrEx>
        <w:trPr>
          <w:trHeight w:val="810"/>
        </w:trPr>
        <w:tc>
          <w:tcPr>
            <w:tcW w:w="450" w:type="dxa"/>
            <w:gridSpan w:val="2"/>
            <w:tcBorders>
              <w:top w:val="nil"/>
              <w:left w:val="single" w:sz="12" w:space="0" w:color="auto"/>
              <w:bottom w:val="nil"/>
              <w:right w:val="nil"/>
            </w:tcBorders>
            <w:shd w:val="clear" w:color="auto" w:fill="auto"/>
            <w:noWrap/>
            <w:hideMark/>
          </w:tcPr>
          <w:p w:rsidR="00122507" w:rsidRPr="00122507" w:rsidP="00122507" w14:paraId="521C9175" w14:textId="77777777">
            <w:pPr>
              <w:spacing w:after="0"/>
              <w:ind w:firstLine="0"/>
              <w:rPr>
                <w:rFonts w:cs="Arial"/>
                <w:bCs/>
                <w:color w:val="000000"/>
                <w:sz w:val="20"/>
              </w:rPr>
            </w:pPr>
            <w:r w:rsidRPr="00122507">
              <w:rPr>
                <w:rFonts w:cs="Arial"/>
                <w:bCs/>
                <w:color w:val="000000"/>
                <w:sz w:val="20"/>
              </w:rPr>
              <w:t>b</w:t>
            </w:r>
          </w:p>
        </w:tc>
        <w:tc>
          <w:tcPr>
            <w:tcW w:w="10620" w:type="dxa"/>
            <w:gridSpan w:val="14"/>
            <w:tcBorders>
              <w:top w:val="nil"/>
              <w:left w:val="nil"/>
              <w:bottom w:val="nil"/>
              <w:right w:val="single" w:sz="12" w:space="0" w:color="000000" w:themeColor="text1"/>
            </w:tcBorders>
            <w:shd w:val="clear" w:color="auto" w:fill="auto"/>
            <w:hideMark/>
          </w:tcPr>
          <w:p w:rsidR="00122507" w:rsidRPr="00122507" w:rsidP="00122507" w14:paraId="2D0511F8" w14:textId="77777777">
            <w:pPr>
              <w:spacing w:after="0"/>
              <w:ind w:firstLine="0"/>
              <w:rPr>
                <w:rFonts w:cs="Arial"/>
                <w:bCs/>
                <w:color w:val="000000"/>
                <w:sz w:val="20"/>
              </w:rPr>
            </w:pPr>
            <w:r w:rsidRPr="00122507">
              <w:rPr>
                <w:rFonts w:cs="Arial"/>
                <w:bCs/>
                <w:color w:val="000000"/>
                <w:sz w:val="20"/>
              </w:rPr>
              <w:t>The proportion of crews that operate under large entities is purposefully assumed to be disproportionately larger than under small entities, in accordance with population records. Based on population data, 42.43% of the total number of crews will work for large entities (per 2007 ICR—see General Note 1 above for citation).</w:t>
            </w:r>
          </w:p>
        </w:tc>
      </w:tr>
      <w:tr w14:paraId="299FAF75" w14:textId="77777777" w:rsidTr="00ED5D77">
        <w:tblPrEx>
          <w:tblW w:w="11070" w:type="dxa"/>
          <w:tblInd w:w="-735" w:type="dxa"/>
          <w:tblLayout w:type="fixed"/>
          <w:tblLook w:val="04A0"/>
        </w:tblPrEx>
        <w:trPr>
          <w:trHeight w:val="570"/>
        </w:trPr>
        <w:tc>
          <w:tcPr>
            <w:tcW w:w="450" w:type="dxa"/>
            <w:gridSpan w:val="2"/>
            <w:tcBorders>
              <w:top w:val="nil"/>
              <w:left w:val="single" w:sz="12" w:space="0" w:color="auto"/>
              <w:bottom w:val="single" w:sz="12" w:space="0" w:color="auto"/>
              <w:right w:val="nil"/>
            </w:tcBorders>
            <w:shd w:val="clear" w:color="auto" w:fill="auto"/>
            <w:noWrap/>
            <w:hideMark/>
          </w:tcPr>
          <w:p w:rsidR="00122507" w:rsidRPr="00122507" w:rsidP="00122507" w14:paraId="296A0B24" w14:textId="77777777">
            <w:pPr>
              <w:spacing w:after="0"/>
              <w:ind w:firstLine="0"/>
              <w:rPr>
                <w:rFonts w:cs="Arial"/>
                <w:bCs/>
                <w:color w:val="000000"/>
                <w:sz w:val="20"/>
              </w:rPr>
            </w:pPr>
            <w:r w:rsidRPr="00122507">
              <w:rPr>
                <w:rFonts w:cs="Arial"/>
                <w:bCs/>
                <w:color w:val="000000"/>
                <w:sz w:val="20"/>
              </w:rPr>
              <w:t>c</w:t>
            </w:r>
          </w:p>
        </w:tc>
        <w:tc>
          <w:tcPr>
            <w:tcW w:w="10620" w:type="dxa"/>
            <w:gridSpan w:val="14"/>
            <w:tcBorders>
              <w:top w:val="nil"/>
              <w:left w:val="nil"/>
              <w:bottom w:val="single" w:sz="12" w:space="0" w:color="auto"/>
              <w:right w:val="single" w:sz="12" w:space="0" w:color="000000" w:themeColor="text1"/>
            </w:tcBorders>
            <w:shd w:val="clear" w:color="auto" w:fill="auto"/>
            <w:hideMark/>
          </w:tcPr>
          <w:p w:rsidR="00122507" w:rsidRPr="00122507" w:rsidP="00122507" w14:paraId="643A3F6A" w14:textId="77777777">
            <w:pPr>
              <w:spacing w:after="0"/>
              <w:ind w:firstLine="0"/>
              <w:rPr>
                <w:rFonts w:cs="Arial"/>
                <w:bCs/>
                <w:color w:val="000000"/>
                <w:sz w:val="20"/>
              </w:rPr>
            </w:pPr>
            <w:r w:rsidRPr="00122507">
              <w:rPr>
                <w:rFonts w:cs="Arial"/>
                <w:bCs/>
                <w:color w:val="000000"/>
                <w:sz w:val="20"/>
              </w:rPr>
              <w:t xml:space="preserve">The percentage of affected brake and clutch shops in large government jurisdictions is assumed to occur at 42.43% of the total number of shops (per 2007 ICR—see General Note 1 above for citation). </w:t>
            </w:r>
          </w:p>
        </w:tc>
      </w:tr>
    </w:tbl>
    <w:p w:rsidR="009965A1" w:rsidRPr="00B850BA" w:rsidP="00122507" w14:paraId="7C1622CD" w14:textId="5997377C">
      <w:pPr>
        <w:ind w:firstLine="0"/>
        <w:rPr>
          <w:rFonts w:asciiTheme="minorHAnsi" w:hAnsiTheme="minorHAnsi" w:cstheme="minorHAnsi"/>
          <w:szCs w:val="24"/>
        </w:rPr>
      </w:pPr>
    </w:p>
    <w:p w:rsidR="000A79EA" w:rsidP="000A79EA" w14:paraId="5729D802" w14:textId="77777777">
      <w:pPr>
        <w:rPr>
          <w:rFonts w:asciiTheme="minorHAnsi" w:hAnsiTheme="minorHAnsi" w:cstheme="minorHAnsi"/>
          <w:szCs w:val="24"/>
        </w:rPr>
      </w:pPr>
      <w:r w:rsidRPr="00B850BA">
        <w:rPr>
          <w:rFonts w:asciiTheme="minorHAnsi" w:hAnsiTheme="minorHAnsi" w:cstheme="minorHAnsi"/>
          <w:b/>
          <w:bCs/>
          <w:szCs w:val="24"/>
        </w:rPr>
        <w:t>Estimating Respondent Costs</w:t>
      </w:r>
    </w:p>
    <w:p w:rsidR="00D74D9E" w:rsidRPr="00B850BA" w:rsidP="000A79EA" w14:paraId="651C9618" w14:textId="719AB54A">
      <w:pPr>
        <w:ind w:firstLine="0"/>
        <w:rPr>
          <w:rFonts w:asciiTheme="minorHAnsi" w:hAnsiTheme="minorHAnsi" w:cstheme="minorHAnsi"/>
          <w:szCs w:val="24"/>
        </w:rPr>
      </w:pPr>
      <w:r>
        <w:rPr>
          <w:rFonts w:asciiTheme="minorHAnsi" w:hAnsiTheme="minorHAnsi" w:cstheme="minorHAnsi"/>
          <w:szCs w:val="24"/>
        </w:rPr>
        <w:t>T</w:t>
      </w:r>
      <w:r w:rsidRPr="00B850BA" w:rsidR="70D03A40">
        <w:rPr>
          <w:rFonts w:asciiTheme="minorHAnsi" w:hAnsiTheme="minorHAnsi" w:cstheme="minorHAnsi"/>
          <w:szCs w:val="24"/>
        </w:rPr>
        <w:t xml:space="preserve">he wage rates for each type of labor category are presented in Table </w:t>
      </w:r>
      <w:r w:rsidRPr="00B850BA" w:rsidR="2D8815E3">
        <w:rPr>
          <w:rFonts w:asciiTheme="minorHAnsi" w:hAnsiTheme="minorHAnsi" w:cstheme="minorHAnsi"/>
          <w:szCs w:val="24"/>
        </w:rPr>
        <w:t>3</w:t>
      </w:r>
      <w:r w:rsidRPr="00B850BA" w:rsidR="70D03A40">
        <w:rPr>
          <w:rFonts w:asciiTheme="minorHAnsi" w:hAnsiTheme="minorHAnsi" w:cstheme="minorHAnsi"/>
          <w:szCs w:val="24"/>
        </w:rPr>
        <w:t xml:space="preserve">. Applying these rates to the unit burdens per state via a weighted average wage rate produces the results of Table </w:t>
      </w:r>
      <w:r w:rsidRPr="00B850BA" w:rsidR="2D8815E3">
        <w:rPr>
          <w:rFonts w:asciiTheme="minorHAnsi" w:hAnsiTheme="minorHAnsi" w:cstheme="minorHAnsi"/>
          <w:szCs w:val="24"/>
        </w:rPr>
        <w:t>4</w:t>
      </w:r>
      <w:r w:rsidRPr="00B850BA" w:rsidR="70D03A40">
        <w:rPr>
          <w:rFonts w:asciiTheme="minorHAnsi" w:hAnsiTheme="minorHAnsi" w:cstheme="minorHAnsi"/>
          <w:szCs w:val="24"/>
        </w:rPr>
        <w:t xml:space="preserve">. </w:t>
      </w:r>
      <w:r w:rsidRPr="00B850BA" w:rsidR="6040FAC2">
        <w:rPr>
          <w:rFonts w:asciiTheme="minorHAnsi" w:hAnsiTheme="minorHAnsi" w:cstheme="minorHAnsi"/>
          <w:szCs w:val="24"/>
        </w:rPr>
        <w:t>Based on the hourly labor costs, EPA estimates the total respondent cost at $</w:t>
      </w:r>
      <w:r w:rsidRPr="00B850BA" w:rsidR="661B7754">
        <w:rPr>
          <w:rFonts w:asciiTheme="minorHAnsi" w:hAnsiTheme="minorHAnsi" w:cstheme="minorHAnsi"/>
          <w:szCs w:val="24"/>
        </w:rPr>
        <w:t>21</w:t>
      </w:r>
      <w:r w:rsidRPr="00B850BA" w:rsidR="20CE6AA9">
        <w:rPr>
          <w:rFonts w:asciiTheme="minorHAnsi" w:hAnsiTheme="minorHAnsi" w:cstheme="minorHAnsi"/>
          <w:szCs w:val="24"/>
        </w:rPr>
        <w:t>.</w:t>
      </w:r>
      <w:r w:rsidRPr="00B850BA" w:rsidR="6FDEC7F7">
        <w:rPr>
          <w:rFonts w:asciiTheme="minorHAnsi" w:hAnsiTheme="minorHAnsi" w:cstheme="minorHAnsi"/>
          <w:szCs w:val="24"/>
        </w:rPr>
        <w:t>18</w:t>
      </w:r>
      <w:r w:rsidRPr="00B850BA" w:rsidR="6040FAC2">
        <w:rPr>
          <w:rFonts w:asciiTheme="minorHAnsi" w:hAnsiTheme="minorHAnsi" w:cstheme="minorHAnsi"/>
          <w:szCs w:val="24"/>
        </w:rPr>
        <w:t xml:space="preserve"> million annually. This translates into a</w:t>
      </w:r>
      <w:r w:rsidRPr="00B850BA" w:rsidR="21BB435A">
        <w:rPr>
          <w:rFonts w:asciiTheme="minorHAnsi" w:hAnsiTheme="minorHAnsi" w:cstheme="minorHAnsi"/>
          <w:szCs w:val="24"/>
        </w:rPr>
        <w:t>n annual</w:t>
      </w:r>
      <w:r w:rsidRPr="00B850BA" w:rsidR="6040FAC2">
        <w:rPr>
          <w:rFonts w:asciiTheme="minorHAnsi" w:hAnsiTheme="minorHAnsi" w:cstheme="minorHAnsi"/>
          <w:szCs w:val="24"/>
        </w:rPr>
        <w:t xml:space="preserve"> per</w:t>
      </w:r>
      <w:r w:rsidRPr="00B850BA" w:rsidR="1680ED72">
        <w:rPr>
          <w:rFonts w:asciiTheme="minorHAnsi" w:hAnsiTheme="minorHAnsi" w:cstheme="minorHAnsi"/>
          <w:szCs w:val="24"/>
        </w:rPr>
        <w:t xml:space="preserve"> </w:t>
      </w:r>
      <w:r w:rsidRPr="00B850BA" w:rsidR="6040FAC2">
        <w:rPr>
          <w:rFonts w:asciiTheme="minorHAnsi" w:hAnsiTheme="minorHAnsi" w:cstheme="minorHAnsi"/>
          <w:szCs w:val="24"/>
        </w:rPr>
        <w:t>respondent cost of $</w:t>
      </w:r>
      <w:r w:rsidRPr="00B850BA" w:rsidR="4E6A2830">
        <w:rPr>
          <w:rFonts w:asciiTheme="minorHAnsi" w:hAnsiTheme="minorHAnsi" w:cstheme="minorHAnsi"/>
          <w:szCs w:val="24"/>
        </w:rPr>
        <w:t>620</w:t>
      </w:r>
      <w:r w:rsidRPr="00B850BA" w:rsidR="6040FAC2">
        <w:rPr>
          <w:rFonts w:asciiTheme="minorHAnsi" w:hAnsiTheme="minorHAnsi" w:cstheme="minorHAnsi"/>
          <w:szCs w:val="24"/>
        </w:rPr>
        <w:t>.</w:t>
      </w:r>
      <w:r w:rsidRPr="00B850BA" w:rsidR="3ACCB404">
        <w:rPr>
          <w:rFonts w:asciiTheme="minorHAnsi" w:hAnsiTheme="minorHAnsi" w:cstheme="minorHAnsi"/>
          <w:szCs w:val="24"/>
        </w:rPr>
        <w:t>30</w:t>
      </w:r>
      <w:r w:rsidRPr="00B850BA" w:rsidR="6040FAC2">
        <w:rPr>
          <w:rFonts w:asciiTheme="minorHAnsi" w:hAnsiTheme="minorHAnsi" w:cstheme="minorHAnsi"/>
          <w:szCs w:val="24"/>
        </w:rPr>
        <w:t xml:space="preserve">. </w:t>
      </w:r>
      <w:r w:rsidRPr="00B850BA" w:rsidR="6CBF25C2">
        <w:rPr>
          <w:rFonts w:asciiTheme="minorHAnsi" w:hAnsiTheme="minorHAnsi" w:cstheme="minorHAnsi"/>
          <w:szCs w:val="24"/>
        </w:rPr>
        <w:t xml:space="preserve">There was no change from the burden hours from the last approval. </w:t>
      </w:r>
      <w:bookmarkStart w:id="4" w:name="_Hlk46779939"/>
      <w:r w:rsidRPr="00B850BA" w:rsidR="6CBF25C2">
        <w:rPr>
          <w:rFonts w:asciiTheme="minorHAnsi" w:hAnsiTheme="minorHAnsi" w:cstheme="minorHAnsi"/>
          <w:szCs w:val="24"/>
        </w:rPr>
        <w:t>Estimated annual costs showed an increase of $</w:t>
      </w:r>
      <w:r w:rsidRPr="00B850BA" w:rsidR="4175AB57">
        <w:rPr>
          <w:rFonts w:asciiTheme="minorHAnsi" w:hAnsiTheme="minorHAnsi" w:cstheme="minorHAnsi"/>
          <w:szCs w:val="24"/>
        </w:rPr>
        <w:t>4</w:t>
      </w:r>
      <w:r w:rsidRPr="00B850BA" w:rsidR="6CBF25C2">
        <w:rPr>
          <w:rFonts w:asciiTheme="minorHAnsi" w:hAnsiTheme="minorHAnsi" w:cstheme="minorHAnsi"/>
          <w:szCs w:val="24"/>
        </w:rPr>
        <w:t>.</w:t>
      </w:r>
      <w:r w:rsidRPr="00B850BA" w:rsidR="66A971D5">
        <w:rPr>
          <w:rFonts w:asciiTheme="minorHAnsi" w:hAnsiTheme="minorHAnsi" w:cstheme="minorHAnsi"/>
          <w:szCs w:val="24"/>
        </w:rPr>
        <w:t>28</w:t>
      </w:r>
      <w:r w:rsidRPr="00B850BA" w:rsidR="6CBF25C2">
        <w:rPr>
          <w:rFonts w:asciiTheme="minorHAnsi" w:hAnsiTheme="minorHAnsi" w:cstheme="minorHAnsi"/>
          <w:szCs w:val="24"/>
        </w:rPr>
        <w:t xml:space="preserve"> million due to increasing wage rates</w:t>
      </w:r>
      <w:r w:rsidRPr="00B850BA" w:rsidR="6B9726CB">
        <w:rPr>
          <w:rFonts w:asciiTheme="minorHAnsi" w:hAnsiTheme="minorHAnsi" w:cstheme="minorHAnsi"/>
          <w:szCs w:val="24"/>
        </w:rPr>
        <w:t xml:space="preserve"> and an increase in the number of local governments affected</w:t>
      </w:r>
      <w:r w:rsidRPr="00B850BA" w:rsidR="6CBF25C2">
        <w:rPr>
          <w:rFonts w:asciiTheme="minorHAnsi" w:hAnsiTheme="minorHAnsi" w:cstheme="minorHAnsi"/>
          <w:szCs w:val="24"/>
        </w:rPr>
        <w:t>.</w:t>
      </w:r>
      <w:bookmarkEnd w:id="4"/>
    </w:p>
    <w:p w:rsidR="002E1451" w:rsidP="00444A7E" w14:paraId="1EBDB19E" w14:textId="77777777">
      <w:pPr>
        <w:spacing w:after="0" w:line="276" w:lineRule="auto"/>
        <w:rPr>
          <w:rFonts w:asciiTheme="minorHAnsi" w:hAnsiTheme="minorHAnsi" w:cstheme="minorHAnsi"/>
          <w:szCs w:val="24"/>
        </w:rPr>
        <w:sectPr w:rsidSect="002E1451">
          <w:footerReference w:type="default" r:id="rId11"/>
          <w:type w:val="continuous"/>
          <w:pgSz w:w="12240" w:h="15840"/>
          <w:pgMar w:top="1440" w:right="1440" w:bottom="1440" w:left="1440" w:header="576" w:footer="576" w:gutter="0"/>
          <w:cols w:space="720"/>
          <w:docGrid w:linePitch="326"/>
        </w:sectPr>
      </w:pPr>
    </w:p>
    <w:tbl>
      <w:tblPr>
        <w:tblW w:w="13622" w:type="dxa"/>
        <w:tblInd w:w="-100" w:type="dxa"/>
        <w:tblLayout w:type="fixed"/>
        <w:tblLook w:val="04A0"/>
      </w:tblPr>
      <w:tblGrid>
        <w:gridCol w:w="88"/>
        <w:gridCol w:w="700"/>
        <w:gridCol w:w="345"/>
        <w:gridCol w:w="548"/>
        <w:gridCol w:w="3060"/>
        <w:gridCol w:w="900"/>
        <w:gridCol w:w="1080"/>
        <w:gridCol w:w="1080"/>
        <w:gridCol w:w="380"/>
        <w:gridCol w:w="790"/>
        <w:gridCol w:w="356"/>
        <w:gridCol w:w="1096"/>
        <w:gridCol w:w="348"/>
        <w:gridCol w:w="783"/>
        <w:gridCol w:w="477"/>
        <w:gridCol w:w="966"/>
        <w:gridCol w:w="625"/>
      </w:tblGrid>
      <w:tr w14:paraId="6684EB13" w14:textId="77777777" w:rsidTr="00FA5C9E">
        <w:tblPrEx>
          <w:tblW w:w="13622" w:type="dxa"/>
          <w:tblInd w:w="-100" w:type="dxa"/>
          <w:tblLayout w:type="fixed"/>
          <w:tblLook w:val="04A0"/>
        </w:tblPrEx>
        <w:trPr>
          <w:trHeight w:val="309"/>
        </w:trPr>
        <w:tc>
          <w:tcPr>
            <w:tcW w:w="13622" w:type="dxa"/>
            <w:gridSpan w:val="17"/>
            <w:tcBorders>
              <w:top w:val="nil"/>
              <w:bottom w:val="single" w:sz="8" w:space="0" w:color="auto"/>
              <w:right w:val="nil"/>
            </w:tcBorders>
            <w:shd w:val="clear" w:color="auto" w:fill="auto"/>
            <w:hideMark/>
          </w:tcPr>
          <w:p w:rsidR="00DD2AB0" w:rsidRPr="00DD2AB0" w:rsidP="00DD2AB0" w14:paraId="099CFC3A" w14:textId="77777777">
            <w:pPr>
              <w:ind w:firstLine="0"/>
              <w:outlineLvl w:val="0"/>
              <w:rPr>
                <w:b/>
                <w:bCs/>
                <w:color w:val="000000"/>
                <w:kern w:val="36"/>
                <w:szCs w:val="48"/>
              </w:rPr>
            </w:pPr>
            <w:r w:rsidRPr="00DD2AB0">
              <w:rPr>
                <w:b/>
                <w:bCs/>
                <w:kern w:val="36"/>
                <w:szCs w:val="48"/>
              </w:rPr>
              <w:t>Table 3: Hourly Wage Rates (2023$)</w:t>
            </w:r>
          </w:p>
        </w:tc>
      </w:tr>
      <w:tr w14:paraId="52FA76CF" w14:textId="77777777" w:rsidTr="00FA5C9E">
        <w:tblPrEx>
          <w:tblW w:w="13622" w:type="dxa"/>
          <w:tblInd w:w="-100" w:type="dxa"/>
          <w:tblLayout w:type="fixed"/>
          <w:tblLook w:val="04A0"/>
        </w:tblPrEx>
        <w:trPr>
          <w:trHeight w:val="806"/>
        </w:trPr>
        <w:tc>
          <w:tcPr>
            <w:tcW w:w="1681" w:type="dxa"/>
            <w:gridSpan w:val="4"/>
            <w:tcBorders>
              <w:top w:val="nil"/>
              <w:left w:val="single" w:sz="8" w:space="0" w:color="auto"/>
              <w:bottom w:val="nil"/>
              <w:right w:val="single" w:sz="8" w:space="0" w:color="auto"/>
            </w:tcBorders>
            <w:shd w:val="clear" w:color="auto" w:fill="BFBFBF" w:themeFill="background1" w:themeFillShade="BF"/>
            <w:vAlign w:val="center"/>
            <w:hideMark/>
          </w:tcPr>
          <w:p w:rsidR="00DD2AB0" w:rsidRPr="00DD2AB0" w:rsidP="00DD2AB0" w14:paraId="143B25FA" w14:textId="77777777">
            <w:pPr>
              <w:spacing w:after="0"/>
              <w:ind w:firstLine="0"/>
              <w:rPr>
                <w:rFonts w:cs="Arial"/>
                <w:b/>
                <w:color w:val="000000"/>
                <w:sz w:val="20"/>
              </w:rPr>
            </w:pPr>
            <w:r w:rsidRPr="00DD2AB0">
              <w:rPr>
                <w:rFonts w:cs="Arial"/>
                <w:b/>
                <w:color w:val="000000"/>
                <w:sz w:val="20"/>
              </w:rPr>
              <w:t>Labor Category</w:t>
            </w:r>
          </w:p>
        </w:tc>
        <w:tc>
          <w:tcPr>
            <w:tcW w:w="3060" w:type="dxa"/>
            <w:tcBorders>
              <w:top w:val="nil"/>
              <w:left w:val="nil"/>
              <w:bottom w:val="nil"/>
              <w:right w:val="single" w:sz="8" w:space="0" w:color="auto"/>
            </w:tcBorders>
            <w:shd w:val="clear" w:color="auto" w:fill="BFBFBF" w:themeFill="background1" w:themeFillShade="BF"/>
            <w:vAlign w:val="center"/>
            <w:hideMark/>
          </w:tcPr>
          <w:p w:rsidR="00DD2AB0" w:rsidRPr="00DD2AB0" w:rsidP="00DD2AB0" w14:paraId="3C2C94C7" w14:textId="77777777">
            <w:pPr>
              <w:spacing w:after="0"/>
              <w:ind w:firstLine="0"/>
              <w:rPr>
                <w:rFonts w:cs="Arial"/>
                <w:b/>
                <w:color w:val="000000"/>
                <w:sz w:val="20"/>
              </w:rPr>
            </w:pPr>
            <w:r w:rsidRPr="00DD2AB0">
              <w:rPr>
                <w:rFonts w:cs="Arial"/>
                <w:b/>
                <w:color w:val="000000"/>
                <w:sz w:val="20"/>
              </w:rPr>
              <w:t>Data Series a</w:t>
            </w:r>
          </w:p>
        </w:tc>
        <w:tc>
          <w:tcPr>
            <w:tcW w:w="900" w:type="dxa"/>
            <w:tcBorders>
              <w:top w:val="nil"/>
              <w:left w:val="nil"/>
              <w:bottom w:val="nil"/>
              <w:right w:val="single" w:sz="8" w:space="0" w:color="auto"/>
            </w:tcBorders>
            <w:shd w:val="clear" w:color="auto" w:fill="BFBFBF" w:themeFill="background1" w:themeFillShade="BF"/>
            <w:vAlign w:val="center"/>
            <w:hideMark/>
          </w:tcPr>
          <w:p w:rsidR="00DD2AB0" w:rsidRPr="00DD2AB0" w:rsidP="00DD2AB0" w14:paraId="15546F89" w14:textId="77777777">
            <w:pPr>
              <w:spacing w:after="0"/>
              <w:ind w:firstLine="0"/>
              <w:rPr>
                <w:rFonts w:cs="Arial"/>
                <w:b/>
                <w:color w:val="000000"/>
                <w:sz w:val="20"/>
              </w:rPr>
            </w:pPr>
            <w:r w:rsidRPr="00DD2AB0">
              <w:rPr>
                <w:rFonts w:cs="Arial"/>
                <w:b/>
                <w:color w:val="000000"/>
                <w:sz w:val="20"/>
              </w:rPr>
              <w:t>Date</w:t>
            </w:r>
          </w:p>
        </w:tc>
        <w:tc>
          <w:tcPr>
            <w:tcW w:w="1080" w:type="dxa"/>
            <w:tcBorders>
              <w:top w:val="nil"/>
              <w:left w:val="nil"/>
              <w:bottom w:val="single" w:sz="4" w:space="0" w:color="auto"/>
              <w:right w:val="single" w:sz="8" w:space="0" w:color="auto"/>
            </w:tcBorders>
            <w:shd w:val="clear" w:color="auto" w:fill="BFBFBF" w:themeFill="background1" w:themeFillShade="BF"/>
            <w:vAlign w:val="bottom"/>
            <w:hideMark/>
          </w:tcPr>
          <w:p w:rsidR="00DD2AB0" w:rsidRPr="00DD2AB0" w:rsidP="00DD2AB0" w14:paraId="63479B0E" w14:textId="77777777">
            <w:pPr>
              <w:spacing w:after="0"/>
              <w:ind w:firstLine="0"/>
              <w:rPr>
                <w:rFonts w:cs="Arial"/>
                <w:b/>
                <w:color w:val="000000"/>
                <w:sz w:val="20"/>
              </w:rPr>
            </w:pPr>
            <w:r w:rsidRPr="00DD2AB0">
              <w:rPr>
                <w:rFonts w:cs="Arial"/>
                <w:b/>
                <w:color w:val="000000"/>
                <w:sz w:val="20"/>
              </w:rPr>
              <w:t>Wage a</w:t>
            </w:r>
            <w:r w:rsidRPr="00DD2AB0">
              <w:rPr>
                <w:rFonts w:cs="Arial"/>
                <w:b/>
                <w:color w:val="000000"/>
                <w:sz w:val="20"/>
              </w:rPr>
              <w:br/>
              <w:t>($/hour)</w:t>
            </w:r>
          </w:p>
        </w:tc>
        <w:tc>
          <w:tcPr>
            <w:tcW w:w="1080" w:type="dxa"/>
            <w:tcBorders>
              <w:top w:val="nil"/>
              <w:left w:val="nil"/>
              <w:bottom w:val="single" w:sz="4" w:space="0" w:color="auto"/>
              <w:right w:val="single" w:sz="8" w:space="0" w:color="auto"/>
            </w:tcBorders>
            <w:shd w:val="clear" w:color="auto" w:fill="BFBFBF" w:themeFill="background1" w:themeFillShade="BF"/>
            <w:vAlign w:val="bottom"/>
            <w:hideMark/>
          </w:tcPr>
          <w:p w:rsidR="00DD2AB0" w:rsidRPr="00DD2AB0" w:rsidP="00DD2AB0" w14:paraId="4D146272" w14:textId="77777777">
            <w:pPr>
              <w:spacing w:after="0"/>
              <w:ind w:firstLine="0"/>
              <w:rPr>
                <w:rFonts w:cs="Arial"/>
                <w:b/>
                <w:color w:val="000000"/>
                <w:sz w:val="20"/>
              </w:rPr>
            </w:pPr>
            <w:r w:rsidRPr="00DD2AB0">
              <w:rPr>
                <w:rFonts w:cs="Arial"/>
                <w:b/>
                <w:color w:val="000000"/>
                <w:sz w:val="20"/>
              </w:rPr>
              <w:t>Fringe Benefit b</w:t>
            </w:r>
          </w:p>
        </w:tc>
        <w:tc>
          <w:tcPr>
            <w:tcW w:w="1170" w:type="dxa"/>
            <w:gridSpan w:val="2"/>
            <w:tcBorders>
              <w:top w:val="nil"/>
              <w:left w:val="nil"/>
              <w:bottom w:val="single" w:sz="4" w:space="0" w:color="auto"/>
              <w:right w:val="single" w:sz="8" w:space="0" w:color="auto"/>
            </w:tcBorders>
            <w:shd w:val="clear" w:color="auto" w:fill="BFBFBF" w:themeFill="background1" w:themeFillShade="BF"/>
            <w:vAlign w:val="bottom"/>
            <w:hideMark/>
          </w:tcPr>
          <w:p w:rsidR="00DD2AB0" w:rsidRPr="00DD2AB0" w:rsidP="00DD2AB0" w14:paraId="22117AA5" w14:textId="77777777">
            <w:pPr>
              <w:spacing w:after="0"/>
              <w:ind w:firstLine="0"/>
              <w:rPr>
                <w:rFonts w:cs="Arial"/>
                <w:b/>
                <w:color w:val="000000"/>
                <w:sz w:val="20"/>
              </w:rPr>
            </w:pPr>
            <w:r w:rsidRPr="00DD2AB0">
              <w:rPr>
                <w:rFonts w:cs="Arial"/>
                <w:b/>
                <w:color w:val="000000"/>
                <w:sz w:val="20"/>
              </w:rPr>
              <w:t>Total</w:t>
            </w:r>
          </w:p>
        </w:tc>
        <w:tc>
          <w:tcPr>
            <w:tcW w:w="1800" w:type="dxa"/>
            <w:gridSpan w:val="3"/>
            <w:tcBorders>
              <w:top w:val="nil"/>
              <w:left w:val="nil"/>
              <w:bottom w:val="single" w:sz="4" w:space="0" w:color="auto"/>
              <w:right w:val="single" w:sz="8" w:space="0" w:color="auto"/>
            </w:tcBorders>
            <w:shd w:val="clear" w:color="auto" w:fill="BFBFBF" w:themeFill="background1" w:themeFillShade="BF"/>
            <w:vAlign w:val="bottom"/>
            <w:hideMark/>
          </w:tcPr>
          <w:p w:rsidR="00DD2AB0" w:rsidRPr="00DD2AB0" w:rsidP="00DD2AB0" w14:paraId="139ACD82" w14:textId="77777777">
            <w:pPr>
              <w:spacing w:after="0"/>
              <w:ind w:firstLine="0"/>
              <w:rPr>
                <w:rFonts w:cs="Arial"/>
                <w:b/>
                <w:color w:val="000000"/>
                <w:sz w:val="20"/>
              </w:rPr>
            </w:pPr>
            <w:r w:rsidRPr="00DD2AB0">
              <w:rPr>
                <w:rFonts w:cs="Arial"/>
                <w:b/>
                <w:color w:val="000000"/>
                <w:sz w:val="20"/>
              </w:rPr>
              <w:t>Overhead as % Total Compensation b</w:t>
            </w:r>
          </w:p>
        </w:tc>
        <w:tc>
          <w:tcPr>
            <w:tcW w:w="1260" w:type="dxa"/>
            <w:gridSpan w:val="2"/>
            <w:tcBorders>
              <w:top w:val="nil"/>
              <w:left w:val="nil"/>
              <w:bottom w:val="single" w:sz="4" w:space="0" w:color="auto"/>
              <w:right w:val="single" w:sz="8" w:space="0" w:color="auto"/>
            </w:tcBorders>
            <w:shd w:val="clear" w:color="auto" w:fill="BFBFBF" w:themeFill="background1" w:themeFillShade="BF"/>
            <w:vAlign w:val="bottom"/>
            <w:hideMark/>
          </w:tcPr>
          <w:p w:rsidR="00DD2AB0" w:rsidRPr="00DD2AB0" w:rsidP="00DD2AB0" w14:paraId="34CAA53B" w14:textId="77777777">
            <w:pPr>
              <w:spacing w:after="0"/>
              <w:ind w:firstLine="0"/>
              <w:rPr>
                <w:rFonts w:cs="Arial"/>
                <w:b/>
                <w:color w:val="000000"/>
                <w:sz w:val="20"/>
              </w:rPr>
            </w:pPr>
            <w:r w:rsidRPr="00DD2AB0">
              <w:rPr>
                <w:rFonts w:cs="Arial"/>
                <w:b/>
                <w:color w:val="000000"/>
                <w:sz w:val="20"/>
              </w:rPr>
              <w:t>Overhead</w:t>
            </w:r>
          </w:p>
        </w:tc>
        <w:tc>
          <w:tcPr>
            <w:tcW w:w="1591" w:type="dxa"/>
            <w:gridSpan w:val="2"/>
            <w:tcBorders>
              <w:top w:val="nil"/>
              <w:left w:val="nil"/>
              <w:bottom w:val="single" w:sz="4" w:space="0" w:color="auto"/>
              <w:right w:val="single" w:sz="8" w:space="0" w:color="auto"/>
            </w:tcBorders>
            <w:shd w:val="clear" w:color="auto" w:fill="BFBFBF" w:themeFill="background1" w:themeFillShade="BF"/>
            <w:vAlign w:val="bottom"/>
            <w:hideMark/>
          </w:tcPr>
          <w:p w:rsidR="00DD2AB0" w:rsidRPr="00DD2AB0" w:rsidP="00DD2AB0" w14:paraId="5D319A54" w14:textId="77777777">
            <w:pPr>
              <w:spacing w:after="0"/>
              <w:ind w:firstLine="0"/>
              <w:rPr>
                <w:rFonts w:cs="Arial"/>
                <w:b/>
                <w:color w:val="000000"/>
                <w:sz w:val="20"/>
              </w:rPr>
            </w:pPr>
            <w:r w:rsidRPr="00DD2AB0">
              <w:rPr>
                <w:rFonts w:cs="Arial"/>
                <w:b/>
                <w:color w:val="000000"/>
                <w:sz w:val="20"/>
              </w:rPr>
              <w:t>Loaded Hourly Wages c</w:t>
            </w:r>
          </w:p>
        </w:tc>
      </w:tr>
      <w:tr w14:paraId="7867CD7E" w14:textId="77777777" w:rsidTr="00FA5C9E">
        <w:tblPrEx>
          <w:tblW w:w="13622" w:type="dxa"/>
          <w:tblInd w:w="-100" w:type="dxa"/>
          <w:tblLayout w:type="fixed"/>
          <w:tblLook w:val="04A0"/>
        </w:tblPrEx>
        <w:trPr>
          <w:trHeight w:val="506"/>
        </w:trPr>
        <w:tc>
          <w:tcPr>
            <w:tcW w:w="1681" w:type="dxa"/>
            <w:gridSpan w:val="4"/>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DD2AB0" w:rsidRPr="00DD2AB0" w:rsidP="00DD2AB0" w14:paraId="6DACCB6C" w14:textId="77777777">
            <w:pPr>
              <w:spacing w:after="0"/>
              <w:ind w:firstLine="0"/>
              <w:rPr>
                <w:rFonts w:cs="Arial"/>
                <w:bCs/>
                <w:color w:val="000000"/>
                <w:sz w:val="20"/>
              </w:rPr>
            </w:pPr>
            <w:r w:rsidRPr="00DD2AB0">
              <w:rPr>
                <w:rFonts w:cs="Arial"/>
                <w:bCs/>
                <w:color w:val="000000"/>
                <w:sz w:val="20"/>
              </w:rPr>
              <w:t> </w:t>
            </w:r>
          </w:p>
        </w:tc>
        <w:tc>
          <w:tcPr>
            <w:tcW w:w="3060" w:type="dxa"/>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1904E17A" w14:textId="77777777">
            <w:pPr>
              <w:spacing w:after="0"/>
              <w:ind w:firstLine="0"/>
              <w:rPr>
                <w:rFonts w:cs="Arial"/>
                <w:bCs/>
                <w:color w:val="000000"/>
                <w:sz w:val="20"/>
              </w:rPr>
            </w:pPr>
            <w:r w:rsidRPr="00DD2AB0">
              <w:rPr>
                <w:rFonts w:cs="Arial"/>
                <w:bCs/>
                <w:color w:val="000000"/>
                <w:sz w:val="20"/>
              </w:rPr>
              <w:t> </w:t>
            </w:r>
          </w:p>
        </w:tc>
        <w:tc>
          <w:tcPr>
            <w:tcW w:w="900" w:type="dxa"/>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6B4AC6E1" w14:textId="77777777">
            <w:pPr>
              <w:spacing w:after="0"/>
              <w:ind w:firstLine="0"/>
              <w:rPr>
                <w:rFonts w:cs="Arial"/>
                <w:bCs/>
                <w:color w:val="000000"/>
                <w:sz w:val="20"/>
              </w:rPr>
            </w:pPr>
            <w:r w:rsidRPr="00DD2AB0">
              <w:rPr>
                <w:rFonts w:cs="Arial"/>
                <w:bCs/>
                <w:color w:val="000000"/>
                <w:sz w:val="20"/>
              </w:rPr>
              <w:t> </w:t>
            </w: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2EBCA378" w14:textId="77777777">
            <w:pPr>
              <w:spacing w:after="0"/>
              <w:ind w:firstLine="0"/>
              <w:rPr>
                <w:rFonts w:cs="Arial"/>
                <w:bCs/>
                <w:i/>
                <w:iCs/>
                <w:color w:val="000000"/>
                <w:sz w:val="16"/>
                <w:szCs w:val="16"/>
              </w:rPr>
            </w:pPr>
            <w:r w:rsidRPr="00DD2AB0">
              <w:rPr>
                <w:rFonts w:cs="Arial"/>
                <w:bCs/>
                <w:i/>
                <w:iCs/>
                <w:color w:val="000000"/>
                <w:sz w:val="16"/>
                <w:szCs w:val="16"/>
              </w:rPr>
              <w:t>(a)</w:t>
            </w: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15D804A5" w14:textId="77777777">
            <w:pPr>
              <w:spacing w:after="0"/>
              <w:ind w:firstLine="0"/>
              <w:rPr>
                <w:rFonts w:cs="Arial"/>
                <w:bCs/>
                <w:i/>
                <w:iCs/>
                <w:color w:val="000000"/>
                <w:sz w:val="16"/>
                <w:szCs w:val="16"/>
              </w:rPr>
            </w:pPr>
            <w:r w:rsidRPr="00DD2AB0">
              <w:rPr>
                <w:rFonts w:cs="Arial"/>
                <w:bCs/>
                <w:i/>
                <w:iCs/>
                <w:color w:val="000000"/>
                <w:sz w:val="16"/>
                <w:szCs w:val="16"/>
              </w:rPr>
              <w:t>(b)</w:t>
            </w:r>
          </w:p>
        </w:tc>
        <w:tc>
          <w:tcPr>
            <w:tcW w:w="1170"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1B36DD73" w14:textId="77777777">
            <w:pPr>
              <w:spacing w:after="0"/>
              <w:ind w:firstLine="0"/>
              <w:rPr>
                <w:rFonts w:cs="Arial"/>
                <w:bCs/>
                <w:i/>
                <w:iCs/>
                <w:color w:val="000000"/>
                <w:sz w:val="16"/>
                <w:szCs w:val="16"/>
              </w:rPr>
            </w:pPr>
            <w:r w:rsidRPr="00DD2AB0">
              <w:rPr>
                <w:rFonts w:cs="Arial"/>
                <w:bCs/>
                <w:i/>
                <w:iCs/>
                <w:color w:val="000000"/>
                <w:sz w:val="16"/>
                <w:szCs w:val="16"/>
              </w:rPr>
              <w:t>(c) = (a) + (b)</w:t>
            </w:r>
          </w:p>
        </w:tc>
        <w:tc>
          <w:tcPr>
            <w:tcW w:w="1800" w:type="dxa"/>
            <w:gridSpan w:val="3"/>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22DA3E66" w14:textId="77777777">
            <w:pPr>
              <w:spacing w:after="0"/>
              <w:ind w:firstLine="0"/>
              <w:rPr>
                <w:rFonts w:cs="Arial"/>
                <w:bCs/>
                <w:i/>
                <w:iCs/>
                <w:color w:val="000000"/>
                <w:sz w:val="16"/>
                <w:szCs w:val="16"/>
              </w:rPr>
            </w:pPr>
            <w:r w:rsidRPr="00DD2AB0">
              <w:rPr>
                <w:rFonts w:cs="Arial"/>
                <w:bCs/>
                <w:i/>
                <w:iCs/>
                <w:color w:val="000000"/>
                <w:sz w:val="16"/>
                <w:szCs w:val="16"/>
              </w:rPr>
              <w:t>(d)</w:t>
            </w:r>
          </w:p>
        </w:tc>
        <w:tc>
          <w:tcPr>
            <w:tcW w:w="1260"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29989CAF" w14:textId="77777777">
            <w:pPr>
              <w:spacing w:after="0"/>
              <w:ind w:firstLine="0"/>
              <w:rPr>
                <w:rFonts w:cs="Arial"/>
                <w:bCs/>
                <w:i/>
                <w:iCs/>
                <w:color w:val="000000"/>
                <w:sz w:val="16"/>
                <w:szCs w:val="16"/>
              </w:rPr>
            </w:pPr>
            <w:r w:rsidRPr="00DD2AB0">
              <w:rPr>
                <w:rFonts w:cs="Arial"/>
                <w:bCs/>
                <w:i/>
                <w:iCs/>
                <w:color w:val="000000"/>
                <w:sz w:val="16"/>
                <w:szCs w:val="16"/>
              </w:rPr>
              <w:t>(e) = (c)*(d)</w:t>
            </w:r>
          </w:p>
        </w:tc>
        <w:tc>
          <w:tcPr>
            <w:tcW w:w="1591"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5EBF9FF1" w14:textId="77777777">
            <w:pPr>
              <w:spacing w:after="0"/>
              <w:ind w:firstLine="0"/>
              <w:rPr>
                <w:rFonts w:cs="Arial"/>
                <w:bCs/>
                <w:i/>
                <w:iCs/>
                <w:color w:val="000000"/>
                <w:sz w:val="16"/>
                <w:szCs w:val="16"/>
              </w:rPr>
            </w:pPr>
            <w:r w:rsidRPr="00DD2AB0">
              <w:rPr>
                <w:rFonts w:cs="Arial"/>
                <w:bCs/>
                <w:i/>
                <w:iCs/>
                <w:color w:val="000000"/>
                <w:sz w:val="16"/>
                <w:szCs w:val="16"/>
              </w:rPr>
              <w:t>(f)=(c)+(e)</w:t>
            </w:r>
          </w:p>
        </w:tc>
      </w:tr>
      <w:tr w14:paraId="01011817" w14:textId="77777777" w:rsidTr="00FA5C9E">
        <w:tblPrEx>
          <w:tblW w:w="13622" w:type="dxa"/>
          <w:tblInd w:w="-100" w:type="dxa"/>
          <w:tblLayout w:type="fixed"/>
          <w:tblLook w:val="04A0"/>
        </w:tblPrEx>
        <w:trPr>
          <w:trHeight w:val="556"/>
        </w:trPr>
        <w:tc>
          <w:tcPr>
            <w:tcW w:w="1681" w:type="dxa"/>
            <w:gridSpan w:val="4"/>
            <w:tcBorders>
              <w:top w:val="nil"/>
              <w:left w:val="single" w:sz="8" w:space="0" w:color="auto"/>
              <w:bottom w:val="single" w:sz="8" w:space="0" w:color="auto"/>
              <w:right w:val="single" w:sz="8" w:space="0" w:color="auto"/>
            </w:tcBorders>
            <w:shd w:val="clear" w:color="auto" w:fill="auto"/>
            <w:vAlign w:val="center"/>
            <w:hideMark/>
          </w:tcPr>
          <w:p w:rsidR="00DD2AB0" w:rsidRPr="00DD2AB0" w:rsidP="00DD2AB0" w14:paraId="41435F06" w14:textId="77777777">
            <w:pPr>
              <w:spacing w:after="0"/>
              <w:ind w:firstLine="0"/>
              <w:rPr>
                <w:rFonts w:cs="Arial"/>
                <w:color w:val="000000"/>
                <w:sz w:val="18"/>
                <w:szCs w:val="18"/>
              </w:rPr>
            </w:pPr>
            <w:r w:rsidRPr="00DD2AB0">
              <w:rPr>
                <w:rFonts w:cs="Arial"/>
                <w:color w:val="000000" w:themeColor="text1"/>
                <w:sz w:val="18"/>
                <w:szCs w:val="18"/>
              </w:rPr>
              <w:t>Construction Sector Worker</w:t>
            </w:r>
          </w:p>
        </w:tc>
        <w:tc>
          <w:tcPr>
            <w:tcW w:w="3060" w:type="dxa"/>
            <w:tcBorders>
              <w:top w:val="nil"/>
              <w:left w:val="nil"/>
              <w:bottom w:val="single" w:sz="8" w:space="0" w:color="auto"/>
              <w:right w:val="single" w:sz="8" w:space="0" w:color="auto"/>
            </w:tcBorders>
            <w:shd w:val="clear" w:color="auto" w:fill="auto"/>
            <w:vAlign w:val="center"/>
            <w:hideMark/>
          </w:tcPr>
          <w:p w:rsidR="00DD2AB0" w:rsidRPr="00DD2AB0" w:rsidP="00DD2AB0" w14:paraId="50A13395" w14:textId="77777777">
            <w:pPr>
              <w:spacing w:after="0"/>
              <w:ind w:firstLine="0"/>
              <w:rPr>
                <w:rFonts w:cs="Arial"/>
                <w:color w:val="000000"/>
                <w:sz w:val="16"/>
                <w:szCs w:val="16"/>
              </w:rPr>
            </w:pPr>
            <w:r w:rsidRPr="00DD2AB0">
              <w:rPr>
                <w:rFonts w:cs="Arial"/>
                <w:color w:val="000000" w:themeColor="text1"/>
                <w:sz w:val="16"/>
                <w:szCs w:val="16"/>
              </w:rPr>
              <w:t>“Construction and Extraction Occupations (Major Group)” SOC 47-0000</w:t>
            </w:r>
          </w:p>
        </w:tc>
        <w:tc>
          <w:tcPr>
            <w:tcW w:w="900" w:type="dxa"/>
            <w:tcBorders>
              <w:top w:val="nil"/>
              <w:left w:val="nil"/>
              <w:bottom w:val="single" w:sz="8" w:space="0" w:color="auto"/>
              <w:right w:val="single" w:sz="8" w:space="0" w:color="auto"/>
            </w:tcBorders>
            <w:shd w:val="clear" w:color="auto" w:fill="auto"/>
            <w:vAlign w:val="center"/>
            <w:hideMark/>
          </w:tcPr>
          <w:p w:rsidR="00DD2AB0" w:rsidRPr="00DD2AB0" w:rsidP="00DD2AB0" w14:paraId="5344C321" w14:textId="77777777">
            <w:pPr>
              <w:spacing w:after="0"/>
              <w:ind w:firstLine="0"/>
              <w:rPr>
                <w:rFonts w:cs="Arial"/>
                <w:color w:val="000000"/>
                <w:sz w:val="18"/>
                <w:szCs w:val="18"/>
              </w:rPr>
            </w:pPr>
            <w:r w:rsidRPr="00DD2AB0">
              <w:rPr>
                <w:rFonts w:cs="Arial"/>
                <w:color w:val="000000" w:themeColor="text1"/>
                <w:sz w:val="18"/>
                <w:szCs w:val="18"/>
              </w:rPr>
              <w:t>May-23</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0FFEA754" w14:textId="77777777">
            <w:pPr>
              <w:spacing w:after="0"/>
              <w:ind w:firstLine="0"/>
              <w:rPr>
                <w:rFonts w:cs="Arial"/>
                <w:bCs/>
                <w:color w:val="000000"/>
                <w:sz w:val="20"/>
              </w:rPr>
            </w:pPr>
            <w:r w:rsidRPr="00DD2AB0">
              <w:rPr>
                <w:rFonts w:cs="Arial"/>
                <w:bCs/>
                <w:color w:val="000000"/>
                <w:sz w:val="20"/>
              </w:rPr>
              <w:t xml:space="preserve">$29.57 </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3765E8EE" w14:textId="77777777">
            <w:pPr>
              <w:spacing w:after="0"/>
              <w:ind w:firstLine="0"/>
              <w:rPr>
                <w:rFonts w:cs="Arial"/>
                <w:bCs/>
                <w:color w:val="000000"/>
                <w:sz w:val="20"/>
              </w:rPr>
            </w:pPr>
            <w:r w:rsidRPr="00DD2AB0">
              <w:rPr>
                <w:rFonts w:cs="Arial"/>
                <w:bCs/>
                <w:color w:val="000000"/>
                <w:sz w:val="20"/>
              </w:rPr>
              <w:t xml:space="preserve">$12.53 </w:t>
            </w:r>
          </w:p>
        </w:tc>
        <w:tc>
          <w:tcPr>
            <w:tcW w:w="117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5BA5BAC4" w14:textId="77777777">
            <w:pPr>
              <w:spacing w:after="0"/>
              <w:ind w:firstLine="0"/>
              <w:rPr>
                <w:rFonts w:cs="Arial"/>
                <w:bCs/>
                <w:color w:val="000000"/>
                <w:sz w:val="20"/>
              </w:rPr>
            </w:pPr>
            <w:r w:rsidRPr="00DD2AB0">
              <w:rPr>
                <w:rFonts w:cs="Arial"/>
                <w:bCs/>
                <w:color w:val="000000"/>
                <w:sz w:val="20"/>
              </w:rPr>
              <w:t xml:space="preserve">$42.10 </w:t>
            </w:r>
          </w:p>
        </w:tc>
        <w:tc>
          <w:tcPr>
            <w:tcW w:w="1800" w:type="dxa"/>
            <w:gridSpan w:val="3"/>
            <w:tcBorders>
              <w:top w:val="nil"/>
              <w:left w:val="nil"/>
              <w:bottom w:val="single" w:sz="8" w:space="0" w:color="auto"/>
              <w:right w:val="single" w:sz="8" w:space="0" w:color="auto"/>
            </w:tcBorders>
            <w:shd w:val="clear" w:color="auto" w:fill="auto"/>
            <w:vAlign w:val="center"/>
            <w:hideMark/>
          </w:tcPr>
          <w:p w:rsidR="00DD2AB0" w:rsidRPr="00DD2AB0" w:rsidP="00DD2AB0" w14:paraId="7FFAD5E7" w14:textId="77777777">
            <w:pPr>
              <w:spacing w:after="0"/>
              <w:ind w:firstLine="0"/>
              <w:rPr>
                <w:rFonts w:cs="Arial"/>
                <w:bCs/>
                <w:color w:val="000000"/>
                <w:sz w:val="20"/>
              </w:rPr>
            </w:pPr>
            <w:r w:rsidRPr="00DD2AB0">
              <w:rPr>
                <w:rFonts w:cs="Arial"/>
                <w:bCs/>
                <w:color w:val="000000"/>
                <w:sz w:val="20"/>
              </w:rPr>
              <w:t>20%</w:t>
            </w:r>
          </w:p>
        </w:tc>
        <w:tc>
          <w:tcPr>
            <w:tcW w:w="126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54ED03EA" w14:textId="77777777">
            <w:pPr>
              <w:spacing w:after="0"/>
              <w:ind w:firstLine="0"/>
              <w:rPr>
                <w:rFonts w:cs="Arial"/>
                <w:bCs/>
                <w:color w:val="000000"/>
                <w:sz w:val="20"/>
              </w:rPr>
            </w:pPr>
            <w:r w:rsidRPr="00DD2AB0">
              <w:rPr>
                <w:rFonts w:cs="Arial"/>
                <w:bCs/>
                <w:color w:val="000000"/>
                <w:sz w:val="20"/>
              </w:rPr>
              <w:t>8.42</w:t>
            </w:r>
          </w:p>
        </w:tc>
        <w:tc>
          <w:tcPr>
            <w:tcW w:w="1591"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23BC11BC" w14:textId="77777777">
            <w:pPr>
              <w:spacing w:after="0"/>
              <w:ind w:firstLine="0"/>
              <w:rPr>
                <w:rFonts w:cs="Arial"/>
                <w:bCs/>
                <w:color w:val="000000"/>
                <w:sz w:val="20"/>
              </w:rPr>
            </w:pPr>
            <w:r w:rsidRPr="00DD2AB0">
              <w:rPr>
                <w:rFonts w:cs="Arial"/>
                <w:bCs/>
                <w:color w:val="000000"/>
                <w:sz w:val="20"/>
              </w:rPr>
              <w:t xml:space="preserve">$50.52 </w:t>
            </w:r>
          </w:p>
        </w:tc>
      </w:tr>
      <w:tr w14:paraId="14480F90" w14:textId="77777777" w:rsidTr="00FA5C9E">
        <w:tblPrEx>
          <w:tblW w:w="13622" w:type="dxa"/>
          <w:tblInd w:w="-100" w:type="dxa"/>
          <w:tblLayout w:type="fixed"/>
          <w:tblLook w:val="04A0"/>
        </w:tblPrEx>
        <w:trPr>
          <w:trHeight w:val="727"/>
        </w:trPr>
        <w:tc>
          <w:tcPr>
            <w:tcW w:w="1681" w:type="dxa"/>
            <w:gridSpan w:val="4"/>
            <w:tcBorders>
              <w:top w:val="nil"/>
              <w:left w:val="single" w:sz="8" w:space="0" w:color="auto"/>
              <w:bottom w:val="single" w:sz="8" w:space="0" w:color="auto"/>
              <w:right w:val="single" w:sz="8" w:space="0" w:color="auto"/>
            </w:tcBorders>
            <w:shd w:val="clear" w:color="auto" w:fill="auto"/>
            <w:vAlign w:val="center"/>
            <w:hideMark/>
          </w:tcPr>
          <w:p w:rsidR="00DD2AB0" w:rsidRPr="00DD2AB0" w:rsidP="00DD2AB0" w14:paraId="2205E613" w14:textId="77777777">
            <w:pPr>
              <w:spacing w:after="0"/>
              <w:ind w:firstLine="0"/>
              <w:rPr>
                <w:rFonts w:cs="Arial"/>
                <w:color w:val="000000"/>
                <w:sz w:val="18"/>
                <w:szCs w:val="18"/>
              </w:rPr>
            </w:pPr>
            <w:r w:rsidRPr="00DD2AB0">
              <w:rPr>
                <w:rFonts w:cs="Arial"/>
                <w:color w:val="000000" w:themeColor="text1"/>
                <w:sz w:val="18"/>
                <w:szCs w:val="18"/>
              </w:rPr>
              <w:t>Construction Supervisor</w:t>
            </w:r>
          </w:p>
        </w:tc>
        <w:tc>
          <w:tcPr>
            <w:tcW w:w="3060" w:type="dxa"/>
            <w:tcBorders>
              <w:top w:val="nil"/>
              <w:left w:val="nil"/>
              <w:bottom w:val="single" w:sz="8" w:space="0" w:color="auto"/>
              <w:right w:val="single" w:sz="8" w:space="0" w:color="auto"/>
            </w:tcBorders>
            <w:shd w:val="clear" w:color="auto" w:fill="auto"/>
            <w:vAlign w:val="center"/>
            <w:hideMark/>
          </w:tcPr>
          <w:p w:rsidR="00DD2AB0" w:rsidRPr="00DD2AB0" w:rsidP="00DD2AB0" w14:paraId="575837D3" w14:textId="77777777">
            <w:pPr>
              <w:spacing w:after="0"/>
              <w:ind w:firstLine="0"/>
              <w:rPr>
                <w:rFonts w:cs="Arial"/>
                <w:color w:val="000000"/>
                <w:sz w:val="16"/>
                <w:szCs w:val="16"/>
              </w:rPr>
            </w:pPr>
            <w:r w:rsidRPr="00DD2AB0">
              <w:rPr>
                <w:rFonts w:cs="Arial"/>
                <w:color w:val="000000" w:themeColor="text1"/>
                <w:sz w:val="16"/>
                <w:szCs w:val="16"/>
              </w:rPr>
              <w:t>“First-Line Supervisors/Managers of Construction Trades and Extraction Workers” category, SOC 47-1011</w:t>
            </w:r>
          </w:p>
        </w:tc>
        <w:tc>
          <w:tcPr>
            <w:tcW w:w="900" w:type="dxa"/>
            <w:tcBorders>
              <w:top w:val="nil"/>
              <w:left w:val="nil"/>
              <w:bottom w:val="single" w:sz="8" w:space="0" w:color="auto"/>
              <w:right w:val="single" w:sz="8" w:space="0" w:color="auto"/>
            </w:tcBorders>
            <w:shd w:val="clear" w:color="auto" w:fill="auto"/>
            <w:vAlign w:val="center"/>
            <w:hideMark/>
          </w:tcPr>
          <w:p w:rsidR="00DD2AB0" w:rsidRPr="00DD2AB0" w:rsidP="00DD2AB0" w14:paraId="6E628596" w14:textId="77777777">
            <w:pPr>
              <w:spacing w:after="0"/>
              <w:ind w:firstLine="0"/>
              <w:rPr>
                <w:rFonts w:cs="Arial"/>
                <w:color w:val="000000"/>
                <w:sz w:val="18"/>
                <w:szCs w:val="18"/>
              </w:rPr>
            </w:pPr>
            <w:r w:rsidRPr="00DD2AB0">
              <w:rPr>
                <w:rFonts w:cs="Arial"/>
                <w:color w:val="000000" w:themeColor="text1"/>
                <w:sz w:val="18"/>
                <w:szCs w:val="18"/>
              </w:rPr>
              <w:t>May-23</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54ABAB40" w14:textId="77777777">
            <w:pPr>
              <w:spacing w:after="0"/>
              <w:ind w:firstLine="0"/>
              <w:rPr>
                <w:rFonts w:cs="Arial"/>
                <w:bCs/>
                <w:color w:val="000000"/>
                <w:sz w:val="20"/>
              </w:rPr>
            </w:pPr>
            <w:r w:rsidRPr="00DD2AB0">
              <w:rPr>
                <w:rFonts w:cs="Arial"/>
                <w:bCs/>
                <w:color w:val="000000"/>
                <w:sz w:val="20"/>
              </w:rPr>
              <w:t xml:space="preserve">$39.11 </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58D5957C" w14:textId="77777777">
            <w:pPr>
              <w:spacing w:after="0"/>
              <w:ind w:firstLine="0"/>
              <w:rPr>
                <w:rFonts w:cs="Arial"/>
                <w:bCs/>
                <w:color w:val="000000"/>
                <w:sz w:val="20"/>
              </w:rPr>
            </w:pPr>
            <w:r w:rsidRPr="00DD2AB0">
              <w:rPr>
                <w:rFonts w:cs="Arial"/>
                <w:bCs/>
                <w:color w:val="000000"/>
                <w:sz w:val="20"/>
              </w:rPr>
              <w:t xml:space="preserve">$16.57 </w:t>
            </w:r>
          </w:p>
        </w:tc>
        <w:tc>
          <w:tcPr>
            <w:tcW w:w="117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14D48AB8" w14:textId="77777777">
            <w:pPr>
              <w:spacing w:after="0"/>
              <w:ind w:firstLine="0"/>
              <w:rPr>
                <w:rFonts w:cs="Arial"/>
                <w:bCs/>
                <w:color w:val="000000"/>
                <w:sz w:val="20"/>
              </w:rPr>
            </w:pPr>
            <w:r w:rsidRPr="00DD2AB0">
              <w:rPr>
                <w:rFonts w:cs="Arial"/>
                <w:bCs/>
                <w:color w:val="000000"/>
                <w:sz w:val="20"/>
              </w:rPr>
              <w:t xml:space="preserve">$55.68 </w:t>
            </w:r>
          </w:p>
        </w:tc>
        <w:tc>
          <w:tcPr>
            <w:tcW w:w="1800" w:type="dxa"/>
            <w:gridSpan w:val="3"/>
            <w:tcBorders>
              <w:top w:val="nil"/>
              <w:left w:val="nil"/>
              <w:bottom w:val="single" w:sz="8" w:space="0" w:color="auto"/>
              <w:right w:val="single" w:sz="8" w:space="0" w:color="auto"/>
            </w:tcBorders>
            <w:shd w:val="clear" w:color="auto" w:fill="auto"/>
            <w:vAlign w:val="center"/>
            <w:hideMark/>
          </w:tcPr>
          <w:p w:rsidR="00DD2AB0" w:rsidRPr="00DD2AB0" w:rsidP="00DD2AB0" w14:paraId="38DA7210" w14:textId="77777777">
            <w:pPr>
              <w:spacing w:after="0"/>
              <w:ind w:firstLine="0"/>
              <w:rPr>
                <w:rFonts w:cs="Arial"/>
                <w:bCs/>
                <w:color w:val="000000"/>
                <w:sz w:val="20"/>
              </w:rPr>
            </w:pPr>
            <w:r w:rsidRPr="00DD2AB0">
              <w:rPr>
                <w:rFonts w:cs="Arial"/>
                <w:bCs/>
                <w:color w:val="000000"/>
                <w:sz w:val="20"/>
              </w:rPr>
              <w:t>20%</w:t>
            </w:r>
          </w:p>
        </w:tc>
        <w:tc>
          <w:tcPr>
            <w:tcW w:w="126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2F5692A6" w14:textId="77777777">
            <w:pPr>
              <w:spacing w:after="0"/>
              <w:ind w:firstLine="0"/>
              <w:rPr>
                <w:rFonts w:cs="Arial"/>
                <w:bCs/>
                <w:color w:val="000000"/>
                <w:sz w:val="20"/>
              </w:rPr>
            </w:pPr>
            <w:r w:rsidRPr="00DD2AB0">
              <w:rPr>
                <w:rFonts w:cs="Arial"/>
                <w:bCs/>
                <w:color w:val="000000"/>
                <w:sz w:val="20"/>
              </w:rPr>
              <w:t>11.14</w:t>
            </w:r>
          </w:p>
        </w:tc>
        <w:tc>
          <w:tcPr>
            <w:tcW w:w="1591"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2744C50B" w14:textId="77777777">
            <w:pPr>
              <w:spacing w:after="0"/>
              <w:ind w:firstLine="0"/>
              <w:rPr>
                <w:rFonts w:cs="Arial"/>
                <w:bCs/>
                <w:color w:val="000000"/>
                <w:sz w:val="20"/>
              </w:rPr>
            </w:pPr>
            <w:r w:rsidRPr="00DD2AB0">
              <w:rPr>
                <w:rFonts w:cs="Arial"/>
                <w:bCs/>
                <w:color w:val="000000"/>
                <w:sz w:val="20"/>
              </w:rPr>
              <w:t xml:space="preserve">$66.82 </w:t>
            </w:r>
          </w:p>
        </w:tc>
      </w:tr>
      <w:tr w14:paraId="74DA2B3E" w14:textId="77777777" w:rsidTr="00FA5C9E">
        <w:tblPrEx>
          <w:tblW w:w="13622" w:type="dxa"/>
          <w:tblInd w:w="-100" w:type="dxa"/>
          <w:tblLayout w:type="fixed"/>
          <w:tblLook w:val="04A0"/>
        </w:tblPrEx>
        <w:tc>
          <w:tcPr>
            <w:tcW w:w="1681" w:type="dxa"/>
            <w:gridSpan w:val="4"/>
            <w:tcBorders>
              <w:top w:val="nil"/>
              <w:left w:val="single" w:sz="8" w:space="0" w:color="auto"/>
              <w:bottom w:val="single" w:sz="8" w:space="0" w:color="auto"/>
              <w:right w:val="single" w:sz="8" w:space="0" w:color="auto"/>
            </w:tcBorders>
            <w:shd w:val="clear" w:color="auto" w:fill="auto"/>
            <w:vAlign w:val="center"/>
            <w:hideMark/>
          </w:tcPr>
          <w:p w:rsidR="00DD2AB0" w:rsidRPr="00DD2AB0" w:rsidP="00DD2AB0" w14:paraId="2B89D59D" w14:textId="77777777">
            <w:pPr>
              <w:spacing w:after="0"/>
              <w:ind w:firstLine="0"/>
              <w:rPr>
                <w:rFonts w:cs="Arial"/>
                <w:color w:val="000000"/>
                <w:sz w:val="18"/>
                <w:szCs w:val="18"/>
              </w:rPr>
            </w:pPr>
            <w:r w:rsidRPr="00DD2AB0">
              <w:rPr>
                <w:rFonts w:cs="Arial"/>
                <w:color w:val="000000" w:themeColor="text1"/>
                <w:sz w:val="18"/>
                <w:szCs w:val="18"/>
              </w:rPr>
              <w:t>Clerical Worker</w:t>
            </w:r>
          </w:p>
        </w:tc>
        <w:tc>
          <w:tcPr>
            <w:tcW w:w="3060" w:type="dxa"/>
            <w:tcBorders>
              <w:top w:val="nil"/>
              <w:left w:val="nil"/>
              <w:bottom w:val="single" w:sz="8" w:space="0" w:color="auto"/>
              <w:right w:val="single" w:sz="8" w:space="0" w:color="auto"/>
            </w:tcBorders>
            <w:shd w:val="clear" w:color="auto" w:fill="auto"/>
            <w:vAlign w:val="center"/>
            <w:hideMark/>
          </w:tcPr>
          <w:p w:rsidR="00DD2AB0" w:rsidRPr="00DD2AB0" w:rsidP="00DD2AB0" w14:paraId="61D4BAC1" w14:textId="77777777">
            <w:pPr>
              <w:spacing w:after="0"/>
              <w:ind w:firstLine="0"/>
              <w:rPr>
                <w:rFonts w:cs="Arial"/>
                <w:color w:val="000000"/>
                <w:sz w:val="16"/>
                <w:szCs w:val="16"/>
              </w:rPr>
            </w:pPr>
            <w:r w:rsidRPr="00DD2AB0">
              <w:rPr>
                <w:rFonts w:cs="Arial"/>
                <w:color w:val="000000" w:themeColor="text1"/>
                <w:sz w:val="16"/>
                <w:szCs w:val="16"/>
              </w:rPr>
              <w:t>“Secretaries, Except Legal, Medical and Executive” category, SOC 43-6014</w:t>
            </w:r>
          </w:p>
        </w:tc>
        <w:tc>
          <w:tcPr>
            <w:tcW w:w="900" w:type="dxa"/>
            <w:tcBorders>
              <w:top w:val="nil"/>
              <w:left w:val="nil"/>
              <w:bottom w:val="single" w:sz="8" w:space="0" w:color="auto"/>
              <w:right w:val="single" w:sz="8" w:space="0" w:color="auto"/>
            </w:tcBorders>
            <w:shd w:val="clear" w:color="auto" w:fill="auto"/>
            <w:vAlign w:val="center"/>
            <w:hideMark/>
          </w:tcPr>
          <w:p w:rsidR="00DD2AB0" w:rsidRPr="00DD2AB0" w:rsidP="00DD2AB0" w14:paraId="390D6C55" w14:textId="77777777">
            <w:pPr>
              <w:spacing w:after="0"/>
              <w:ind w:firstLine="0"/>
              <w:rPr>
                <w:rFonts w:cs="Arial"/>
                <w:color w:val="000000"/>
                <w:sz w:val="18"/>
                <w:szCs w:val="18"/>
              </w:rPr>
            </w:pPr>
            <w:r w:rsidRPr="00DD2AB0">
              <w:rPr>
                <w:rFonts w:cs="Arial"/>
                <w:color w:val="000000" w:themeColor="text1"/>
                <w:sz w:val="18"/>
                <w:szCs w:val="18"/>
              </w:rPr>
              <w:t>May-23</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5301DA23" w14:textId="77777777">
            <w:pPr>
              <w:spacing w:after="0"/>
              <w:ind w:firstLine="0"/>
              <w:rPr>
                <w:rFonts w:cs="Arial"/>
                <w:bCs/>
                <w:color w:val="000000"/>
                <w:sz w:val="20"/>
              </w:rPr>
            </w:pPr>
            <w:r w:rsidRPr="00DD2AB0">
              <w:rPr>
                <w:rFonts w:cs="Arial"/>
                <w:bCs/>
                <w:color w:val="000000"/>
                <w:sz w:val="20"/>
              </w:rPr>
              <w:t xml:space="preserve">$21.87 </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091A41B7" w14:textId="77777777">
            <w:pPr>
              <w:spacing w:after="0"/>
              <w:ind w:firstLine="0"/>
              <w:rPr>
                <w:rFonts w:cs="Arial"/>
                <w:bCs/>
                <w:color w:val="000000"/>
                <w:sz w:val="20"/>
              </w:rPr>
            </w:pPr>
            <w:r w:rsidRPr="00DD2AB0">
              <w:rPr>
                <w:rFonts w:cs="Arial"/>
                <w:bCs/>
                <w:color w:val="000000"/>
                <w:sz w:val="20"/>
              </w:rPr>
              <w:t xml:space="preserve">$8.79 </w:t>
            </w:r>
          </w:p>
        </w:tc>
        <w:tc>
          <w:tcPr>
            <w:tcW w:w="117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4F57CA85" w14:textId="77777777">
            <w:pPr>
              <w:spacing w:after="0"/>
              <w:ind w:firstLine="0"/>
              <w:rPr>
                <w:rFonts w:cs="Arial"/>
                <w:bCs/>
                <w:color w:val="000000"/>
                <w:sz w:val="20"/>
              </w:rPr>
            </w:pPr>
            <w:r w:rsidRPr="00DD2AB0">
              <w:rPr>
                <w:rFonts w:cs="Arial"/>
                <w:bCs/>
                <w:color w:val="000000"/>
                <w:sz w:val="20"/>
              </w:rPr>
              <w:t xml:space="preserve">$30.66 </w:t>
            </w:r>
          </w:p>
        </w:tc>
        <w:tc>
          <w:tcPr>
            <w:tcW w:w="1800" w:type="dxa"/>
            <w:gridSpan w:val="3"/>
            <w:tcBorders>
              <w:top w:val="nil"/>
              <w:left w:val="nil"/>
              <w:bottom w:val="single" w:sz="8" w:space="0" w:color="auto"/>
              <w:right w:val="single" w:sz="8" w:space="0" w:color="auto"/>
            </w:tcBorders>
            <w:shd w:val="clear" w:color="auto" w:fill="auto"/>
            <w:vAlign w:val="center"/>
            <w:hideMark/>
          </w:tcPr>
          <w:p w:rsidR="00DD2AB0" w:rsidRPr="00DD2AB0" w:rsidP="00DD2AB0" w14:paraId="76011D44" w14:textId="77777777">
            <w:pPr>
              <w:spacing w:after="0"/>
              <w:ind w:firstLine="0"/>
              <w:rPr>
                <w:rFonts w:cs="Arial"/>
                <w:bCs/>
                <w:color w:val="000000"/>
                <w:sz w:val="20"/>
              </w:rPr>
            </w:pPr>
            <w:r w:rsidRPr="00DD2AB0">
              <w:rPr>
                <w:rFonts w:cs="Arial"/>
                <w:bCs/>
                <w:color w:val="000000"/>
                <w:sz w:val="20"/>
              </w:rPr>
              <w:t>20%</w:t>
            </w:r>
          </w:p>
        </w:tc>
        <w:tc>
          <w:tcPr>
            <w:tcW w:w="126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23CCA873" w14:textId="77777777">
            <w:pPr>
              <w:spacing w:after="0"/>
              <w:ind w:firstLine="0"/>
              <w:rPr>
                <w:rFonts w:cs="Arial"/>
                <w:bCs/>
                <w:color w:val="000000"/>
                <w:sz w:val="20"/>
              </w:rPr>
            </w:pPr>
            <w:r w:rsidRPr="00DD2AB0">
              <w:rPr>
                <w:rFonts w:cs="Arial"/>
                <w:bCs/>
                <w:color w:val="000000"/>
                <w:sz w:val="20"/>
              </w:rPr>
              <w:t>6.13</w:t>
            </w:r>
          </w:p>
        </w:tc>
        <w:tc>
          <w:tcPr>
            <w:tcW w:w="1591"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7D67093C" w14:textId="77777777">
            <w:pPr>
              <w:spacing w:after="0"/>
              <w:ind w:firstLine="0"/>
              <w:rPr>
                <w:rFonts w:cs="Arial"/>
                <w:bCs/>
                <w:color w:val="000000"/>
                <w:sz w:val="20"/>
              </w:rPr>
            </w:pPr>
            <w:r w:rsidRPr="00DD2AB0">
              <w:rPr>
                <w:rFonts w:cs="Arial"/>
                <w:bCs/>
                <w:color w:val="000000"/>
                <w:sz w:val="20"/>
              </w:rPr>
              <w:t xml:space="preserve">$36.79 </w:t>
            </w:r>
          </w:p>
        </w:tc>
      </w:tr>
      <w:tr w14:paraId="66F19214" w14:textId="77777777" w:rsidTr="00FA5C9E">
        <w:tblPrEx>
          <w:tblW w:w="13622" w:type="dxa"/>
          <w:tblInd w:w="-100" w:type="dxa"/>
          <w:tblLayout w:type="fixed"/>
          <w:tblLook w:val="04A0"/>
        </w:tblPrEx>
        <w:trPr>
          <w:trHeight w:val="547"/>
        </w:trPr>
        <w:tc>
          <w:tcPr>
            <w:tcW w:w="1681" w:type="dxa"/>
            <w:gridSpan w:val="4"/>
            <w:tcBorders>
              <w:top w:val="nil"/>
              <w:left w:val="single" w:sz="8" w:space="0" w:color="auto"/>
              <w:bottom w:val="single" w:sz="8" w:space="0" w:color="auto"/>
              <w:right w:val="single" w:sz="8" w:space="0" w:color="auto"/>
            </w:tcBorders>
            <w:shd w:val="clear" w:color="auto" w:fill="auto"/>
            <w:vAlign w:val="center"/>
            <w:hideMark/>
          </w:tcPr>
          <w:p w:rsidR="00DD2AB0" w:rsidRPr="00DD2AB0" w:rsidP="00DD2AB0" w14:paraId="70B9F1D1" w14:textId="77777777">
            <w:pPr>
              <w:spacing w:after="0"/>
              <w:ind w:firstLine="0"/>
              <w:rPr>
                <w:rFonts w:cs="Arial"/>
                <w:color w:val="000000"/>
                <w:sz w:val="18"/>
                <w:szCs w:val="18"/>
              </w:rPr>
            </w:pPr>
            <w:r w:rsidRPr="00DD2AB0">
              <w:rPr>
                <w:rFonts w:cs="Arial"/>
                <w:color w:val="000000" w:themeColor="text1"/>
                <w:sz w:val="18"/>
                <w:szCs w:val="18"/>
              </w:rPr>
              <w:t>Brake and Clutch Repair Mechanic</w:t>
            </w:r>
          </w:p>
        </w:tc>
        <w:tc>
          <w:tcPr>
            <w:tcW w:w="3060" w:type="dxa"/>
            <w:tcBorders>
              <w:top w:val="nil"/>
              <w:left w:val="nil"/>
              <w:bottom w:val="single" w:sz="8" w:space="0" w:color="auto"/>
              <w:right w:val="single" w:sz="8" w:space="0" w:color="auto"/>
            </w:tcBorders>
            <w:shd w:val="clear" w:color="auto" w:fill="auto"/>
            <w:vAlign w:val="center"/>
            <w:hideMark/>
          </w:tcPr>
          <w:p w:rsidR="00DD2AB0" w:rsidRPr="00DD2AB0" w:rsidP="00DD2AB0" w14:paraId="287EC85A" w14:textId="77777777">
            <w:pPr>
              <w:spacing w:after="0"/>
              <w:ind w:firstLine="0"/>
              <w:rPr>
                <w:rFonts w:cs="Arial"/>
                <w:color w:val="000000"/>
                <w:sz w:val="16"/>
                <w:szCs w:val="16"/>
              </w:rPr>
            </w:pPr>
            <w:r w:rsidRPr="00DD2AB0">
              <w:rPr>
                <w:rFonts w:cs="Arial"/>
                <w:color w:val="000000" w:themeColor="text1"/>
                <w:sz w:val="16"/>
                <w:szCs w:val="16"/>
              </w:rPr>
              <w:t>“Automotive Service Technicians and Mechanics” category, SOC 49-3023</w:t>
            </w:r>
          </w:p>
        </w:tc>
        <w:tc>
          <w:tcPr>
            <w:tcW w:w="900" w:type="dxa"/>
            <w:tcBorders>
              <w:top w:val="nil"/>
              <w:left w:val="nil"/>
              <w:bottom w:val="single" w:sz="8" w:space="0" w:color="auto"/>
              <w:right w:val="single" w:sz="8" w:space="0" w:color="auto"/>
            </w:tcBorders>
            <w:shd w:val="clear" w:color="auto" w:fill="auto"/>
            <w:vAlign w:val="center"/>
            <w:hideMark/>
          </w:tcPr>
          <w:p w:rsidR="00DD2AB0" w:rsidRPr="00DD2AB0" w:rsidP="00DD2AB0" w14:paraId="22D8EE0D" w14:textId="77777777">
            <w:pPr>
              <w:spacing w:after="0"/>
              <w:ind w:firstLine="0"/>
              <w:rPr>
                <w:rFonts w:cs="Arial"/>
                <w:color w:val="000000"/>
                <w:sz w:val="18"/>
                <w:szCs w:val="18"/>
              </w:rPr>
            </w:pPr>
            <w:r w:rsidRPr="00DD2AB0">
              <w:rPr>
                <w:rFonts w:cs="Arial"/>
                <w:color w:val="000000" w:themeColor="text1"/>
                <w:sz w:val="18"/>
                <w:szCs w:val="18"/>
              </w:rPr>
              <w:t>May-23</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77313BE4" w14:textId="77777777">
            <w:pPr>
              <w:spacing w:after="0"/>
              <w:ind w:firstLine="0"/>
              <w:rPr>
                <w:rFonts w:cs="Arial"/>
                <w:bCs/>
                <w:color w:val="000000"/>
                <w:sz w:val="20"/>
              </w:rPr>
            </w:pPr>
            <w:r w:rsidRPr="00DD2AB0">
              <w:rPr>
                <w:rFonts w:cs="Arial"/>
                <w:bCs/>
                <w:color w:val="000000"/>
                <w:sz w:val="20"/>
              </w:rPr>
              <w:t xml:space="preserve">$24.97 </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36D38B7F" w14:textId="77777777">
            <w:pPr>
              <w:spacing w:after="0"/>
              <w:ind w:firstLine="0"/>
              <w:rPr>
                <w:rFonts w:cs="Arial"/>
                <w:bCs/>
                <w:color w:val="000000"/>
                <w:sz w:val="20"/>
              </w:rPr>
            </w:pPr>
            <w:r w:rsidRPr="00DD2AB0">
              <w:rPr>
                <w:rFonts w:cs="Arial"/>
                <w:bCs/>
                <w:color w:val="000000"/>
                <w:sz w:val="20"/>
              </w:rPr>
              <w:t xml:space="preserve">$11.97 </w:t>
            </w:r>
          </w:p>
        </w:tc>
        <w:tc>
          <w:tcPr>
            <w:tcW w:w="117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6C9B4FBD" w14:textId="77777777">
            <w:pPr>
              <w:spacing w:after="0"/>
              <w:ind w:firstLine="0"/>
              <w:rPr>
                <w:rFonts w:cs="Arial"/>
                <w:bCs/>
                <w:color w:val="000000"/>
                <w:sz w:val="20"/>
              </w:rPr>
            </w:pPr>
            <w:r w:rsidRPr="00DD2AB0">
              <w:rPr>
                <w:rFonts w:cs="Arial"/>
                <w:bCs/>
                <w:color w:val="000000"/>
                <w:sz w:val="20"/>
              </w:rPr>
              <w:t xml:space="preserve">$36.94 </w:t>
            </w:r>
          </w:p>
        </w:tc>
        <w:tc>
          <w:tcPr>
            <w:tcW w:w="1800" w:type="dxa"/>
            <w:gridSpan w:val="3"/>
            <w:tcBorders>
              <w:top w:val="nil"/>
              <w:left w:val="nil"/>
              <w:bottom w:val="single" w:sz="8" w:space="0" w:color="auto"/>
              <w:right w:val="single" w:sz="8" w:space="0" w:color="auto"/>
            </w:tcBorders>
            <w:shd w:val="clear" w:color="auto" w:fill="auto"/>
            <w:vAlign w:val="center"/>
            <w:hideMark/>
          </w:tcPr>
          <w:p w:rsidR="00DD2AB0" w:rsidRPr="00DD2AB0" w:rsidP="00DD2AB0" w14:paraId="1D4F063D" w14:textId="77777777">
            <w:pPr>
              <w:spacing w:after="0"/>
              <w:ind w:firstLine="0"/>
              <w:rPr>
                <w:rFonts w:cs="Arial"/>
                <w:bCs/>
                <w:color w:val="000000"/>
                <w:sz w:val="20"/>
              </w:rPr>
            </w:pPr>
            <w:r w:rsidRPr="00DD2AB0">
              <w:rPr>
                <w:rFonts w:cs="Arial"/>
                <w:bCs/>
                <w:color w:val="000000"/>
                <w:sz w:val="20"/>
              </w:rPr>
              <w:t>20%</w:t>
            </w:r>
          </w:p>
        </w:tc>
        <w:tc>
          <w:tcPr>
            <w:tcW w:w="126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7BAF204F" w14:textId="77777777">
            <w:pPr>
              <w:spacing w:after="0"/>
              <w:ind w:firstLine="0"/>
              <w:rPr>
                <w:rFonts w:cs="Arial"/>
                <w:bCs/>
                <w:color w:val="000000"/>
                <w:sz w:val="20"/>
              </w:rPr>
            </w:pPr>
            <w:r w:rsidRPr="00DD2AB0">
              <w:rPr>
                <w:rFonts w:cs="Arial"/>
                <w:bCs/>
                <w:color w:val="000000"/>
                <w:sz w:val="20"/>
              </w:rPr>
              <w:t>7.39</w:t>
            </w:r>
          </w:p>
        </w:tc>
        <w:tc>
          <w:tcPr>
            <w:tcW w:w="1591"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087761DA" w14:textId="77777777">
            <w:pPr>
              <w:spacing w:after="0"/>
              <w:ind w:firstLine="0"/>
              <w:rPr>
                <w:rFonts w:cs="Arial"/>
                <w:bCs/>
                <w:color w:val="000000"/>
                <w:sz w:val="20"/>
              </w:rPr>
            </w:pPr>
            <w:r w:rsidRPr="00DD2AB0">
              <w:rPr>
                <w:rFonts w:cs="Arial"/>
                <w:bCs/>
                <w:color w:val="000000"/>
                <w:sz w:val="20"/>
              </w:rPr>
              <w:t xml:space="preserve">$44.33 </w:t>
            </w:r>
          </w:p>
        </w:tc>
      </w:tr>
      <w:tr w14:paraId="1EC26A1E" w14:textId="77777777" w:rsidTr="00FA5C9E">
        <w:tblPrEx>
          <w:tblW w:w="13622" w:type="dxa"/>
          <w:tblInd w:w="-100" w:type="dxa"/>
          <w:tblLayout w:type="fixed"/>
          <w:tblLook w:val="04A0"/>
        </w:tblPrEx>
        <w:trPr>
          <w:trHeight w:val="781"/>
        </w:trPr>
        <w:tc>
          <w:tcPr>
            <w:tcW w:w="1681" w:type="dxa"/>
            <w:gridSpan w:val="4"/>
            <w:tcBorders>
              <w:top w:val="nil"/>
              <w:left w:val="single" w:sz="8" w:space="0" w:color="auto"/>
              <w:bottom w:val="single" w:sz="8" w:space="0" w:color="auto"/>
              <w:right w:val="single" w:sz="8" w:space="0" w:color="auto"/>
            </w:tcBorders>
            <w:shd w:val="clear" w:color="auto" w:fill="auto"/>
            <w:vAlign w:val="center"/>
            <w:hideMark/>
          </w:tcPr>
          <w:p w:rsidR="00DD2AB0" w:rsidRPr="00DD2AB0" w:rsidP="00DD2AB0" w14:paraId="5C7DF7B5" w14:textId="77777777">
            <w:pPr>
              <w:spacing w:after="0"/>
              <w:ind w:firstLine="0"/>
              <w:rPr>
                <w:rFonts w:cs="Arial"/>
                <w:color w:val="000000"/>
                <w:sz w:val="18"/>
                <w:szCs w:val="18"/>
              </w:rPr>
            </w:pPr>
            <w:r w:rsidRPr="00DD2AB0">
              <w:rPr>
                <w:rFonts w:cs="Arial"/>
                <w:color w:val="000000" w:themeColor="text1"/>
                <w:sz w:val="18"/>
                <w:szCs w:val="18"/>
              </w:rPr>
              <w:t>Brake and Clutch Repair Supervisor</w:t>
            </w:r>
          </w:p>
        </w:tc>
        <w:tc>
          <w:tcPr>
            <w:tcW w:w="3060" w:type="dxa"/>
            <w:tcBorders>
              <w:top w:val="nil"/>
              <w:left w:val="nil"/>
              <w:bottom w:val="single" w:sz="8" w:space="0" w:color="auto"/>
              <w:right w:val="single" w:sz="8" w:space="0" w:color="auto"/>
            </w:tcBorders>
            <w:shd w:val="clear" w:color="auto" w:fill="auto"/>
            <w:vAlign w:val="center"/>
            <w:hideMark/>
          </w:tcPr>
          <w:p w:rsidR="00DD2AB0" w:rsidRPr="00DD2AB0" w:rsidP="00DD2AB0" w14:paraId="6794D0EA" w14:textId="77777777">
            <w:pPr>
              <w:spacing w:after="0"/>
              <w:ind w:firstLine="0"/>
              <w:rPr>
                <w:rFonts w:cs="Arial"/>
                <w:color w:val="000000"/>
                <w:sz w:val="16"/>
                <w:szCs w:val="16"/>
              </w:rPr>
            </w:pPr>
            <w:r w:rsidRPr="00DD2AB0">
              <w:rPr>
                <w:rFonts w:cs="Arial"/>
                <w:color w:val="000000" w:themeColor="text1"/>
                <w:sz w:val="16"/>
                <w:szCs w:val="16"/>
              </w:rPr>
              <w:t>“First-Line Supervisors/Managers of Mechanics, Installers, and Repairers” category, SOC 49-1011</w:t>
            </w:r>
          </w:p>
        </w:tc>
        <w:tc>
          <w:tcPr>
            <w:tcW w:w="900" w:type="dxa"/>
            <w:tcBorders>
              <w:top w:val="nil"/>
              <w:left w:val="nil"/>
              <w:bottom w:val="single" w:sz="8" w:space="0" w:color="auto"/>
              <w:right w:val="single" w:sz="8" w:space="0" w:color="auto"/>
            </w:tcBorders>
            <w:shd w:val="clear" w:color="auto" w:fill="auto"/>
            <w:vAlign w:val="center"/>
            <w:hideMark/>
          </w:tcPr>
          <w:p w:rsidR="00DD2AB0" w:rsidRPr="00DD2AB0" w:rsidP="00DD2AB0" w14:paraId="531F8C01" w14:textId="77777777">
            <w:pPr>
              <w:spacing w:after="0"/>
              <w:ind w:firstLine="0"/>
              <w:rPr>
                <w:rFonts w:cs="Arial"/>
                <w:color w:val="000000"/>
                <w:sz w:val="18"/>
                <w:szCs w:val="18"/>
              </w:rPr>
            </w:pPr>
            <w:r w:rsidRPr="00DD2AB0">
              <w:rPr>
                <w:rFonts w:cs="Arial"/>
                <w:color w:val="000000" w:themeColor="text1"/>
                <w:sz w:val="18"/>
                <w:szCs w:val="18"/>
              </w:rPr>
              <w:t>May-23</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7C4AEAE3" w14:textId="77777777">
            <w:pPr>
              <w:spacing w:after="0"/>
              <w:ind w:firstLine="0"/>
              <w:rPr>
                <w:rFonts w:cs="Arial"/>
                <w:bCs/>
                <w:color w:val="000000"/>
                <w:sz w:val="20"/>
              </w:rPr>
            </w:pPr>
            <w:r w:rsidRPr="00DD2AB0">
              <w:rPr>
                <w:rFonts w:cs="Arial"/>
                <w:bCs/>
                <w:color w:val="000000"/>
                <w:sz w:val="20"/>
              </w:rPr>
              <w:t xml:space="preserve">$37.99 </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6121EF37" w14:textId="77777777">
            <w:pPr>
              <w:spacing w:after="0"/>
              <w:ind w:firstLine="0"/>
              <w:rPr>
                <w:rFonts w:cs="Arial"/>
                <w:bCs/>
                <w:color w:val="000000"/>
                <w:sz w:val="20"/>
              </w:rPr>
            </w:pPr>
            <w:r w:rsidRPr="00DD2AB0">
              <w:rPr>
                <w:rFonts w:cs="Arial"/>
                <w:bCs/>
                <w:color w:val="000000"/>
                <w:sz w:val="20"/>
              </w:rPr>
              <w:t xml:space="preserve">$17.02 </w:t>
            </w:r>
          </w:p>
        </w:tc>
        <w:tc>
          <w:tcPr>
            <w:tcW w:w="117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6DE2E86B" w14:textId="77777777">
            <w:pPr>
              <w:spacing w:after="0"/>
              <w:ind w:firstLine="0"/>
              <w:rPr>
                <w:rFonts w:cs="Arial"/>
                <w:bCs/>
                <w:color w:val="000000"/>
                <w:sz w:val="20"/>
              </w:rPr>
            </w:pPr>
            <w:r w:rsidRPr="00DD2AB0">
              <w:rPr>
                <w:rFonts w:cs="Arial"/>
                <w:bCs/>
                <w:color w:val="000000"/>
                <w:sz w:val="20"/>
              </w:rPr>
              <w:t xml:space="preserve">$55.01 </w:t>
            </w:r>
          </w:p>
        </w:tc>
        <w:tc>
          <w:tcPr>
            <w:tcW w:w="1800" w:type="dxa"/>
            <w:gridSpan w:val="3"/>
            <w:tcBorders>
              <w:top w:val="nil"/>
              <w:left w:val="nil"/>
              <w:bottom w:val="single" w:sz="8" w:space="0" w:color="auto"/>
              <w:right w:val="single" w:sz="8" w:space="0" w:color="auto"/>
            </w:tcBorders>
            <w:shd w:val="clear" w:color="auto" w:fill="auto"/>
            <w:vAlign w:val="center"/>
            <w:hideMark/>
          </w:tcPr>
          <w:p w:rsidR="00DD2AB0" w:rsidRPr="00DD2AB0" w:rsidP="00DD2AB0" w14:paraId="34FB501A" w14:textId="77777777">
            <w:pPr>
              <w:spacing w:after="0"/>
              <w:ind w:firstLine="0"/>
              <w:rPr>
                <w:rFonts w:cs="Arial"/>
                <w:bCs/>
                <w:color w:val="000000"/>
                <w:sz w:val="20"/>
              </w:rPr>
            </w:pPr>
            <w:r w:rsidRPr="00DD2AB0">
              <w:rPr>
                <w:rFonts w:cs="Arial"/>
                <w:bCs/>
                <w:color w:val="000000"/>
                <w:sz w:val="20"/>
              </w:rPr>
              <w:t>20%</w:t>
            </w:r>
          </w:p>
        </w:tc>
        <w:tc>
          <w:tcPr>
            <w:tcW w:w="126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283CB968" w14:textId="77777777">
            <w:pPr>
              <w:spacing w:after="0"/>
              <w:ind w:firstLine="0"/>
              <w:rPr>
                <w:rFonts w:cs="Arial"/>
                <w:bCs/>
                <w:color w:val="000000"/>
                <w:sz w:val="20"/>
              </w:rPr>
            </w:pPr>
            <w:r w:rsidRPr="00DD2AB0">
              <w:rPr>
                <w:rFonts w:cs="Arial"/>
                <w:bCs/>
                <w:color w:val="000000"/>
                <w:sz w:val="20"/>
              </w:rPr>
              <w:t>11.00</w:t>
            </w:r>
          </w:p>
        </w:tc>
        <w:tc>
          <w:tcPr>
            <w:tcW w:w="1591"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3CA19AF4" w14:textId="77777777">
            <w:pPr>
              <w:spacing w:after="0"/>
              <w:ind w:firstLine="0"/>
              <w:rPr>
                <w:rFonts w:cs="Arial"/>
                <w:bCs/>
                <w:color w:val="000000"/>
                <w:sz w:val="20"/>
              </w:rPr>
            </w:pPr>
            <w:r w:rsidRPr="00DD2AB0">
              <w:rPr>
                <w:rFonts w:cs="Arial"/>
                <w:bCs/>
                <w:color w:val="000000"/>
                <w:sz w:val="20"/>
              </w:rPr>
              <w:t xml:space="preserve">$66.02 </w:t>
            </w:r>
          </w:p>
        </w:tc>
      </w:tr>
      <w:tr w14:paraId="2CAD4168" w14:textId="77777777" w:rsidTr="00FA5C9E">
        <w:tblPrEx>
          <w:tblW w:w="13622" w:type="dxa"/>
          <w:tblInd w:w="-100" w:type="dxa"/>
          <w:tblLayout w:type="fixed"/>
          <w:tblLook w:val="04A0"/>
        </w:tblPrEx>
        <w:tc>
          <w:tcPr>
            <w:tcW w:w="1681" w:type="dxa"/>
            <w:gridSpan w:val="4"/>
            <w:tcBorders>
              <w:top w:val="nil"/>
              <w:left w:val="single" w:sz="8" w:space="0" w:color="auto"/>
              <w:bottom w:val="single" w:sz="8" w:space="0" w:color="auto"/>
              <w:right w:val="single" w:sz="8" w:space="0" w:color="auto"/>
            </w:tcBorders>
            <w:shd w:val="clear" w:color="auto" w:fill="auto"/>
            <w:vAlign w:val="center"/>
            <w:hideMark/>
          </w:tcPr>
          <w:p w:rsidR="00DD2AB0" w:rsidRPr="00DD2AB0" w:rsidP="00DD2AB0" w14:paraId="236DD4D2" w14:textId="77777777">
            <w:pPr>
              <w:spacing w:after="0"/>
              <w:ind w:firstLine="0"/>
              <w:rPr>
                <w:rFonts w:cs="Arial"/>
                <w:color w:val="000000"/>
                <w:sz w:val="18"/>
                <w:szCs w:val="18"/>
              </w:rPr>
            </w:pPr>
            <w:r w:rsidRPr="00DD2AB0">
              <w:rPr>
                <w:rFonts w:cs="Arial"/>
                <w:color w:val="000000" w:themeColor="text1"/>
                <w:sz w:val="18"/>
                <w:szCs w:val="18"/>
              </w:rPr>
              <w:t xml:space="preserve">Industrial hygienist </w:t>
            </w:r>
          </w:p>
        </w:tc>
        <w:tc>
          <w:tcPr>
            <w:tcW w:w="3060" w:type="dxa"/>
            <w:tcBorders>
              <w:top w:val="nil"/>
              <w:left w:val="nil"/>
              <w:bottom w:val="single" w:sz="8" w:space="0" w:color="auto"/>
              <w:right w:val="single" w:sz="8" w:space="0" w:color="auto"/>
            </w:tcBorders>
            <w:shd w:val="clear" w:color="auto" w:fill="auto"/>
            <w:vAlign w:val="center"/>
            <w:hideMark/>
          </w:tcPr>
          <w:p w:rsidR="00DD2AB0" w:rsidRPr="00DD2AB0" w:rsidP="00DD2AB0" w14:paraId="478A408C" w14:textId="77777777">
            <w:pPr>
              <w:spacing w:after="0"/>
              <w:ind w:firstLine="0"/>
              <w:rPr>
                <w:rFonts w:cs="Arial"/>
                <w:color w:val="000000"/>
                <w:sz w:val="16"/>
                <w:szCs w:val="16"/>
              </w:rPr>
            </w:pPr>
            <w:r w:rsidRPr="00DD2AB0">
              <w:rPr>
                <w:rFonts w:cs="Arial"/>
                <w:color w:val="000000" w:themeColor="text1"/>
                <w:sz w:val="16"/>
                <w:szCs w:val="16"/>
              </w:rPr>
              <w:t>Health and Safety Engineers, Except Mining Safety Engineers and Inspectors” category SOC 17-2111</w:t>
            </w:r>
          </w:p>
        </w:tc>
        <w:tc>
          <w:tcPr>
            <w:tcW w:w="900" w:type="dxa"/>
            <w:tcBorders>
              <w:top w:val="nil"/>
              <w:left w:val="nil"/>
              <w:bottom w:val="single" w:sz="8" w:space="0" w:color="auto"/>
              <w:right w:val="single" w:sz="8" w:space="0" w:color="auto"/>
            </w:tcBorders>
            <w:shd w:val="clear" w:color="auto" w:fill="auto"/>
            <w:vAlign w:val="center"/>
            <w:hideMark/>
          </w:tcPr>
          <w:p w:rsidR="00DD2AB0" w:rsidRPr="00DD2AB0" w:rsidP="00DD2AB0" w14:paraId="1DDB26E9" w14:textId="77777777">
            <w:pPr>
              <w:spacing w:after="0"/>
              <w:ind w:firstLine="0"/>
              <w:rPr>
                <w:rFonts w:cs="Arial"/>
                <w:color w:val="000000"/>
                <w:sz w:val="18"/>
                <w:szCs w:val="18"/>
              </w:rPr>
            </w:pPr>
            <w:r w:rsidRPr="00DD2AB0">
              <w:rPr>
                <w:rFonts w:cs="Arial"/>
                <w:color w:val="000000" w:themeColor="text1"/>
                <w:sz w:val="18"/>
                <w:szCs w:val="18"/>
              </w:rPr>
              <w:t>May-23</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7B706945" w14:textId="77777777">
            <w:pPr>
              <w:spacing w:after="0"/>
              <w:ind w:firstLine="0"/>
              <w:rPr>
                <w:rFonts w:cs="Arial"/>
                <w:bCs/>
                <w:color w:val="000000"/>
                <w:sz w:val="20"/>
              </w:rPr>
            </w:pPr>
            <w:r w:rsidRPr="00DD2AB0">
              <w:rPr>
                <w:rFonts w:cs="Arial"/>
                <w:bCs/>
                <w:color w:val="000000"/>
                <w:sz w:val="20"/>
              </w:rPr>
              <w:t xml:space="preserve">$52.28 </w:t>
            </w:r>
          </w:p>
        </w:tc>
        <w:tc>
          <w:tcPr>
            <w:tcW w:w="1080" w:type="dxa"/>
            <w:tcBorders>
              <w:top w:val="nil"/>
              <w:left w:val="nil"/>
              <w:bottom w:val="single" w:sz="8" w:space="0" w:color="auto"/>
              <w:right w:val="single" w:sz="8" w:space="0" w:color="auto"/>
            </w:tcBorders>
            <w:shd w:val="clear" w:color="auto" w:fill="auto"/>
            <w:vAlign w:val="center"/>
            <w:hideMark/>
          </w:tcPr>
          <w:p w:rsidR="00DD2AB0" w:rsidRPr="00DD2AB0" w:rsidP="00DD2AB0" w14:paraId="228377DA" w14:textId="77777777">
            <w:pPr>
              <w:spacing w:after="0"/>
              <w:ind w:firstLine="0"/>
              <w:rPr>
                <w:rFonts w:cs="Arial"/>
                <w:bCs/>
                <w:color w:val="000000"/>
                <w:sz w:val="20"/>
              </w:rPr>
            </w:pPr>
            <w:r w:rsidRPr="00DD2AB0">
              <w:rPr>
                <w:rFonts w:cs="Arial"/>
                <w:bCs/>
                <w:color w:val="000000"/>
                <w:sz w:val="20"/>
              </w:rPr>
              <w:t xml:space="preserve">$26.69 </w:t>
            </w:r>
          </w:p>
        </w:tc>
        <w:tc>
          <w:tcPr>
            <w:tcW w:w="117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28999C5F" w14:textId="77777777">
            <w:pPr>
              <w:spacing w:after="0"/>
              <w:ind w:firstLine="0"/>
              <w:rPr>
                <w:rFonts w:cs="Arial"/>
                <w:bCs/>
                <w:color w:val="000000"/>
                <w:sz w:val="20"/>
              </w:rPr>
            </w:pPr>
            <w:r w:rsidRPr="00DD2AB0">
              <w:rPr>
                <w:rFonts w:cs="Arial"/>
                <w:bCs/>
                <w:color w:val="000000"/>
                <w:sz w:val="20"/>
              </w:rPr>
              <w:t xml:space="preserve">$78.97 </w:t>
            </w:r>
          </w:p>
        </w:tc>
        <w:tc>
          <w:tcPr>
            <w:tcW w:w="1800" w:type="dxa"/>
            <w:gridSpan w:val="3"/>
            <w:tcBorders>
              <w:top w:val="nil"/>
              <w:left w:val="nil"/>
              <w:bottom w:val="single" w:sz="8" w:space="0" w:color="auto"/>
              <w:right w:val="single" w:sz="8" w:space="0" w:color="auto"/>
            </w:tcBorders>
            <w:shd w:val="clear" w:color="auto" w:fill="auto"/>
            <w:vAlign w:val="center"/>
            <w:hideMark/>
          </w:tcPr>
          <w:p w:rsidR="00DD2AB0" w:rsidRPr="00DD2AB0" w:rsidP="00DD2AB0" w14:paraId="2810A881" w14:textId="77777777">
            <w:pPr>
              <w:spacing w:after="0"/>
              <w:ind w:firstLine="0"/>
              <w:rPr>
                <w:rFonts w:cs="Arial"/>
                <w:bCs/>
                <w:color w:val="000000"/>
                <w:sz w:val="20"/>
              </w:rPr>
            </w:pPr>
            <w:r w:rsidRPr="00DD2AB0">
              <w:rPr>
                <w:rFonts w:cs="Arial"/>
                <w:bCs/>
                <w:color w:val="000000"/>
                <w:sz w:val="20"/>
              </w:rPr>
              <w:t>20%</w:t>
            </w:r>
          </w:p>
        </w:tc>
        <w:tc>
          <w:tcPr>
            <w:tcW w:w="1260"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221D14FD" w14:textId="77777777">
            <w:pPr>
              <w:spacing w:after="0"/>
              <w:ind w:firstLine="0"/>
              <w:rPr>
                <w:rFonts w:cs="Arial"/>
                <w:bCs/>
                <w:color w:val="000000"/>
                <w:sz w:val="20"/>
              </w:rPr>
            </w:pPr>
            <w:r w:rsidRPr="00DD2AB0">
              <w:rPr>
                <w:rFonts w:cs="Arial"/>
                <w:bCs/>
                <w:color w:val="000000"/>
                <w:sz w:val="20"/>
              </w:rPr>
              <w:t>15.79</w:t>
            </w:r>
          </w:p>
        </w:tc>
        <w:tc>
          <w:tcPr>
            <w:tcW w:w="1591" w:type="dxa"/>
            <w:gridSpan w:val="2"/>
            <w:tcBorders>
              <w:top w:val="nil"/>
              <w:left w:val="nil"/>
              <w:bottom w:val="single" w:sz="8" w:space="0" w:color="auto"/>
              <w:right w:val="single" w:sz="8" w:space="0" w:color="auto"/>
            </w:tcBorders>
            <w:shd w:val="clear" w:color="auto" w:fill="auto"/>
            <w:vAlign w:val="center"/>
            <w:hideMark/>
          </w:tcPr>
          <w:p w:rsidR="00DD2AB0" w:rsidRPr="00DD2AB0" w:rsidP="00DD2AB0" w14:paraId="50BAE342" w14:textId="77777777">
            <w:pPr>
              <w:spacing w:after="0"/>
              <w:ind w:firstLine="0"/>
              <w:rPr>
                <w:rFonts w:cs="Arial"/>
                <w:bCs/>
                <w:color w:val="000000"/>
                <w:sz w:val="20"/>
              </w:rPr>
            </w:pPr>
            <w:r w:rsidRPr="00DD2AB0">
              <w:rPr>
                <w:rFonts w:cs="Arial"/>
                <w:bCs/>
                <w:color w:val="000000"/>
                <w:sz w:val="20"/>
              </w:rPr>
              <w:t xml:space="preserve">$94.77 </w:t>
            </w:r>
          </w:p>
        </w:tc>
      </w:tr>
      <w:tr w14:paraId="24F5CF9B" w14:textId="77777777" w:rsidTr="00FA5C9E">
        <w:tblPrEx>
          <w:tblW w:w="13622" w:type="dxa"/>
          <w:tblInd w:w="-100" w:type="dxa"/>
          <w:tblLayout w:type="fixed"/>
          <w:tblLook w:val="04A0"/>
        </w:tblPrEx>
        <w:trPr>
          <w:trHeight w:val="259"/>
        </w:trPr>
        <w:tc>
          <w:tcPr>
            <w:tcW w:w="13622" w:type="dxa"/>
            <w:gridSpan w:val="17"/>
            <w:tcBorders>
              <w:top w:val="single" w:sz="8" w:space="0" w:color="auto"/>
              <w:left w:val="single" w:sz="8" w:space="0" w:color="auto"/>
              <w:bottom w:val="nil"/>
              <w:right w:val="single" w:sz="8" w:space="0" w:color="000000" w:themeColor="text1"/>
            </w:tcBorders>
            <w:shd w:val="clear" w:color="auto" w:fill="auto"/>
            <w:vAlign w:val="center"/>
            <w:hideMark/>
          </w:tcPr>
          <w:p w:rsidR="00DD2AB0" w:rsidRPr="00DD2AB0" w:rsidP="00DD2AB0" w14:paraId="0DB2F1E0" w14:textId="77777777">
            <w:pPr>
              <w:spacing w:after="60"/>
              <w:ind w:firstLine="0"/>
              <w:rPr>
                <w:rFonts w:cs="Arial"/>
                <w:b/>
                <w:bCs/>
                <w:color w:val="000000"/>
                <w:sz w:val="18"/>
                <w:szCs w:val="18"/>
              </w:rPr>
            </w:pPr>
            <w:r w:rsidRPr="00DD2AB0">
              <w:rPr>
                <w:rFonts w:cs="Arial"/>
                <w:b/>
                <w:bCs/>
                <w:color w:val="000000" w:themeColor="text1"/>
                <w:sz w:val="18"/>
                <w:szCs w:val="18"/>
              </w:rPr>
              <w:t>Footnotes</w:t>
            </w:r>
          </w:p>
        </w:tc>
      </w:tr>
      <w:tr w14:paraId="3E29DA52" w14:textId="77777777" w:rsidTr="00FA5C9E">
        <w:tblPrEx>
          <w:tblW w:w="13622" w:type="dxa"/>
          <w:tblInd w:w="-100" w:type="dxa"/>
          <w:tblLayout w:type="fixed"/>
          <w:tblLook w:val="04A0"/>
        </w:tblPrEx>
        <w:tc>
          <w:tcPr>
            <w:tcW w:w="13622" w:type="dxa"/>
            <w:gridSpan w:val="17"/>
            <w:tcBorders>
              <w:top w:val="nil"/>
              <w:left w:val="single" w:sz="8" w:space="0" w:color="auto"/>
              <w:bottom w:val="nil"/>
              <w:right w:val="single" w:sz="8" w:space="0" w:color="000000" w:themeColor="text1"/>
            </w:tcBorders>
            <w:shd w:val="clear" w:color="auto" w:fill="auto"/>
            <w:vAlign w:val="center"/>
            <w:hideMark/>
          </w:tcPr>
          <w:p w:rsidR="00DD2AB0" w:rsidRPr="00DD2AB0" w:rsidP="00DD2AB0" w14:paraId="052A2DC0" w14:textId="77777777">
            <w:pPr>
              <w:spacing w:after="60"/>
              <w:ind w:firstLine="0"/>
              <w:rPr>
                <w:rFonts w:cs="Arial"/>
                <w:color w:val="000000"/>
                <w:sz w:val="18"/>
                <w:szCs w:val="18"/>
              </w:rPr>
            </w:pPr>
            <w:r w:rsidRPr="00DD2AB0">
              <w:rPr>
                <w:rFonts w:cs="Arial"/>
                <w:b/>
                <w:bCs/>
                <w:color w:val="000000" w:themeColor="text1"/>
                <w:sz w:val="18"/>
                <w:szCs w:val="18"/>
              </w:rPr>
              <w:t>a</w:t>
            </w:r>
            <w:r w:rsidRPr="00DD2AB0">
              <w:rPr>
                <w:rFonts w:cs="Arial"/>
                <w:color w:val="000000" w:themeColor="text1"/>
                <w:sz w:val="18"/>
                <w:szCs w:val="18"/>
              </w:rPr>
              <w:t xml:space="preserve"> Source: </w:t>
            </w:r>
            <w:r w:rsidRPr="00DD2AB0">
              <w:rPr>
                <w:rFonts w:cs="Arial"/>
                <w:i/>
                <w:iCs/>
                <w:color w:val="000000" w:themeColor="text1"/>
                <w:sz w:val="18"/>
                <w:szCs w:val="18"/>
              </w:rPr>
              <w:t>National Occupational Employment Statistics data. April 3rd, 2024</w:t>
            </w:r>
            <w:r w:rsidRPr="00DD2AB0">
              <w:rPr>
                <w:rFonts w:cs="Arial"/>
                <w:color w:val="000000" w:themeColor="text1"/>
                <w:sz w:val="18"/>
                <w:szCs w:val="18"/>
              </w:rPr>
              <w:t xml:space="preserve"> (U S Bureau of Labor Statistics, May 2023). Occupations are the same as those used in the previous ICR. The analysis uses mean wage for all categories. Available via https://www.bls.gov/oes/current/oes_nat.htm#47-0000 (accessed 07_10_2024).</w:t>
            </w:r>
          </w:p>
        </w:tc>
      </w:tr>
      <w:tr w14:paraId="1B3B7CA2" w14:textId="77777777" w:rsidTr="00FA5C9E">
        <w:tblPrEx>
          <w:tblW w:w="13622" w:type="dxa"/>
          <w:tblInd w:w="-100" w:type="dxa"/>
          <w:tblLayout w:type="fixed"/>
          <w:tblLook w:val="04A0"/>
        </w:tblPrEx>
        <w:tc>
          <w:tcPr>
            <w:tcW w:w="13622" w:type="dxa"/>
            <w:gridSpan w:val="17"/>
            <w:tcBorders>
              <w:top w:val="nil"/>
              <w:left w:val="single" w:sz="8" w:space="0" w:color="auto"/>
              <w:bottom w:val="nil"/>
              <w:right w:val="single" w:sz="8" w:space="0" w:color="000000" w:themeColor="text1"/>
            </w:tcBorders>
            <w:shd w:val="clear" w:color="auto" w:fill="auto"/>
            <w:vAlign w:val="center"/>
            <w:hideMark/>
          </w:tcPr>
          <w:p w:rsidR="00DD2AB0" w:rsidRPr="000A79EA" w:rsidP="00DD2AB0" w14:paraId="66A93EC6" w14:textId="77777777">
            <w:pPr>
              <w:spacing w:after="60"/>
              <w:ind w:firstLine="0"/>
              <w:rPr>
                <w:rFonts w:cs="Arial"/>
                <w:b/>
                <w:bCs/>
                <w:color w:val="000000" w:themeColor="text1"/>
                <w:sz w:val="18"/>
                <w:szCs w:val="18"/>
              </w:rPr>
            </w:pPr>
            <w:r w:rsidRPr="000A79EA">
              <w:rPr>
                <w:rFonts w:cs="Arial"/>
                <w:b/>
                <w:bCs/>
                <w:color w:val="000000" w:themeColor="text1"/>
                <w:sz w:val="18"/>
                <w:szCs w:val="18"/>
              </w:rPr>
              <w:t>b</w:t>
            </w:r>
            <w:r w:rsidRPr="000A79EA">
              <w:rPr>
                <w:rFonts w:cs="Arial"/>
                <w:color w:val="000000" w:themeColor="text1"/>
                <w:sz w:val="18"/>
                <w:szCs w:val="18"/>
              </w:rPr>
              <w:t xml:space="preserve"> Source: </w:t>
            </w:r>
            <w:r w:rsidRPr="000A79EA">
              <w:rPr>
                <w:rFonts w:cs="Arial"/>
                <w:i/>
                <w:iCs/>
                <w:color w:val="000000" w:themeColor="text1"/>
                <w:sz w:val="18"/>
                <w:szCs w:val="18"/>
              </w:rPr>
              <w:t>Employer Costs for Employee Compensation</w:t>
            </w:r>
            <w:r w:rsidRPr="000A79EA">
              <w:rPr>
                <w:rFonts w:cs="Arial"/>
                <w:color w:val="000000" w:themeColor="text1"/>
                <w:sz w:val="18"/>
                <w:szCs w:val="18"/>
              </w:rPr>
              <w:t xml:space="preserve">, </w:t>
            </w:r>
            <w:r w:rsidRPr="000A79EA">
              <w:rPr>
                <w:rFonts w:cs="Arial"/>
                <w:i/>
                <w:iCs/>
                <w:color w:val="000000" w:themeColor="text1"/>
                <w:sz w:val="18"/>
                <w:szCs w:val="18"/>
              </w:rPr>
              <w:t>March 13th, 2024</w:t>
            </w:r>
            <w:r w:rsidRPr="000A79EA">
              <w:rPr>
                <w:rFonts w:cs="Arial"/>
                <w:color w:val="000000" w:themeColor="text1"/>
                <w:sz w:val="18"/>
                <w:szCs w:val="18"/>
              </w:rPr>
              <w:t>. (U.S. Bureau of Labor Statistics, December 2023).</w:t>
            </w:r>
          </w:p>
          <w:p w:rsidR="00DD2AB0" w:rsidRPr="000A79EA" w:rsidP="00DD2AB0" w14:paraId="05DA1A9C" w14:textId="77777777">
            <w:pPr>
              <w:spacing w:after="60"/>
              <w:ind w:firstLine="0"/>
              <w:rPr>
                <w:rFonts w:cs="Arial"/>
                <w:b/>
                <w:bCs/>
                <w:color w:val="000000"/>
                <w:sz w:val="18"/>
                <w:szCs w:val="18"/>
              </w:rPr>
            </w:pPr>
            <w:r w:rsidRPr="000A79EA">
              <w:rPr>
                <w:rFonts w:cs="Arial"/>
                <w:color w:val="000000" w:themeColor="text1"/>
                <w:sz w:val="18"/>
                <w:szCs w:val="18"/>
              </w:rPr>
              <w:t xml:space="preserve"> </w:t>
            </w:r>
            <w:hyperlink r:id="rId12" w:history="1">
              <w:r w:rsidRPr="000A79EA">
                <w:rPr>
                  <w:color w:val="0000FF"/>
                  <w:sz w:val="18"/>
                  <w:szCs w:val="18"/>
                  <w:u w:val="single"/>
                </w:rPr>
                <w:t>https://www.bls.gov/news.release/archives/ecec_03172023.pdf</w:t>
              </w:r>
            </w:hyperlink>
            <w:r w:rsidRPr="000A79EA">
              <w:rPr>
                <w:rFonts w:cs="Arial"/>
                <w:color w:val="0000FF"/>
                <w:sz w:val="18"/>
                <w:szCs w:val="18"/>
                <w:u w:val="single"/>
              </w:rPr>
              <w:t>.</w:t>
            </w:r>
          </w:p>
        </w:tc>
      </w:tr>
      <w:tr w14:paraId="49066698" w14:textId="77777777" w:rsidTr="00FA5C9E">
        <w:tblPrEx>
          <w:tblW w:w="13622" w:type="dxa"/>
          <w:tblInd w:w="-100" w:type="dxa"/>
          <w:tblLayout w:type="fixed"/>
          <w:tblLook w:val="04A0"/>
        </w:tblPrEx>
        <w:trPr>
          <w:trHeight w:val="292"/>
        </w:trPr>
        <w:tc>
          <w:tcPr>
            <w:tcW w:w="13622" w:type="dxa"/>
            <w:gridSpan w:val="17"/>
            <w:tcBorders>
              <w:top w:val="nil"/>
              <w:left w:val="single" w:sz="8" w:space="0" w:color="auto"/>
              <w:bottom w:val="nil"/>
              <w:right w:val="single" w:sz="8" w:space="0" w:color="000000" w:themeColor="text1"/>
            </w:tcBorders>
            <w:shd w:val="clear" w:color="auto" w:fill="auto"/>
            <w:hideMark/>
          </w:tcPr>
          <w:p w:rsidR="00DD2AB0" w:rsidRPr="00DD2AB0" w:rsidP="00DD2AB0" w14:paraId="542921E6" w14:textId="77777777">
            <w:pPr>
              <w:spacing w:after="60"/>
              <w:ind w:firstLine="0"/>
              <w:rPr>
                <w:rFonts w:cs="Arial"/>
                <w:b/>
                <w:bCs/>
                <w:color w:val="000000"/>
                <w:sz w:val="18"/>
                <w:szCs w:val="18"/>
              </w:rPr>
            </w:pPr>
            <w:r w:rsidRPr="00DD2AB0">
              <w:rPr>
                <w:rFonts w:cs="Arial"/>
                <w:b/>
                <w:bCs/>
                <w:color w:val="000000" w:themeColor="text1"/>
                <w:sz w:val="18"/>
                <w:szCs w:val="18"/>
              </w:rPr>
              <w:t>c</w:t>
            </w:r>
            <w:r w:rsidRPr="00DD2AB0">
              <w:rPr>
                <w:rFonts w:cs="Arial"/>
                <w:color w:val="000000" w:themeColor="text1"/>
                <w:sz w:val="18"/>
                <w:szCs w:val="18"/>
              </w:rPr>
              <w:t xml:space="preserve"> </w:t>
            </w:r>
            <w:bookmarkStart w:id="5" w:name="_Int_vh1gnCEr"/>
            <w:r w:rsidRPr="00DD2AB0">
              <w:rPr>
                <w:rFonts w:cs="Arial"/>
                <w:color w:val="000000" w:themeColor="text1"/>
                <w:sz w:val="18"/>
                <w:szCs w:val="18"/>
              </w:rPr>
              <w:t>An</w:t>
            </w:r>
            <w:bookmarkEnd w:id="5"/>
            <w:r w:rsidRPr="00DD2AB0">
              <w:rPr>
                <w:rFonts w:cs="Arial"/>
                <w:color w:val="000000" w:themeColor="text1"/>
                <w:sz w:val="18"/>
                <w:szCs w:val="18"/>
              </w:rPr>
              <w:t xml:space="preserve"> overhead rate of 20% is used based on assumptions in Handbook on Valuing Changes in Time Use Induced by Regulatory Requirements and Other U.S. EPA Actions (U.S. Environmental Protection Agency (EPA) 2020).</w:t>
            </w:r>
          </w:p>
        </w:tc>
      </w:tr>
      <w:tr w14:paraId="6CDB45DB" w14:textId="77777777" w:rsidTr="00FA5C9E">
        <w:tblPrEx>
          <w:tblW w:w="13622" w:type="dxa"/>
          <w:tblInd w:w="-100" w:type="dxa"/>
          <w:tblLayout w:type="fixed"/>
          <w:tblLook w:val="04A0"/>
        </w:tblPrEx>
        <w:trPr>
          <w:trHeight w:val="300"/>
        </w:trPr>
        <w:tc>
          <w:tcPr>
            <w:tcW w:w="13622" w:type="dxa"/>
            <w:gridSpan w:val="17"/>
            <w:tcBorders>
              <w:top w:val="nil"/>
              <w:left w:val="single" w:sz="8" w:space="0" w:color="auto"/>
              <w:bottom w:val="nil"/>
              <w:right w:val="single" w:sz="8" w:space="0" w:color="000000" w:themeColor="text1"/>
            </w:tcBorders>
            <w:shd w:val="clear" w:color="auto" w:fill="auto"/>
            <w:hideMark/>
          </w:tcPr>
          <w:p w:rsidR="00DD2AB0" w:rsidRPr="00DD2AB0" w:rsidP="00DD2AB0" w14:paraId="159AC098" w14:textId="77777777">
            <w:pPr>
              <w:spacing w:after="60"/>
              <w:ind w:firstLine="0"/>
              <w:rPr>
                <w:rFonts w:cs="Arial"/>
                <w:b/>
                <w:bCs/>
                <w:color w:val="000000"/>
                <w:sz w:val="18"/>
                <w:szCs w:val="18"/>
              </w:rPr>
            </w:pPr>
            <w:r w:rsidRPr="00DD2AB0">
              <w:rPr>
                <w:rFonts w:cs="Arial"/>
                <w:b/>
                <w:bCs/>
                <w:color w:val="000000" w:themeColor="text1"/>
                <w:sz w:val="18"/>
                <w:szCs w:val="18"/>
              </w:rPr>
              <w:t>d</w:t>
            </w:r>
            <w:r w:rsidRPr="00DD2AB0">
              <w:rPr>
                <w:rFonts w:cs="Arial"/>
                <w:color w:val="000000" w:themeColor="text1"/>
                <w:sz w:val="18"/>
                <w:szCs w:val="18"/>
              </w:rPr>
              <w:t xml:space="preserve"> Wage data are rounded to the closest cent in this analysis.</w:t>
            </w:r>
          </w:p>
        </w:tc>
      </w:tr>
      <w:tr w14:paraId="1C14AE6B" w14:textId="77777777" w:rsidTr="00FA5C9E">
        <w:tblPrEx>
          <w:tblW w:w="13622" w:type="dxa"/>
          <w:tblInd w:w="-100" w:type="dxa"/>
          <w:tblLayout w:type="fixed"/>
          <w:tblLook w:val="04A0"/>
        </w:tblPrEx>
        <w:trPr>
          <w:trHeight w:val="566"/>
        </w:trPr>
        <w:tc>
          <w:tcPr>
            <w:tcW w:w="13622" w:type="dxa"/>
            <w:gridSpan w:val="17"/>
            <w:tcBorders>
              <w:top w:val="nil"/>
              <w:left w:val="single" w:sz="8" w:space="0" w:color="auto"/>
              <w:bottom w:val="single" w:sz="8" w:space="0" w:color="auto"/>
              <w:right w:val="single" w:sz="8" w:space="0" w:color="000000" w:themeColor="text1"/>
            </w:tcBorders>
            <w:shd w:val="clear" w:color="auto" w:fill="auto"/>
            <w:hideMark/>
          </w:tcPr>
          <w:p w:rsidR="00DD2AB0" w:rsidRPr="00DD2AB0" w:rsidP="00DD2AB0" w14:paraId="3313DD11" w14:textId="77777777">
            <w:pPr>
              <w:spacing w:after="60"/>
              <w:ind w:firstLine="0"/>
              <w:rPr>
                <w:rFonts w:cs="Arial"/>
                <w:b/>
                <w:bCs/>
                <w:color w:val="000000"/>
                <w:sz w:val="18"/>
                <w:szCs w:val="18"/>
              </w:rPr>
            </w:pPr>
            <w:r w:rsidRPr="00DD2AB0">
              <w:rPr>
                <w:rFonts w:cs="Arial"/>
                <w:b/>
                <w:bCs/>
                <w:color w:val="000000" w:themeColor="text1"/>
                <w:sz w:val="18"/>
                <w:szCs w:val="18"/>
              </w:rPr>
              <w:t xml:space="preserve">e </w:t>
            </w:r>
            <w:r w:rsidRPr="00DD2AB0">
              <w:rPr>
                <w:rFonts w:cs="Arial"/>
                <w:color w:val="000000" w:themeColor="text1"/>
                <w:sz w:val="18"/>
                <w:szCs w:val="18"/>
              </w:rPr>
              <w:t>Because there is no industrial hygienist category in BLS, the series was used for the “Health and Safety Engineers, Except Mining Safety Engineers and Inspectors” category SOC17-2111.  This category was used based on the similarity of duties as described in the data.</w:t>
            </w:r>
          </w:p>
        </w:tc>
      </w:tr>
      <w:tr w14:paraId="6D1B1202" w14:textId="77777777" w:rsidTr="00FA5C9E">
        <w:tblPrEx>
          <w:tblW w:w="13622" w:type="dxa"/>
          <w:tblInd w:w="-100" w:type="dxa"/>
          <w:tblLayout w:type="fixed"/>
          <w:tblLook w:val="04A0"/>
        </w:tblPrEx>
        <w:trPr>
          <w:gridBefore w:val="1"/>
          <w:gridAfter w:val="1"/>
          <w:wBefore w:w="88" w:type="dxa"/>
          <w:wAfter w:w="625" w:type="dxa"/>
          <w:trHeight w:val="575"/>
          <w:tblHeader/>
        </w:trPr>
        <w:tc>
          <w:tcPr>
            <w:tcW w:w="12909" w:type="dxa"/>
            <w:gridSpan w:val="15"/>
            <w:tcBorders>
              <w:top w:val="nil"/>
              <w:left w:val="nil"/>
              <w:bottom w:val="single" w:sz="12" w:space="0" w:color="auto"/>
              <w:right w:val="nil"/>
            </w:tcBorders>
            <w:shd w:val="clear" w:color="auto" w:fill="auto"/>
            <w:vAlign w:val="center"/>
            <w:hideMark/>
          </w:tcPr>
          <w:p w:rsidR="00DD2AB0" w:rsidRPr="00DD2AB0" w:rsidP="00DD2AB0" w14:paraId="6073FF28" w14:textId="77777777">
            <w:pPr>
              <w:ind w:firstLine="0"/>
              <w:outlineLvl w:val="0"/>
              <w:rPr>
                <w:b/>
                <w:bCs/>
                <w:kern w:val="36"/>
                <w:szCs w:val="48"/>
              </w:rPr>
            </w:pPr>
          </w:p>
          <w:p w:rsidR="00DD2AB0" w:rsidRPr="00DD2AB0" w:rsidP="00DD2AB0" w14:paraId="5D109BE3" w14:textId="77777777">
            <w:pPr>
              <w:ind w:firstLine="0"/>
              <w:outlineLvl w:val="0"/>
              <w:rPr>
                <w:b/>
                <w:bCs/>
                <w:kern w:val="36"/>
                <w:szCs w:val="48"/>
              </w:rPr>
            </w:pPr>
          </w:p>
          <w:p w:rsidR="00DD2AB0" w:rsidRPr="00DD2AB0" w:rsidP="00DD2AB0" w14:paraId="6139450E" w14:textId="77777777">
            <w:pPr>
              <w:ind w:firstLine="0"/>
              <w:outlineLvl w:val="0"/>
              <w:rPr>
                <w:b/>
                <w:bCs/>
                <w:kern w:val="36"/>
                <w:szCs w:val="48"/>
              </w:rPr>
            </w:pPr>
            <w:r w:rsidRPr="00DD2AB0">
              <w:rPr>
                <w:b/>
                <w:bCs/>
                <w:kern w:val="36"/>
                <w:szCs w:val="48"/>
              </w:rPr>
              <w:t>Table 4: Annual Number of Responses, Total Burden, and Total Costs for State and Local Entities (2023$)</w:t>
            </w:r>
          </w:p>
        </w:tc>
      </w:tr>
      <w:tr w14:paraId="2BEDF972" w14:textId="77777777" w:rsidTr="00FA5C9E">
        <w:tblPrEx>
          <w:tblW w:w="13622" w:type="dxa"/>
          <w:tblInd w:w="-100" w:type="dxa"/>
          <w:tblLayout w:type="fixed"/>
          <w:tblLook w:val="04A0"/>
        </w:tblPrEx>
        <w:trPr>
          <w:gridBefore w:val="1"/>
          <w:gridAfter w:val="1"/>
          <w:wBefore w:w="88" w:type="dxa"/>
          <w:wAfter w:w="625" w:type="dxa"/>
          <w:trHeight w:val="1260"/>
          <w:tblHeader/>
        </w:trPr>
        <w:tc>
          <w:tcPr>
            <w:tcW w:w="4653" w:type="dxa"/>
            <w:gridSpan w:val="4"/>
            <w:tcBorders>
              <w:top w:val="single" w:sz="12" w:space="0" w:color="auto"/>
              <w:left w:val="single" w:sz="12" w:space="0" w:color="auto"/>
              <w:bottom w:val="single" w:sz="8" w:space="0" w:color="auto"/>
              <w:right w:val="single" w:sz="8" w:space="0" w:color="000000" w:themeColor="text1"/>
            </w:tcBorders>
            <w:shd w:val="clear" w:color="auto" w:fill="BFBFBF" w:themeFill="background1" w:themeFillShade="BF"/>
            <w:noWrap/>
            <w:vAlign w:val="center"/>
            <w:hideMark/>
          </w:tcPr>
          <w:p w:rsidR="00DD2AB0" w:rsidRPr="00DD2AB0" w:rsidP="00DD2AB0" w14:paraId="428ED475" w14:textId="77777777">
            <w:pPr>
              <w:spacing w:after="0"/>
              <w:ind w:firstLine="0"/>
              <w:rPr>
                <w:rFonts w:cs="Arial"/>
                <w:b/>
                <w:color w:val="000000"/>
                <w:sz w:val="20"/>
              </w:rPr>
            </w:pPr>
            <w:r w:rsidRPr="00DD2AB0">
              <w:rPr>
                <w:rFonts w:cs="Arial"/>
                <w:b/>
                <w:color w:val="000000"/>
                <w:sz w:val="20"/>
              </w:rPr>
              <w:t>Collection Activity</w:t>
            </w:r>
          </w:p>
        </w:tc>
        <w:tc>
          <w:tcPr>
            <w:tcW w:w="1980"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7C795E8C" w14:textId="77777777">
            <w:pPr>
              <w:spacing w:after="0"/>
              <w:ind w:firstLine="0"/>
              <w:rPr>
                <w:rFonts w:cs="Arial"/>
                <w:b/>
                <w:color w:val="000000"/>
                <w:sz w:val="20"/>
              </w:rPr>
            </w:pPr>
            <w:r w:rsidRPr="00DD2AB0">
              <w:rPr>
                <w:rFonts w:cs="Arial"/>
                <w:b/>
                <w:color w:val="000000"/>
                <w:sz w:val="20"/>
              </w:rPr>
              <w:t>Total Number of Responses</w:t>
            </w:r>
          </w:p>
        </w:tc>
        <w:tc>
          <w:tcPr>
            <w:tcW w:w="1460"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572D1D17" w14:textId="77777777">
            <w:pPr>
              <w:spacing w:after="0"/>
              <w:ind w:firstLine="0"/>
              <w:rPr>
                <w:rFonts w:cs="Arial"/>
                <w:b/>
                <w:color w:val="000000"/>
                <w:sz w:val="20"/>
              </w:rPr>
            </w:pPr>
            <w:r w:rsidRPr="00DD2AB0">
              <w:rPr>
                <w:rFonts w:cs="Arial"/>
                <w:b/>
                <w:color w:val="000000"/>
                <w:sz w:val="20"/>
              </w:rPr>
              <w:t>Total Number of Respondents (state and local entities)</w:t>
            </w:r>
          </w:p>
        </w:tc>
        <w:tc>
          <w:tcPr>
            <w:tcW w:w="1146"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78C1DB7C" w14:textId="77777777">
            <w:pPr>
              <w:spacing w:after="0"/>
              <w:ind w:firstLine="0"/>
              <w:rPr>
                <w:rFonts w:cs="Arial"/>
                <w:b/>
                <w:color w:val="000000"/>
                <w:sz w:val="20"/>
              </w:rPr>
            </w:pPr>
            <w:r w:rsidRPr="00DD2AB0">
              <w:rPr>
                <w:rFonts w:cs="Arial"/>
                <w:b/>
                <w:color w:val="000000"/>
                <w:sz w:val="20"/>
              </w:rPr>
              <w:t>Unit Burden per State</w:t>
            </w:r>
          </w:p>
        </w:tc>
        <w:tc>
          <w:tcPr>
            <w:tcW w:w="1096" w:type="dxa"/>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400E25F9" w14:textId="77777777">
            <w:pPr>
              <w:spacing w:after="0"/>
              <w:ind w:firstLine="0"/>
              <w:rPr>
                <w:rFonts w:cs="Arial"/>
                <w:b/>
                <w:color w:val="000000"/>
                <w:sz w:val="20"/>
              </w:rPr>
            </w:pPr>
            <w:r w:rsidRPr="00DD2AB0">
              <w:rPr>
                <w:rFonts w:cs="Arial"/>
                <w:b/>
                <w:color w:val="000000"/>
                <w:sz w:val="20"/>
              </w:rPr>
              <w:t>Total Burden (hours)</w:t>
            </w:r>
          </w:p>
        </w:tc>
        <w:tc>
          <w:tcPr>
            <w:tcW w:w="1131" w:type="dxa"/>
            <w:gridSpan w:val="2"/>
            <w:tcBorders>
              <w:top w:val="nil"/>
              <w:left w:val="nil"/>
              <w:bottom w:val="single" w:sz="8" w:space="0" w:color="auto"/>
              <w:right w:val="single" w:sz="8" w:space="0" w:color="auto"/>
            </w:tcBorders>
            <w:shd w:val="clear" w:color="auto" w:fill="BFBFBF" w:themeFill="background1" w:themeFillShade="BF"/>
            <w:vAlign w:val="center"/>
            <w:hideMark/>
          </w:tcPr>
          <w:p w:rsidR="00DD2AB0" w:rsidRPr="00DD2AB0" w:rsidP="00DD2AB0" w14:paraId="79D39A18" w14:textId="77777777">
            <w:pPr>
              <w:spacing w:after="0"/>
              <w:ind w:firstLine="0"/>
              <w:rPr>
                <w:rFonts w:cs="Arial"/>
                <w:b/>
                <w:color w:val="000000"/>
                <w:sz w:val="20"/>
              </w:rPr>
            </w:pPr>
            <w:r w:rsidRPr="00DD2AB0">
              <w:rPr>
                <w:rFonts w:cs="Arial"/>
                <w:b/>
                <w:color w:val="000000"/>
                <w:sz w:val="20"/>
              </w:rPr>
              <w:t>Weighted Average Wage Rate</w:t>
            </w:r>
          </w:p>
        </w:tc>
        <w:tc>
          <w:tcPr>
            <w:tcW w:w="1443" w:type="dxa"/>
            <w:gridSpan w:val="2"/>
            <w:tcBorders>
              <w:top w:val="nil"/>
              <w:left w:val="nil"/>
              <w:bottom w:val="single" w:sz="8" w:space="0" w:color="auto"/>
              <w:right w:val="single" w:sz="12" w:space="0" w:color="auto"/>
            </w:tcBorders>
            <w:shd w:val="clear" w:color="auto" w:fill="BFBFBF" w:themeFill="background1" w:themeFillShade="BF"/>
            <w:vAlign w:val="center"/>
            <w:hideMark/>
          </w:tcPr>
          <w:p w:rsidR="00DD2AB0" w:rsidRPr="00DD2AB0" w:rsidP="00DD2AB0" w14:paraId="45CB865A" w14:textId="77777777">
            <w:pPr>
              <w:spacing w:after="0"/>
              <w:ind w:firstLine="0"/>
              <w:rPr>
                <w:rFonts w:cs="Arial"/>
                <w:b/>
                <w:color w:val="000000"/>
                <w:sz w:val="20"/>
              </w:rPr>
            </w:pPr>
            <w:r w:rsidRPr="00DD2AB0">
              <w:rPr>
                <w:rFonts w:cs="Arial"/>
                <w:b/>
                <w:color w:val="000000"/>
                <w:sz w:val="20"/>
              </w:rPr>
              <w:t>Total Cost</w:t>
            </w:r>
          </w:p>
        </w:tc>
      </w:tr>
      <w:tr w14:paraId="777B5C81" w14:textId="77777777" w:rsidTr="00FA5C9E">
        <w:tblPrEx>
          <w:tblW w:w="13622" w:type="dxa"/>
          <w:tblInd w:w="-100" w:type="dxa"/>
          <w:tblLayout w:type="fixed"/>
          <w:tblLook w:val="04A0"/>
        </w:tblPrEx>
        <w:trPr>
          <w:gridBefore w:val="1"/>
          <w:gridAfter w:val="1"/>
          <w:wBefore w:w="88" w:type="dxa"/>
          <w:wAfter w:w="625" w:type="dxa"/>
          <w:trHeight w:val="472"/>
        </w:trPr>
        <w:tc>
          <w:tcPr>
            <w:tcW w:w="4653"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DD2AB0" w:rsidRPr="00DD2AB0" w:rsidP="00DD2AB0" w14:paraId="63876094" w14:textId="77777777">
            <w:pPr>
              <w:spacing w:after="0"/>
              <w:ind w:firstLine="0"/>
              <w:rPr>
                <w:rFonts w:cs="Arial"/>
                <w:bCs/>
                <w:color w:val="000000"/>
                <w:sz w:val="20"/>
              </w:rPr>
            </w:pPr>
            <w:r w:rsidRPr="00DD2AB0">
              <w:rPr>
                <w:rFonts w:cs="Arial"/>
                <w:bCs/>
                <w:color w:val="000000"/>
                <w:sz w:val="20"/>
              </w:rPr>
              <w:t>A) Read And Interpret Regulation  (5% turnover component only)</w:t>
            </w:r>
          </w:p>
        </w:tc>
        <w:tc>
          <w:tcPr>
            <w:tcW w:w="1980" w:type="dxa"/>
            <w:gridSpan w:val="2"/>
            <w:tcBorders>
              <w:top w:val="nil"/>
              <w:left w:val="single" w:sz="8" w:space="0" w:color="auto"/>
              <w:bottom w:val="single" w:sz="8" w:space="0" w:color="auto"/>
              <w:right w:val="single" w:sz="8" w:space="0" w:color="auto"/>
            </w:tcBorders>
            <w:shd w:val="clear" w:color="auto" w:fill="auto"/>
            <w:noWrap/>
            <w:vAlign w:val="center"/>
            <w:hideMark/>
          </w:tcPr>
          <w:p w:rsidR="00DD2AB0" w:rsidRPr="00DD2AB0" w:rsidP="00DD2AB0" w14:paraId="5B91099F" w14:textId="77777777">
            <w:pPr>
              <w:spacing w:after="0"/>
              <w:ind w:firstLine="0"/>
              <w:rPr>
                <w:rFonts w:cs="Arial"/>
                <w:bCs/>
                <w:color w:val="000000"/>
                <w:sz w:val="20"/>
              </w:rPr>
            </w:pPr>
            <w:r w:rsidRPr="00DD2AB0">
              <w:rPr>
                <w:rFonts w:cs="Arial"/>
                <w:bCs/>
                <w:color w:val="000000"/>
                <w:sz w:val="20"/>
              </w:rPr>
              <w:t>375</w:t>
            </w:r>
          </w:p>
        </w:tc>
        <w:tc>
          <w:tcPr>
            <w:tcW w:w="1460" w:type="dxa"/>
            <w:gridSpan w:val="2"/>
            <w:tcBorders>
              <w:top w:val="nil"/>
              <w:left w:val="nil"/>
              <w:bottom w:val="single" w:sz="8" w:space="0" w:color="auto"/>
              <w:right w:val="single" w:sz="8" w:space="0" w:color="auto"/>
            </w:tcBorders>
            <w:shd w:val="clear" w:color="auto" w:fill="auto"/>
            <w:noWrap/>
            <w:vAlign w:val="center"/>
            <w:hideMark/>
          </w:tcPr>
          <w:p w:rsidR="00DD2AB0" w:rsidRPr="00DD2AB0" w:rsidP="00DD2AB0" w14:paraId="662AFC44"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single" w:sz="8" w:space="0" w:color="auto"/>
              <w:right w:val="single" w:sz="8" w:space="0" w:color="auto"/>
            </w:tcBorders>
            <w:shd w:val="clear" w:color="auto" w:fill="auto"/>
            <w:noWrap/>
            <w:vAlign w:val="center"/>
            <w:hideMark/>
          </w:tcPr>
          <w:p w:rsidR="00DD2AB0" w:rsidRPr="00DD2AB0" w:rsidP="00DD2AB0" w14:paraId="1A1C9EF0" w14:textId="77777777">
            <w:pPr>
              <w:spacing w:after="0"/>
              <w:ind w:firstLine="0"/>
              <w:rPr>
                <w:rFonts w:cs="Arial"/>
                <w:bCs/>
                <w:color w:val="000000"/>
                <w:sz w:val="20"/>
              </w:rPr>
            </w:pPr>
            <w:r w:rsidRPr="00DD2AB0">
              <w:rPr>
                <w:rFonts w:cs="Arial"/>
                <w:bCs/>
                <w:color w:val="000000"/>
                <w:sz w:val="20"/>
              </w:rPr>
              <w:t>46.89</w:t>
            </w:r>
          </w:p>
        </w:tc>
        <w:tc>
          <w:tcPr>
            <w:tcW w:w="1096" w:type="dxa"/>
            <w:tcBorders>
              <w:top w:val="nil"/>
              <w:left w:val="nil"/>
              <w:bottom w:val="single" w:sz="8" w:space="0" w:color="auto"/>
              <w:right w:val="single" w:sz="8" w:space="0" w:color="auto"/>
            </w:tcBorders>
            <w:shd w:val="clear" w:color="auto" w:fill="auto"/>
            <w:noWrap/>
            <w:vAlign w:val="center"/>
            <w:hideMark/>
          </w:tcPr>
          <w:p w:rsidR="00DD2AB0" w:rsidRPr="00DD2AB0" w:rsidP="00DD2AB0" w14:paraId="570A15AF" w14:textId="77777777">
            <w:pPr>
              <w:spacing w:after="0"/>
              <w:ind w:firstLine="0"/>
              <w:rPr>
                <w:rFonts w:cs="Arial"/>
                <w:bCs/>
                <w:color w:val="000000"/>
                <w:sz w:val="20"/>
              </w:rPr>
            </w:pPr>
            <w:r w:rsidRPr="00DD2AB0">
              <w:rPr>
                <w:rFonts w:cs="Arial"/>
                <w:bCs/>
                <w:color w:val="000000"/>
                <w:sz w:val="20"/>
              </w:rPr>
              <w:t>1,125</w:t>
            </w:r>
          </w:p>
        </w:tc>
        <w:tc>
          <w:tcPr>
            <w:tcW w:w="1131" w:type="dxa"/>
            <w:gridSpan w:val="2"/>
            <w:tcBorders>
              <w:top w:val="nil"/>
              <w:left w:val="nil"/>
              <w:bottom w:val="single" w:sz="8" w:space="0" w:color="auto"/>
              <w:right w:val="single" w:sz="8" w:space="0" w:color="auto"/>
            </w:tcBorders>
            <w:shd w:val="clear" w:color="auto" w:fill="auto"/>
            <w:noWrap/>
            <w:vAlign w:val="center"/>
            <w:hideMark/>
          </w:tcPr>
          <w:p w:rsidR="00DD2AB0" w:rsidRPr="00DD2AB0" w:rsidP="00DD2AB0" w14:paraId="38EEB2C4" w14:textId="77777777">
            <w:pPr>
              <w:spacing w:after="0"/>
              <w:ind w:firstLine="0"/>
              <w:rPr>
                <w:rFonts w:cs="Arial"/>
                <w:bCs/>
                <w:color w:val="000000"/>
                <w:sz w:val="20"/>
              </w:rPr>
            </w:pPr>
            <w:r w:rsidRPr="00DD2AB0">
              <w:rPr>
                <w:rFonts w:cs="Arial"/>
                <w:bCs/>
                <w:color w:val="000000"/>
                <w:sz w:val="20"/>
              </w:rPr>
              <w:t>66.82</w:t>
            </w:r>
          </w:p>
        </w:tc>
        <w:tc>
          <w:tcPr>
            <w:tcW w:w="1443" w:type="dxa"/>
            <w:gridSpan w:val="2"/>
            <w:tcBorders>
              <w:top w:val="nil"/>
              <w:left w:val="nil"/>
              <w:bottom w:val="single" w:sz="8" w:space="0" w:color="auto"/>
              <w:right w:val="single" w:sz="8" w:space="0" w:color="auto"/>
            </w:tcBorders>
            <w:shd w:val="clear" w:color="auto" w:fill="auto"/>
            <w:noWrap/>
            <w:vAlign w:val="center"/>
            <w:hideMark/>
          </w:tcPr>
          <w:p w:rsidR="00DD2AB0" w:rsidRPr="00DD2AB0" w:rsidP="00DD2AB0" w14:paraId="384CDB07" w14:textId="77777777">
            <w:pPr>
              <w:spacing w:after="0"/>
              <w:ind w:firstLine="0"/>
              <w:rPr>
                <w:rFonts w:cs="Arial"/>
                <w:bCs/>
                <w:color w:val="000000"/>
                <w:sz w:val="20"/>
              </w:rPr>
            </w:pPr>
            <w:r w:rsidRPr="00DD2AB0">
              <w:rPr>
                <w:rFonts w:cs="Arial"/>
                <w:bCs/>
                <w:color w:val="000000"/>
                <w:sz w:val="20"/>
              </w:rPr>
              <w:t xml:space="preserve">$75,173 </w:t>
            </w:r>
          </w:p>
        </w:tc>
      </w:tr>
      <w:tr w14:paraId="487EA25B"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nil"/>
              <w:left w:val="single" w:sz="12" w:space="0" w:color="auto"/>
              <w:bottom w:val="nil"/>
              <w:right w:val="single" w:sz="8" w:space="0" w:color="000000" w:themeColor="text1"/>
            </w:tcBorders>
            <w:shd w:val="clear" w:color="auto" w:fill="auto"/>
            <w:noWrap/>
            <w:vAlign w:val="center"/>
            <w:hideMark/>
          </w:tcPr>
          <w:p w:rsidR="00DD2AB0" w:rsidRPr="00DD2AB0" w:rsidP="00DD2AB0" w14:paraId="5298AD35" w14:textId="77777777">
            <w:pPr>
              <w:spacing w:after="0"/>
              <w:ind w:firstLine="0"/>
              <w:rPr>
                <w:rFonts w:cs="Arial"/>
                <w:bCs/>
                <w:color w:val="000000"/>
                <w:sz w:val="20"/>
              </w:rPr>
            </w:pPr>
            <w:r w:rsidRPr="00DD2AB0">
              <w:rPr>
                <w:rFonts w:cs="Arial"/>
                <w:bCs/>
                <w:color w:val="000000"/>
                <w:sz w:val="20"/>
              </w:rPr>
              <w:t>B) Respirator Program</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4639BD45"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01ED2F0"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298F16FB"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71717432"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28839A47"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5BC24FDC" w14:textId="77777777">
            <w:pPr>
              <w:spacing w:after="0"/>
              <w:ind w:firstLine="0"/>
              <w:rPr>
                <w:rFonts w:cs="Arial"/>
                <w:bCs/>
                <w:color w:val="000000"/>
                <w:sz w:val="20"/>
              </w:rPr>
            </w:pPr>
            <w:r w:rsidRPr="00DD2AB0">
              <w:rPr>
                <w:rFonts w:cs="Arial"/>
                <w:bCs/>
                <w:color w:val="000000"/>
                <w:sz w:val="20"/>
              </w:rPr>
              <w:t> </w:t>
            </w:r>
          </w:p>
        </w:tc>
      </w:tr>
      <w:tr w14:paraId="387E6FAE"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3D276B6E"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2C5123CB" w14:textId="77777777">
            <w:pPr>
              <w:spacing w:after="0"/>
              <w:ind w:firstLine="0"/>
              <w:rPr>
                <w:rFonts w:cs="Arial"/>
                <w:bCs/>
                <w:color w:val="000000"/>
                <w:sz w:val="20"/>
              </w:rPr>
            </w:pPr>
            <w:r w:rsidRPr="00DD2AB0">
              <w:rPr>
                <w:rFonts w:cs="Arial"/>
                <w:bCs/>
                <w:color w:val="000000"/>
                <w:sz w:val="20"/>
              </w:rPr>
              <w:t xml:space="preserve">1) Develop Program </w:t>
            </w:r>
            <w:r w:rsidRPr="00DD2AB0">
              <w:rPr>
                <w:rFonts w:cs="Arial"/>
                <w:bCs/>
                <w:color w:val="000000"/>
                <w:sz w:val="20"/>
                <w:vertAlign w:val="superscript"/>
              </w:rPr>
              <w:t>a</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3FD6EB80" w14:textId="77777777">
            <w:pPr>
              <w:spacing w:after="0"/>
              <w:ind w:firstLine="0"/>
              <w:rPr>
                <w:rFonts w:cs="Arial"/>
                <w:bCs/>
                <w:color w:val="000000"/>
                <w:sz w:val="20"/>
              </w:rPr>
            </w:pPr>
            <w:r w:rsidRPr="00DD2AB0">
              <w:rPr>
                <w:rFonts w:cs="Arial"/>
                <w:bCs/>
                <w:color w:val="000000"/>
                <w:sz w:val="20"/>
              </w:rPr>
              <w:t>146</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31575A7"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594F4D93" w14:textId="77777777">
            <w:pPr>
              <w:spacing w:after="0"/>
              <w:ind w:firstLine="0"/>
              <w:rPr>
                <w:rFonts w:cs="Arial"/>
                <w:bCs/>
                <w:color w:val="000000"/>
                <w:sz w:val="20"/>
              </w:rPr>
            </w:pPr>
            <w:r w:rsidRPr="00DD2AB0">
              <w:rPr>
                <w:rFonts w:cs="Arial"/>
                <w:bCs/>
                <w:color w:val="000000"/>
                <w:sz w:val="20"/>
              </w:rPr>
              <w:t>24.30</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525FEC4C" w14:textId="77777777">
            <w:pPr>
              <w:spacing w:after="0"/>
              <w:ind w:firstLine="0"/>
              <w:rPr>
                <w:rFonts w:cs="Arial"/>
                <w:bCs/>
                <w:color w:val="000000"/>
                <w:sz w:val="20"/>
              </w:rPr>
            </w:pPr>
            <w:r w:rsidRPr="00DD2AB0">
              <w:rPr>
                <w:rFonts w:cs="Arial"/>
                <w:bCs/>
                <w:color w:val="000000"/>
                <w:sz w:val="20"/>
              </w:rPr>
              <w:t>583</w:t>
            </w:r>
          </w:p>
        </w:tc>
        <w:tc>
          <w:tcPr>
            <w:tcW w:w="1131" w:type="dxa"/>
            <w:gridSpan w:val="2"/>
            <w:tcBorders>
              <w:top w:val="nil"/>
              <w:left w:val="nil"/>
              <w:bottom w:val="nil"/>
              <w:right w:val="single" w:sz="8" w:space="0" w:color="auto"/>
            </w:tcBorders>
            <w:shd w:val="clear" w:color="auto" w:fill="auto"/>
            <w:noWrap/>
            <w:vAlign w:val="bottom"/>
            <w:hideMark/>
          </w:tcPr>
          <w:p w:rsidR="00DD2AB0" w:rsidRPr="00DD2AB0" w:rsidP="00DD2AB0" w14:paraId="44F90F07" w14:textId="77777777">
            <w:pPr>
              <w:spacing w:after="0"/>
              <w:ind w:firstLine="0"/>
              <w:rPr>
                <w:rFonts w:cs="Arial"/>
                <w:bCs/>
                <w:color w:val="000000"/>
                <w:sz w:val="20"/>
              </w:rPr>
            </w:pPr>
            <w:r w:rsidRPr="00DD2AB0">
              <w:rPr>
                <w:rFonts w:cs="Arial"/>
                <w:bCs/>
                <w:color w:val="000000"/>
                <w:sz w:val="20"/>
              </w:rPr>
              <w:t>$94.77</w:t>
            </w:r>
          </w:p>
        </w:tc>
        <w:tc>
          <w:tcPr>
            <w:tcW w:w="1443" w:type="dxa"/>
            <w:gridSpan w:val="2"/>
            <w:tcBorders>
              <w:top w:val="nil"/>
              <w:left w:val="nil"/>
              <w:bottom w:val="nil"/>
              <w:right w:val="single" w:sz="8" w:space="0" w:color="auto"/>
            </w:tcBorders>
            <w:shd w:val="clear" w:color="auto" w:fill="auto"/>
            <w:noWrap/>
            <w:vAlign w:val="bottom"/>
            <w:hideMark/>
          </w:tcPr>
          <w:p w:rsidR="00DD2AB0" w:rsidRPr="00DD2AB0" w:rsidP="00DD2AB0" w14:paraId="21C25D35" w14:textId="77777777">
            <w:pPr>
              <w:spacing w:after="0"/>
              <w:ind w:firstLine="0"/>
              <w:rPr>
                <w:rFonts w:cs="Arial"/>
                <w:bCs/>
                <w:color w:val="000000"/>
                <w:sz w:val="20"/>
              </w:rPr>
            </w:pPr>
            <w:r w:rsidRPr="00DD2AB0">
              <w:rPr>
                <w:rFonts w:cs="Arial"/>
                <w:bCs/>
                <w:color w:val="000000"/>
                <w:sz w:val="20"/>
              </w:rPr>
              <w:t>$55,251</w:t>
            </w:r>
          </w:p>
        </w:tc>
      </w:tr>
      <w:tr w14:paraId="0DE5FF2F"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658F2D3E"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40C784DB" w14:textId="77777777">
            <w:pPr>
              <w:spacing w:after="0"/>
              <w:ind w:firstLine="0"/>
              <w:rPr>
                <w:rFonts w:cs="Arial"/>
                <w:bCs/>
                <w:color w:val="000000"/>
                <w:sz w:val="20"/>
              </w:rPr>
            </w:pPr>
            <w:r w:rsidRPr="00DD2AB0">
              <w:rPr>
                <w:rFonts w:cs="Arial"/>
                <w:bCs/>
                <w:color w:val="000000"/>
                <w:sz w:val="20"/>
              </w:rPr>
              <w:t>2) Fit Testing</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41409D86"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66E800F5"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6D79AAB1"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6F963385"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bottom"/>
            <w:hideMark/>
          </w:tcPr>
          <w:p w:rsidR="00DD2AB0" w:rsidRPr="00DD2AB0" w:rsidP="00DD2AB0" w14:paraId="704372D2"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bottom"/>
            <w:hideMark/>
          </w:tcPr>
          <w:p w:rsidR="00DD2AB0" w:rsidRPr="00DD2AB0" w:rsidP="00DD2AB0" w14:paraId="6698C5B8" w14:textId="77777777">
            <w:pPr>
              <w:spacing w:after="0"/>
              <w:ind w:firstLine="0"/>
              <w:rPr>
                <w:rFonts w:cs="Arial"/>
                <w:bCs/>
                <w:color w:val="000000"/>
                <w:sz w:val="20"/>
              </w:rPr>
            </w:pPr>
            <w:r w:rsidRPr="00DD2AB0">
              <w:rPr>
                <w:rFonts w:cs="Arial"/>
                <w:bCs/>
                <w:color w:val="000000"/>
                <w:sz w:val="20"/>
              </w:rPr>
              <w:t> </w:t>
            </w:r>
          </w:p>
        </w:tc>
      </w:tr>
      <w:tr w14:paraId="35F2177A"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4B7B71A9"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59C43417"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570F2C13" w14:textId="77777777">
            <w:pPr>
              <w:spacing w:after="0"/>
              <w:ind w:firstLine="0"/>
              <w:rPr>
                <w:rFonts w:cs="Arial"/>
                <w:bCs/>
                <w:color w:val="000000"/>
                <w:sz w:val="20"/>
              </w:rPr>
            </w:pPr>
            <w:r w:rsidRPr="00DD2AB0">
              <w:rPr>
                <w:rFonts w:cs="Arial"/>
                <w:bCs/>
                <w:color w:val="000000"/>
                <w:sz w:val="20"/>
              </w:rPr>
              <w:t>a) Full-Face Respirators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7C1AA6F2" w14:textId="77777777">
            <w:pPr>
              <w:spacing w:after="0"/>
              <w:ind w:firstLine="0"/>
              <w:rPr>
                <w:rFonts w:cs="Arial"/>
                <w:bCs/>
                <w:color w:val="000000"/>
                <w:sz w:val="20"/>
              </w:rPr>
            </w:pPr>
            <w:r w:rsidRPr="00DD2AB0">
              <w:rPr>
                <w:rFonts w:cs="Arial"/>
                <w:bCs/>
                <w:color w:val="000000"/>
                <w:sz w:val="20"/>
              </w:rPr>
              <w:t>71</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25838E26"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42F10193" w14:textId="77777777">
            <w:pPr>
              <w:spacing w:after="0"/>
              <w:ind w:firstLine="0"/>
              <w:rPr>
                <w:rFonts w:cs="Arial"/>
                <w:bCs/>
                <w:color w:val="000000"/>
                <w:sz w:val="20"/>
              </w:rPr>
            </w:pPr>
            <w:r w:rsidRPr="00DD2AB0">
              <w:rPr>
                <w:rFonts w:cs="Arial"/>
                <w:bCs/>
                <w:color w:val="000000"/>
                <w:sz w:val="20"/>
              </w:rPr>
              <w:t>0.74</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32D63FF7" w14:textId="77777777">
            <w:pPr>
              <w:spacing w:after="0"/>
              <w:ind w:firstLine="0"/>
              <w:rPr>
                <w:rFonts w:cs="Arial"/>
                <w:bCs/>
                <w:color w:val="000000"/>
                <w:sz w:val="20"/>
              </w:rPr>
            </w:pPr>
            <w:r w:rsidRPr="00DD2AB0">
              <w:rPr>
                <w:rFonts w:cs="Arial"/>
                <w:bCs/>
                <w:color w:val="000000"/>
                <w:sz w:val="20"/>
              </w:rPr>
              <w:t>18</w:t>
            </w:r>
          </w:p>
        </w:tc>
        <w:tc>
          <w:tcPr>
            <w:tcW w:w="1131" w:type="dxa"/>
            <w:gridSpan w:val="2"/>
            <w:tcBorders>
              <w:top w:val="nil"/>
              <w:left w:val="nil"/>
              <w:bottom w:val="nil"/>
              <w:right w:val="single" w:sz="8" w:space="0" w:color="auto"/>
            </w:tcBorders>
            <w:shd w:val="clear" w:color="auto" w:fill="auto"/>
            <w:noWrap/>
            <w:vAlign w:val="bottom"/>
            <w:hideMark/>
          </w:tcPr>
          <w:p w:rsidR="00DD2AB0" w:rsidRPr="00DD2AB0" w:rsidP="00DD2AB0" w14:paraId="6060BF38" w14:textId="77777777">
            <w:pPr>
              <w:spacing w:after="0"/>
              <w:ind w:firstLine="0"/>
              <w:rPr>
                <w:rFonts w:cs="Arial"/>
                <w:bCs/>
                <w:color w:val="000000"/>
                <w:sz w:val="20"/>
              </w:rPr>
            </w:pPr>
            <w:r w:rsidRPr="00DD2AB0">
              <w:rPr>
                <w:rFonts w:cs="Arial"/>
                <w:bCs/>
                <w:color w:val="000000"/>
                <w:sz w:val="20"/>
              </w:rPr>
              <w:t>$58.67</w:t>
            </w:r>
          </w:p>
        </w:tc>
        <w:tc>
          <w:tcPr>
            <w:tcW w:w="1443" w:type="dxa"/>
            <w:gridSpan w:val="2"/>
            <w:tcBorders>
              <w:top w:val="nil"/>
              <w:left w:val="nil"/>
              <w:bottom w:val="nil"/>
              <w:right w:val="single" w:sz="8" w:space="0" w:color="auto"/>
            </w:tcBorders>
            <w:shd w:val="clear" w:color="auto" w:fill="auto"/>
            <w:noWrap/>
            <w:vAlign w:val="bottom"/>
            <w:hideMark/>
          </w:tcPr>
          <w:p w:rsidR="00DD2AB0" w:rsidRPr="00DD2AB0" w:rsidP="00DD2AB0" w14:paraId="7A94B509" w14:textId="77777777">
            <w:pPr>
              <w:spacing w:after="0"/>
              <w:ind w:firstLine="0"/>
              <w:rPr>
                <w:rFonts w:cs="Arial"/>
                <w:bCs/>
                <w:color w:val="000000"/>
                <w:sz w:val="20"/>
              </w:rPr>
            </w:pPr>
            <w:r w:rsidRPr="00DD2AB0">
              <w:rPr>
                <w:rFonts w:cs="Arial"/>
                <w:bCs/>
                <w:color w:val="000000"/>
                <w:sz w:val="20"/>
              </w:rPr>
              <w:t>$1,056</w:t>
            </w:r>
          </w:p>
        </w:tc>
      </w:tr>
      <w:tr w14:paraId="0D5FBD11"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237B6AE1"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50BFFF1F"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70AB29BE" w14:textId="77777777">
            <w:pPr>
              <w:spacing w:after="0"/>
              <w:ind w:firstLine="0"/>
              <w:rPr>
                <w:rFonts w:cs="Arial"/>
                <w:bCs/>
                <w:color w:val="000000"/>
                <w:sz w:val="20"/>
              </w:rPr>
            </w:pPr>
            <w:r w:rsidRPr="00DD2AB0">
              <w:rPr>
                <w:rFonts w:cs="Arial"/>
                <w:bCs/>
                <w:color w:val="000000"/>
                <w:sz w:val="20"/>
              </w:rPr>
              <w:t>b) Half-Mask-Face Respirators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716D43EC" w14:textId="77777777">
            <w:pPr>
              <w:spacing w:after="0"/>
              <w:ind w:firstLine="0"/>
              <w:rPr>
                <w:rFonts w:cs="Arial"/>
                <w:bCs/>
                <w:color w:val="000000"/>
                <w:sz w:val="20"/>
              </w:rPr>
            </w:pPr>
            <w:r w:rsidRPr="00DD2AB0">
              <w:rPr>
                <w:rFonts w:cs="Arial"/>
                <w:bCs/>
                <w:color w:val="000000"/>
                <w:sz w:val="20"/>
              </w:rPr>
              <w:t>4,713</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07D3B624"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5FFF2ADD" w14:textId="77777777">
            <w:pPr>
              <w:spacing w:after="0"/>
              <w:ind w:firstLine="0"/>
              <w:rPr>
                <w:rFonts w:cs="Arial"/>
                <w:bCs/>
                <w:color w:val="000000"/>
                <w:sz w:val="20"/>
              </w:rPr>
            </w:pPr>
            <w:r w:rsidRPr="00DD2AB0">
              <w:rPr>
                <w:rFonts w:cs="Arial"/>
                <w:bCs/>
                <w:color w:val="000000"/>
                <w:sz w:val="20"/>
              </w:rPr>
              <w:t>32.72</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5B1C4B6E" w14:textId="77777777">
            <w:pPr>
              <w:spacing w:after="0"/>
              <w:ind w:firstLine="0"/>
              <w:rPr>
                <w:rFonts w:cs="Arial"/>
                <w:bCs/>
                <w:color w:val="000000"/>
                <w:sz w:val="20"/>
              </w:rPr>
            </w:pPr>
            <w:r w:rsidRPr="00DD2AB0">
              <w:rPr>
                <w:rFonts w:cs="Arial"/>
                <w:bCs/>
                <w:color w:val="000000"/>
                <w:sz w:val="20"/>
              </w:rPr>
              <w:t>785</w:t>
            </w:r>
          </w:p>
        </w:tc>
        <w:tc>
          <w:tcPr>
            <w:tcW w:w="1131" w:type="dxa"/>
            <w:gridSpan w:val="2"/>
            <w:tcBorders>
              <w:top w:val="nil"/>
              <w:left w:val="nil"/>
              <w:bottom w:val="nil"/>
              <w:right w:val="single" w:sz="8" w:space="0" w:color="auto"/>
            </w:tcBorders>
            <w:shd w:val="clear" w:color="auto" w:fill="auto"/>
            <w:noWrap/>
            <w:vAlign w:val="bottom"/>
            <w:hideMark/>
          </w:tcPr>
          <w:p w:rsidR="00DD2AB0" w:rsidRPr="00DD2AB0" w:rsidP="00DD2AB0" w14:paraId="6786B16C" w14:textId="77777777">
            <w:pPr>
              <w:spacing w:after="0"/>
              <w:ind w:firstLine="0"/>
              <w:rPr>
                <w:rFonts w:cs="Arial"/>
                <w:bCs/>
                <w:color w:val="000000"/>
                <w:sz w:val="20"/>
              </w:rPr>
            </w:pPr>
            <w:r w:rsidRPr="00DD2AB0">
              <w:rPr>
                <w:rFonts w:cs="Arial"/>
                <w:bCs/>
                <w:color w:val="000000"/>
                <w:sz w:val="20"/>
              </w:rPr>
              <w:t>$58.67</w:t>
            </w:r>
          </w:p>
        </w:tc>
        <w:tc>
          <w:tcPr>
            <w:tcW w:w="1443" w:type="dxa"/>
            <w:gridSpan w:val="2"/>
            <w:tcBorders>
              <w:top w:val="nil"/>
              <w:left w:val="nil"/>
              <w:bottom w:val="nil"/>
              <w:right w:val="single" w:sz="8" w:space="0" w:color="auto"/>
            </w:tcBorders>
            <w:shd w:val="clear" w:color="auto" w:fill="auto"/>
            <w:noWrap/>
            <w:vAlign w:val="bottom"/>
            <w:hideMark/>
          </w:tcPr>
          <w:p w:rsidR="00DD2AB0" w:rsidRPr="00DD2AB0" w:rsidP="00DD2AB0" w14:paraId="35515CBE" w14:textId="77777777">
            <w:pPr>
              <w:spacing w:after="0"/>
              <w:ind w:firstLine="0"/>
              <w:rPr>
                <w:rFonts w:cs="Arial"/>
                <w:bCs/>
                <w:color w:val="000000"/>
                <w:sz w:val="20"/>
              </w:rPr>
            </w:pPr>
            <w:r w:rsidRPr="00DD2AB0">
              <w:rPr>
                <w:rFonts w:cs="Arial"/>
                <w:bCs/>
                <w:color w:val="000000"/>
                <w:sz w:val="20"/>
              </w:rPr>
              <w:t>$46,056</w:t>
            </w:r>
          </w:p>
        </w:tc>
      </w:tr>
      <w:tr w14:paraId="476E41F8" w14:textId="77777777" w:rsidTr="00FA5C9E">
        <w:tblPrEx>
          <w:tblW w:w="13622" w:type="dxa"/>
          <w:tblInd w:w="-100" w:type="dxa"/>
          <w:tblLayout w:type="fixed"/>
          <w:tblLook w:val="04A0"/>
        </w:tblPrEx>
        <w:trPr>
          <w:gridBefore w:val="1"/>
          <w:gridAfter w:val="1"/>
          <w:wBefore w:w="88" w:type="dxa"/>
          <w:wAfter w:w="625" w:type="dxa"/>
          <w:trHeight w:val="300"/>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2CE4F910"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6733A404" w14:textId="77777777">
            <w:pPr>
              <w:spacing w:after="0"/>
              <w:ind w:firstLine="0"/>
              <w:rPr>
                <w:rFonts w:cs="Arial"/>
                <w:bCs/>
                <w:color w:val="000000"/>
                <w:sz w:val="20"/>
              </w:rPr>
            </w:pPr>
            <w:r w:rsidRPr="00DD2AB0">
              <w:rPr>
                <w:rFonts w:cs="Arial"/>
                <w:bCs/>
                <w:color w:val="000000"/>
                <w:sz w:val="20"/>
              </w:rPr>
              <w:t>3) Maintain Records for Fit Tests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4328190D" w14:textId="77777777">
            <w:pPr>
              <w:spacing w:after="0"/>
              <w:ind w:firstLine="0"/>
              <w:rPr>
                <w:rFonts w:cs="Arial"/>
                <w:bCs/>
                <w:color w:val="000000"/>
                <w:sz w:val="20"/>
              </w:rPr>
            </w:pPr>
            <w:r w:rsidRPr="00DD2AB0">
              <w:rPr>
                <w:rFonts w:cs="Arial"/>
                <w:bCs/>
                <w:color w:val="000000"/>
                <w:sz w:val="20"/>
              </w:rPr>
              <w:t>2,392</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7455DB44"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1CC9ADDA" w14:textId="77777777">
            <w:pPr>
              <w:spacing w:after="0"/>
              <w:ind w:firstLine="0"/>
              <w:rPr>
                <w:rFonts w:cs="Arial"/>
                <w:bCs/>
                <w:color w:val="000000"/>
                <w:sz w:val="20"/>
              </w:rPr>
            </w:pPr>
            <w:r w:rsidRPr="00DD2AB0">
              <w:rPr>
                <w:rFonts w:cs="Arial"/>
                <w:bCs/>
                <w:color w:val="000000"/>
                <w:sz w:val="20"/>
              </w:rPr>
              <w:t>8.31</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001F3846" w14:textId="77777777">
            <w:pPr>
              <w:spacing w:after="0"/>
              <w:ind w:firstLine="0"/>
              <w:rPr>
                <w:rFonts w:cs="Arial"/>
                <w:bCs/>
                <w:color w:val="000000"/>
                <w:sz w:val="20"/>
              </w:rPr>
            </w:pPr>
            <w:r w:rsidRPr="00DD2AB0">
              <w:rPr>
                <w:rFonts w:cs="Arial"/>
                <w:bCs/>
                <w:color w:val="000000"/>
                <w:sz w:val="20"/>
              </w:rPr>
              <w:t>199</w:t>
            </w:r>
          </w:p>
        </w:tc>
        <w:tc>
          <w:tcPr>
            <w:tcW w:w="1131" w:type="dxa"/>
            <w:gridSpan w:val="2"/>
            <w:tcBorders>
              <w:top w:val="nil"/>
              <w:left w:val="nil"/>
              <w:bottom w:val="nil"/>
              <w:right w:val="single" w:sz="8" w:space="0" w:color="auto"/>
            </w:tcBorders>
            <w:shd w:val="clear" w:color="auto" w:fill="auto"/>
            <w:noWrap/>
            <w:vAlign w:val="bottom"/>
            <w:hideMark/>
          </w:tcPr>
          <w:p w:rsidR="00DD2AB0" w:rsidRPr="00DD2AB0" w:rsidP="00DD2AB0" w14:paraId="48BE921F" w14:textId="77777777">
            <w:pPr>
              <w:spacing w:after="0"/>
              <w:ind w:firstLine="0"/>
              <w:rPr>
                <w:rFonts w:cs="Arial"/>
                <w:bCs/>
                <w:color w:val="000000"/>
                <w:sz w:val="20"/>
              </w:rPr>
            </w:pPr>
            <w:r w:rsidRPr="00DD2AB0">
              <w:rPr>
                <w:rFonts w:cs="Arial"/>
                <w:bCs/>
                <w:color w:val="000000"/>
                <w:sz w:val="20"/>
              </w:rPr>
              <w:t>$36.79</w:t>
            </w:r>
          </w:p>
        </w:tc>
        <w:tc>
          <w:tcPr>
            <w:tcW w:w="1443" w:type="dxa"/>
            <w:gridSpan w:val="2"/>
            <w:tcBorders>
              <w:top w:val="nil"/>
              <w:left w:val="nil"/>
              <w:bottom w:val="nil"/>
              <w:right w:val="single" w:sz="8" w:space="0" w:color="auto"/>
            </w:tcBorders>
            <w:shd w:val="clear" w:color="auto" w:fill="auto"/>
            <w:noWrap/>
            <w:vAlign w:val="bottom"/>
            <w:hideMark/>
          </w:tcPr>
          <w:p w:rsidR="00DD2AB0" w:rsidRPr="00DD2AB0" w:rsidP="00DD2AB0" w14:paraId="51F88E0C" w14:textId="77777777">
            <w:pPr>
              <w:spacing w:after="0"/>
              <w:ind w:firstLine="0"/>
              <w:rPr>
                <w:rFonts w:cs="Arial"/>
                <w:bCs/>
                <w:color w:val="000000"/>
                <w:sz w:val="20"/>
              </w:rPr>
            </w:pPr>
            <w:r w:rsidRPr="00DD2AB0">
              <w:rPr>
                <w:rFonts w:cs="Arial"/>
                <w:bCs/>
                <w:color w:val="000000"/>
                <w:sz w:val="20"/>
              </w:rPr>
              <w:t>$7,321</w:t>
            </w:r>
          </w:p>
        </w:tc>
      </w:tr>
      <w:tr w14:paraId="5CA24CBE"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DD2AB0" w:rsidRPr="00DD2AB0" w:rsidP="00DD2AB0" w14:paraId="6BE5983D" w14:textId="77777777">
            <w:pPr>
              <w:spacing w:after="0"/>
              <w:ind w:firstLine="0"/>
              <w:rPr>
                <w:rFonts w:cs="Arial"/>
                <w:bCs/>
                <w:color w:val="000000"/>
                <w:sz w:val="20"/>
              </w:rPr>
            </w:pPr>
            <w:r w:rsidRPr="00DD2AB0">
              <w:rPr>
                <w:rFonts w:cs="Arial"/>
                <w:bCs/>
                <w:color w:val="000000"/>
                <w:sz w:val="20"/>
              </w:rPr>
              <w:t>Subtotal, Respirator Program</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AB0" w:rsidRPr="00DD2AB0" w:rsidP="00DD2AB0" w14:paraId="620E517F" w14:textId="77777777">
            <w:pPr>
              <w:spacing w:after="0"/>
              <w:ind w:firstLine="0"/>
              <w:rPr>
                <w:rFonts w:cs="Arial"/>
                <w:bCs/>
                <w:color w:val="000000"/>
                <w:sz w:val="20"/>
              </w:rPr>
            </w:pPr>
            <w:r w:rsidRPr="00DD2AB0">
              <w:rPr>
                <w:rFonts w:cs="Arial"/>
                <w:bCs/>
                <w:color w:val="000000"/>
                <w:sz w:val="20"/>
              </w:rPr>
              <w:t>7,322</w:t>
            </w:r>
          </w:p>
        </w:tc>
        <w:tc>
          <w:tcPr>
            <w:tcW w:w="1460"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5A59605C"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31D2807D" w14:textId="77777777">
            <w:pPr>
              <w:spacing w:after="0"/>
              <w:ind w:firstLine="0"/>
              <w:rPr>
                <w:rFonts w:cs="Arial"/>
                <w:bCs/>
                <w:color w:val="000000"/>
                <w:sz w:val="20"/>
              </w:rPr>
            </w:pPr>
            <w:r w:rsidRPr="00DD2AB0">
              <w:rPr>
                <w:rFonts w:cs="Arial"/>
                <w:bCs/>
                <w:color w:val="000000"/>
                <w:sz w:val="20"/>
              </w:rPr>
              <w:t>66.06</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DD2AB0" w:rsidRPr="00DD2AB0" w:rsidP="00DD2AB0" w14:paraId="739817CB" w14:textId="77777777">
            <w:pPr>
              <w:spacing w:after="0"/>
              <w:ind w:firstLine="0"/>
              <w:rPr>
                <w:rFonts w:cs="Arial"/>
                <w:bCs/>
                <w:color w:val="000000"/>
                <w:sz w:val="20"/>
              </w:rPr>
            </w:pPr>
            <w:r w:rsidRPr="00DD2AB0">
              <w:rPr>
                <w:rFonts w:cs="Arial"/>
                <w:bCs/>
                <w:color w:val="000000"/>
                <w:sz w:val="20"/>
              </w:rPr>
              <w:t>1,585</w:t>
            </w:r>
          </w:p>
        </w:tc>
        <w:tc>
          <w:tcPr>
            <w:tcW w:w="1131"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2CD5C587" w14:textId="77777777">
            <w:pPr>
              <w:spacing w:after="0"/>
              <w:ind w:firstLine="0"/>
              <w:rPr>
                <w:rFonts w:cs="Arial"/>
                <w:bCs/>
                <w:color w:val="000000"/>
                <w:sz w:val="20"/>
              </w:rPr>
            </w:pPr>
            <w:r w:rsidRPr="00DD2AB0">
              <w:rPr>
                <w:rFonts w:cs="Arial"/>
                <w:bCs/>
                <w:color w:val="000000"/>
                <w:sz w:val="20"/>
              </w:rPr>
              <w:t xml:space="preserve">$69.20 </w:t>
            </w:r>
          </w:p>
        </w:tc>
        <w:tc>
          <w:tcPr>
            <w:tcW w:w="14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D2AB0" w:rsidRPr="00DD2AB0" w:rsidP="00DD2AB0" w14:paraId="20078C69" w14:textId="77777777">
            <w:pPr>
              <w:spacing w:after="0"/>
              <w:ind w:firstLine="0"/>
              <w:rPr>
                <w:rFonts w:cs="Arial"/>
                <w:bCs/>
                <w:color w:val="000000"/>
                <w:sz w:val="20"/>
              </w:rPr>
            </w:pPr>
            <w:r w:rsidRPr="00DD2AB0">
              <w:rPr>
                <w:rFonts w:cs="Arial"/>
                <w:bCs/>
                <w:color w:val="000000"/>
                <w:sz w:val="20"/>
              </w:rPr>
              <w:t>$109,684</w:t>
            </w:r>
          </w:p>
        </w:tc>
      </w:tr>
      <w:tr w14:paraId="18A2F264"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nil"/>
              <w:left w:val="single" w:sz="12" w:space="0" w:color="auto"/>
              <w:bottom w:val="nil"/>
              <w:right w:val="single" w:sz="8" w:space="0" w:color="000000" w:themeColor="text1"/>
            </w:tcBorders>
            <w:shd w:val="clear" w:color="auto" w:fill="auto"/>
            <w:noWrap/>
            <w:vAlign w:val="center"/>
            <w:hideMark/>
          </w:tcPr>
          <w:p w:rsidR="00DD2AB0" w:rsidRPr="00DD2AB0" w:rsidP="00DD2AB0" w14:paraId="5967027E" w14:textId="77777777">
            <w:pPr>
              <w:spacing w:after="0"/>
              <w:ind w:firstLine="0"/>
              <w:rPr>
                <w:rFonts w:cs="Arial"/>
                <w:bCs/>
                <w:color w:val="000000"/>
                <w:sz w:val="20"/>
              </w:rPr>
            </w:pPr>
            <w:r w:rsidRPr="00DD2AB0">
              <w:rPr>
                <w:rFonts w:cs="Arial"/>
                <w:bCs/>
                <w:color w:val="000000"/>
                <w:sz w:val="20"/>
              </w:rPr>
              <w:t>C) Exposure Monitoring</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5FD78412"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69F2A0BF"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1C0DA30B"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5234A6CD"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48EFDD17"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3501944C" w14:textId="77777777">
            <w:pPr>
              <w:spacing w:after="0"/>
              <w:ind w:firstLine="0"/>
              <w:rPr>
                <w:rFonts w:cs="Arial"/>
                <w:bCs/>
                <w:color w:val="000000"/>
                <w:sz w:val="20"/>
              </w:rPr>
            </w:pPr>
            <w:r w:rsidRPr="00DD2AB0">
              <w:rPr>
                <w:rFonts w:cs="Arial"/>
                <w:bCs/>
                <w:color w:val="000000"/>
                <w:sz w:val="20"/>
              </w:rPr>
              <w:t> </w:t>
            </w:r>
          </w:p>
        </w:tc>
      </w:tr>
      <w:tr w14:paraId="182FC646"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3E39A472"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44667325" w14:textId="77777777">
            <w:pPr>
              <w:spacing w:after="0"/>
              <w:ind w:firstLine="0"/>
              <w:rPr>
                <w:rFonts w:cs="Arial"/>
                <w:bCs/>
                <w:color w:val="000000"/>
                <w:sz w:val="20"/>
              </w:rPr>
            </w:pPr>
            <w:r w:rsidRPr="00DD2AB0">
              <w:rPr>
                <w:rFonts w:cs="Arial"/>
                <w:bCs/>
                <w:color w:val="000000"/>
                <w:sz w:val="20"/>
              </w:rPr>
              <w:t>1) Initial Exposure Assessment</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295C2218"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4E94A96A"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38343847"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465FBD6E"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61F3034B"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42D24863" w14:textId="77777777">
            <w:pPr>
              <w:spacing w:after="0"/>
              <w:ind w:firstLine="0"/>
              <w:rPr>
                <w:rFonts w:cs="Arial"/>
                <w:bCs/>
                <w:color w:val="000000"/>
                <w:sz w:val="20"/>
              </w:rPr>
            </w:pPr>
            <w:r w:rsidRPr="00DD2AB0">
              <w:rPr>
                <w:rFonts w:cs="Arial"/>
                <w:bCs/>
                <w:color w:val="000000"/>
                <w:sz w:val="20"/>
              </w:rPr>
              <w:t> </w:t>
            </w:r>
          </w:p>
        </w:tc>
      </w:tr>
      <w:tr w14:paraId="0C8BA9E5"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7BD629C4"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620D4933"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32BE1341" w14:textId="77777777">
            <w:pPr>
              <w:spacing w:after="0"/>
              <w:ind w:firstLine="0"/>
              <w:rPr>
                <w:rFonts w:cs="Arial"/>
                <w:bCs/>
                <w:color w:val="000000"/>
                <w:sz w:val="20"/>
              </w:rPr>
            </w:pPr>
            <w:r w:rsidRPr="00DD2AB0">
              <w:rPr>
                <w:rFonts w:cs="Arial"/>
                <w:bCs/>
                <w:color w:val="000000"/>
                <w:sz w:val="20"/>
              </w:rPr>
              <w:t xml:space="preserve">a) Construction </w:t>
            </w:r>
            <w:r w:rsidRPr="00DD2AB0">
              <w:rPr>
                <w:rFonts w:cs="Arial"/>
                <w:bCs/>
                <w:color w:val="000000"/>
                <w:sz w:val="20"/>
                <w:vertAlign w:val="superscript"/>
              </w:rPr>
              <w:t>a,b</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40F56367" w14:textId="77777777">
            <w:pPr>
              <w:spacing w:after="0"/>
              <w:ind w:firstLine="0"/>
              <w:rPr>
                <w:rFonts w:cs="Arial"/>
                <w:bCs/>
                <w:color w:val="000000"/>
                <w:sz w:val="20"/>
              </w:rPr>
            </w:pPr>
            <w:r w:rsidRPr="00DD2AB0">
              <w:rPr>
                <w:rFonts w:cs="Arial"/>
                <w:bCs/>
                <w:color w:val="000000"/>
                <w:sz w:val="20"/>
              </w:rPr>
              <w:t>3,770</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20F34880"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3031276D" w14:textId="77777777">
            <w:pPr>
              <w:spacing w:after="0"/>
              <w:ind w:firstLine="0"/>
              <w:rPr>
                <w:rFonts w:cs="Arial"/>
                <w:bCs/>
                <w:color w:val="000000"/>
                <w:sz w:val="20"/>
              </w:rPr>
            </w:pPr>
            <w:r w:rsidRPr="00DD2AB0">
              <w:rPr>
                <w:rFonts w:cs="Arial"/>
                <w:bCs/>
                <w:color w:val="000000"/>
                <w:sz w:val="20"/>
              </w:rPr>
              <w:t>314.15</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68C23AAA" w14:textId="77777777">
            <w:pPr>
              <w:spacing w:after="0"/>
              <w:ind w:firstLine="0"/>
              <w:rPr>
                <w:rFonts w:cs="Arial"/>
                <w:bCs/>
                <w:color w:val="000000"/>
                <w:sz w:val="20"/>
              </w:rPr>
            </w:pPr>
            <w:r w:rsidRPr="00DD2AB0">
              <w:rPr>
                <w:rFonts w:cs="Arial"/>
                <w:bCs/>
                <w:color w:val="000000"/>
                <w:sz w:val="20"/>
              </w:rPr>
              <w:t>7,540</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7E518331" w14:textId="77777777">
            <w:pPr>
              <w:spacing w:after="0"/>
              <w:ind w:firstLine="0"/>
              <w:rPr>
                <w:rFonts w:cs="Arial"/>
                <w:bCs/>
                <w:color w:val="000000"/>
                <w:sz w:val="20"/>
              </w:rPr>
            </w:pPr>
            <w:r w:rsidRPr="00DD2AB0">
              <w:rPr>
                <w:rFonts w:cs="Arial"/>
                <w:bCs/>
                <w:color w:val="000000"/>
                <w:sz w:val="20"/>
              </w:rPr>
              <w:t xml:space="preserve">$94.77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822DD2C" w14:textId="77777777">
            <w:pPr>
              <w:spacing w:after="0"/>
              <w:ind w:firstLine="0"/>
              <w:rPr>
                <w:rFonts w:cs="Arial"/>
                <w:bCs/>
                <w:color w:val="000000"/>
                <w:sz w:val="20"/>
              </w:rPr>
            </w:pPr>
            <w:r w:rsidRPr="00DD2AB0">
              <w:rPr>
                <w:rFonts w:cs="Arial"/>
                <w:bCs/>
                <w:color w:val="000000"/>
                <w:sz w:val="20"/>
              </w:rPr>
              <w:t xml:space="preserve">$714,566 </w:t>
            </w:r>
          </w:p>
        </w:tc>
      </w:tr>
      <w:tr w14:paraId="7EA10790"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65015F8D"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00BB8842"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3566EBE6" w14:textId="77777777">
            <w:pPr>
              <w:spacing w:after="0"/>
              <w:ind w:firstLine="0"/>
              <w:rPr>
                <w:rFonts w:cs="Arial"/>
                <w:bCs/>
                <w:color w:val="000000"/>
                <w:sz w:val="20"/>
              </w:rPr>
            </w:pPr>
            <w:r w:rsidRPr="00DD2AB0">
              <w:rPr>
                <w:rFonts w:cs="Arial"/>
                <w:bCs/>
                <w:color w:val="000000"/>
                <w:sz w:val="20"/>
              </w:rPr>
              <w:t xml:space="preserve">b) Brake and Clutch Repair </w:t>
            </w:r>
            <w:r w:rsidRPr="00DD2AB0">
              <w:rPr>
                <w:rFonts w:cs="Arial"/>
                <w:bCs/>
                <w:color w:val="000000"/>
                <w:sz w:val="20"/>
                <w:vertAlign w:val="superscript"/>
              </w:rPr>
              <w:t>a,c</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48749891" w14:textId="77777777">
            <w:pPr>
              <w:spacing w:after="0"/>
              <w:ind w:firstLine="0"/>
              <w:rPr>
                <w:rFonts w:cs="Arial"/>
                <w:bCs/>
                <w:color w:val="000000"/>
                <w:sz w:val="20"/>
              </w:rPr>
            </w:pPr>
            <w:r w:rsidRPr="00DD2AB0">
              <w:rPr>
                <w:rFonts w:cs="Arial"/>
                <w:bCs/>
                <w:color w:val="000000"/>
                <w:sz w:val="20"/>
              </w:rPr>
              <w:t>1,128</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C0DD8F4"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7A48E027" w14:textId="77777777">
            <w:pPr>
              <w:spacing w:after="0"/>
              <w:ind w:firstLine="0"/>
              <w:rPr>
                <w:rFonts w:cs="Arial"/>
                <w:bCs/>
                <w:color w:val="000000"/>
                <w:sz w:val="20"/>
              </w:rPr>
            </w:pPr>
            <w:r w:rsidRPr="00DD2AB0">
              <w:rPr>
                <w:rFonts w:cs="Arial"/>
                <w:bCs/>
                <w:color w:val="000000"/>
                <w:sz w:val="20"/>
              </w:rPr>
              <w:t>94.00</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58CC3E5D" w14:textId="77777777">
            <w:pPr>
              <w:spacing w:after="0"/>
              <w:ind w:firstLine="0"/>
              <w:rPr>
                <w:rFonts w:cs="Arial"/>
                <w:bCs/>
                <w:color w:val="000000"/>
                <w:sz w:val="20"/>
              </w:rPr>
            </w:pPr>
            <w:r w:rsidRPr="00DD2AB0">
              <w:rPr>
                <w:rFonts w:cs="Arial"/>
                <w:bCs/>
                <w:color w:val="000000"/>
                <w:sz w:val="20"/>
              </w:rPr>
              <w:t>2,256</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2E815BEA" w14:textId="77777777">
            <w:pPr>
              <w:spacing w:after="0"/>
              <w:ind w:firstLine="0"/>
              <w:rPr>
                <w:rFonts w:cs="Arial"/>
                <w:bCs/>
                <w:color w:val="000000"/>
                <w:sz w:val="20"/>
              </w:rPr>
            </w:pPr>
            <w:r w:rsidRPr="00DD2AB0">
              <w:rPr>
                <w:rFonts w:cs="Arial"/>
                <w:bCs/>
                <w:color w:val="000000"/>
                <w:sz w:val="20"/>
              </w:rPr>
              <w:t xml:space="preserve">$94.77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33AFE997" w14:textId="77777777">
            <w:pPr>
              <w:spacing w:after="0"/>
              <w:ind w:firstLine="0"/>
              <w:rPr>
                <w:rFonts w:cs="Arial"/>
                <w:bCs/>
                <w:color w:val="000000"/>
                <w:sz w:val="20"/>
              </w:rPr>
            </w:pPr>
            <w:r w:rsidRPr="00DD2AB0">
              <w:rPr>
                <w:rFonts w:cs="Arial"/>
                <w:bCs/>
                <w:color w:val="000000"/>
                <w:sz w:val="20"/>
              </w:rPr>
              <w:t xml:space="preserve">$213,801 </w:t>
            </w:r>
          </w:p>
        </w:tc>
      </w:tr>
      <w:tr w14:paraId="1E71B809"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02AC2AFC"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21F9A8D7" w14:textId="77777777">
            <w:pPr>
              <w:spacing w:after="0"/>
              <w:ind w:firstLine="0"/>
              <w:rPr>
                <w:rFonts w:cs="Arial"/>
                <w:bCs/>
                <w:color w:val="000000"/>
                <w:sz w:val="20"/>
              </w:rPr>
            </w:pPr>
            <w:r w:rsidRPr="00DD2AB0">
              <w:rPr>
                <w:rFonts w:cs="Arial"/>
                <w:bCs/>
                <w:color w:val="000000"/>
                <w:sz w:val="20"/>
              </w:rPr>
              <w:t>2) Maintain Exposure Records</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01CF08CB" w14:textId="77777777">
            <w:pPr>
              <w:spacing w:after="0"/>
              <w:ind w:firstLine="0"/>
              <w:rPr>
                <w:rFonts w:cs="Arial"/>
                <w:bCs/>
                <w:color w:val="000000"/>
                <w:sz w:val="20"/>
              </w:rPr>
            </w:pPr>
            <w:r w:rsidRPr="00DD2AB0">
              <w:rPr>
                <w:rFonts w:cs="Arial"/>
                <w:bCs/>
                <w:color w:val="000000"/>
                <w:sz w:val="20"/>
              </w:rPr>
              <w:t>11,566</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7E90FF33"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1B9B5539" w14:textId="77777777">
            <w:pPr>
              <w:spacing w:after="0"/>
              <w:ind w:firstLine="0"/>
              <w:rPr>
                <w:rFonts w:cs="Arial"/>
                <w:bCs/>
                <w:color w:val="000000"/>
                <w:sz w:val="20"/>
              </w:rPr>
            </w:pPr>
            <w:r w:rsidRPr="00DD2AB0">
              <w:rPr>
                <w:rFonts w:cs="Arial"/>
                <w:bCs/>
                <w:color w:val="000000"/>
                <w:sz w:val="20"/>
              </w:rPr>
              <w:t>40.16</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31212255" w14:textId="77777777">
            <w:pPr>
              <w:spacing w:after="0"/>
              <w:ind w:firstLine="0"/>
              <w:rPr>
                <w:rFonts w:cs="Arial"/>
                <w:bCs/>
                <w:color w:val="000000"/>
                <w:sz w:val="20"/>
              </w:rPr>
            </w:pPr>
            <w:r w:rsidRPr="00DD2AB0">
              <w:rPr>
                <w:rFonts w:cs="Arial"/>
                <w:bCs/>
                <w:color w:val="000000"/>
                <w:sz w:val="20"/>
              </w:rPr>
              <w:t>964</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5F2EDA50"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237A1B30" w14:textId="77777777">
            <w:pPr>
              <w:spacing w:after="0"/>
              <w:ind w:firstLine="0"/>
              <w:rPr>
                <w:rFonts w:cs="Arial"/>
                <w:bCs/>
                <w:color w:val="000000"/>
                <w:sz w:val="20"/>
              </w:rPr>
            </w:pPr>
            <w:r w:rsidRPr="00DD2AB0">
              <w:rPr>
                <w:rFonts w:cs="Arial"/>
                <w:bCs/>
                <w:color w:val="000000"/>
                <w:sz w:val="20"/>
              </w:rPr>
              <w:t xml:space="preserve">$35,466 </w:t>
            </w:r>
          </w:p>
        </w:tc>
      </w:tr>
      <w:tr w14:paraId="073D0C3C" w14:textId="77777777" w:rsidTr="00FA5C9E">
        <w:tblPrEx>
          <w:tblW w:w="13622" w:type="dxa"/>
          <w:tblInd w:w="-100" w:type="dxa"/>
          <w:tblLayout w:type="fixed"/>
          <w:tblLook w:val="04A0"/>
        </w:tblPrEx>
        <w:trPr>
          <w:gridBefore w:val="1"/>
          <w:gridAfter w:val="1"/>
          <w:wBefore w:w="88" w:type="dxa"/>
          <w:wAfter w:w="625" w:type="dxa"/>
          <w:trHeight w:val="300"/>
        </w:trPr>
        <w:tc>
          <w:tcPr>
            <w:tcW w:w="700" w:type="dxa"/>
            <w:tcBorders>
              <w:top w:val="nil"/>
              <w:left w:val="single" w:sz="12" w:space="0" w:color="auto"/>
              <w:bottom w:val="single" w:sz="8" w:space="0" w:color="auto"/>
              <w:right w:val="nil"/>
            </w:tcBorders>
            <w:shd w:val="clear" w:color="auto" w:fill="auto"/>
            <w:noWrap/>
            <w:vAlign w:val="center"/>
            <w:hideMark/>
          </w:tcPr>
          <w:p w:rsidR="00DD2AB0" w:rsidRPr="00DD2AB0" w:rsidP="00DD2AB0" w14:paraId="0BAE0292"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single" w:sz="8" w:space="0" w:color="auto"/>
              <w:right w:val="single" w:sz="8" w:space="0" w:color="000000" w:themeColor="text1"/>
            </w:tcBorders>
            <w:shd w:val="clear" w:color="auto" w:fill="auto"/>
            <w:noWrap/>
            <w:vAlign w:val="center"/>
            <w:hideMark/>
          </w:tcPr>
          <w:p w:rsidR="00DD2AB0" w:rsidRPr="00DD2AB0" w:rsidP="00DD2AB0" w14:paraId="2DA55197" w14:textId="77777777">
            <w:pPr>
              <w:spacing w:after="0"/>
              <w:ind w:firstLine="0"/>
              <w:rPr>
                <w:rFonts w:cs="Arial"/>
                <w:bCs/>
                <w:color w:val="000000"/>
                <w:sz w:val="20"/>
              </w:rPr>
            </w:pPr>
            <w:r w:rsidRPr="00DD2AB0">
              <w:rPr>
                <w:rFonts w:cs="Arial"/>
                <w:bCs/>
                <w:color w:val="000000"/>
                <w:sz w:val="20"/>
              </w:rPr>
              <w:t>3) Post Monitoring Results, Brake/Clutch</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3A37CA53" w14:textId="77777777">
            <w:pPr>
              <w:spacing w:after="0"/>
              <w:ind w:firstLine="0"/>
              <w:rPr>
                <w:rFonts w:cs="Arial"/>
                <w:bCs/>
                <w:color w:val="000000"/>
                <w:sz w:val="20"/>
              </w:rPr>
            </w:pPr>
            <w:r w:rsidRPr="00DD2AB0">
              <w:rPr>
                <w:rFonts w:cs="Arial"/>
                <w:bCs/>
                <w:color w:val="000000"/>
                <w:sz w:val="20"/>
              </w:rPr>
              <w:t>2,663</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09599C09"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4DC3BC7E" w14:textId="77777777">
            <w:pPr>
              <w:spacing w:after="0"/>
              <w:ind w:firstLine="0"/>
              <w:rPr>
                <w:rFonts w:cs="Arial"/>
                <w:bCs/>
                <w:color w:val="000000"/>
                <w:sz w:val="20"/>
              </w:rPr>
            </w:pPr>
            <w:r w:rsidRPr="00DD2AB0">
              <w:rPr>
                <w:rFonts w:cs="Arial"/>
                <w:bCs/>
                <w:color w:val="000000"/>
                <w:sz w:val="20"/>
              </w:rPr>
              <w:t>9.25</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69230297" w14:textId="77777777">
            <w:pPr>
              <w:spacing w:after="0"/>
              <w:ind w:firstLine="0"/>
              <w:rPr>
                <w:rFonts w:cs="Arial"/>
                <w:bCs/>
                <w:color w:val="000000"/>
                <w:sz w:val="20"/>
              </w:rPr>
            </w:pPr>
            <w:r w:rsidRPr="00DD2AB0">
              <w:rPr>
                <w:rFonts w:cs="Arial"/>
                <w:bCs/>
                <w:color w:val="000000"/>
                <w:sz w:val="20"/>
              </w:rPr>
              <w:t>222</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7F274C5E"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21A9B979" w14:textId="77777777">
            <w:pPr>
              <w:spacing w:after="0"/>
              <w:ind w:firstLine="0"/>
              <w:rPr>
                <w:rFonts w:cs="Arial"/>
                <w:bCs/>
                <w:color w:val="000000"/>
                <w:sz w:val="20"/>
              </w:rPr>
            </w:pPr>
            <w:r w:rsidRPr="00DD2AB0">
              <w:rPr>
                <w:rFonts w:cs="Arial"/>
                <w:bCs/>
                <w:color w:val="000000"/>
                <w:sz w:val="20"/>
              </w:rPr>
              <w:t xml:space="preserve">$8,167 </w:t>
            </w:r>
          </w:p>
        </w:tc>
      </w:tr>
      <w:tr w14:paraId="568B6740"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12" w:space="0" w:color="auto"/>
              <w:bottom w:val="single" w:sz="8" w:space="0" w:color="auto"/>
              <w:right w:val="single" w:sz="8" w:space="0" w:color="000000" w:themeColor="text1"/>
            </w:tcBorders>
            <w:shd w:val="clear" w:color="auto" w:fill="auto"/>
            <w:noWrap/>
            <w:vAlign w:val="center"/>
            <w:hideMark/>
          </w:tcPr>
          <w:p w:rsidR="00DD2AB0" w:rsidRPr="00DD2AB0" w:rsidP="00DD2AB0" w14:paraId="4C0B12E4" w14:textId="77777777">
            <w:pPr>
              <w:spacing w:after="0"/>
              <w:ind w:firstLine="0"/>
              <w:rPr>
                <w:rFonts w:cs="Arial"/>
                <w:bCs/>
                <w:color w:val="000000"/>
                <w:sz w:val="20"/>
              </w:rPr>
            </w:pPr>
            <w:r w:rsidRPr="00DD2AB0">
              <w:rPr>
                <w:rFonts w:cs="Arial"/>
                <w:bCs/>
                <w:color w:val="000000"/>
                <w:sz w:val="20"/>
              </w:rPr>
              <w:t>Subtotal, Exposure Monitoring</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AB0" w:rsidRPr="00DD2AB0" w:rsidP="00DD2AB0" w14:paraId="5FE09E67" w14:textId="77777777">
            <w:pPr>
              <w:spacing w:after="0"/>
              <w:ind w:firstLine="0"/>
              <w:rPr>
                <w:rFonts w:cs="Arial"/>
                <w:bCs/>
                <w:color w:val="000000"/>
                <w:sz w:val="20"/>
              </w:rPr>
            </w:pPr>
            <w:r w:rsidRPr="00DD2AB0">
              <w:rPr>
                <w:rFonts w:cs="Arial"/>
                <w:bCs/>
                <w:color w:val="000000"/>
                <w:sz w:val="20"/>
              </w:rPr>
              <w:t>19,127</w:t>
            </w:r>
          </w:p>
        </w:tc>
        <w:tc>
          <w:tcPr>
            <w:tcW w:w="1460"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4729ACA2"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24D0AD2D" w14:textId="77777777">
            <w:pPr>
              <w:spacing w:after="0"/>
              <w:ind w:firstLine="0"/>
              <w:rPr>
                <w:rFonts w:cs="Arial"/>
                <w:bCs/>
                <w:color w:val="000000"/>
                <w:sz w:val="20"/>
              </w:rPr>
            </w:pPr>
            <w:r w:rsidRPr="00DD2AB0">
              <w:rPr>
                <w:rFonts w:cs="Arial"/>
                <w:bCs/>
                <w:color w:val="000000"/>
                <w:sz w:val="20"/>
              </w:rPr>
              <w:t>457.56</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DD2AB0" w:rsidRPr="00DD2AB0" w:rsidP="00DD2AB0" w14:paraId="74906785" w14:textId="77777777">
            <w:pPr>
              <w:spacing w:after="0"/>
              <w:ind w:firstLine="0"/>
              <w:rPr>
                <w:rFonts w:cs="Arial"/>
                <w:bCs/>
                <w:color w:val="000000"/>
                <w:sz w:val="20"/>
              </w:rPr>
            </w:pPr>
            <w:r w:rsidRPr="00DD2AB0">
              <w:rPr>
                <w:rFonts w:cs="Arial"/>
                <w:bCs/>
                <w:color w:val="000000"/>
                <w:sz w:val="20"/>
              </w:rPr>
              <w:t>10,982</w:t>
            </w:r>
          </w:p>
        </w:tc>
        <w:tc>
          <w:tcPr>
            <w:tcW w:w="1131"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62E040CA" w14:textId="77777777">
            <w:pPr>
              <w:spacing w:after="0"/>
              <w:ind w:firstLine="0"/>
              <w:rPr>
                <w:rFonts w:cs="Arial"/>
                <w:bCs/>
                <w:color w:val="000000"/>
                <w:sz w:val="20"/>
              </w:rPr>
            </w:pPr>
            <w:r w:rsidRPr="00DD2AB0">
              <w:rPr>
                <w:rFonts w:cs="Arial"/>
                <w:bCs/>
                <w:color w:val="000000"/>
                <w:sz w:val="20"/>
              </w:rPr>
              <w:t xml:space="preserve">$88.51 </w:t>
            </w:r>
          </w:p>
        </w:tc>
        <w:tc>
          <w:tcPr>
            <w:tcW w:w="1443"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50227FBD" w14:textId="77777777">
            <w:pPr>
              <w:spacing w:after="0"/>
              <w:ind w:firstLine="0"/>
              <w:rPr>
                <w:rFonts w:cs="Arial"/>
                <w:bCs/>
                <w:color w:val="000000"/>
                <w:sz w:val="20"/>
              </w:rPr>
            </w:pPr>
            <w:r w:rsidRPr="00DD2AB0">
              <w:rPr>
                <w:rFonts w:cs="Arial"/>
                <w:bCs/>
                <w:color w:val="000000"/>
                <w:sz w:val="20"/>
              </w:rPr>
              <w:t xml:space="preserve">$972,000 </w:t>
            </w:r>
          </w:p>
        </w:tc>
      </w:tr>
      <w:tr w14:paraId="312C9110"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single" w:sz="8" w:space="0" w:color="auto"/>
              <w:left w:val="single" w:sz="12" w:space="0" w:color="auto"/>
              <w:bottom w:val="nil"/>
              <w:right w:val="single" w:sz="8" w:space="0" w:color="000000" w:themeColor="text1"/>
            </w:tcBorders>
            <w:shd w:val="clear" w:color="auto" w:fill="auto"/>
            <w:noWrap/>
            <w:vAlign w:val="center"/>
            <w:hideMark/>
          </w:tcPr>
          <w:p w:rsidR="00DD2AB0" w:rsidRPr="00DD2AB0" w:rsidP="00DD2AB0" w14:paraId="3D04EA2D" w14:textId="77777777">
            <w:pPr>
              <w:spacing w:after="0"/>
              <w:ind w:firstLine="0"/>
              <w:rPr>
                <w:rFonts w:cs="Arial"/>
                <w:bCs/>
                <w:color w:val="000000"/>
                <w:sz w:val="20"/>
              </w:rPr>
            </w:pPr>
            <w:r w:rsidRPr="00DD2AB0">
              <w:rPr>
                <w:rFonts w:cs="Arial"/>
                <w:bCs/>
                <w:color w:val="000000"/>
                <w:sz w:val="20"/>
              </w:rPr>
              <w:t>D) Hazard Communication</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009897B8"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79011960"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3A37662C"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7A577362"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7F268CC"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79AB06B0" w14:textId="77777777">
            <w:pPr>
              <w:spacing w:after="0"/>
              <w:ind w:firstLine="0"/>
              <w:rPr>
                <w:rFonts w:cs="Arial"/>
                <w:bCs/>
                <w:color w:val="000000"/>
                <w:sz w:val="20"/>
              </w:rPr>
            </w:pPr>
            <w:r w:rsidRPr="00DD2AB0">
              <w:rPr>
                <w:rFonts w:cs="Arial"/>
                <w:bCs/>
                <w:color w:val="000000"/>
                <w:sz w:val="20"/>
              </w:rPr>
              <w:t> </w:t>
            </w:r>
          </w:p>
        </w:tc>
      </w:tr>
      <w:tr w14:paraId="7899C87B"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15C5E7DC"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645C9C9D" w14:textId="77777777">
            <w:pPr>
              <w:spacing w:after="0"/>
              <w:ind w:firstLine="0"/>
              <w:rPr>
                <w:rFonts w:cs="Arial"/>
                <w:bCs/>
                <w:color w:val="000000"/>
                <w:sz w:val="20"/>
              </w:rPr>
            </w:pPr>
            <w:r w:rsidRPr="00DD2AB0">
              <w:rPr>
                <w:rFonts w:cs="Arial"/>
                <w:bCs/>
                <w:color w:val="000000"/>
                <w:sz w:val="20"/>
              </w:rPr>
              <w:t>1) Evaluate Risk (Class I, II projects)</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4FF12DFE" w14:textId="77777777">
            <w:pPr>
              <w:spacing w:after="0"/>
              <w:ind w:firstLine="0"/>
              <w:rPr>
                <w:rFonts w:cs="Arial"/>
                <w:bCs/>
                <w:color w:val="000000"/>
                <w:sz w:val="20"/>
              </w:rPr>
            </w:pPr>
            <w:r w:rsidRPr="00DD2AB0">
              <w:rPr>
                <w:rFonts w:cs="Arial"/>
                <w:bCs/>
                <w:color w:val="000000"/>
                <w:sz w:val="20"/>
              </w:rPr>
              <w:t>4,006</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727E45E2"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bottom"/>
            <w:hideMark/>
          </w:tcPr>
          <w:p w:rsidR="00DD2AB0" w:rsidRPr="00DD2AB0" w:rsidP="00DD2AB0" w14:paraId="714BDC6B" w14:textId="77777777">
            <w:pPr>
              <w:spacing w:after="0"/>
              <w:ind w:firstLine="0"/>
              <w:rPr>
                <w:rFonts w:cs="Arial"/>
                <w:bCs/>
                <w:color w:val="000000"/>
                <w:sz w:val="20"/>
              </w:rPr>
            </w:pPr>
            <w:r w:rsidRPr="00DD2AB0">
              <w:rPr>
                <w:rFonts w:cs="Arial"/>
                <w:bCs/>
                <w:color w:val="000000"/>
                <w:sz w:val="20"/>
              </w:rPr>
              <w:t>125.19</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0653F5AD" w14:textId="77777777">
            <w:pPr>
              <w:spacing w:after="0"/>
              <w:ind w:firstLine="0"/>
              <w:rPr>
                <w:rFonts w:cs="Arial"/>
                <w:bCs/>
                <w:color w:val="000000"/>
                <w:sz w:val="20"/>
              </w:rPr>
            </w:pPr>
            <w:r w:rsidRPr="00DD2AB0">
              <w:rPr>
                <w:rFonts w:cs="Arial"/>
                <w:bCs/>
                <w:color w:val="000000"/>
                <w:sz w:val="20"/>
              </w:rPr>
              <w:t>3,005</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5E04AA9D" w14:textId="77777777">
            <w:pPr>
              <w:spacing w:after="0"/>
              <w:ind w:firstLine="0"/>
              <w:rPr>
                <w:rFonts w:cs="Arial"/>
                <w:bCs/>
                <w:color w:val="000000"/>
                <w:sz w:val="20"/>
              </w:rPr>
            </w:pPr>
            <w:r w:rsidRPr="00DD2AB0">
              <w:rPr>
                <w:rFonts w:cs="Arial"/>
                <w:bCs/>
                <w:color w:val="000000"/>
                <w:sz w:val="20"/>
              </w:rPr>
              <w:t xml:space="preserve">$66.82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74122EC9" w14:textId="77777777">
            <w:pPr>
              <w:spacing w:after="0"/>
              <w:ind w:firstLine="0"/>
              <w:rPr>
                <w:rFonts w:cs="Arial"/>
                <w:bCs/>
                <w:color w:val="000000"/>
                <w:sz w:val="20"/>
              </w:rPr>
            </w:pPr>
            <w:r w:rsidRPr="00DD2AB0">
              <w:rPr>
                <w:rFonts w:cs="Arial"/>
                <w:bCs/>
                <w:color w:val="000000"/>
                <w:sz w:val="20"/>
              </w:rPr>
              <w:t xml:space="preserve">$200,794 </w:t>
            </w:r>
          </w:p>
        </w:tc>
      </w:tr>
      <w:tr w14:paraId="407F1369"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3EAD1371"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10CF9A2A" w14:textId="77777777">
            <w:pPr>
              <w:spacing w:after="0"/>
              <w:ind w:firstLine="0"/>
              <w:rPr>
                <w:rFonts w:cs="Arial"/>
                <w:bCs/>
                <w:color w:val="000000"/>
                <w:sz w:val="20"/>
              </w:rPr>
            </w:pPr>
            <w:r w:rsidRPr="00DD2AB0">
              <w:rPr>
                <w:rFonts w:cs="Arial"/>
                <w:bCs/>
                <w:color w:val="000000"/>
                <w:sz w:val="20"/>
              </w:rPr>
              <w:t>2) Notify Employees</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0759F502"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21190699"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bottom"/>
            <w:hideMark/>
          </w:tcPr>
          <w:p w:rsidR="00DD2AB0" w:rsidRPr="00DD2AB0" w:rsidP="00DD2AB0" w14:paraId="581EF040"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35F3AAD5"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5FED7037"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32F6C8B8" w14:textId="77777777">
            <w:pPr>
              <w:spacing w:after="0"/>
              <w:ind w:firstLine="0"/>
              <w:rPr>
                <w:rFonts w:cs="Arial"/>
                <w:bCs/>
                <w:color w:val="000000"/>
                <w:sz w:val="20"/>
              </w:rPr>
            </w:pPr>
            <w:r w:rsidRPr="00DD2AB0">
              <w:rPr>
                <w:rFonts w:cs="Arial"/>
                <w:bCs/>
                <w:color w:val="000000"/>
                <w:sz w:val="20"/>
              </w:rPr>
              <w:t> </w:t>
            </w:r>
          </w:p>
        </w:tc>
      </w:tr>
      <w:tr w14:paraId="37E3FA96"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66187171"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52C4F522"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68FD0792" w14:textId="77777777">
            <w:pPr>
              <w:spacing w:after="0"/>
              <w:ind w:firstLine="0"/>
              <w:rPr>
                <w:rFonts w:cs="Arial"/>
                <w:bCs/>
                <w:color w:val="000000"/>
                <w:sz w:val="20"/>
              </w:rPr>
            </w:pPr>
            <w:r w:rsidRPr="00DD2AB0">
              <w:rPr>
                <w:rFonts w:cs="Arial"/>
                <w:bCs/>
                <w:color w:val="000000"/>
                <w:sz w:val="20"/>
              </w:rPr>
              <w:t>a) Construction</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4E184D4C" w14:textId="77777777">
            <w:pPr>
              <w:spacing w:after="0"/>
              <w:ind w:firstLine="0"/>
              <w:rPr>
                <w:rFonts w:cs="Arial"/>
                <w:bCs/>
                <w:color w:val="000000"/>
                <w:sz w:val="20"/>
              </w:rPr>
            </w:pPr>
            <w:r w:rsidRPr="00DD2AB0">
              <w:rPr>
                <w:rFonts w:cs="Arial"/>
                <w:bCs/>
                <w:color w:val="000000"/>
                <w:sz w:val="20"/>
              </w:rPr>
              <w:t>451,118</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155A2D9C"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bottom"/>
            <w:hideMark/>
          </w:tcPr>
          <w:p w:rsidR="00DD2AB0" w:rsidRPr="00DD2AB0" w:rsidP="00DD2AB0" w14:paraId="3F947AB6" w14:textId="77777777">
            <w:pPr>
              <w:spacing w:after="0"/>
              <w:ind w:firstLine="0"/>
              <w:rPr>
                <w:rFonts w:cs="Arial"/>
                <w:bCs/>
                <w:color w:val="000000"/>
                <w:sz w:val="20"/>
              </w:rPr>
            </w:pPr>
            <w:r w:rsidRPr="00DD2AB0">
              <w:rPr>
                <w:rFonts w:cs="Arial"/>
                <w:bCs/>
                <w:color w:val="000000"/>
                <w:sz w:val="20"/>
              </w:rPr>
              <w:t>1,566.38</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3E346512" w14:textId="77777777">
            <w:pPr>
              <w:spacing w:after="0"/>
              <w:ind w:firstLine="0"/>
              <w:rPr>
                <w:rFonts w:cs="Arial"/>
                <w:bCs/>
                <w:color w:val="000000"/>
                <w:sz w:val="20"/>
              </w:rPr>
            </w:pPr>
            <w:r w:rsidRPr="00DD2AB0">
              <w:rPr>
                <w:rFonts w:cs="Arial"/>
                <w:bCs/>
                <w:color w:val="000000"/>
                <w:sz w:val="20"/>
              </w:rPr>
              <w:t>37,593</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7B162BEB" w14:textId="77777777">
            <w:pPr>
              <w:spacing w:after="0"/>
              <w:ind w:firstLine="0"/>
              <w:rPr>
                <w:rFonts w:cs="Arial"/>
                <w:bCs/>
                <w:color w:val="000000"/>
                <w:sz w:val="20"/>
              </w:rPr>
            </w:pPr>
            <w:r w:rsidRPr="00DD2AB0">
              <w:rPr>
                <w:rFonts w:cs="Arial"/>
                <w:bCs/>
                <w:color w:val="000000"/>
                <w:sz w:val="20"/>
              </w:rPr>
              <w:t xml:space="preserve">$66.82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C9FC20C" w14:textId="77777777">
            <w:pPr>
              <w:spacing w:after="0"/>
              <w:ind w:firstLine="0"/>
              <w:rPr>
                <w:rFonts w:cs="Arial"/>
                <w:bCs/>
                <w:color w:val="000000"/>
                <w:sz w:val="20"/>
              </w:rPr>
            </w:pPr>
            <w:r w:rsidRPr="00DD2AB0">
              <w:rPr>
                <w:rFonts w:cs="Arial"/>
                <w:bCs/>
                <w:color w:val="000000"/>
                <w:sz w:val="20"/>
              </w:rPr>
              <w:t xml:space="preserve">$2,511,964 </w:t>
            </w:r>
          </w:p>
        </w:tc>
      </w:tr>
      <w:tr w14:paraId="3D2BCAAE"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4011171F"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6AB0D6CD"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1D2D6ECF" w14:textId="77777777">
            <w:pPr>
              <w:spacing w:after="0"/>
              <w:ind w:firstLine="0"/>
              <w:rPr>
                <w:rFonts w:cs="Arial"/>
                <w:bCs/>
                <w:color w:val="000000"/>
                <w:sz w:val="20"/>
              </w:rPr>
            </w:pPr>
            <w:r w:rsidRPr="00DD2AB0">
              <w:rPr>
                <w:rFonts w:cs="Arial"/>
                <w:bCs/>
                <w:color w:val="000000"/>
                <w:sz w:val="20"/>
              </w:rPr>
              <w:t>b) Brake and Clutch Repair</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7300CA19" w14:textId="77777777">
            <w:pPr>
              <w:spacing w:after="0"/>
              <w:ind w:firstLine="0"/>
              <w:rPr>
                <w:rFonts w:cs="Arial"/>
                <w:bCs/>
                <w:color w:val="000000"/>
                <w:sz w:val="20"/>
              </w:rPr>
            </w:pPr>
            <w:r w:rsidRPr="00DD2AB0">
              <w:rPr>
                <w:rFonts w:cs="Arial"/>
                <w:bCs/>
                <w:color w:val="000000"/>
                <w:sz w:val="20"/>
              </w:rPr>
              <w:t>10,652</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00560531"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bottom"/>
            <w:hideMark/>
          </w:tcPr>
          <w:p w:rsidR="00DD2AB0" w:rsidRPr="00DD2AB0" w:rsidP="00DD2AB0" w14:paraId="7F11CFAF" w14:textId="77777777">
            <w:pPr>
              <w:spacing w:after="0"/>
              <w:ind w:firstLine="0"/>
              <w:rPr>
                <w:rFonts w:cs="Arial"/>
                <w:bCs/>
                <w:color w:val="000000"/>
                <w:sz w:val="20"/>
              </w:rPr>
            </w:pPr>
            <w:r w:rsidRPr="00DD2AB0">
              <w:rPr>
                <w:rFonts w:cs="Arial"/>
                <w:bCs/>
                <w:color w:val="000000"/>
                <w:sz w:val="20"/>
              </w:rPr>
              <w:t>36.99</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69597731" w14:textId="77777777">
            <w:pPr>
              <w:spacing w:after="0"/>
              <w:ind w:firstLine="0"/>
              <w:rPr>
                <w:rFonts w:cs="Arial"/>
                <w:bCs/>
                <w:color w:val="000000"/>
                <w:sz w:val="20"/>
              </w:rPr>
            </w:pPr>
            <w:r w:rsidRPr="00DD2AB0">
              <w:rPr>
                <w:rFonts w:cs="Arial"/>
                <w:bCs/>
                <w:color w:val="000000"/>
                <w:sz w:val="20"/>
              </w:rPr>
              <w:t>888</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283E7C60" w14:textId="77777777">
            <w:pPr>
              <w:spacing w:after="0"/>
              <w:ind w:firstLine="0"/>
              <w:rPr>
                <w:rFonts w:cs="Arial"/>
                <w:bCs/>
                <w:color w:val="000000"/>
                <w:sz w:val="20"/>
              </w:rPr>
            </w:pPr>
            <w:r w:rsidRPr="00DD2AB0">
              <w:rPr>
                <w:rFonts w:cs="Arial"/>
                <w:bCs/>
                <w:color w:val="000000"/>
                <w:sz w:val="20"/>
              </w:rPr>
              <w:t xml:space="preserve">$66.02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00364619" w14:textId="77777777">
            <w:pPr>
              <w:spacing w:after="0"/>
              <w:ind w:firstLine="0"/>
              <w:rPr>
                <w:rFonts w:cs="Arial"/>
                <w:bCs/>
                <w:color w:val="000000"/>
                <w:sz w:val="20"/>
              </w:rPr>
            </w:pPr>
            <w:r w:rsidRPr="00DD2AB0">
              <w:rPr>
                <w:rFonts w:cs="Arial"/>
                <w:bCs/>
                <w:color w:val="000000"/>
                <w:sz w:val="20"/>
              </w:rPr>
              <w:t xml:space="preserve">$58,626 </w:t>
            </w:r>
          </w:p>
        </w:tc>
      </w:tr>
      <w:tr w14:paraId="675158EA" w14:textId="77777777" w:rsidTr="00FA5C9E">
        <w:tblPrEx>
          <w:tblW w:w="13622" w:type="dxa"/>
          <w:tblInd w:w="-100" w:type="dxa"/>
          <w:tblLayout w:type="fixed"/>
          <w:tblLook w:val="04A0"/>
        </w:tblPrEx>
        <w:trPr>
          <w:gridBefore w:val="1"/>
          <w:gridAfter w:val="1"/>
          <w:wBefore w:w="88" w:type="dxa"/>
          <w:wAfter w:w="625" w:type="dxa"/>
          <w:trHeight w:val="300"/>
        </w:trPr>
        <w:tc>
          <w:tcPr>
            <w:tcW w:w="700" w:type="dxa"/>
            <w:tcBorders>
              <w:top w:val="nil"/>
              <w:left w:val="single" w:sz="12" w:space="0" w:color="auto"/>
              <w:bottom w:val="single" w:sz="8" w:space="0" w:color="auto"/>
              <w:right w:val="nil"/>
            </w:tcBorders>
            <w:shd w:val="clear" w:color="auto" w:fill="auto"/>
            <w:noWrap/>
            <w:vAlign w:val="center"/>
            <w:hideMark/>
          </w:tcPr>
          <w:p w:rsidR="00DD2AB0" w:rsidRPr="00DD2AB0" w:rsidP="00DD2AB0" w14:paraId="540B4563"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single" w:sz="8" w:space="0" w:color="auto"/>
              <w:right w:val="single" w:sz="8" w:space="0" w:color="000000" w:themeColor="text1"/>
            </w:tcBorders>
            <w:shd w:val="clear" w:color="auto" w:fill="auto"/>
            <w:noWrap/>
            <w:vAlign w:val="center"/>
            <w:hideMark/>
          </w:tcPr>
          <w:p w:rsidR="00DD2AB0" w:rsidRPr="00DD2AB0" w:rsidP="00DD2AB0" w14:paraId="4F71B677" w14:textId="77777777">
            <w:pPr>
              <w:spacing w:after="0"/>
              <w:ind w:firstLine="0"/>
              <w:rPr>
                <w:rFonts w:cs="Arial"/>
                <w:bCs/>
                <w:color w:val="000000"/>
                <w:sz w:val="20"/>
              </w:rPr>
            </w:pPr>
            <w:r w:rsidRPr="00DD2AB0">
              <w:rPr>
                <w:rFonts w:cs="Arial"/>
                <w:bCs/>
                <w:color w:val="000000"/>
                <w:sz w:val="20"/>
              </w:rPr>
              <w:t>3) Notify Other Employees/Tenants</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5871C25B" w14:textId="77777777">
            <w:pPr>
              <w:spacing w:after="0"/>
              <w:ind w:firstLine="0"/>
              <w:rPr>
                <w:rFonts w:cs="Arial"/>
                <w:bCs/>
                <w:color w:val="000000"/>
                <w:sz w:val="20"/>
              </w:rPr>
            </w:pPr>
            <w:r w:rsidRPr="00DD2AB0">
              <w:rPr>
                <w:rFonts w:cs="Arial"/>
                <w:bCs/>
                <w:color w:val="000000"/>
                <w:sz w:val="20"/>
              </w:rPr>
              <w:t>451,118</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1F39EFB5"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bottom"/>
            <w:hideMark/>
          </w:tcPr>
          <w:p w:rsidR="00DD2AB0" w:rsidRPr="00DD2AB0" w:rsidP="00DD2AB0" w14:paraId="0CADB3A5" w14:textId="77777777">
            <w:pPr>
              <w:spacing w:after="0"/>
              <w:ind w:firstLine="0"/>
              <w:rPr>
                <w:rFonts w:cs="Arial"/>
                <w:bCs/>
                <w:color w:val="000000"/>
                <w:sz w:val="20"/>
              </w:rPr>
            </w:pPr>
            <w:r w:rsidRPr="00DD2AB0">
              <w:rPr>
                <w:rFonts w:cs="Arial"/>
                <w:bCs/>
                <w:color w:val="000000"/>
                <w:sz w:val="20"/>
              </w:rPr>
              <w:t>1,566.38</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7ED17FF4" w14:textId="77777777">
            <w:pPr>
              <w:spacing w:after="0"/>
              <w:ind w:firstLine="0"/>
              <w:rPr>
                <w:rFonts w:cs="Arial"/>
                <w:bCs/>
                <w:color w:val="000000"/>
                <w:sz w:val="20"/>
              </w:rPr>
            </w:pPr>
            <w:r w:rsidRPr="00DD2AB0">
              <w:rPr>
                <w:rFonts w:cs="Arial"/>
                <w:bCs/>
                <w:color w:val="000000"/>
                <w:sz w:val="20"/>
              </w:rPr>
              <w:t>37,593</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4626AAA0" w14:textId="77777777">
            <w:pPr>
              <w:spacing w:after="0"/>
              <w:ind w:firstLine="0"/>
              <w:rPr>
                <w:rFonts w:cs="Arial"/>
                <w:bCs/>
                <w:color w:val="000000"/>
                <w:sz w:val="20"/>
              </w:rPr>
            </w:pPr>
            <w:r w:rsidRPr="00DD2AB0">
              <w:rPr>
                <w:rFonts w:cs="Arial"/>
                <w:bCs/>
                <w:color w:val="000000"/>
                <w:sz w:val="20"/>
              </w:rPr>
              <w:t xml:space="preserve">$66.82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546CA70C" w14:textId="77777777">
            <w:pPr>
              <w:spacing w:after="0"/>
              <w:ind w:firstLine="0"/>
              <w:rPr>
                <w:rFonts w:cs="Arial"/>
                <w:bCs/>
                <w:color w:val="000000"/>
                <w:sz w:val="20"/>
              </w:rPr>
            </w:pPr>
            <w:r w:rsidRPr="00DD2AB0">
              <w:rPr>
                <w:rFonts w:cs="Arial"/>
                <w:bCs/>
                <w:color w:val="000000"/>
                <w:sz w:val="20"/>
              </w:rPr>
              <w:t xml:space="preserve">$2,511,964 </w:t>
            </w:r>
          </w:p>
        </w:tc>
      </w:tr>
      <w:tr w14:paraId="406E37AE"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DD2AB0" w:rsidRPr="00DD2AB0" w:rsidP="00DD2AB0" w14:paraId="36CCF5E1" w14:textId="77777777">
            <w:pPr>
              <w:spacing w:after="0"/>
              <w:ind w:firstLine="0"/>
              <w:rPr>
                <w:rFonts w:cs="Arial"/>
                <w:bCs/>
                <w:color w:val="000000"/>
                <w:sz w:val="20"/>
              </w:rPr>
            </w:pPr>
            <w:r w:rsidRPr="00DD2AB0">
              <w:rPr>
                <w:rFonts w:cs="Arial"/>
                <w:bCs/>
                <w:color w:val="000000"/>
                <w:sz w:val="20"/>
              </w:rPr>
              <w:t>Subtotal, Hazard Communication</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AB0" w:rsidRPr="00DD2AB0" w:rsidP="00DD2AB0" w14:paraId="70018FA7" w14:textId="77777777">
            <w:pPr>
              <w:spacing w:after="0"/>
              <w:ind w:firstLine="0"/>
              <w:rPr>
                <w:rFonts w:cs="Arial"/>
                <w:bCs/>
                <w:color w:val="000000"/>
                <w:sz w:val="20"/>
              </w:rPr>
            </w:pPr>
            <w:r w:rsidRPr="00DD2AB0">
              <w:rPr>
                <w:rFonts w:cs="Arial"/>
                <w:bCs/>
                <w:color w:val="000000"/>
                <w:sz w:val="20"/>
              </w:rPr>
              <w:t>916,894</w:t>
            </w:r>
          </w:p>
        </w:tc>
        <w:tc>
          <w:tcPr>
            <w:tcW w:w="1460"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06F0EE7C"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63F9C56A" w14:textId="77777777">
            <w:pPr>
              <w:spacing w:after="0"/>
              <w:ind w:firstLine="0"/>
              <w:rPr>
                <w:rFonts w:cs="Arial"/>
                <w:bCs/>
                <w:color w:val="000000"/>
                <w:sz w:val="20"/>
              </w:rPr>
            </w:pPr>
            <w:r w:rsidRPr="00DD2AB0">
              <w:rPr>
                <w:rFonts w:cs="Arial"/>
                <w:bCs/>
                <w:color w:val="000000"/>
                <w:sz w:val="20"/>
              </w:rPr>
              <w:t>3,294.95</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00176075" w14:textId="77777777">
            <w:pPr>
              <w:spacing w:after="0"/>
              <w:ind w:firstLine="0"/>
              <w:rPr>
                <w:rFonts w:cs="Arial"/>
                <w:bCs/>
                <w:color w:val="000000"/>
                <w:sz w:val="20"/>
              </w:rPr>
            </w:pPr>
            <w:r w:rsidRPr="00DD2AB0">
              <w:rPr>
                <w:rFonts w:cs="Arial"/>
                <w:bCs/>
                <w:color w:val="000000"/>
                <w:sz w:val="20"/>
              </w:rPr>
              <w:t>79,079</w:t>
            </w:r>
          </w:p>
        </w:tc>
        <w:tc>
          <w:tcPr>
            <w:tcW w:w="1131"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1BDC2007" w14:textId="77777777">
            <w:pPr>
              <w:spacing w:after="0"/>
              <w:ind w:firstLine="0"/>
              <w:rPr>
                <w:rFonts w:cs="Arial"/>
                <w:bCs/>
                <w:color w:val="000000"/>
                <w:sz w:val="20"/>
              </w:rPr>
            </w:pPr>
            <w:r w:rsidRPr="00DD2AB0">
              <w:rPr>
                <w:rFonts w:cs="Arial"/>
                <w:bCs/>
                <w:color w:val="000000"/>
                <w:sz w:val="20"/>
              </w:rPr>
              <w:t xml:space="preserve">$66.81 </w:t>
            </w:r>
          </w:p>
        </w:tc>
        <w:tc>
          <w:tcPr>
            <w:tcW w:w="1443"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66C576DF" w14:textId="77777777">
            <w:pPr>
              <w:spacing w:after="0"/>
              <w:ind w:firstLine="0"/>
              <w:rPr>
                <w:rFonts w:cs="Arial"/>
                <w:bCs/>
                <w:color w:val="000000"/>
                <w:sz w:val="20"/>
              </w:rPr>
            </w:pPr>
            <w:r w:rsidRPr="00DD2AB0">
              <w:rPr>
                <w:rFonts w:cs="Arial"/>
                <w:bCs/>
                <w:color w:val="000000"/>
                <w:sz w:val="20"/>
              </w:rPr>
              <w:t xml:space="preserve">$5,283,348 </w:t>
            </w:r>
          </w:p>
        </w:tc>
      </w:tr>
      <w:tr w14:paraId="59622B79"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single" w:sz="8" w:space="0" w:color="auto"/>
              <w:left w:val="single" w:sz="12" w:space="0" w:color="auto"/>
              <w:bottom w:val="nil"/>
              <w:right w:val="single" w:sz="8" w:space="0" w:color="000000" w:themeColor="text1"/>
            </w:tcBorders>
            <w:shd w:val="clear" w:color="auto" w:fill="auto"/>
            <w:noWrap/>
            <w:vAlign w:val="center"/>
            <w:hideMark/>
          </w:tcPr>
          <w:p w:rsidR="00DD2AB0" w:rsidRPr="00DD2AB0" w:rsidP="00DD2AB0" w14:paraId="5F5AF2EA" w14:textId="77777777">
            <w:pPr>
              <w:spacing w:after="0"/>
              <w:ind w:firstLine="0"/>
              <w:rPr>
                <w:rFonts w:cs="Arial"/>
                <w:bCs/>
                <w:color w:val="000000"/>
                <w:sz w:val="20"/>
              </w:rPr>
            </w:pPr>
            <w:r w:rsidRPr="00DD2AB0">
              <w:rPr>
                <w:rFonts w:cs="Arial"/>
                <w:bCs/>
                <w:color w:val="000000"/>
                <w:sz w:val="20"/>
              </w:rPr>
              <w:t>E) Training</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3F25D9A5"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2A1B523B"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752E5941"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0E22F8D2"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6EB03A79"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79C017E8" w14:textId="77777777">
            <w:pPr>
              <w:spacing w:after="0"/>
              <w:ind w:firstLine="0"/>
              <w:rPr>
                <w:rFonts w:cs="Arial"/>
                <w:bCs/>
                <w:color w:val="000000"/>
                <w:sz w:val="20"/>
              </w:rPr>
            </w:pPr>
            <w:r w:rsidRPr="00DD2AB0">
              <w:rPr>
                <w:rFonts w:cs="Arial"/>
                <w:bCs/>
                <w:color w:val="000000"/>
                <w:sz w:val="20"/>
              </w:rPr>
              <w:t> </w:t>
            </w:r>
          </w:p>
        </w:tc>
      </w:tr>
      <w:tr w14:paraId="2ACA11A0"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262A951A"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4AA6DF9C" w14:textId="77777777">
            <w:pPr>
              <w:spacing w:after="0"/>
              <w:ind w:firstLine="0"/>
              <w:rPr>
                <w:rFonts w:cs="Arial"/>
                <w:bCs/>
                <w:color w:val="000000"/>
                <w:sz w:val="20"/>
              </w:rPr>
            </w:pPr>
            <w:r w:rsidRPr="00DD2AB0">
              <w:rPr>
                <w:rFonts w:cs="Arial"/>
                <w:bCs/>
                <w:color w:val="000000"/>
                <w:sz w:val="20"/>
              </w:rPr>
              <w:t>1) Provide Training </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7EDD435A"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096DD22E"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5524D333"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00C736FB"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7594DA6D" w14:textId="77777777">
            <w:pPr>
              <w:spacing w:after="0"/>
              <w:ind w:firstLine="0"/>
              <w:rPr>
                <w:rFonts w:cs="Arial"/>
                <w:bCs/>
                <w:color w:val="000000"/>
                <w:sz w:val="20"/>
              </w:rPr>
            </w:pP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6A8C7DFC" w14:textId="77777777">
            <w:pPr>
              <w:spacing w:after="0"/>
              <w:ind w:firstLine="0"/>
              <w:rPr>
                <w:rFonts w:cs="Arial"/>
                <w:bCs/>
                <w:color w:val="000000"/>
                <w:sz w:val="20"/>
              </w:rPr>
            </w:pPr>
            <w:r w:rsidRPr="00DD2AB0">
              <w:rPr>
                <w:rFonts w:cs="Arial"/>
                <w:bCs/>
                <w:color w:val="000000"/>
                <w:sz w:val="20"/>
              </w:rPr>
              <w:t> </w:t>
            </w:r>
          </w:p>
        </w:tc>
      </w:tr>
      <w:tr w14:paraId="356E095D"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2513023D"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6549B334"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vAlign w:val="center"/>
            <w:hideMark/>
          </w:tcPr>
          <w:p w:rsidR="00DD2AB0" w:rsidRPr="00DD2AB0" w:rsidP="00DD2AB0" w14:paraId="576CB1F3" w14:textId="77777777">
            <w:pPr>
              <w:spacing w:after="0"/>
              <w:ind w:firstLine="0"/>
              <w:rPr>
                <w:rFonts w:cs="Arial"/>
                <w:bCs/>
                <w:color w:val="000000"/>
                <w:sz w:val="20"/>
              </w:rPr>
            </w:pPr>
            <w:r w:rsidRPr="00DD2AB0">
              <w:rPr>
                <w:rFonts w:cs="Arial"/>
                <w:bCs/>
                <w:color w:val="000000"/>
                <w:sz w:val="20"/>
              </w:rPr>
              <w:t>a) Class II</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7FF38BDE" w14:textId="77777777">
            <w:pPr>
              <w:spacing w:after="0"/>
              <w:ind w:firstLine="0"/>
              <w:rPr>
                <w:rFonts w:cs="Arial"/>
                <w:bCs/>
                <w:color w:val="000000"/>
                <w:sz w:val="20"/>
              </w:rPr>
            </w:pPr>
            <w:r w:rsidRPr="00DD2AB0">
              <w:rPr>
                <w:rFonts w:cs="Arial"/>
                <w:bCs/>
                <w:color w:val="000000"/>
                <w:sz w:val="20"/>
              </w:rPr>
              <w:t>1,902</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D49C6A0"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5255AF15" w14:textId="77777777">
            <w:pPr>
              <w:spacing w:after="0"/>
              <w:ind w:firstLine="0"/>
              <w:rPr>
                <w:rFonts w:cs="Arial"/>
                <w:bCs/>
                <w:color w:val="000000"/>
                <w:sz w:val="20"/>
              </w:rPr>
            </w:pPr>
            <w:r w:rsidRPr="00DD2AB0">
              <w:rPr>
                <w:rFonts w:cs="Arial"/>
                <w:bCs/>
                <w:color w:val="000000"/>
                <w:sz w:val="20"/>
              </w:rPr>
              <w:t>2,536.30</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3C2A92FE" w14:textId="77777777">
            <w:pPr>
              <w:spacing w:after="0"/>
              <w:ind w:firstLine="0"/>
              <w:rPr>
                <w:rFonts w:cs="Arial"/>
                <w:bCs/>
                <w:color w:val="000000"/>
                <w:sz w:val="20"/>
              </w:rPr>
            </w:pPr>
            <w:r w:rsidRPr="00DD2AB0">
              <w:rPr>
                <w:rFonts w:cs="Arial"/>
                <w:bCs/>
                <w:color w:val="000000"/>
                <w:sz w:val="20"/>
              </w:rPr>
              <w:t>60,871</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4855F65C" w14:textId="77777777">
            <w:pPr>
              <w:spacing w:after="0"/>
              <w:ind w:firstLine="0"/>
              <w:rPr>
                <w:rFonts w:cs="Arial"/>
                <w:bCs/>
                <w:color w:val="000000"/>
                <w:sz w:val="20"/>
              </w:rPr>
            </w:pPr>
            <w:r w:rsidRPr="00DD2AB0">
              <w:rPr>
                <w:rFonts w:cs="Arial"/>
                <w:bCs/>
                <w:color w:val="000000"/>
                <w:sz w:val="20"/>
              </w:rPr>
              <w:t xml:space="preserve">$50.52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24D90A54" w14:textId="77777777">
            <w:pPr>
              <w:spacing w:after="0"/>
              <w:ind w:firstLine="0"/>
              <w:rPr>
                <w:rFonts w:cs="Arial"/>
                <w:bCs/>
                <w:color w:val="000000"/>
                <w:sz w:val="20"/>
              </w:rPr>
            </w:pPr>
            <w:r w:rsidRPr="00DD2AB0">
              <w:rPr>
                <w:rFonts w:cs="Arial"/>
                <w:bCs/>
                <w:color w:val="000000"/>
                <w:sz w:val="20"/>
              </w:rPr>
              <w:t xml:space="preserve">$3,075,203 </w:t>
            </w:r>
          </w:p>
        </w:tc>
      </w:tr>
      <w:tr w14:paraId="626D2929" w14:textId="77777777" w:rsidTr="00FA5C9E">
        <w:tblPrEx>
          <w:tblW w:w="13622" w:type="dxa"/>
          <w:tblInd w:w="-100" w:type="dxa"/>
          <w:tblLayout w:type="fixed"/>
          <w:tblLook w:val="04A0"/>
        </w:tblPrEx>
        <w:trPr>
          <w:gridBefore w:val="1"/>
          <w:gridAfter w:val="1"/>
          <w:wBefore w:w="88" w:type="dxa"/>
          <w:wAfter w:w="625" w:type="dxa"/>
          <w:trHeight w:val="498"/>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596A0E40"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54B18271"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vAlign w:val="center"/>
            <w:hideMark/>
          </w:tcPr>
          <w:p w:rsidR="00DD2AB0" w:rsidRPr="00DD2AB0" w:rsidP="00DD2AB0" w14:paraId="38E6170C" w14:textId="77777777">
            <w:pPr>
              <w:spacing w:after="0"/>
              <w:ind w:firstLine="0"/>
              <w:rPr>
                <w:rFonts w:cs="Arial"/>
                <w:bCs/>
                <w:color w:val="000000"/>
                <w:sz w:val="20"/>
              </w:rPr>
            </w:pPr>
            <w:r w:rsidRPr="00DD2AB0">
              <w:rPr>
                <w:rFonts w:cs="Arial"/>
                <w:bCs/>
                <w:color w:val="000000"/>
                <w:sz w:val="20"/>
              </w:rPr>
              <w:t>b) Class III (including new projects)</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6E0EF3B5" w14:textId="77777777">
            <w:pPr>
              <w:spacing w:after="0"/>
              <w:ind w:firstLine="0"/>
              <w:rPr>
                <w:rFonts w:cs="Arial"/>
                <w:bCs/>
                <w:color w:val="000000"/>
                <w:sz w:val="20"/>
              </w:rPr>
            </w:pPr>
            <w:r w:rsidRPr="00DD2AB0">
              <w:rPr>
                <w:rFonts w:cs="Arial"/>
                <w:bCs/>
                <w:color w:val="000000"/>
                <w:sz w:val="20"/>
              </w:rPr>
              <w:t>889</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4EA86A7A"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2E09B0C0" w14:textId="77777777">
            <w:pPr>
              <w:spacing w:after="0"/>
              <w:ind w:firstLine="0"/>
              <w:rPr>
                <w:rFonts w:cs="Arial"/>
                <w:bCs/>
                <w:color w:val="000000"/>
                <w:sz w:val="20"/>
              </w:rPr>
            </w:pPr>
            <w:r w:rsidRPr="00DD2AB0">
              <w:rPr>
                <w:rFonts w:cs="Arial"/>
                <w:bCs/>
                <w:color w:val="000000"/>
                <w:sz w:val="20"/>
              </w:rPr>
              <w:t>592.59</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44CE74D7" w14:textId="77777777">
            <w:pPr>
              <w:spacing w:after="0"/>
              <w:ind w:firstLine="0"/>
              <w:rPr>
                <w:rFonts w:cs="Arial"/>
                <w:bCs/>
                <w:color w:val="000000"/>
                <w:sz w:val="20"/>
              </w:rPr>
            </w:pPr>
            <w:r w:rsidRPr="00DD2AB0">
              <w:rPr>
                <w:rFonts w:cs="Arial"/>
                <w:bCs/>
                <w:color w:val="000000"/>
                <w:sz w:val="20"/>
              </w:rPr>
              <w:t>14,222</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3F6533B2" w14:textId="77777777">
            <w:pPr>
              <w:spacing w:after="0"/>
              <w:ind w:firstLine="0"/>
              <w:rPr>
                <w:rFonts w:cs="Arial"/>
                <w:bCs/>
                <w:color w:val="000000"/>
                <w:sz w:val="20"/>
              </w:rPr>
            </w:pPr>
            <w:r w:rsidRPr="00DD2AB0">
              <w:rPr>
                <w:rFonts w:cs="Arial"/>
                <w:bCs/>
                <w:color w:val="000000"/>
                <w:sz w:val="20"/>
              </w:rPr>
              <w:t xml:space="preserve">$50.52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287D1A78" w14:textId="77777777">
            <w:pPr>
              <w:spacing w:after="0"/>
              <w:ind w:firstLine="0"/>
              <w:rPr>
                <w:rFonts w:cs="Arial"/>
                <w:bCs/>
                <w:color w:val="000000"/>
                <w:sz w:val="20"/>
              </w:rPr>
            </w:pPr>
            <w:r w:rsidRPr="00DD2AB0">
              <w:rPr>
                <w:rFonts w:cs="Arial"/>
                <w:bCs/>
                <w:color w:val="000000"/>
                <w:sz w:val="20"/>
              </w:rPr>
              <w:t xml:space="preserve">$718,495 </w:t>
            </w:r>
          </w:p>
        </w:tc>
      </w:tr>
      <w:tr w14:paraId="7CF50B2A"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10D0F33F"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3B107A33"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vAlign w:val="center"/>
            <w:hideMark/>
          </w:tcPr>
          <w:p w:rsidR="00DD2AB0" w:rsidRPr="00DD2AB0" w:rsidP="00DD2AB0" w14:paraId="022CC6DB" w14:textId="77777777">
            <w:pPr>
              <w:spacing w:after="0"/>
              <w:ind w:firstLine="0"/>
              <w:rPr>
                <w:rFonts w:cs="Arial"/>
                <w:bCs/>
                <w:color w:val="000000"/>
                <w:sz w:val="20"/>
              </w:rPr>
            </w:pPr>
            <w:r w:rsidRPr="00DD2AB0">
              <w:rPr>
                <w:rFonts w:cs="Arial"/>
                <w:bCs/>
                <w:color w:val="000000"/>
                <w:sz w:val="20"/>
              </w:rPr>
              <w:t>c) Class IV</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0AD56840" w14:textId="77777777">
            <w:pPr>
              <w:spacing w:after="0"/>
              <w:ind w:firstLine="0"/>
              <w:rPr>
                <w:rFonts w:cs="Arial"/>
                <w:bCs/>
                <w:color w:val="000000"/>
                <w:sz w:val="20"/>
              </w:rPr>
            </w:pPr>
            <w:r w:rsidRPr="00DD2AB0">
              <w:rPr>
                <w:rFonts w:cs="Arial"/>
                <w:bCs/>
                <w:color w:val="000000"/>
                <w:sz w:val="20"/>
              </w:rPr>
              <w:t>46,138</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80D0491"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66750AAD" w14:textId="77777777">
            <w:pPr>
              <w:spacing w:after="0"/>
              <w:ind w:firstLine="0"/>
              <w:rPr>
                <w:rFonts w:cs="Arial"/>
                <w:bCs/>
                <w:color w:val="000000"/>
                <w:sz w:val="20"/>
              </w:rPr>
            </w:pPr>
            <w:r w:rsidRPr="00DD2AB0">
              <w:rPr>
                <w:rFonts w:cs="Arial"/>
                <w:bCs/>
                <w:color w:val="000000"/>
                <w:sz w:val="20"/>
              </w:rPr>
              <w:t>3,844.81</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332781DD" w14:textId="77777777">
            <w:pPr>
              <w:spacing w:after="0"/>
              <w:ind w:firstLine="0"/>
              <w:rPr>
                <w:rFonts w:cs="Arial"/>
                <w:bCs/>
                <w:color w:val="000000"/>
                <w:sz w:val="20"/>
              </w:rPr>
            </w:pPr>
            <w:r w:rsidRPr="00DD2AB0">
              <w:rPr>
                <w:rFonts w:cs="Arial"/>
                <w:bCs/>
                <w:color w:val="000000"/>
                <w:sz w:val="20"/>
              </w:rPr>
              <w:t>92,276</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DADCE29" w14:textId="77777777">
            <w:pPr>
              <w:spacing w:after="0"/>
              <w:ind w:firstLine="0"/>
              <w:rPr>
                <w:rFonts w:cs="Arial"/>
                <w:bCs/>
                <w:color w:val="000000"/>
                <w:sz w:val="20"/>
              </w:rPr>
            </w:pPr>
            <w:r w:rsidRPr="00DD2AB0">
              <w:rPr>
                <w:rFonts w:cs="Arial"/>
                <w:bCs/>
                <w:color w:val="000000"/>
                <w:sz w:val="20"/>
              </w:rPr>
              <w:t xml:space="preserve">$50.52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5FCAAA53" w14:textId="77777777">
            <w:pPr>
              <w:spacing w:after="0"/>
              <w:ind w:firstLine="0"/>
              <w:rPr>
                <w:rFonts w:cs="Arial"/>
                <w:bCs/>
                <w:color w:val="000000"/>
                <w:sz w:val="20"/>
              </w:rPr>
            </w:pPr>
            <w:r w:rsidRPr="00DD2AB0">
              <w:rPr>
                <w:rFonts w:cs="Arial"/>
                <w:bCs/>
                <w:color w:val="000000"/>
                <w:sz w:val="20"/>
              </w:rPr>
              <w:t xml:space="preserve">$4,661,784 </w:t>
            </w:r>
          </w:p>
        </w:tc>
      </w:tr>
      <w:tr w14:paraId="01EBE379" w14:textId="77777777" w:rsidTr="00FA5C9E">
        <w:tblPrEx>
          <w:tblW w:w="13622" w:type="dxa"/>
          <w:tblInd w:w="-100" w:type="dxa"/>
          <w:tblLayout w:type="fixed"/>
          <w:tblLook w:val="04A0"/>
        </w:tblPrEx>
        <w:trPr>
          <w:gridBefore w:val="1"/>
          <w:gridAfter w:val="1"/>
          <w:wBefore w:w="88" w:type="dxa"/>
          <w:wAfter w:w="625" w:type="dxa"/>
          <w:trHeight w:val="300"/>
        </w:trPr>
        <w:tc>
          <w:tcPr>
            <w:tcW w:w="700" w:type="dxa"/>
            <w:tcBorders>
              <w:top w:val="nil"/>
              <w:left w:val="single" w:sz="12" w:space="0" w:color="auto"/>
              <w:bottom w:val="single" w:sz="8" w:space="0" w:color="auto"/>
              <w:right w:val="nil"/>
            </w:tcBorders>
            <w:shd w:val="clear" w:color="auto" w:fill="auto"/>
            <w:noWrap/>
            <w:vAlign w:val="center"/>
            <w:hideMark/>
          </w:tcPr>
          <w:p w:rsidR="00DD2AB0" w:rsidRPr="00DD2AB0" w:rsidP="00DD2AB0" w14:paraId="5FBA425E"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single" w:sz="8" w:space="0" w:color="auto"/>
              <w:right w:val="single" w:sz="8" w:space="0" w:color="000000" w:themeColor="text1"/>
            </w:tcBorders>
            <w:shd w:val="clear" w:color="auto" w:fill="auto"/>
            <w:noWrap/>
            <w:vAlign w:val="center"/>
            <w:hideMark/>
          </w:tcPr>
          <w:p w:rsidR="00DD2AB0" w:rsidRPr="00DD2AB0" w:rsidP="00DD2AB0" w14:paraId="0790F096" w14:textId="77777777">
            <w:pPr>
              <w:spacing w:after="0"/>
              <w:ind w:firstLine="0"/>
              <w:rPr>
                <w:rFonts w:cs="Arial"/>
                <w:bCs/>
                <w:color w:val="000000"/>
                <w:sz w:val="20"/>
              </w:rPr>
            </w:pPr>
            <w:r w:rsidRPr="00DD2AB0">
              <w:rPr>
                <w:rFonts w:cs="Arial"/>
                <w:bCs/>
                <w:color w:val="000000"/>
                <w:sz w:val="20"/>
              </w:rPr>
              <w:t>2) Maintain Training Records</w:t>
            </w:r>
          </w:p>
        </w:tc>
        <w:tc>
          <w:tcPr>
            <w:tcW w:w="1980" w:type="dxa"/>
            <w:gridSpan w:val="2"/>
            <w:tcBorders>
              <w:top w:val="nil"/>
              <w:left w:val="single" w:sz="8" w:space="0" w:color="auto"/>
              <w:bottom w:val="nil"/>
              <w:right w:val="single" w:sz="8" w:space="0" w:color="auto"/>
            </w:tcBorders>
            <w:shd w:val="clear" w:color="auto" w:fill="auto"/>
            <w:noWrap/>
            <w:vAlign w:val="bottom"/>
            <w:hideMark/>
          </w:tcPr>
          <w:p w:rsidR="00DD2AB0" w:rsidRPr="00DD2AB0" w:rsidP="00DD2AB0" w14:paraId="5E6A5533" w14:textId="77777777">
            <w:pPr>
              <w:spacing w:after="0"/>
              <w:ind w:firstLine="0"/>
              <w:rPr>
                <w:rFonts w:cs="Arial"/>
                <w:bCs/>
                <w:color w:val="000000"/>
                <w:sz w:val="20"/>
              </w:rPr>
            </w:pPr>
            <w:r w:rsidRPr="00DD2AB0">
              <w:rPr>
                <w:rFonts w:cs="Arial"/>
                <w:bCs/>
                <w:color w:val="000000"/>
                <w:sz w:val="20"/>
              </w:rPr>
              <w:t>48,929</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05373E6"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0C920763" w14:textId="77777777">
            <w:pPr>
              <w:spacing w:after="0"/>
              <w:ind w:firstLine="0"/>
              <w:rPr>
                <w:rFonts w:cs="Arial"/>
                <w:bCs/>
                <w:color w:val="000000"/>
                <w:sz w:val="20"/>
              </w:rPr>
            </w:pPr>
            <w:r w:rsidRPr="00DD2AB0">
              <w:rPr>
                <w:rFonts w:cs="Arial"/>
                <w:bCs/>
                <w:color w:val="000000"/>
                <w:sz w:val="20"/>
              </w:rPr>
              <w:t>169.89</w:t>
            </w:r>
          </w:p>
        </w:tc>
        <w:tc>
          <w:tcPr>
            <w:tcW w:w="1096" w:type="dxa"/>
            <w:tcBorders>
              <w:top w:val="nil"/>
              <w:left w:val="nil"/>
              <w:bottom w:val="nil"/>
              <w:right w:val="single" w:sz="8" w:space="0" w:color="auto"/>
            </w:tcBorders>
            <w:shd w:val="clear" w:color="auto" w:fill="auto"/>
            <w:noWrap/>
            <w:vAlign w:val="bottom"/>
            <w:hideMark/>
          </w:tcPr>
          <w:p w:rsidR="00DD2AB0" w:rsidRPr="00DD2AB0" w:rsidP="00DD2AB0" w14:paraId="593229B8" w14:textId="77777777">
            <w:pPr>
              <w:spacing w:after="0"/>
              <w:ind w:firstLine="0"/>
              <w:rPr>
                <w:rFonts w:cs="Arial"/>
                <w:bCs/>
                <w:color w:val="000000"/>
                <w:sz w:val="20"/>
              </w:rPr>
            </w:pPr>
            <w:r w:rsidRPr="00DD2AB0">
              <w:rPr>
                <w:rFonts w:cs="Arial"/>
                <w:bCs/>
                <w:color w:val="000000"/>
                <w:sz w:val="20"/>
              </w:rPr>
              <w:t>4,077</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74775FFE"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22AA7F8C" w14:textId="77777777">
            <w:pPr>
              <w:spacing w:after="0"/>
              <w:ind w:firstLine="0"/>
              <w:rPr>
                <w:rFonts w:cs="Arial"/>
                <w:bCs/>
                <w:color w:val="000000"/>
                <w:sz w:val="20"/>
              </w:rPr>
            </w:pPr>
            <w:r w:rsidRPr="00DD2AB0">
              <w:rPr>
                <w:rFonts w:cs="Arial"/>
                <w:bCs/>
                <w:color w:val="000000"/>
                <w:sz w:val="20"/>
              </w:rPr>
              <w:t xml:space="preserve">$149,993 </w:t>
            </w:r>
          </w:p>
        </w:tc>
      </w:tr>
      <w:tr w14:paraId="275372DD"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12" w:space="0" w:color="auto"/>
              <w:bottom w:val="single" w:sz="8" w:space="0" w:color="auto"/>
              <w:right w:val="single" w:sz="8" w:space="0" w:color="000000" w:themeColor="text1"/>
            </w:tcBorders>
            <w:shd w:val="clear" w:color="auto" w:fill="auto"/>
            <w:noWrap/>
            <w:vAlign w:val="center"/>
            <w:hideMark/>
          </w:tcPr>
          <w:p w:rsidR="00DD2AB0" w:rsidRPr="00DD2AB0" w:rsidP="00DD2AB0" w14:paraId="5182429E" w14:textId="77777777">
            <w:pPr>
              <w:spacing w:after="0"/>
              <w:ind w:firstLine="0"/>
              <w:rPr>
                <w:rFonts w:cs="Arial"/>
                <w:bCs/>
                <w:color w:val="000000"/>
                <w:sz w:val="20"/>
              </w:rPr>
            </w:pPr>
            <w:r w:rsidRPr="00DD2AB0">
              <w:rPr>
                <w:rFonts w:cs="Arial"/>
                <w:bCs/>
                <w:color w:val="000000"/>
                <w:sz w:val="20"/>
              </w:rPr>
              <w:t>Subtotal, Training</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AB0" w:rsidRPr="00DD2AB0" w:rsidP="00DD2AB0" w14:paraId="0D4280F2" w14:textId="77777777">
            <w:pPr>
              <w:spacing w:after="0"/>
              <w:ind w:firstLine="0"/>
              <w:rPr>
                <w:rFonts w:cs="Arial"/>
                <w:bCs/>
                <w:color w:val="000000"/>
                <w:sz w:val="20"/>
              </w:rPr>
            </w:pPr>
            <w:r w:rsidRPr="00DD2AB0">
              <w:rPr>
                <w:rFonts w:cs="Arial"/>
                <w:bCs/>
                <w:color w:val="000000"/>
                <w:sz w:val="20"/>
              </w:rPr>
              <w:t>97,858</w:t>
            </w:r>
          </w:p>
        </w:tc>
        <w:tc>
          <w:tcPr>
            <w:tcW w:w="1460"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4B596A5A"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4051DF81" w14:textId="77777777">
            <w:pPr>
              <w:spacing w:after="0"/>
              <w:ind w:firstLine="0"/>
              <w:rPr>
                <w:rFonts w:cs="Arial"/>
                <w:bCs/>
                <w:color w:val="000000"/>
                <w:sz w:val="20"/>
              </w:rPr>
            </w:pPr>
            <w:r w:rsidRPr="00DD2AB0">
              <w:rPr>
                <w:rFonts w:cs="Arial"/>
                <w:bCs/>
                <w:color w:val="000000"/>
                <w:sz w:val="20"/>
              </w:rPr>
              <w:t>7,143.60</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1FF8256B" w14:textId="77777777">
            <w:pPr>
              <w:spacing w:after="0"/>
              <w:ind w:firstLine="0"/>
              <w:rPr>
                <w:rFonts w:cs="Arial"/>
                <w:bCs/>
                <w:color w:val="000000"/>
                <w:sz w:val="20"/>
              </w:rPr>
            </w:pPr>
            <w:r w:rsidRPr="00DD2AB0">
              <w:rPr>
                <w:rFonts w:cs="Arial"/>
                <w:bCs/>
                <w:color w:val="000000"/>
                <w:sz w:val="20"/>
              </w:rPr>
              <w:t>171,446</w:t>
            </w:r>
          </w:p>
        </w:tc>
        <w:tc>
          <w:tcPr>
            <w:tcW w:w="1131"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0DC02D46" w14:textId="77777777">
            <w:pPr>
              <w:spacing w:after="0"/>
              <w:ind w:firstLine="0"/>
              <w:rPr>
                <w:rFonts w:cs="Arial"/>
                <w:bCs/>
                <w:color w:val="000000"/>
                <w:sz w:val="20"/>
              </w:rPr>
            </w:pPr>
            <w:r w:rsidRPr="00DD2AB0">
              <w:rPr>
                <w:rFonts w:cs="Arial"/>
                <w:bCs/>
                <w:color w:val="000000"/>
                <w:sz w:val="20"/>
              </w:rPr>
              <w:t xml:space="preserve">$50.19 </w:t>
            </w:r>
          </w:p>
        </w:tc>
        <w:tc>
          <w:tcPr>
            <w:tcW w:w="1443"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2095A123" w14:textId="77777777">
            <w:pPr>
              <w:spacing w:after="0"/>
              <w:ind w:firstLine="0"/>
              <w:rPr>
                <w:rFonts w:cs="Arial"/>
                <w:bCs/>
                <w:color w:val="000000"/>
                <w:sz w:val="20"/>
              </w:rPr>
            </w:pPr>
            <w:r w:rsidRPr="00DD2AB0">
              <w:rPr>
                <w:rFonts w:cs="Arial"/>
                <w:bCs/>
                <w:color w:val="000000"/>
                <w:sz w:val="20"/>
              </w:rPr>
              <w:t xml:space="preserve">$8,605,475 </w:t>
            </w:r>
          </w:p>
        </w:tc>
      </w:tr>
      <w:tr w14:paraId="502BC613"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single" w:sz="8" w:space="0" w:color="auto"/>
              <w:left w:val="single" w:sz="12" w:space="0" w:color="auto"/>
              <w:bottom w:val="nil"/>
              <w:right w:val="single" w:sz="8" w:space="0" w:color="000000" w:themeColor="text1"/>
            </w:tcBorders>
            <w:shd w:val="clear" w:color="auto" w:fill="auto"/>
            <w:noWrap/>
            <w:vAlign w:val="center"/>
            <w:hideMark/>
          </w:tcPr>
          <w:p w:rsidR="00DD2AB0" w:rsidRPr="00DD2AB0" w:rsidP="00DD2AB0" w14:paraId="476A5623" w14:textId="77777777">
            <w:pPr>
              <w:spacing w:after="0"/>
              <w:ind w:firstLine="0"/>
              <w:rPr>
                <w:rFonts w:cs="Arial"/>
                <w:bCs/>
                <w:color w:val="000000"/>
                <w:sz w:val="20"/>
              </w:rPr>
            </w:pPr>
            <w:r w:rsidRPr="00DD2AB0">
              <w:rPr>
                <w:rFonts w:cs="Arial"/>
                <w:bCs/>
                <w:color w:val="000000"/>
                <w:sz w:val="20"/>
              </w:rPr>
              <w:t>F) Medical Surveillance</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55774BFD"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5CAB097E"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289805C9"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6B22AFC8"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2CBE7B9A"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229884CF" w14:textId="77777777">
            <w:pPr>
              <w:spacing w:after="0"/>
              <w:ind w:firstLine="0"/>
              <w:rPr>
                <w:rFonts w:cs="Arial"/>
                <w:bCs/>
                <w:color w:val="000000"/>
                <w:sz w:val="20"/>
              </w:rPr>
            </w:pPr>
            <w:r w:rsidRPr="00DD2AB0">
              <w:rPr>
                <w:rFonts w:cs="Arial"/>
                <w:bCs/>
                <w:color w:val="000000"/>
                <w:sz w:val="20"/>
              </w:rPr>
              <w:t> </w:t>
            </w:r>
          </w:p>
        </w:tc>
      </w:tr>
      <w:tr w14:paraId="715DA2B0"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nil"/>
              <w:left w:val="single" w:sz="12" w:space="0" w:color="auto"/>
              <w:bottom w:val="nil"/>
              <w:right w:val="single" w:sz="8" w:space="0" w:color="000000" w:themeColor="text1"/>
            </w:tcBorders>
            <w:shd w:val="clear" w:color="auto" w:fill="auto"/>
            <w:noWrap/>
            <w:vAlign w:val="center"/>
            <w:hideMark/>
          </w:tcPr>
          <w:p w:rsidR="00DD2AB0" w:rsidRPr="00DD2AB0" w:rsidP="00DD2AB0" w14:paraId="3A5AAEAE" w14:textId="77777777">
            <w:pPr>
              <w:spacing w:after="0"/>
              <w:ind w:firstLine="0"/>
              <w:rPr>
                <w:rFonts w:cs="Arial"/>
                <w:bCs/>
                <w:color w:val="000000"/>
                <w:sz w:val="20"/>
              </w:rPr>
            </w:pPr>
            <w:r w:rsidRPr="00DD2AB0">
              <w:rPr>
                <w:rFonts w:cs="Arial"/>
                <w:bCs/>
                <w:color w:val="000000"/>
                <w:sz w:val="20"/>
              </w:rPr>
              <w:t xml:space="preserve"> (includes +5% for turnover)</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43EC12A4"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5293F7B7"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11931507"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529A7673"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ABEE981"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5910B787" w14:textId="77777777">
            <w:pPr>
              <w:spacing w:after="0"/>
              <w:ind w:firstLine="0"/>
              <w:rPr>
                <w:rFonts w:cs="Arial"/>
                <w:bCs/>
                <w:color w:val="000000"/>
                <w:sz w:val="20"/>
              </w:rPr>
            </w:pPr>
            <w:r w:rsidRPr="00DD2AB0">
              <w:rPr>
                <w:rFonts w:cs="Arial"/>
                <w:bCs/>
                <w:color w:val="000000"/>
                <w:sz w:val="20"/>
              </w:rPr>
              <w:t> </w:t>
            </w:r>
          </w:p>
        </w:tc>
      </w:tr>
      <w:tr w14:paraId="7402EE47"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30372250"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4E2C31F3" w14:textId="77777777">
            <w:pPr>
              <w:spacing w:after="0"/>
              <w:ind w:firstLine="0"/>
              <w:rPr>
                <w:rFonts w:cs="Arial"/>
                <w:bCs/>
                <w:color w:val="000000"/>
                <w:sz w:val="20"/>
              </w:rPr>
            </w:pPr>
            <w:r w:rsidRPr="00DD2AB0">
              <w:rPr>
                <w:rFonts w:cs="Arial"/>
                <w:bCs/>
                <w:color w:val="000000"/>
                <w:sz w:val="20"/>
              </w:rPr>
              <w:t>1) Medical Exams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10851DC8" w14:textId="77777777">
            <w:pPr>
              <w:spacing w:after="0"/>
              <w:ind w:firstLine="0"/>
              <w:rPr>
                <w:rFonts w:cs="Arial"/>
                <w:bCs/>
                <w:color w:val="000000"/>
                <w:sz w:val="20"/>
              </w:rPr>
            </w:pPr>
            <w:r w:rsidRPr="00DD2AB0">
              <w:rPr>
                <w:rFonts w:cs="Arial"/>
                <w:bCs/>
                <w:color w:val="000000"/>
                <w:sz w:val="20"/>
              </w:rPr>
              <w:t>2,830</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5DD447B6"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33D00AF4" w14:textId="77777777">
            <w:pPr>
              <w:spacing w:after="0"/>
              <w:ind w:firstLine="0"/>
              <w:rPr>
                <w:rFonts w:cs="Arial"/>
                <w:bCs/>
                <w:color w:val="000000"/>
                <w:sz w:val="20"/>
              </w:rPr>
            </w:pPr>
            <w:r w:rsidRPr="00DD2AB0">
              <w:rPr>
                <w:rFonts w:cs="Arial"/>
                <w:bCs/>
                <w:color w:val="000000"/>
                <w:sz w:val="20"/>
              </w:rPr>
              <w:t>88.44</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4F40F374" w14:textId="77777777">
            <w:pPr>
              <w:spacing w:after="0"/>
              <w:ind w:firstLine="0"/>
              <w:rPr>
                <w:rFonts w:cs="Arial"/>
                <w:bCs/>
                <w:color w:val="000000"/>
                <w:sz w:val="20"/>
              </w:rPr>
            </w:pPr>
            <w:r w:rsidRPr="00DD2AB0">
              <w:rPr>
                <w:rFonts w:cs="Arial"/>
                <w:bCs/>
                <w:color w:val="000000"/>
                <w:sz w:val="20"/>
              </w:rPr>
              <w:t>2,123</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9C8878E" w14:textId="77777777">
            <w:pPr>
              <w:spacing w:after="0"/>
              <w:ind w:firstLine="0"/>
              <w:rPr>
                <w:rFonts w:cs="Arial"/>
                <w:bCs/>
                <w:color w:val="000000"/>
                <w:sz w:val="20"/>
              </w:rPr>
            </w:pPr>
            <w:r w:rsidRPr="00DD2AB0">
              <w:rPr>
                <w:rFonts w:cs="Arial"/>
                <w:bCs/>
                <w:color w:val="000000"/>
                <w:sz w:val="20"/>
              </w:rPr>
              <w:t xml:space="preserve">$57.01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6D0500F7" w14:textId="77777777">
            <w:pPr>
              <w:spacing w:after="0"/>
              <w:ind w:firstLine="0"/>
              <w:rPr>
                <w:rFonts w:cs="Arial"/>
                <w:bCs/>
                <w:color w:val="000000"/>
                <w:sz w:val="20"/>
              </w:rPr>
            </w:pPr>
            <w:r w:rsidRPr="00DD2AB0">
              <w:rPr>
                <w:rFonts w:cs="Arial"/>
                <w:bCs/>
                <w:color w:val="000000"/>
                <w:sz w:val="20"/>
              </w:rPr>
              <w:t xml:space="preserve">$121,007 </w:t>
            </w:r>
          </w:p>
        </w:tc>
      </w:tr>
      <w:tr w14:paraId="7419CB7F"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2F7BFF06"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42F34BF1" w14:textId="77777777">
            <w:pPr>
              <w:spacing w:after="0"/>
              <w:ind w:firstLine="0"/>
              <w:rPr>
                <w:rFonts w:cs="Arial"/>
                <w:bCs/>
                <w:color w:val="000000"/>
                <w:sz w:val="20"/>
              </w:rPr>
            </w:pPr>
            <w:r w:rsidRPr="00DD2AB0">
              <w:rPr>
                <w:rFonts w:cs="Arial"/>
                <w:bCs/>
                <w:color w:val="000000"/>
                <w:sz w:val="20"/>
              </w:rPr>
              <w:t>2) Initial Questionnaire</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0AB53053" w14:textId="77777777">
            <w:pPr>
              <w:spacing w:after="0"/>
              <w:ind w:firstLine="0"/>
              <w:rPr>
                <w:rFonts w:cs="Arial"/>
                <w:bCs/>
                <w:color w:val="000000"/>
                <w:sz w:val="20"/>
              </w:rPr>
            </w:pPr>
            <w:r w:rsidRPr="00DD2AB0">
              <w:rPr>
                <w:rFonts w:cs="Arial"/>
                <w:bCs/>
                <w:color w:val="000000"/>
                <w:sz w:val="20"/>
              </w:rPr>
              <w:t>141</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640B9679"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2B98943F" w14:textId="77777777">
            <w:pPr>
              <w:spacing w:after="0"/>
              <w:ind w:firstLine="0"/>
              <w:rPr>
                <w:rFonts w:cs="Arial"/>
                <w:bCs/>
                <w:color w:val="000000"/>
                <w:sz w:val="20"/>
              </w:rPr>
            </w:pPr>
            <w:r w:rsidRPr="00DD2AB0">
              <w:rPr>
                <w:rFonts w:cs="Arial"/>
                <w:bCs/>
                <w:color w:val="000000"/>
                <w:sz w:val="20"/>
              </w:rPr>
              <w:t>3.10</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177C0B22" w14:textId="77777777">
            <w:pPr>
              <w:spacing w:after="0"/>
              <w:ind w:firstLine="0"/>
              <w:rPr>
                <w:rFonts w:cs="Arial"/>
                <w:bCs/>
                <w:color w:val="000000"/>
                <w:sz w:val="20"/>
              </w:rPr>
            </w:pPr>
            <w:r w:rsidRPr="00DD2AB0">
              <w:rPr>
                <w:rFonts w:cs="Arial"/>
                <w:bCs/>
                <w:color w:val="000000"/>
                <w:sz w:val="20"/>
              </w:rPr>
              <w:t>74</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CC3CD74" w14:textId="77777777">
            <w:pPr>
              <w:spacing w:after="0"/>
              <w:ind w:firstLine="0"/>
              <w:rPr>
                <w:rFonts w:cs="Arial"/>
                <w:bCs/>
                <w:color w:val="000000"/>
                <w:sz w:val="20"/>
              </w:rPr>
            </w:pPr>
            <w:r w:rsidRPr="00DD2AB0">
              <w:rPr>
                <w:rFonts w:cs="Arial"/>
                <w:bCs/>
                <w:color w:val="000000"/>
                <w:sz w:val="20"/>
              </w:rPr>
              <w:t xml:space="preserve">$56.99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4EAD9429" w14:textId="77777777">
            <w:pPr>
              <w:spacing w:after="0"/>
              <w:ind w:firstLine="0"/>
              <w:rPr>
                <w:rFonts w:cs="Arial"/>
                <w:bCs/>
                <w:color w:val="000000"/>
                <w:sz w:val="20"/>
              </w:rPr>
            </w:pPr>
            <w:r w:rsidRPr="00DD2AB0">
              <w:rPr>
                <w:rFonts w:cs="Arial"/>
                <w:bCs/>
                <w:color w:val="000000"/>
                <w:sz w:val="20"/>
              </w:rPr>
              <w:t xml:space="preserve">$4,240 </w:t>
            </w:r>
          </w:p>
        </w:tc>
      </w:tr>
      <w:tr w14:paraId="0E3094EA"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1CA0C8D7"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5F45A3C4" w14:textId="77777777">
            <w:pPr>
              <w:spacing w:after="0"/>
              <w:ind w:firstLine="0"/>
              <w:rPr>
                <w:rFonts w:cs="Arial"/>
                <w:bCs/>
                <w:color w:val="000000"/>
                <w:sz w:val="20"/>
              </w:rPr>
            </w:pPr>
            <w:r w:rsidRPr="00DD2AB0">
              <w:rPr>
                <w:rFonts w:cs="Arial"/>
                <w:bCs/>
                <w:color w:val="000000"/>
                <w:sz w:val="20"/>
              </w:rPr>
              <w:t>3) Periodic Questionnaire</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0DA870DF" w14:textId="77777777">
            <w:pPr>
              <w:spacing w:after="0"/>
              <w:ind w:firstLine="0"/>
              <w:rPr>
                <w:rFonts w:cs="Arial"/>
                <w:bCs/>
                <w:color w:val="000000"/>
                <w:sz w:val="20"/>
              </w:rPr>
            </w:pPr>
            <w:r w:rsidRPr="00DD2AB0">
              <w:rPr>
                <w:rFonts w:cs="Arial"/>
                <w:bCs/>
                <w:color w:val="000000"/>
                <w:sz w:val="20"/>
              </w:rPr>
              <w:t>2,689</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11FEC640"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7608314E" w14:textId="77777777">
            <w:pPr>
              <w:spacing w:after="0"/>
              <w:ind w:firstLine="0"/>
              <w:rPr>
                <w:rFonts w:cs="Arial"/>
                <w:bCs/>
                <w:color w:val="000000"/>
                <w:sz w:val="20"/>
              </w:rPr>
            </w:pPr>
            <w:r w:rsidRPr="00DD2AB0">
              <w:rPr>
                <w:rFonts w:cs="Arial"/>
                <w:bCs/>
                <w:color w:val="000000"/>
                <w:sz w:val="20"/>
              </w:rPr>
              <w:t>19.61</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3358760C" w14:textId="77777777">
            <w:pPr>
              <w:spacing w:after="0"/>
              <w:ind w:firstLine="0"/>
              <w:rPr>
                <w:rFonts w:cs="Arial"/>
                <w:bCs/>
                <w:color w:val="000000"/>
                <w:sz w:val="20"/>
              </w:rPr>
            </w:pPr>
            <w:r w:rsidRPr="00DD2AB0">
              <w:rPr>
                <w:rFonts w:cs="Arial"/>
                <w:bCs/>
                <w:color w:val="000000"/>
                <w:sz w:val="20"/>
              </w:rPr>
              <w:t>471</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63B575CF" w14:textId="77777777">
            <w:pPr>
              <w:spacing w:after="0"/>
              <w:ind w:firstLine="0"/>
              <w:rPr>
                <w:rFonts w:cs="Arial"/>
                <w:bCs/>
                <w:color w:val="000000"/>
                <w:sz w:val="20"/>
              </w:rPr>
            </w:pPr>
            <w:r w:rsidRPr="00DD2AB0">
              <w:rPr>
                <w:rFonts w:cs="Arial"/>
                <w:bCs/>
                <w:color w:val="000000"/>
                <w:sz w:val="20"/>
              </w:rPr>
              <w:t xml:space="preserve">$57.01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43758308" w14:textId="77777777">
            <w:pPr>
              <w:spacing w:after="0"/>
              <w:ind w:firstLine="0"/>
              <w:rPr>
                <w:rFonts w:cs="Arial"/>
                <w:bCs/>
                <w:color w:val="000000"/>
                <w:sz w:val="20"/>
              </w:rPr>
            </w:pPr>
            <w:r w:rsidRPr="00DD2AB0">
              <w:rPr>
                <w:rFonts w:cs="Arial"/>
                <w:bCs/>
                <w:color w:val="000000"/>
                <w:sz w:val="20"/>
              </w:rPr>
              <w:t xml:space="preserve">$26,831 </w:t>
            </w:r>
          </w:p>
        </w:tc>
      </w:tr>
      <w:tr w14:paraId="47353904"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78CD81A9"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7EF43A7C" w14:textId="77777777">
            <w:pPr>
              <w:spacing w:after="0"/>
              <w:ind w:firstLine="0"/>
              <w:rPr>
                <w:rFonts w:cs="Arial"/>
                <w:bCs/>
                <w:color w:val="000000"/>
                <w:sz w:val="20"/>
              </w:rPr>
            </w:pPr>
            <w:r w:rsidRPr="00DD2AB0">
              <w:rPr>
                <w:rFonts w:cs="Arial"/>
                <w:bCs/>
                <w:color w:val="000000"/>
                <w:sz w:val="20"/>
              </w:rPr>
              <w:t>4) Information to Physicians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7A749E41" w14:textId="77777777">
            <w:pPr>
              <w:spacing w:after="0"/>
              <w:ind w:firstLine="0"/>
              <w:rPr>
                <w:rFonts w:cs="Arial"/>
                <w:bCs/>
                <w:color w:val="000000"/>
                <w:sz w:val="20"/>
              </w:rPr>
            </w:pPr>
            <w:r w:rsidRPr="00DD2AB0">
              <w:rPr>
                <w:rFonts w:cs="Arial"/>
                <w:bCs/>
                <w:color w:val="000000"/>
                <w:sz w:val="20"/>
              </w:rPr>
              <w:t>2,830</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66E82384"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72A75B30" w14:textId="77777777">
            <w:pPr>
              <w:spacing w:after="0"/>
              <w:ind w:firstLine="0"/>
              <w:rPr>
                <w:rFonts w:cs="Arial"/>
                <w:bCs/>
                <w:color w:val="000000"/>
                <w:sz w:val="20"/>
              </w:rPr>
            </w:pPr>
            <w:r w:rsidRPr="00DD2AB0">
              <w:rPr>
                <w:rFonts w:cs="Arial"/>
                <w:bCs/>
                <w:color w:val="000000"/>
                <w:sz w:val="20"/>
              </w:rPr>
              <w:t>10.32</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19623148" w14:textId="77777777">
            <w:pPr>
              <w:spacing w:after="0"/>
              <w:ind w:firstLine="0"/>
              <w:rPr>
                <w:rFonts w:cs="Arial"/>
                <w:bCs/>
                <w:color w:val="000000"/>
                <w:sz w:val="20"/>
              </w:rPr>
            </w:pPr>
            <w:r w:rsidRPr="00DD2AB0">
              <w:rPr>
                <w:rFonts w:cs="Arial"/>
                <w:bCs/>
                <w:color w:val="000000"/>
                <w:sz w:val="20"/>
              </w:rPr>
              <w:t>248</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67095FE9"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6DB155CB" w14:textId="77777777">
            <w:pPr>
              <w:spacing w:after="0"/>
              <w:ind w:firstLine="0"/>
              <w:rPr>
                <w:rFonts w:cs="Arial"/>
                <w:bCs/>
                <w:color w:val="000000"/>
                <w:sz w:val="20"/>
              </w:rPr>
            </w:pPr>
            <w:r w:rsidRPr="00DD2AB0">
              <w:rPr>
                <w:rFonts w:cs="Arial"/>
                <w:bCs/>
                <w:color w:val="000000"/>
                <w:sz w:val="20"/>
              </w:rPr>
              <w:t xml:space="preserve">$9,111 </w:t>
            </w:r>
          </w:p>
        </w:tc>
      </w:tr>
      <w:tr w14:paraId="0E837E8A"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5FD93A6C"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2BA3379F" w14:textId="77777777">
            <w:pPr>
              <w:spacing w:after="0"/>
              <w:ind w:firstLine="0"/>
              <w:rPr>
                <w:rFonts w:cs="Arial"/>
                <w:bCs/>
                <w:color w:val="000000"/>
                <w:sz w:val="20"/>
              </w:rPr>
            </w:pPr>
            <w:r w:rsidRPr="00DD2AB0">
              <w:rPr>
                <w:rFonts w:cs="Arial"/>
                <w:bCs/>
                <w:color w:val="000000"/>
                <w:sz w:val="20"/>
              </w:rPr>
              <w:t>5) Physician’s Written Opinion</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2F99A84D" w14:textId="77777777">
            <w:pPr>
              <w:spacing w:after="0"/>
              <w:ind w:firstLine="0"/>
              <w:rPr>
                <w:rFonts w:cs="Arial"/>
                <w:bCs/>
                <w:color w:val="000000"/>
                <w:sz w:val="20"/>
              </w:rPr>
            </w:pPr>
            <w:r w:rsidRPr="00DD2AB0">
              <w:rPr>
                <w:rFonts w:cs="Arial"/>
                <w:bCs/>
                <w:color w:val="000000"/>
                <w:sz w:val="20"/>
              </w:rPr>
              <w:t>2,830</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4DA6E23"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3ABFF83A" w14:textId="77777777">
            <w:pPr>
              <w:spacing w:after="0"/>
              <w:ind w:firstLine="0"/>
              <w:rPr>
                <w:rFonts w:cs="Arial"/>
                <w:bCs/>
                <w:color w:val="000000"/>
                <w:sz w:val="20"/>
              </w:rPr>
            </w:pPr>
            <w:r w:rsidRPr="00DD2AB0">
              <w:rPr>
                <w:rFonts w:cs="Arial"/>
                <w:bCs/>
                <w:color w:val="000000"/>
                <w:sz w:val="20"/>
              </w:rPr>
              <w:t>9.83</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71A295CB" w14:textId="77777777">
            <w:pPr>
              <w:spacing w:after="0"/>
              <w:ind w:firstLine="0"/>
              <w:rPr>
                <w:rFonts w:cs="Arial"/>
                <w:bCs/>
                <w:color w:val="000000"/>
                <w:sz w:val="20"/>
              </w:rPr>
            </w:pPr>
            <w:r w:rsidRPr="00DD2AB0">
              <w:rPr>
                <w:rFonts w:cs="Arial"/>
                <w:bCs/>
                <w:color w:val="000000"/>
                <w:sz w:val="20"/>
              </w:rPr>
              <w:t>236</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5598CF4"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57811806" w14:textId="77777777">
            <w:pPr>
              <w:spacing w:after="0"/>
              <w:ind w:firstLine="0"/>
              <w:rPr>
                <w:rFonts w:cs="Arial"/>
                <w:bCs/>
                <w:color w:val="000000"/>
                <w:sz w:val="20"/>
              </w:rPr>
            </w:pPr>
            <w:r w:rsidRPr="00DD2AB0">
              <w:rPr>
                <w:rFonts w:cs="Arial"/>
                <w:bCs/>
                <w:color w:val="000000"/>
                <w:sz w:val="20"/>
              </w:rPr>
              <w:t xml:space="preserve">$8,677 </w:t>
            </w:r>
          </w:p>
        </w:tc>
      </w:tr>
      <w:tr w14:paraId="4C3C64A1" w14:textId="77777777" w:rsidTr="00FA5C9E">
        <w:tblPrEx>
          <w:tblW w:w="13622" w:type="dxa"/>
          <w:tblInd w:w="-100" w:type="dxa"/>
          <w:tblLayout w:type="fixed"/>
          <w:tblLook w:val="04A0"/>
        </w:tblPrEx>
        <w:trPr>
          <w:gridBefore w:val="1"/>
          <w:gridAfter w:val="1"/>
          <w:wBefore w:w="88" w:type="dxa"/>
          <w:wAfter w:w="625" w:type="dxa"/>
          <w:trHeight w:val="300"/>
        </w:trPr>
        <w:tc>
          <w:tcPr>
            <w:tcW w:w="700" w:type="dxa"/>
            <w:tcBorders>
              <w:top w:val="nil"/>
              <w:left w:val="single" w:sz="12" w:space="0" w:color="auto"/>
              <w:bottom w:val="single" w:sz="8" w:space="0" w:color="auto"/>
              <w:right w:val="nil"/>
            </w:tcBorders>
            <w:shd w:val="clear" w:color="auto" w:fill="auto"/>
            <w:noWrap/>
            <w:vAlign w:val="center"/>
            <w:hideMark/>
          </w:tcPr>
          <w:p w:rsidR="00DD2AB0" w:rsidRPr="00DD2AB0" w:rsidP="00DD2AB0" w14:paraId="659A3E3C"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single" w:sz="8" w:space="0" w:color="auto"/>
              <w:right w:val="single" w:sz="8" w:space="0" w:color="000000" w:themeColor="text1"/>
            </w:tcBorders>
            <w:shd w:val="clear" w:color="auto" w:fill="auto"/>
            <w:noWrap/>
            <w:vAlign w:val="center"/>
            <w:hideMark/>
          </w:tcPr>
          <w:p w:rsidR="00DD2AB0" w:rsidRPr="00DD2AB0" w:rsidP="00DD2AB0" w14:paraId="69527649" w14:textId="77777777">
            <w:pPr>
              <w:spacing w:after="0"/>
              <w:ind w:firstLine="0"/>
              <w:rPr>
                <w:rFonts w:cs="Arial"/>
                <w:bCs/>
                <w:color w:val="000000"/>
                <w:sz w:val="20"/>
              </w:rPr>
            </w:pPr>
            <w:r w:rsidRPr="00DD2AB0">
              <w:rPr>
                <w:rFonts w:cs="Arial"/>
                <w:bCs/>
                <w:color w:val="000000"/>
                <w:sz w:val="20"/>
              </w:rPr>
              <w:t>6) Maintain Exam Records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1B90BD57" w14:textId="77777777">
            <w:pPr>
              <w:spacing w:after="0"/>
              <w:ind w:firstLine="0"/>
              <w:rPr>
                <w:rFonts w:cs="Arial"/>
                <w:bCs/>
                <w:color w:val="000000"/>
                <w:sz w:val="20"/>
              </w:rPr>
            </w:pPr>
            <w:r w:rsidRPr="00DD2AB0">
              <w:rPr>
                <w:rFonts w:cs="Arial"/>
                <w:bCs/>
                <w:color w:val="000000"/>
                <w:sz w:val="20"/>
              </w:rPr>
              <w:t>2,830</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1ABC7EE3"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4C5C7A7E" w14:textId="77777777">
            <w:pPr>
              <w:spacing w:after="0"/>
              <w:ind w:firstLine="0"/>
              <w:rPr>
                <w:rFonts w:cs="Arial"/>
                <w:bCs/>
                <w:color w:val="000000"/>
                <w:sz w:val="20"/>
              </w:rPr>
            </w:pPr>
            <w:r w:rsidRPr="00DD2AB0">
              <w:rPr>
                <w:rFonts w:cs="Arial"/>
                <w:bCs/>
                <w:color w:val="000000"/>
                <w:sz w:val="20"/>
              </w:rPr>
              <w:t>9.83</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12D41E2D" w14:textId="77777777">
            <w:pPr>
              <w:spacing w:after="0"/>
              <w:ind w:firstLine="0"/>
              <w:rPr>
                <w:rFonts w:cs="Arial"/>
                <w:bCs/>
                <w:color w:val="000000"/>
                <w:sz w:val="20"/>
              </w:rPr>
            </w:pPr>
            <w:r w:rsidRPr="00DD2AB0">
              <w:rPr>
                <w:rFonts w:cs="Arial"/>
                <w:bCs/>
                <w:color w:val="000000"/>
                <w:sz w:val="20"/>
              </w:rPr>
              <w:t>236</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6E965520"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84C8FFC" w14:textId="77777777">
            <w:pPr>
              <w:spacing w:after="0"/>
              <w:ind w:firstLine="0"/>
              <w:rPr>
                <w:rFonts w:cs="Arial"/>
                <w:bCs/>
                <w:color w:val="000000"/>
                <w:sz w:val="20"/>
              </w:rPr>
            </w:pPr>
            <w:r w:rsidRPr="00DD2AB0">
              <w:rPr>
                <w:rFonts w:cs="Arial"/>
                <w:bCs/>
                <w:color w:val="000000"/>
                <w:sz w:val="20"/>
              </w:rPr>
              <w:t xml:space="preserve">$8,677 </w:t>
            </w:r>
          </w:p>
        </w:tc>
      </w:tr>
      <w:tr w14:paraId="0EB007B0"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12" w:space="0" w:color="auto"/>
              <w:bottom w:val="single" w:sz="8" w:space="0" w:color="auto"/>
              <w:right w:val="single" w:sz="8" w:space="0" w:color="000000" w:themeColor="text1"/>
            </w:tcBorders>
            <w:shd w:val="clear" w:color="auto" w:fill="auto"/>
            <w:noWrap/>
            <w:vAlign w:val="center"/>
            <w:hideMark/>
          </w:tcPr>
          <w:p w:rsidR="00DD2AB0" w:rsidRPr="00DD2AB0" w:rsidP="00DD2AB0" w14:paraId="43ED432A" w14:textId="77777777">
            <w:pPr>
              <w:spacing w:after="0"/>
              <w:ind w:firstLine="0"/>
              <w:rPr>
                <w:rFonts w:cs="Arial"/>
                <w:bCs/>
                <w:color w:val="000000"/>
                <w:sz w:val="20"/>
              </w:rPr>
            </w:pPr>
            <w:r w:rsidRPr="00DD2AB0">
              <w:rPr>
                <w:rFonts w:cs="Arial"/>
                <w:bCs/>
                <w:color w:val="000000"/>
                <w:sz w:val="20"/>
              </w:rPr>
              <w:t>Subtotal, Medical Surveillance</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AB0" w:rsidRPr="00DD2AB0" w:rsidP="00DD2AB0" w14:paraId="00367176" w14:textId="77777777">
            <w:pPr>
              <w:spacing w:after="0"/>
              <w:ind w:firstLine="0"/>
              <w:rPr>
                <w:rFonts w:cs="Arial"/>
                <w:bCs/>
                <w:color w:val="000000"/>
                <w:sz w:val="20"/>
              </w:rPr>
            </w:pPr>
            <w:r w:rsidRPr="00DD2AB0">
              <w:rPr>
                <w:rFonts w:cs="Arial"/>
                <w:bCs/>
                <w:color w:val="000000"/>
                <w:sz w:val="20"/>
              </w:rPr>
              <w:t>14,150</w:t>
            </w:r>
          </w:p>
        </w:tc>
        <w:tc>
          <w:tcPr>
            <w:tcW w:w="1460"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43AB6F1E"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22D2B508" w14:textId="77777777">
            <w:pPr>
              <w:spacing w:after="0"/>
              <w:ind w:firstLine="0"/>
              <w:rPr>
                <w:rFonts w:cs="Arial"/>
                <w:bCs/>
                <w:color w:val="000000"/>
                <w:sz w:val="20"/>
              </w:rPr>
            </w:pPr>
            <w:r w:rsidRPr="00DD2AB0">
              <w:rPr>
                <w:rFonts w:cs="Arial"/>
                <w:bCs/>
                <w:color w:val="000000"/>
                <w:sz w:val="20"/>
              </w:rPr>
              <w:t>141.12</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0877C1AF" w14:textId="77777777">
            <w:pPr>
              <w:spacing w:after="0"/>
              <w:ind w:firstLine="0"/>
              <w:rPr>
                <w:rFonts w:cs="Arial"/>
                <w:bCs/>
                <w:color w:val="000000"/>
                <w:sz w:val="20"/>
              </w:rPr>
            </w:pPr>
            <w:r w:rsidRPr="00DD2AB0">
              <w:rPr>
                <w:rFonts w:cs="Arial"/>
                <w:bCs/>
                <w:color w:val="000000"/>
                <w:sz w:val="20"/>
              </w:rPr>
              <w:t>3,387</w:t>
            </w:r>
          </w:p>
        </w:tc>
        <w:tc>
          <w:tcPr>
            <w:tcW w:w="1131"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754E1EE1" w14:textId="77777777">
            <w:pPr>
              <w:spacing w:after="0"/>
              <w:ind w:firstLine="0"/>
              <w:rPr>
                <w:rFonts w:cs="Arial"/>
                <w:bCs/>
                <w:color w:val="000000"/>
                <w:sz w:val="20"/>
              </w:rPr>
            </w:pPr>
            <w:r w:rsidRPr="00DD2AB0">
              <w:rPr>
                <w:rFonts w:cs="Arial"/>
                <w:bCs/>
                <w:color w:val="000000"/>
                <w:sz w:val="20"/>
              </w:rPr>
              <w:t xml:space="preserve">$52.72 </w:t>
            </w:r>
          </w:p>
        </w:tc>
        <w:tc>
          <w:tcPr>
            <w:tcW w:w="1443"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51038271" w14:textId="77777777">
            <w:pPr>
              <w:spacing w:after="0"/>
              <w:ind w:firstLine="0"/>
              <w:rPr>
                <w:rFonts w:cs="Arial"/>
                <w:bCs/>
                <w:color w:val="000000"/>
                <w:sz w:val="20"/>
              </w:rPr>
            </w:pPr>
            <w:r w:rsidRPr="00DD2AB0">
              <w:rPr>
                <w:rFonts w:cs="Arial"/>
                <w:bCs/>
                <w:color w:val="000000"/>
                <w:sz w:val="20"/>
              </w:rPr>
              <w:t xml:space="preserve">$178,543 </w:t>
            </w:r>
          </w:p>
        </w:tc>
      </w:tr>
      <w:tr w14:paraId="61AA68E0"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single" w:sz="8" w:space="0" w:color="auto"/>
              <w:left w:val="single" w:sz="12" w:space="0" w:color="auto"/>
              <w:bottom w:val="nil"/>
              <w:right w:val="single" w:sz="8" w:space="0" w:color="000000" w:themeColor="text1"/>
            </w:tcBorders>
            <w:shd w:val="clear" w:color="auto" w:fill="auto"/>
            <w:noWrap/>
            <w:vAlign w:val="center"/>
            <w:hideMark/>
          </w:tcPr>
          <w:p w:rsidR="00DD2AB0" w:rsidRPr="00DD2AB0" w:rsidP="00DD2AB0" w14:paraId="1223AE3A" w14:textId="77777777">
            <w:pPr>
              <w:spacing w:after="0"/>
              <w:ind w:firstLine="0"/>
              <w:rPr>
                <w:rFonts w:cs="Arial"/>
                <w:bCs/>
                <w:color w:val="000000"/>
                <w:sz w:val="20"/>
              </w:rPr>
            </w:pPr>
            <w:r w:rsidRPr="00DD2AB0">
              <w:rPr>
                <w:rFonts w:cs="Arial"/>
                <w:bCs/>
                <w:color w:val="000000"/>
                <w:sz w:val="20"/>
              </w:rPr>
              <w:t>G) Access to Records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7DDF9EE3"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06DF7709"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45E63E74"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2CF6CC19"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13009A66"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9300131" w14:textId="77777777">
            <w:pPr>
              <w:spacing w:after="0"/>
              <w:ind w:firstLine="0"/>
              <w:rPr>
                <w:rFonts w:cs="Arial"/>
                <w:bCs/>
                <w:color w:val="000000"/>
                <w:sz w:val="20"/>
              </w:rPr>
            </w:pPr>
            <w:r w:rsidRPr="00DD2AB0">
              <w:rPr>
                <w:rFonts w:cs="Arial"/>
                <w:bCs/>
                <w:color w:val="000000"/>
                <w:sz w:val="20"/>
              </w:rPr>
              <w:t> </w:t>
            </w:r>
          </w:p>
        </w:tc>
      </w:tr>
      <w:tr w14:paraId="31016B8E"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61863C6E"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75C926BE" w14:textId="77777777">
            <w:pPr>
              <w:spacing w:after="0"/>
              <w:ind w:firstLine="0"/>
              <w:rPr>
                <w:rFonts w:cs="Arial"/>
                <w:bCs/>
                <w:color w:val="000000"/>
                <w:sz w:val="20"/>
              </w:rPr>
            </w:pPr>
            <w:r w:rsidRPr="00DD2AB0">
              <w:rPr>
                <w:rFonts w:cs="Arial"/>
                <w:bCs/>
                <w:color w:val="000000"/>
                <w:sz w:val="20"/>
              </w:rPr>
              <w:t>1) Employee Access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40E03E9C" w14:textId="77777777">
            <w:pPr>
              <w:spacing w:after="0"/>
              <w:ind w:firstLine="0"/>
              <w:rPr>
                <w:rFonts w:cs="Arial"/>
                <w:bCs/>
                <w:color w:val="000000"/>
                <w:sz w:val="20"/>
              </w:rPr>
            </w:pPr>
            <w:r w:rsidRPr="00DD2AB0">
              <w:rPr>
                <w:rFonts w:cs="Arial"/>
                <w:bCs/>
                <w:color w:val="000000"/>
                <w:sz w:val="20"/>
              </w:rPr>
              <w:t>5,412</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75CEBC9D"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1726B9FD" w14:textId="77777777">
            <w:pPr>
              <w:spacing w:after="0"/>
              <w:ind w:firstLine="0"/>
              <w:rPr>
                <w:rFonts w:cs="Arial"/>
                <w:bCs/>
                <w:color w:val="000000"/>
                <w:sz w:val="20"/>
              </w:rPr>
            </w:pPr>
            <w:r w:rsidRPr="00DD2AB0">
              <w:rPr>
                <w:rFonts w:cs="Arial"/>
                <w:bCs/>
                <w:color w:val="000000"/>
                <w:sz w:val="20"/>
              </w:rPr>
              <w:t>18.79</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43B9E891" w14:textId="77777777">
            <w:pPr>
              <w:spacing w:after="0"/>
              <w:ind w:firstLine="0"/>
              <w:rPr>
                <w:rFonts w:cs="Arial"/>
                <w:bCs/>
                <w:color w:val="000000"/>
                <w:sz w:val="20"/>
              </w:rPr>
            </w:pPr>
            <w:r w:rsidRPr="00DD2AB0">
              <w:rPr>
                <w:rFonts w:cs="Arial"/>
                <w:bCs/>
                <w:color w:val="000000"/>
                <w:sz w:val="20"/>
              </w:rPr>
              <w:t>451</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4E1BCB5B"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B55433E" w14:textId="77777777">
            <w:pPr>
              <w:spacing w:after="0"/>
              <w:ind w:firstLine="0"/>
              <w:rPr>
                <w:rFonts w:cs="Arial"/>
                <w:bCs/>
                <w:color w:val="000000"/>
                <w:sz w:val="20"/>
              </w:rPr>
            </w:pPr>
            <w:r w:rsidRPr="00DD2AB0">
              <w:rPr>
                <w:rFonts w:cs="Arial"/>
                <w:bCs/>
                <w:color w:val="000000"/>
                <w:sz w:val="20"/>
              </w:rPr>
              <w:t xml:space="preserve">$16,594 </w:t>
            </w:r>
          </w:p>
        </w:tc>
      </w:tr>
      <w:tr w14:paraId="76AC40C5"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1E87EBBF"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5F6BCAF6" w14:textId="77777777">
            <w:pPr>
              <w:spacing w:after="0"/>
              <w:ind w:firstLine="0"/>
              <w:rPr>
                <w:rFonts w:cs="Arial"/>
                <w:bCs/>
                <w:color w:val="000000"/>
                <w:sz w:val="20"/>
              </w:rPr>
            </w:pPr>
            <w:r w:rsidRPr="00DD2AB0">
              <w:rPr>
                <w:rFonts w:cs="Arial"/>
                <w:bCs/>
                <w:color w:val="000000"/>
                <w:sz w:val="20"/>
              </w:rPr>
              <w:t>2) EPA Access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455631A2"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16BAEDC5"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1C4050D9"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6A6A43BC"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9B57843"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1D36A93" w14:textId="77777777">
            <w:pPr>
              <w:spacing w:after="0"/>
              <w:ind w:firstLine="0"/>
              <w:rPr>
                <w:rFonts w:cs="Arial"/>
                <w:bCs/>
                <w:color w:val="000000"/>
                <w:sz w:val="20"/>
              </w:rPr>
            </w:pPr>
            <w:r w:rsidRPr="00DD2AB0">
              <w:rPr>
                <w:rFonts w:cs="Arial"/>
                <w:bCs/>
                <w:color w:val="000000"/>
                <w:sz w:val="20"/>
              </w:rPr>
              <w:t> </w:t>
            </w:r>
          </w:p>
        </w:tc>
      </w:tr>
      <w:tr w14:paraId="2E1E063E"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493DCEAF"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632EF8FF"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1C133E48" w14:textId="77777777">
            <w:pPr>
              <w:spacing w:after="0"/>
              <w:ind w:firstLine="0"/>
              <w:rPr>
                <w:rFonts w:cs="Arial"/>
                <w:bCs/>
                <w:color w:val="000000"/>
                <w:sz w:val="20"/>
              </w:rPr>
            </w:pPr>
            <w:r w:rsidRPr="00DD2AB0">
              <w:rPr>
                <w:rFonts w:cs="Arial"/>
                <w:bCs/>
                <w:color w:val="000000"/>
                <w:sz w:val="20"/>
              </w:rPr>
              <w:t>a) Construction</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29491C5C" w14:textId="77777777">
            <w:pPr>
              <w:spacing w:after="0"/>
              <w:ind w:firstLine="0"/>
              <w:rPr>
                <w:rFonts w:cs="Arial"/>
                <w:bCs/>
                <w:color w:val="000000"/>
                <w:sz w:val="20"/>
              </w:rPr>
            </w:pPr>
            <w:r w:rsidRPr="00DD2AB0">
              <w:rPr>
                <w:rFonts w:cs="Arial"/>
                <w:bCs/>
                <w:color w:val="000000"/>
                <w:sz w:val="20"/>
              </w:rPr>
              <w:t>9,061</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74D1C4D8"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2E7980FD" w14:textId="77777777">
            <w:pPr>
              <w:spacing w:after="0"/>
              <w:ind w:firstLine="0"/>
              <w:rPr>
                <w:rFonts w:cs="Arial"/>
                <w:bCs/>
                <w:color w:val="000000"/>
                <w:sz w:val="20"/>
              </w:rPr>
            </w:pPr>
            <w:r w:rsidRPr="00DD2AB0">
              <w:rPr>
                <w:rFonts w:cs="Arial"/>
                <w:bCs/>
                <w:color w:val="000000"/>
                <w:sz w:val="20"/>
              </w:rPr>
              <w:t>31.46</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065640C2" w14:textId="77777777">
            <w:pPr>
              <w:spacing w:after="0"/>
              <w:ind w:firstLine="0"/>
              <w:rPr>
                <w:rFonts w:cs="Arial"/>
                <w:bCs/>
                <w:color w:val="000000"/>
                <w:sz w:val="20"/>
              </w:rPr>
            </w:pPr>
            <w:r w:rsidRPr="00DD2AB0">
              <w:rPr>
                <w:rFonts w:cs="Arial"/>
                <w:bCs/>
                <w:color w:val="000000"/>
                <w:sz w:val="20"/>
              </w:rPr>
              <w:t>755</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35FEF399" w14:textId="77777777">
            <w:pPr>
              <w:spacing w:after="0"/>
              <w:ind w:firstLine="0"/>
              <w:rPr>
                <w:rFonts w:cs="Arial"/>
                <w:bCs/>
                <w:color w:val="000000"/>
                <w:sz w:val="20"/>
              </w:rPr>
            </w:pPr>
            <w:r w:rsidRPr="00DD2AB0">
              <w:rPr>
                <w:rFonts w:cs="Arial"/>
                <w:bCs/>
                <w:color w:val="000000"/>
                <w:sz w:val="20"/>
              </w:rPr>
              <w:t xml:space="preserve">$51.80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0D3F300" w14:textId="77777777">
            <w:pPr>
              <w:spacing w:after="0"/>
              <w:ind w:firstLine="0"/>
              <w:rPr>
                <w:rFonts w:cs="Arial"/>
                <w:bCs/>
                <w:color w:val="000000"/>
                <w:sz w:val="20"/>
              </w:rPr>
            </w:pPr>
            <w:r w:rsidRPr="00DD2AB0">
              <w:rPr>
                <w:rFonts w:cs="Arial"/>
                <w:bCs/>
                <w:color w:val="000000"/>
                <w:sz w:val="20"/>
              </w:rPr>
              <w:t xml:space="preserve">$39,111 </w:t>
            </w:r>
          </w:p>
        </w:tc>
      </w:tr>
      <w:tr w14:paraId="349E6AD7" w14:textId="77777777" w:rsidTr="00FA5C9E">
        <w:tblPrEx>
          <w:tblW w:w="13622" w:type="dxa"/>
          <w:tblInd w:w="-100" w:type="dxa"/>
          <w:tblLayout w:type="fixed"/>
          <w:tblLook w:val="04A0"/>
        </w:tblPrEx>
        <w:trPr>
          <w:gridBefore w:val="1"/>
          <w:gridAfter w:val="1"/>
          <w:wBefore w:w="88" w:type="dxa"/>
          <w:wAfter w:w="625" w:type="dxa"/>
          <w:trHeight w:val="300"/>
        </w:trPr>
        <w:tc>
          <w:tcPr>
            <w:tcW w:w="700" w:type="dxa"/>
            <w:tcBorders>
              <w:top w:val="nil"/>
              <w:left w:val="single" w:sz="12" w:space="0" w:color="auto"/>
              <w:bottom w:val="single" w:sz="8" w:space="0" w:color="auto"/>
              <w:right w:val="nil"/>
            </w:tcBorders>
            <w:shd w:val="clear" w:color="auto" w:fill="auto"/>
            <w:noWrap/>
            <w:vAlign w:val="center"/>
            <w:hideMark/>
          </w:tcPr>
          <w:p w:rsidR="00DD2AB0" w:rsidRPr="00DD2AB0" w:rsidP="00DD2AB0" w14:paraId="50E237B0"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single" w:sz="8" w:space="0" w:color="auto"/>
              <w:right w:val="nil"/>
            </w:tcBorders>
            <w:shd w:val="clear" w:color="auto" w:fill="auto"/>
            <w:noWrap/>
            <w:vAlign w:val="center"/>
            <w:hideMark/>
          </w:tcPr>
          <w:p w:rsidR="00DD2AB0" w:rsidRPr="00DD2AB0" w:rsidP="00DD2AB0" w14:paraId="117F3980" w14:textId="77777777">
            <w:pPr>
              <w:spacing w:after="0"/>
              <w:ind w:firstLine="0"/>
              <w:rPr>
                <w:rFonts w:cs="Arial"/>
                <w:bCs/>
                <w:color w:val="000000"/>
                <w:sz w:val="20"/>
              </w:rPr>
            </w:pPr>
            <w:r w:rsidRPr="00DD2AB0">
              <w:rPr>
                <w:rFonts w:cs="Arial"/>
                <w:bCs/>
                <w:color w:val="000000"/>
                <w:sz w:val="20"/>
              </w:rPr>
              <w:t> </w:t>
            </w:r>
          </w:p>
        </w:tc>
        <w:tc>
          <w:tcPr>
            <w:tcW w:w="3608" w:type="dxa"/>
            <w:gridSpan w:val="2"/>
            <w:tcBorders>
              <w:top w:val="nil"/>
              <w:left w:val="nil"/>
              <w:bottom w:val="single" w:sz="8" w:space="0" w:color="auto"/>
              <w:right w:val="single" w:sz="8" w:space="0" w:color="auto"/>
            </w:tcBorders>
            <w:shd w:val="clear" w:color="auto" w:fill="auto"/>
            <w:noWrap/>
            <w:vAlign w:val="center"/>
            <w:hideMark/>
          </w:tcPr>
          <w:p w:rsidR="00DD2AB0" w:rsidRPr="00DD2AB0" w:rsidP="00DD2AB0" w14:paraId="58CD9FD1" w14:textId="77777777">
            <w:pPr>
              <w:spacing w:after="0"/>
              <w:ind w:firstLine="0"/>
              <w:rPr>
                <w:rFonts w:cs="Arial"/>
                <w:bCs/>
                <w:color w:val="000000"/>
                <w:sz w:val="20"/>
              </w:rPr>
            </w:pPr>
            <w:r w:rsidRPr="00DD2AB0">
              <w:rPr>
                <w:rFonts w:cs="Arial"/>
                <w:bCs/>
                <w:color w:val="000000"/>
                <w:sz w:val="20"/>
              </w:rPr>
              <w:t>b) Brake and Clutch Repair</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6378F73B" w14:textId="77777777">
            <w:pPr>
              <w:spacing w:after="0"/>
              <w:ind w:firstLine="0"/>
              <w:rPr>
                <w:rFonts w:cs="Arial"/>
                <w:bCs/>
                <w:color w:val="000000"/>
                <w:sz w:val="20"/>
              </w:rPr>
            </w:pPr>
            <w:r w:rsidRPr="00DD2AB0">
              <w:rPr>
                <w:rFonts w:cs="Arial"/>
                <w:bCs/>
                <w:color w:val="000000"/>
                <w:sz w:val="20"/>
              </w:rPr>
              <w:t>53</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2B17843"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5D5F7668" w14:textId="77777777">
            <w:pPr>
              <w:spacing w:after="0"/>
              <w:ind w:firstLine="0"/>
              <w:rPr>
                <w:rFonts w:cs="Arial"/>
                <w:bCs/>
                <w:color w:val="000000"/>
                <w:sz w:val="20"/>
              </w:rPr>
            </w:pPr>
            <w:r w:rsidRPr="00DD2AB0">
              <w:rPr>
                <w:rFonts w:cs="Arial"/>
                <w:bCs/>
                <w:color w:val="000000"/>
                <w:sz w:val="20"/>
              </w:rPr>
              <w:t>0.18</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324E6C58" w14:textId="77777777">
            <w:pPr>
              <w:spacing w:after="0"/>
              <w:ind w:firstLine="0"/>
              <w:rPr>
                <w:rFonts w:cs="Arial"/>
                <w:bCs/>
                <w:color w:val="000000"/>
                <w:sz w:val="20"/>
              </w:rPr>
            </w:pPr>
            <w:r w:rsidRPr="00DD2AB0">
              <w:rPr>
                <w:rFonts w:cs="Arial"/>
                <w:bCs/>
                <w:color w:val="000000"/>
                <w:sz w:val="20"/>
              </w:rPr>
              <w:t>4</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059F296A" w14:textId="77777777">
            <w:pPr>
              <w:spacing w:after="0"/>
              <w:ind w:firstLine="0"/>
              <w:rPr>
                <w:rFonts w:cs="Arial"/>
                <w:bCs/>
                <w:color w:val="000000"/>
                <w:sz w:val="20"/>
              </w:rPr>
            </w:pPr>
            <w:r w:rsidRPr="00DD2AB0">
              <w:rPr>
                <w:rFonts w:cs="Arial"/>
                <w:bCs/>
                <w:color w:val="000000"/>
                <w:sz w:val="20"/>
              </w:rPr>
              <w:t xml:space="preserve">$51.40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460478E3" w14:textId="77777777">
            <w:pPr>
              <w:spacing w:after="0"/>
              <w:ind w:firstLine="0"/>
              <w:rPr>
                <w:rFonts w:cs="Arial"/>
                <w:bCs/>
                <w:color w:val="000000"/>
                <w:sz w:val="20"/>
              </w:rPr>
            </w:pPr>
            <w:r w:rsidRPr="00DD2AB0">
              <w:rPr>
                <w:rFonts w:cs="Arial"/>
                <w:bCs/>
                <w:color w:val="000000"/>
                <w:sz w:val="20"/>
              </w:rPr>
              <w:t xml:space="preserve">$222 </w:t>
            </w:r>
          </w:p>
        </w:tc>
      </w:tr>
      <w:tr w14:paraId="3D1DA469"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12" w:space="0" w:color="auto"/>
              <w:bottom w:val="single" w:sz="8" w:space="0" w:color="auto"/>
              <w:right w:val="single" w:sz="8" w:space="0" w:color="000000" w:themeColor="text1"/>
            </w:tcBorders>
            <w:shd w:val="clear" w:color="auto" w:fill="auto"/>
            <w:noWrap/>
            <w:vAlign w:val="center"/>
            <w:hideMark/>
          </w:tcPr>
          <w:p w:rsidR="00DD2AB0" w:rsidRPr="00DD2AB0" w:rsidP="00DD2AB0" w14:paraId="3C7593CC" w14:textId="77777777">
            <w:pPr>
              <w:spacing w:after="0"/>
              <w:ind w:firstLine="0"/>
              <w:rPr>
                <w:rFonts w:cs="Arial"/>
                <w:bCs/>
                <w:color w:val="000000"/>
                <w:sz w:val="20"/>
              </w:rPr>
            </w:pPr>
            <w:r w:rsidRPr="00DD2AB0">
              <w:rPr>
                <w:rFonts w:cs="Arial"/>
                <w:bCs/>
                <w:color w:val="000000"/>
                <w:sz w:val="20"/>
              </w:rPr>
              <w:t>Subtotal, Access to Records</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AB0" w:rsidRPr="00DD2AB0" w:rsidP="00DD2AB0" w14:paraId="05B3BCD9" w14:textId="77777777">
            <w:pPr>
              <w:spacing w:after="0"/>
              <w:ind w:firstLine="0"/>
              <w:rPr>
                <w:rFonts w:cs="Arial"/>
                <w:bCs/>
                <w:color w:val="000000"/>
                <w:sz w:val="20"/>
              </w:rPr>
            </w:pPr>
            <w:r w:rsidRPr="00DD2AB0">
              <w:rPr>
                <w:rFonts w:cs="Arial"/>
                <w:bCs/>
                <w:color w:val="000000"/>
                <w:sz w:val="20"/>
              </w:rPr>
              <w:t>14,526</w:t>
            </w:r>
          </w:p>
        </w:tc>
        <w:tc>
          <w:tcPr>
            <w:tcW w:w="1460"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5B608C19"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21EB8EEC" w14:textId="77777777">
            <w:pPr>
              <w:spacing w:after="0"/>
              <w:ind w:firstLine="0"/>
              <w:rPr>
                <w:rFonts w:cs="Arial"/>
                <w:bCs/>
                <w:color w:val="000000"/>
                <w:sz w:val="20"/>
              </w:rPr>
            </w:pPr>
            <w:r w:rsidRPr="00DD2AB0">
              <w:rPr>
                <w:rFonts w:cs="Arial"/>
                <w:bCs/>
                <w:color w:val="000000"/>
                <w:sz w:val="20"/>
              </w:rPr>
              <w:t>50.43</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64D6C687" w14:textId="77777777">
            <w:pPr>
              <w:spacing w:after="0"/>
              <w:ind w:firstLine="0"/>
              <w:rPr>
                <w:rFonts w:cs="Arial"/>
                <w:bCs/>
                <w:color w:val="000000"/>
                <w:sz w:val="20"/>
              </w:rPr>
            </w:pPr>
            <w:r w:rsidRPr="00DD2AB0">
              <w:rPr>
                <w:rFonts w:cs="Arial"/>
                <w:bCs/>
                <w:color w:val="000000"/>
                <w:sz w:val="20"/>
              </w:rPr>
              <w:t>1,210</w:t>
            </w:r>
          </w:p>
        </w:tc>
        <w:tc>
          <w:tcPr>
            <w:tcW w:w="1131"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1E8B1E3C" w14:textId="77777777">
            <w:pPr>
              <w:spacing w:after="0"/>
              <w:ind w:firstLine="0"/>
              <w:rPr>
                <w:rFonts w:cs="Arial"/>
                <w:bCs/>
                <w:color w:val="000000"/>
                <w:sz w:val="20"/>
              </w:rPr>
            </w:pPr>
            <w:r w:rsidRPr="00DD2AB0">
              <w:rPr>
                <w:rFonts w:cs="Arial"/>
                <w:bCs/>
                <w:color w:val="000000"/>
                <w:sz w:val="20"/>
              </w:rPr>
              <w:t xml:space="preserve">$46.21 </w:t>
            </w:r>
          </w:p>
        </w:tc>
        <w:tc>
          <w:tcPr>
            <w:tcW w:w="1443" w:type="dxa"/>
            <w:gridSpan w:val="2"/>
            <w:tcBorders>
              <w:top w:val="single" w:sz="8" w:space="0" w:color="auto"/>
              <w:left w:val="nil"/>
              <w:bottom w:val="single" w:sz="8" w:space="0" w:color="auto"/>
              <w:right w:val="single" w:sz="8" w:space="0" w:color="auto"/>
            </w:tcBorders>
            <w:shd w:val="clear" w:color="auto" w:fill="auto"/>
            <w:noWrap/>
            <w:vAlign w:val="center"/>
            <w:hideMark/>
          </w:tcPr>
          <w:p w:rsidR="00DD2AB0" w:rsidRPr="00DD2AB0" w:rsidP="00DD2AB0" w14:paraId="5A139A91" w14:textId="77777777">
            <w:pPr>
              <w:spacing w:after="0"/>
              <w:ind w:firstLine="0"/>
              <w:rPr>
                <w:rFonts w:cs="Arial"/>
                <w:bCs/>
                <w:color w:val="000000"/>
                <w:sz w:val="20"/>
              </w:rPr>
            </w:pPr>
            <w:r w:rsidRPr="00DD2AB0">
              <w:rPr>
                <w:rFonts w:cs="Arial"/>
                <w:bCs/>
                <w:color w:val="000000"/>
                <w:sz w:val="20"/>
              </w:rPr>
              <w:t xml:space="preserve">$55,927 </w:t>
            </w:r>
          </w:p>
        </w:tc>
      </w:tr>
      <w:tr w14:paraId="066ABE25"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single" w:sz="8" w:space="0" w:color="auto"/>
              <w:left w:val="single" w:sz="12" w:space="0" w:color="auto"/>
              <w:bottom w:val="nil"/>
              <w:right w:val="single" w:sz="8" w:space="0" w:color="000000" w:themeColor="text1"/>
            </w:tcBorders>
            <w:shd w:val="clear" w:color="auto" w:fill="auto"/>
            <w:noWrap/>
            <w:vAlign w:val="center"/>
            <w:hideMark/>
          </w:tcPr>
          <w:p w:rsidR="00DD2AB0" w:rsidRPr="00DD2AB0" w:rsidP="00DD2AB0" w14:paraId="35393406" w14:textId="77777777">
            <w:pPr>
              <w:spacing w:after="0"/>
              <w:ind w:firstLine="0"/>
              <w:rPr>
                <w:rFonts w:cs="Arial"/>
                <w:bCs/>
                <w:color w:val="000000"/>
                <w:sz w:val="20"/>
              </w:rPr>
            </w:pPr>
            <w:r w:rsidRPr="00DD2AB0">
              <w:rPr>
                <w:rFonts w:cs="Arial"/>
                <w:bCs/>
                <w:color w:val="000000"/>
                <w:sz w:val="20"/>
              </w:rPr>
              <w:t>H) Competent Person</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6E8DA8E3"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4B94FD15"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2DBDE8C5"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699794BF"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773252A7"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6099C6C1" w14:textId="77777777">
            <w:pPr>
              <w:spacing w:after="0"/>
              <w:ind w:firstLine="0"/>
              <w:rPr>
                <w:rFonts w:cs="Arial"/>
                <w:bCs/>
                <w:color w:val="000000"/>
                <w:sz w:val="20"/>
              </w:rPr>
            </w:pPr>
            <w:r w:rsidRPr="00DD2AB0">
              <w:rPr>
                <w:rFonts w:cs="Arial"/>
                <w:bCs/>
                <w:color w:val="000000"/>
                <w:sz w:val="20"/>
              </w:rPr>
              <w:t> </w:t>
            </w:r>
          </w:p>
        </w:tc>
      </w:tr>
      <w:tr w14:paraId="3E51B379"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480D57B9"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nil"/>
              <w:right w:val="single" w:sz="8" w:space="0" w:color="000000" w:themeColor="text1"/>
            </w:tcBorders>
            <w:shd w:val="clear" w:color="auto" w:fill="auto"/>
            <w:noWrap/>
            <w:vAlign w:val="center"/>
            <w:hideMark/>
          </w:tcPr>
          <w:p w:rsidR="00DD2AB0" w:rsidRPr="00DD2AB0" w:rsidP="00DD2AB0" w14:paraId="42EB3C95" w14:textId="77777777">
            <w:pPr>
              <w:spacing w:after="0"/>
              <w:ind w:firstLine="0"/>
              <w:rPr>
                <w:rFonts w:cs="Arial"/>
                <w:bCs/>
                <w:color w:val="000000"/>
                <w:sz w:val="20"/>
              </w:rPr>
            </w:pPr>
            <w:r w:rsidRPr="00DD2AB0">
              <w:rPr>
                <w:rFonts w:cs="Arial"/>
                <w:bCs/>
                <w:color w:val="000000"/>
                <w:sz w:val="20"/>
              </w:rPr>
              <w:t>1) Training</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557FFAF1"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29CACF16"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6477492B" w14:textId="77777777">
            <w:pPr>
              <w:spacing w:after="0"/>
              <w:ind w:firstLine="0"/>
              <w:rPr>
                <w:rFonts w:cs="Arial"/>
                <w:bCs/>
                <w:color w:val="000000"/>
                <w:sz w:val="20"/>
              </w:rPr>
            </w:pPr>
            <w:r w:rsidRPr="00DD2AB0">
              <w:rPr>
                <w:rFonts w:cs="Arial"/>
                <w:bCs/>
                <w:color w:val="000000"/>
                <w:sz w:val="20"/>
              </w:rPr>
              <w:t> </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4F3EF014"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3C8D19F7"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0C29E563" w14:textId="77777777">
            <w:pPr>
              <w:spacing w:after="0"/>
              <w:ind w:firstLine="0"/>
              <w:rPr>
                <w:rFonts w:cs="Arial"/>
                <w:bCs/>
                <w:color w:val="000000"/>
                <w:sz w:val="20"/>
              </w:rPr>
            </w:pPr>
            <w:r w:rsidRPr="00DD2AB0">
              <w:rPr>
                <w:rFonts w:cs="Arial"/>
                <w:bCs/>
                <w:color w:val="000000"/>
                <w:sz w:val="20"/>
              </w:rPr>
              <w:t> </w:t>
            </w:r>
          </w:p>
        </w:tc>
      </w:tr>
      <w:tr w14:paraId="3C92B09D"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5F5EFEC0"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5A5FE4C3"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2BD804F4" w14:textId="77777777">
            <w:pPr>
              <w:spacing w:after="0"/>
              <w:ind w:firstLine="0"/>
              <w:rPr>
                <w:rFonts w:cs="Arial"/>
                <w:bCs/>
                <w:color w:val="000000"/>
                <w:sz w:val="20"/>
              </w:rPr>
            </w:pPr>
            <w:r w:rsidRPr="00DD2AB0">
              <w:rPr>
                <w:rFonts w:cs="Arial"/>
                <w:bCs/>
                <w:color w:val="000000"/>
                <w:sz w:val="20"/>
              </w:rPr>
              <w:t xml:space="preserve">a) Class II </w:t>
            </w:r>
            <w:r w:rsidRPr="00DD2AB0">
              <w:rPr>
                <w:rFonts w:cs="Arial"/>
                <w:bCs/>
                <w:color w:val="000000"/>
                <w:sz w:val="20"/>
                <w:vertAlign w:val="superscript"/>
              </w:rPr>
              <w:t>b</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1942BEA3" w14:textId="77777777">
            <w:pPr>
              <w:spacing w:after="0"/>
              <w:ind w:firstLine="0"/>
              <w:rPr>
                <w:rFonts w:cs="Arial"/>
                <w:bCs/>
                <w:color w:val="000000"/>
                <w:sz w:val="20"/>
              </w:rPr>
            </w:pPr>
            <w:r w:rsidRPr="00DD2AB0">
              <w:rPr>
                <w:rFonts w:cs="Arial"/>
                <w:bCs/>
                <w:color w:val="000000"/>
                <w:sz w:val="20"/>
              </w:rPr>
              <w:t>626</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30983D52"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5B753EEA" w14:textId="77777777">
            <w:pPr>
              <w:spacing w:after="0"/>
              <w:ind w:firstLine="0"/>
              <w:rPr>
                <w:rFonts w:cs="Arial"/>
                <w:bCs/>
                <w:color w:val="000000"/>
                <w:sz w:val="20"/>
              </w:rPr>
            </w:pPr>
            <w:r w:rsidRPr="00DD2AB0">
              <w:rPr>
                <w:rFonts w:cs="Arial"/>
                <w:bCs/>
                <w:color w:val="000000"/>
                <w:sz w:val="20"/>
              </w:rPr>
              <w:t>365.04</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3BFB85D4" w14:textId="77777777">
            <w:pPr>
              <w:spacing w:after="0"/>
              <w:ind w:firstLine="0"/>
              <w:rPr>
                <w:rFonts w:cs="Arial"/>
                <w:bCs/>
                <w:color w:val="000000"/>
                <w:sz w:val="20"/>
              </w:rPr>
            </w:pPr>
            <w:r w:rsidRPr="00DD2AB0">
              <w:rPr>
                <w:rFonts w:cs="Arial"/>
                <w:bCs/>
                <w:color w:val="000000"/>
                <w:sz w:val="20"/>
              </w:rPr>
              <w:t>8,761</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3B49E24B" w14:textId="77777777">
            <w:pPr>
              <w:spacing w:after="0"/>
              <w:ind w:firstLine="0"/>
              <w:rPr>
                <w:rFonts w:cs="Arial"/>
                <w:bCs/>
                <w:color w:val="000000"/>
                <w:sz w:val="20"/>
              </w:rPr>
            </w:pPr>
            <w:r w:rsidRPr="00DD2AB0">
              <w:rPr>
                <w:rFonts w:cs="Arial"/>
                <w:bCs/>
                <w:color w:val="000000"/>
                <w:sz w:val="20"/>
              </w:rPr>
              <w:t xml:space="preserve">$66.82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1C7B2DA4" w14:textId="77777777">
            <w:pPr>
              <w:spacing w:after="0"/>
              <w:ind w:firstLine="0"/>
              <w:rPr>
                <w:rFonts w:cs="Arial"/>
                <w:bCs/>
                <w:color w:val="000000"/>
                <w:sz w:val="20"/>
              </w:rPr>
            </w:pPr>
            <w:r w:rsidRPr="00DD2AB0">
              <w:rPr>
                <w:rFonts w:cs="Arial"/>
                <w:bCs/>
                <w:color w:val="000000"/>
                <w:sz w:val="20"/>
              </w:rPr>
              <w:t xml:space="preserve">$585,403 </w:t>
            </w:r>
          </w:p>
        </w:tc>
      </w:tr>
      <w:tr w14:paraId="4AF0B157" w14:textId="77777777" w:rsidTr="00FA5C9E">
        <w:tblPrEx>
          <w:tblW w:w="13622" w:type="dxa"/>
          <w:tblInd w:w="-100" w:type="dxa"/>
          <w:tblLayout w:type="fixed"/>
          <w:tblLook w:val="04A0"/>
        </w:tblPrEx>
        <w:trPr>
          <w:gridBefore w:val="1"/>
          <w:gridAfter w:val="1"/>
          <w:wBefore w:w="88" w:type="dxa"/>
          <w:wAfter w:w="625" w:type="dxa"/>
          <w:trHeight w:val="292"/>
        </w:trPr>
        <w:tc>
          <w:tcPr>
            <w:tcW w:w="700" w:type="dxa"/>
            <w:tcBorders>
              <w:top w:val="nil"/>
              <w:left w:val="single" w:sz="12" w:space="0" w:color="auto"/>
              <w:bottom w:val="nil"/>
              <w:right w:val="nil"/>
            </w:tcBorders>
            <w:shd w:val="clear" w:color="auto" w:fill="auto"/>
            <w:noWrap/>
            <w:vAlign w:val="center"/>
            <w:hideMark/>
          </w:tcPr>
          <w:p w:rsidR="00DD2AB0" w:rsidRPr="00DD2AB0" w:rsidP="00DD2AB0" w14:paraId="628E4E2D" w14:textId="77777777">
            <w:pPr>
              <w:spacing w:after="0"/>
              <w:ind w:firstLine="0"/>
              <w:rPr>
                <w:rFonts w:cs="Arial"/>
                <w:bCs/>
                <w:color w:val="000000"/>
                <w:sz w:val="20"/>
              </w:rPr>
            </w:pPr>
            <w:r w:rsidRPr="00DD2AB0">
              <w:rPr>
                <w:rFonts w:cs="Arial"/>
                <w:bCs/>
                <w:color w:val="000000"/>
                <w:sz w:val="20"/>
              </w:rPr>
              <w:t> </w:t>
            </w:r>
          </w:p>
        </w:tc>
        <w:tc>
          <w:tcPr>
            <w:tcW w:w="345" w:type="dxa"/>
            <w:tcBorders>
              <w:top w:val="nil"/>
              <w:left w:val="nil"/>
              <w:bottom w:val="nil"/>
              <w:right w:val="nil"/>
            </w:tcBorders>
            <w:shd w:val="clear" w:color="auto" w:fill="auto"/>
            <w:noWrap/>
            <w:vAlign w:val="bottom"/>
            <w:hideMark/>
          </w:tcPr>
          <w:p w:rsidR="00DD2AB0" w:rsidRPr="00DD2AB0" w:rsidP="00DD2AB0" w14:paraId="0859F7B5" w14:textId="77777777">
            <w:pPr>
              <w:spacing w:after="0"/>
              <w:ind w:firstLine="0"/>
              <w:rPr>
                <w:rFonts w:cs="Arial"/>
                <w:bCs/>
                <w:color w:val="000000"/>
                <w:sz w:val="20"/>
              </w:rPr>
            </w:pPr>
          </w:p>
        </w:tc>
        <w:tc>
          <w:tcPr>
            <w:tcW w:w="3608" w:type="dxa"/>
            <w:gridSpan w:val="2"/>
            <w:tcBorders>
              <w:top w:val="nil"/>
              <w:left w:val="nil"/>
              <w:bottom w:val="nil"/>
              <w:right w:val="single" w:sz="8" w:space="0" w:color="auto"/>
            </w:tcBorders>
            <w:shd w:val="clear" w:color="auto" w:fill="auto"/>
            <w:noWrap/>
            <w:vAlign w:val="center"/>
            <w:hideMark/>
          </w:tcPr>
          <w:p w:rsidR="00DD2AB0" w:rsidRPr="00DD2AB0" w:rsidP="00DD2AB0" w14:paraId="7E8088AE" w14:textId="77777777">
            <w:pPr>
              <w:spacing w:after="0"/>
              <w:ind w:firstLine="0"/>
              <w:rPr>
                <w:rFonts w:cs="Arial"/>
                <w:bCs/>
                <w:color w:val="000000"/>
                <w:sz w:val="20"/>
              </w:rPr>
            </w:pPr>
            <w:r w:rsidRPr="00DD2AB0">
              <w:rPr>
                <w:rFonts w:cs="Arial"/>
                <w:bCs/>
                <w:color w:val="000000"/>
                <w:sz w:val="20"/>
              </w:rPr>
              <w:t xml:space="preserve">b) Class III and IV </w:t>
            </w:r>
            <w:r w:rsidRPr="00DD2AB0">
              <w:rPr>
                <w:rFonts w:cs="Arial"/>
                <w:bCs/>
                <w:color w:val="000000"/>
                <w:sz w:val="20"/>
                <w:vertAlign w:val="superscript"/>
              </w:rPr>
              <w:t>b</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240888AD" w14:textId="77777777">
            <w:pPr>
              <w:spacing w:after="0"/>
              <w:ind w:firstLine="0"/>
              <w:rPr>
                <w:rFonts w:cs="Arial"/>
                <w:bCs/>
                <w:color w:val="000000"/>
                <w:sz w:val="20"/>
              </w:rPr>
            </w:pPr>
            <w:r w:rsidRPr="00DD2AB0">
              <w:rPr>
                <w:rFonts w:cs="Arial"/>
                <w:bCs/>
                <w:color w:val="000000"/>
                <w:sz w:val="20"/>
              </w:rPr>
              <w:t>26,083</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76702C49"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485FEBBF" w14:textId="77777777">
            <w:pPr>
              <w:spacing w:after="0"/>
              <w:ind w:firstLine="0"/>
              <w:rPr>
                <w:rFonts w:cs="Arial"/>
                <w:bCs/>
                <w:color w:val="000000"/>
                <w:sz w:val="20"/>
              </w:rPr>
            </w:pPr>
            <w:r w:rsidRPr="00DD2AB0">
              <w:rPr>
                <w:rFonts w:cs="Arial"/>
                <w:bCs/>
                <w:color w:val="000000"/>
                <w:sz w:val="20"/>
              </w:rPr>
              <w:t>3260.33</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22E3E8B6" w14:textId="77777777">
            <w:pPr>
              <w:spacing w:after="0"/>
              <w:ind w:firstLine="0"/>
              <w:rPr>
                <w:rFonts w:cs="Arial"/>
                <w:bCs/>
                <w:color w:val="000000"/>
                <w:sz w:val="20"/>
              </w:rPr>
            </w:pPr>
            <w:r w:rsidRPr="00DD2AB0">
              <w:rPr>
                <w:rFonts w:cs="Arial"/>
                <w:bCs/>
                <w:color w:val="000000"/>
                <w:sz w:val="20"/>
              </w:rPr>
              <w:t>78,248</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1C635E4B" w14:textId="77777777">
            <w:pPr>
              <w:spacing w:after="0"/>
              <w:ind w:firstLine="0"/>
              <w:rPr>
                <w:rFonts w:cs="Arial"/>
                <w:bCs/>
                <w:color w:val="000000"/>
                <w:sz w:val="20"/>
              </w:rPr>
            </w:pPr>
            <w:r w:rsidRPr="00DD2AB0">
              <w:rPr>
                <w:rFonts w:cs="Arial"/>
                <w:bCs/>
                <w:color w:val="000000"/>
                <w:sz w:val="20"/>
              </w:rPr>
              <w:t xml:space="preserve">$66.82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2B25245C" w14:textId="77777777">
            <w:pPr>
              <w:spacing w:after="0"/>
              <w:ind w:firstLine="0"/>
              <w:rPr>
                <w:rFonts w:cs="Arial"/>
                <w:bCs/>
                <w:color w:val="000000"/>
                <w:sz w:val="20"/>
              </w:rPr>
            </w:pPr>
            <w:r w:rsidRPr="00DD2AB0">
              <w:rPr>
                <w:rFonts w:cs="Arial"/>
                <w:bCs/>
                <w:color w:val="000000"/>
                <w:sz w:val="20"/>
              </w:rPr>
              <w:t xml:space="preserve">$5,228,531 </w:t>
            </w:r>
          </w:p>
        </w:tc>
      </w:tr>
      <w:tr w14:paraId="6210CF1C" w14:textId="77777777" w:rsidTr="00FA5C9E">
        <w:tblPrEx>
          <w:tblW w:w="13622" w:type="dxa"/>
          <w:tblInd w:w="-100" w:type="dxa"/>
          <w:tblLayout w:type="fixed"/>
          <w:tblLook w:val="04A0"/>
        </w:tblPrEx>
        <w:trPr>
          <w:gridBefore w:val="1"/>
          <w:gridAfter w:val="1"/>
          <w:wBefore w:w="88" w:type="dxa"/>
          <w:wAfter w:w="625" w:type="dxa"/>
          <w:trHeight w:val="300"/>
        </w:trPr>
        <w:tc>
          <w:tcPr>
            <w:tcW w:w="700" w:type="dxa"/>
            <w:tcBorders>
              <w:top w:val="nil"/>
              <w:left w:val="single" w:sz="12" w:space="0" w:color="auto"/>
              <w:bottom w:val="single" w:sz="8" w:space="0" w:color="auto"/>
              <w:right w:val="nil"/>
            </w:tcBorders>
            <w:shd w:val="clear" w:color="auto" w:fill="auto"/>
            <w:noWrap/>
            <w:vAlign w:val="center"/>
            <w:hideMark/>
          </w:tcPr>
          <w:p w:rsidR="00DD2AB0" w:rsidRPr="00DD2AB0" w:rsidP="00DD2AB0" w14:paraId="0ED0413B" w14:textId="77777777">
            <w:pPr>
              <w:spacing w:after="0"/>
              <w:ind w:firstLine="0"/>
              <w:rPr>
                <w:rFonts w:cs="Arial"/>
                <w:bCs/>
                <w:color w:val="000000"/>
                <w:sz w:val="20"/>
              </w:rPr>
            </w:pPr>
            <w:r w:rsidRPr="00DD2AB0">
              <w:rPr>
                <w:rFonts w:cs="Arial"/>
                <w:bCs/>
                <w:color w:val="000000"/>
                <w:sz w:val="20"/>
              </w:rPr>
              <w:t> </w:t>
            </w:r>
          </w:p>
        </w:tc>
        <w:tc>
          <w:tcPr>
            <w:tcW w:w="3953" w:type="dxa"/>
            <w:gridSpan w:val="3"/>
            <w:tcBorders>
              <w:top w:val="nil"/>
              <w:left w:val="nil"/>
              <w:bottom w:val="single" w:sz="8" w:space="0" w:color="auto"/>
              <w:right w:val="single" w:sz="8" w:space="0" w:color="000000" w:themeColor="text1"/>
            </w:tcBorders>
            <w:shd w:val="clear" w:color="auto" w:fill="auto"/>
            <w:noWrap/>
            <w:vAlign w:val="center"/>
            <w:hideMark/>
          </w:tcPr>
          <w:p w:rsidR="00DD2AB0" w:rsidRPr="00DD2AB0" w:rsidP="00DD2AB0" w14:paraId="66633A1D" w14:textId="77777777">
            <w:pPr>
              <w:spacing w:after="0"/>
              <w:ind w:firstLine="0"/>
              <w:rPr>
                <w:rFonts w:cs="Arial"/>
                <w:bCs/>
                <w:color w:val="000000"/>
                <w:sz w:val="20"/>
              </w:rPr>
            </w:pPr>
            <w:r w:rsidRPr="00DD2AB0">
              <w:rPr>
                <w:rFonts w:cs="Arial"/>
                <w:bCs/>
                <w:color w:val="000000"/>
                <w:sz w:val="20"/>
              </w:rPr>
              <w:t>2) Maintain Training Records</w:t>
            </w:r>
          </w:p>
        </w:tc>
        <w:tc>
          <w:tcPr>
            <w:tcW w:w="1980" w:type="dxa"/>
            <w:gridSpan w:val="2"/>
            <w:tcBorders>
              <w:top w:val="nil"/>
              <w:left w:val="single" w:sz="8" w:space="0" w:color="auto"/>
              <w:bottom w:val="nil"/>
              <w:right w:val="single" w:sz="8" w:space="0" w:color="auto"/>
            </w:tcBorders>
            <w:shd w:val="clear" w:color="auto" w:fill="auto"/>
            <w:noWrap/>
            <w:vAlign w:val="center"/>
            <w:hideMark/>
          </w:tcPr>
          <w:p w:rsidR="00DD2AB0" w:rsidRPr="00DD2AB0" w:rsidP="00DD2AB0" w14:paraId="07B967E5" w14:textId="77777777">
            <w:pPr>
              <w:spacing w:after="0"/>
              <w:ind w:firstLine="0"/>
              <w:rPr>
                <w:rFonts w:cs="Arial"/>
                <w:bCs/>
                <w:color w:val="000000"/>
                <w:sz w:val="20"/>
              </w:rPr>
            </w:pPr>
            <w:r w:rsidRPr="00DD2AB0">
              <w:rPr>
                <w:rFonts w:cs="Arial"/>
                <w:bCs/>
                <w:color w:val="000000"/>
                <w:sz w:val="20"/>
              </w:rPr>
              <w:t>26,708</w:t>
            </w:r>
          </w:p>
        </w:tc>
        <w:tc>
          <w:tcPr>
            <w:tcW w:w="1460" w:type="dxa"/>
            <w:gridSpan w:val="2"/>
            <w:tcBorders>
              <w:top w:val="nil"/>
              <w:left w:val="nil"/>
              <w:bottom w:val="nil"/>
              <w:right w:val="single" w:sz="8" w:space="0" w:color="auto"/>
            </w:tcBorders>
            <w:shd w:val="clear" w:color="auto" w:fill="auto"/>
            <w:noWrap/>
            <w:vAlign w:val="center"/>
            <w:hideMark/>
          </w:tcPr>
          <w:p w:rsidR="00DD2AB0" w:rsidRPr="00DD2AB0" w:rsidP="00DD2AB0" w14:paraId="6ED36B3E"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nil"/>
              <w:left w:val="nil"/>
              <w:bottom w:val="nil"/>
              <w:right w:val="single" w:sz="8" w:space="0" w:color="auto"/>
            </w:tcBorders>
            <w:shd w:val="clear" w:color="auto" w:fill="auto"/>
            <w:noWrap/>
            <w:vAlign w:val="center"/>
            <w:hideMark/>
          </w:tcPr>
          <w:p w:rsidR="00DD2AB0" w:rsidRPr="00DD2AB0" w:rsidP="00DD2AB0" w14:paraId="3FC62C6C" w14:textId="77777777">
            <w:pPr>
              <w:spacing w:after="0"/>
              <w:ind w:firstLine="0"/>
              <w:rPr>
                <w:rFonts w:cs="Arial"/>
                <w:bCs/>
                <w:color w:val="000000"/>
                <w:sz w:val="20"/>
              </w:rPr>
            </w:pPr>
            <w:r w:rsidRPr="00DD2AB0">
              <w:rPr>
                <w:rFonts w:cs="Arial"/>
                <w:bCs/>
                <w:color w:val="000000"/>
                <w:sz w:val="20"/>
              </w:rPr>
              <w:t>92.74</w:t>
            </w:r>
          </w:p>
        </w:tc>
        <w:tc>
          <w:tcPr>
            <w:tcW w:w="1096" w:type="dxa"/>
            <w:tcBorders>
              <w:top w:val="nil"/>
              <w:left w:val="nil"/>
              <w:bottom w:val="nil"/>
              <w:right w:val="single" w:sz="8" w:space="0" w:color="auto"/>
            </w:tcBorders>
            <w:shd w:val="clear" w:color="auto" w:fill="auto"/>
            <w:noWrap/>
            <w:vAlign w:val="center"/>
            <w:hideMark/>
          </w:tcPr>
          <w:p w:rsidR="00DD2AB0" w:rsidRPr="00DD2AB0" w:rsidP="00DD2AB0" w14:paraId="30A311AA" w14:textId="77777777">
            <w:pPr>
              <w:spacing w:after="0"/>
              <w:ind w:firstLine="0"/>
              <w:rPr>
                <w:rFonts w:cs="Arial"/>
                <w:bCs/>
                <w:color w:val="000000"/>
                <w:sz w:val="20"/>
              </w:rPr>
            </w:pPr>
            <w:r w:rsidRPr="00DD2AB0">
              <w:rPr>
                <w:rFonts w:cs="Arial"/>
                <w:bCs/>
                <w:color w:val="000000"/>
                <w:sz w:val="20"/>
              </w:rPr>
              <w:t>2,226</w:t>
            </w:r>
          </w:p>
        </w:tc>
        <w:tc>
          <w:tcPr>
            <w:tcW w:w="1131" w:type="dxa"/>
            <w:gridSpan w:val="2"/>
            <w:tcBorders>
              <w:top w:val="nil"/>
              <w:left w:val="nil"/>
              <w:bottom w:val="nil"/>
              <w:right w:val="single" w:sz="8" w:space="0" w:color="auto"/>
            </w:tcBorders>
            <w:shd w:val="clear" w:color="auto" w:fill="auto"/>
            <w:noWrap/>
            <w:vAlign w:val="center"/>
            <w:hideMark/>
          </w:tcPr>
          <w:p w:rsidR="00DD2AB0" w:rsidRPr="00DD2AB0" w:rsidP="00DD2AB0" w14:paraId="7AE965D8" w14:textId="77777777">
            <w:pPr>
              <w:spacing w:after="0"/>
              <w:ind w:firstLine="0"/>
              <w:rPr>
                <w:rFonts w:cs="Arial"/>
                <w:bCs/>
                <w:color w:val="000000"/>
                <w:sz w:val="20"/>
              </w:rPr>
            </w:pPr>
            <w:r w:rsidRPr="00DD2AB0">
              <w:rPr>
                <w:rFonts w:cs="Arial"/>
                <w:bCs/>
                <w:color w:val="000000"/>
                <w:sz w:val="20"/>
              </w:rPr>
              <w:t xml:space="preserve">$36.79 </w:t>
            </w:r>
          </w:p>
        </w:tc>
        <w:tc>
          <w:tcPr>
            <w:tcW w:w="1443" w:type="dxa"/>
            <w:gridSpan w:val="2"/>
            <w:tcBorders>
              <w:top w:val="nil"/>
              <w:left w:val="nil"/>
              <w:bottom w:val="nil"/>
              <w:right w:val="single" w:sz="8" w:space="0" w:color="auto"/>
            </w:tcBorders>
            <w:shd w:val="clear" w:color="auto" w:fill="auto"/>
            <w:noWrap/>
            <w:vAlign w:val="center"/>
            <w:hideMark/>
          </w:tcPr>
          <w:p w:rsidR="00DD2AB0" w:rsidRPr="00DD2AB0" w:rsidP="00DD2AB0" w14:paraId="66F50D6C" w14:textId="77777777">
            <w:pPr>
              <w:spacing w:after="0"/>
              <w:ind w:firstLine="0"/>
              <w:rPr>
                <w:rFonts w:cs="Arial"/>
                <w:bCs/>
                <w:color w:val="000000"/>
                <w:sz w:val="20"/>
              </w:rPr>
            </w:pPr>
            <w:r w:rsidRPr="00DD2AB0">
              <w:rPr>
                <w:rFonts w:cs="Arial"/>
                <w:bCs/>
                <w:color w:val="000000"/>
                <w:sz w:val="20"/>
              </w:rPr>
              <w:t xml:space="preserve">$81,884 </w:t>
            </w:r>
          </w:p>
        </w:tc>
      </w:tr>
      <w:tr w14:paraId="19D2D3D9"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12" w:space="0" w:color="auto"/>
              <w:bottom w:val="nil"/>
              <w:right w:val="single" w:sz="8" w:space="0" w:color="000000" w:themeColor="text1"/>
            </w:tcBorders>
            <w:shd w:val="clear" w:color="auto" w:fill="auto"/>
            <w:noWrap/>
            <w:vAlign w:val="center"/>
            <w:hideMark/>
          </w:tcPr>
          <w:p w:rsidR="00DD2AB0" w:rsidRPr="00DD2AB0" w:rsidP="00DD2AB0" w14:paraId="39E64E12" w14:textId="77777777">
            <w:pPr>
              <w:spacing w:after="0"/>
              <w:ind w:firstLine="0"/>
              <w:rPr>
                <w:rFonts w:cs="Arial"/>
                <w:bCs/>
                <w:color w:val="000000"/>
                <w:sz w:val="20"/>
              </w:rPr>
            </w:pPr>
            <w:r w:rsidRPr="00DD2AB0">
              <w:rPr>
                <w:rFonts w:cs="Arial"/>
                <w:bCs/>
                <w:color w:val="000000"/>
                <w:sz w:val="20"/>
              </w:rPr>
              <w:t>Subtotal, Competent Person</w:t>
            </w:r>
          </w:p>
        </w:tc>
        <w:tc>
          <w:tcPr>
            <w:tcW w:w="1980" w:type="dxa"/>
            <w:gridSpan w:val="2"/>
            <w:tcBorders>
              <w:top w:val="single" w:sz="8" w:space="0" w:color="auto"/>
              <w:left w:val="single" w:sz="8" w:space="0" w:color="auto"/>
              <w:bottom w:val="nil"/>
              <w:right w:val="single" w:sz="8" w:space="0" w:color="auto"/>
            </w:tcBorders>
            <w:shd w:val="clear" w:color="auto" w:fill="auto"/>
            <w:noWrap/>
            <w:vAlign w:val="center"/>
            <w:hideMark/>
          </w:tcPr>
          <w:p w:rsidR="00DD2AB0" w:rsidRPr="00DD2AB0" w:rsidP="00DD2AB0" w14:paraId="534DEDC4" w14:textId="77777777">
            <w:pPr>
              <w:spacing w:after="0"/>
              <w:ind w:firstLine="0"/>
              <w:rPr>
                <w:rFonts w:cs="Arial"/>
                <w:bCs/>
                <w:color w:val="000000"/>
                <w:sz w:val="20"/>
              </w:rPr>
            </w:pPr>
            <w:r w:rsidRPr="00DD2AB0">
              <w:rPr>
                <w:rFonts w:cs="Arial"/>
                <w:bCs/>
                <w:color w:val="000000"/>
                <w:sz w:val="20"/>
              </w:rPr>
              <w:t>53,417</w:t>
            </w:r>
          </w:p>
        </w:tc>
        <w:tc>
          <w:tcPr>
            <w:tcW w:w="1460" w:type="dxa"/>
            <w:gridSpan w:val="2"/>
            <w:tcBorders>
              <w:top w:val="single" w:sz="8" w:space="0" w:color="auto"/>
              <w:left w:val="nil"/>
              <w:bottom w:val="nil"/>
              <w:right w:val="single" w:sz="8" w:space="0" w:color="auto"/>
            </w:tcBorders>
            <w:shd w:val="clear" w:color="auto" w:fill="auto"/>
            <w:noWrap/>
            <w:vAlign w:val="center"/>
            <w:hideMark/>
          </w:tcPr>
          <w:p w:rsidR="00DD2AB0" w:rsidRPr="00DD2AB0" w:rsidP="00DD2AB0" w14:paraId="6FA76140"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nil"/>
              <w:right w:val="single" w:sz="8" w:space="0" w:color="auto"/>
            </w:tcBorders>
            <w:shd w:val="clear" w:color="auto" w:fill="auto"/>
            <w:noWrap/>
            <w:vAlign w:val="center"/>
            <w:hideMark/>
          </w:tcPr>
          <w:p w:rsidR="00DD2AB0" w:rsidRPr="00DD2AB0" w:rsidP="00DD2AB0" w14:paraId="034AC76B" w14:textId="77777777">
            <w:pPr>
              <w:spacing w:after="0"/>
              <w:ind w:firstLine="0"/>
              <w:rPr>
                <w:rFonts w:cs="Arial"/>
                <w:bCs/>
                <w:color w:val="000000"/>
                <w:sz w:val="20"/>
              </w:rPr>
            </w:pPr>
            <w:r w:rsidRPr="00DD2AB0">
              <w:rPr>
                <w:rFonts w:cs="Arial"/>
                <w:bCs/>
                <w:color w:val="000000"/>
                <w:sz w:val="20"/>
              </w:rPr>
              <w:t>3,718.11</w:t>
            </w:r>
          </w:p>
        </w:tc>
        <w:tc>
          <w:tcPr>
            <w:tcW w:w="1096" w:type="dxa"/>
            <w:tcBorders>
              <w:top w:val="single" w:sz="8" w:space="0" w:color="auto"/>
              <w:left w:val="nil"/>
              <w:bottom w:val="nil"/>
              <w:right w:val="single" w:sz="8" w:space="0" w:color="auto"/>
            </w:tcBorders>
            <w:shd w:val="clear" w:color="auto" w:fill="auto"/>
            <w:noWrap/>
            <w:vAlign w:val="center"/>
            <w:hideMark/>
          </w:tcPr>
          <w:p w:rsidR="00DD2AB0" w:rsidRPr="00DD2AB0" w:rsidP="00DD2AB0" w14:paraId="66D10E63" w14:textId="77777777">
            <w:pPr>
              <w:spacing w:after="0"/>
              <w:ind w:firstLine="0"/>
              <w:rPr>
                <w:rFonts w:cs="Arial"/>
                <w:bCs/>
                <w:color w:val="000000"/>
                <w:sz w:val="20"/>
              </w:rPr>
            </w:pPr>
            <w:r w:rsidRPr="00DD2AB0">
              <w:rPr>
                <w:rFonts w:cs="Arial"/>
                <w:bCs/>
                <w:color w:val="000000"/>
                <w:sz w:val="20"/>
              </w:rPr>
              <w:t>89,235</w:t>
            </w:r>
          </w:p>
        </w:tc>
        <w:tc>
          <w:tcPr>
            <w:tcW w:w="1131" w:type="dxa"/>
            <w:gridSpan w:val="2"/>
            <w:tcBorders>
              <w:top w:val="single" w:sz="8" w:space="0" w:color="auto"/>
              <w:left w:val="nil"/>
              <w:bottom w:val="nil"/>
              <w:right w:val="single" w:sz="8" w:space="0" w:color="auto"/>
            </w:tcBorders>
            <w:shd w:val="clear" w:color="auto" w:fill="auto"/>
            <w:noWrap/>
            <w:vAlign w:val="center"/>
            <w:hideMark/>
          </w:tcPr>
          <w:p w:rsidR="00DD2AB0" w:rsidRPr="00DD2AB0" w:rsidP="00DD2AB0" w14:paraId="7D21E6D9" w14:textId="77777777">
            <w:pPr>
              <w:spacing w:after="0"/>
              <w:ind w:firstLine="0"/>
              <w:rPr>
                <w:rFonts w:cs="Arial"/>
                <w:bCs/>
                <w:color w:val="000000"/>
                <w:sz w:val="20"/>
              </w:rPr>
            </w:pPr>
            <w:r w:rsidRPr="00DD2AB0">
              <w:rPr>
                <w:rFonts w:cs="Arial"/>
                <w:bCs/>
                <w:color w:val="000000"/>
                <w:sz w:val="20"/>
              </w:rPr>
              <w:t xml:space="preserve">$66.07 </w:t>
            </w:r>
          </w:p>
        </w:tc>
        <w:tc>
          <w:tcPr>
            <w:tcW w:w="1443" w:type="dxa"/>
            <w:gridSpan w:val="2"/>
            <w:tcBorders>
              <w:top w:val="single" w:sz="8" w:space="0" w:color="auto"/>
              <w:left w:val="nil"/>
              <w:bottom w:val="nil"/>
              <w:right w:val="single" w:sz="8" w:space="0" w:color="auto"/>
            </w:tcBorders>
            <w:shd w:val="clear" w:color="auto" w:fill="auto"/>
            <w:noWrap/>
            <w:vAlign w:val="center"/>
            <w:hideMark/>
          </w:tcPr>
          <w:p w:rsidR="00DD2AB0" w:rsidRPr="00DD2AB0" w:rsidP="00DD2AB0" w14:paraId="18A1FF7B" w14:textId="77777777">
            <w:pPr>
              <w:spacing w:after="0"/>
              <w:ind w:firstLine="0"/>
              <w:rPr>
                <w:rFonts w:cs="Arial"/>
                <w:bCs/>
                <w:color w:val="000000"/>
                <w:sz w:val="20"/>
              </w:rPr>
            </w:pPr>
            <w:r w:rsidRPr="00DD2AB0">
              <w:rPr>
                <w:rFonts w:cs="Arial"/>
                <w:bCs/>
                <w:color w:val="000000"/>
                <w:sz w:val="20"/>
              </w:rPr>
              <w:t xml:space="preserve">$5,895,818 </w:t>
            </w:r>
          </w:p>
        </w:tc>
      </w:tr>
      <w:tr w14:paraId="2EA09BCA" w14:textId="77777777" w:rsidTr="00FA5C9E">
        <w:tblPrEx>
          <w:tblW w:w="13622" w:type="dxa"/>
          <w:tblInd w:w="-100" w:type="dxa"/>
          <w:tblLayout w:type="fixed"/>
          <w:tblLook w:val="04A0"/>
        </w:tblPrEx>
        <w:trPr>
          <w:gridBefore w:val="1"/>
          <w:gridAfter w:val="1"/>
          <w:wBefore w:w="88" w:type="dxa"/>
          <w:wAfter w:w="625" w:type="dxa"/>
          <w:trHeight w:val="300"/>
        </w:trPr>
        <w:tc>
          <w:tcPr>
            <w:tcW w:w="4653" w:type="dxa"/>
            <w:gridSpan w:val="4"/>
            <w:tcBorders>
              <w:top w:val="single" w:sz="8" w:space="0" w:color="auto"/>
              <w:left w:val="single" w:sz="8" w:space="0" w:color="auto"/>
              <w:bottom w:val="single" w:sz="4" w:space="0" w:color="auto"/>
              <w:right w:val="nil"/>
            </w:tcBorders>
            <w:shd w:val="clear" w:color="auto" w:fill="D9D9D9" w:themeFill="background1" w:themeFillShade="D9"/>
            <w:noWrap/>
            <w:vAlign w:val="center"/>
            <w:hideMark/>
          </w:tcPr>
          <w:p w:rsidR="00DD2AB0" w:rsidRPr="00DD2AB0" w:rsidP="00DD2AB0" w14:paraId="4815EE38" w14:textId="77777777">
            <w:pPr>
              <w:spacing w:after="0"/>
              <w:ind w:firstLine="0"/>
              <w:rPr>
                <w:rFonts w:cs="Arial"/>
                <w:bCs/>
                <w:color w:val="000000"/>
                <w:sz w:val="20"/>
              </w:rPr>
            </w:pPr>
            <w:r w:rsidRPr="00DD2AB0">
              <w:rPr>
                <w:rFonts w:cs="Arial"/>
                <w:bCs/>
                <w:color w:val="000000"/>
                <w:sz w:val="20"/>
              </w:rPr>
              <w:t>Overall</w:t>
            </w:r>
          </w:p>
        </w:tc>
        <w:tc>
          <w:tcPr>
            <w:tcW w:w="1980"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rsidR="00DD2AB0" w:rsidRPr="00DD2AB0" w:rsidP="00DD2AB0" w14:paraId="0C60B1A4" w14:textId="77777777">
            <w:pPr>
              <w:spacing w:after="0"/>
              <w:ind w:firstLine="0"/>
              <w:rPr>
                <w:rFonts w:cs="Arial"/>
                <w:bCs/>
                <w:color w:val="000000"/>
                <w:sz w:val="20"/>
              </w:rPr>
            </w:pPr>
            <w:r w:rsidRPr="00DD2AB0">
              <w:rPr>
                <w:rFonts w:cs="Arial"/>
                <w:bCs/>
                <w:color w:val="000000"/>
                <w:sz w:val="20"/>
              </w:rPr>
              <w:t>1,123,669</w:t>
            </w:r>
          </w:p>
        </w:tc>
        <w:tc>
          <w:tcPr>
            <w:tcW w:w="1460" w:type="dxa"/>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DD2AB0" w:rsidRPr="00DD2AB0" w:rsidP="00DD2AB0" w14:paraId="748B8524" w14:textId="77777777">
            <w:pPr>
              <w:spacing w:after="0"/>
              <w:ind w:firstLine="0"/>
              <w:rPr>
                <w:rFonts w:cs="Arial"/>
                <w:bCs/>
                <w:color w:val="000000"/>
                <w:sz w:val="20"/>
              </w:rPr>
            </w:pPr>
            <w:r w:rsidRPr="00DD2AB0">
              <w:rPr>
                <w:rFonts w:cs="Arial"/>
                <w:bCs/>
                <w:color w:val="000000"/>
                <w:sz w:val="20"/>
              </w:rPr>
              <w:t>34,138</w:t>
            </w:r>
          </w:p>
        </w:tc>
        <w:tc>
          <w:tcPr>
            <w:tcW w:w="1146" w:type="dxa"/>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DD2AB0" w:rsidRPr="00DD2AB0" w:rsidP="00DD2AB0" w14:paraId="277FA87F" w14:textId="77777777">
            <w:pPr>
              <w:spacing w:after="0"/>
              <w:ind w:firstLine="0"/>
              <w:rPr>
                <w:rFonts w:cs="Arial"/>
                <w:bCs/>
                <w:color w:val="000000"/>
                <w:sz w:val="20"/>
              </w:rPr>
            </w:pPr>
            <w:r w:rsidRPr="00DD2AB0">
              <w:rPr>
                <w:rFonts w:cs="Arial"/>
                <w:bCs/>
                <w:color w:val="000000"/>
                <w:sz w:val="20"/>
              </w:rPr>
              <w:t>14,919</w:t>
            </w:r>
          </w:p>
        </w:tc>
        <w:tc>
          <w:tcPr>
            <w:tcW w:w="1096"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DD2AB0" w:rsidRPr="00DD2AB0" w:rsidP="00DD2AB0" w14:paraId="676FD1B2" w14:textId="77777777">
            <w:pPr>
              <w:spacing w:after="0"/>
              <w:ind w:firstLine="0"/>
              <w:rPr>
                <w:rFonts w:cs="Arial"/>
                <w:bCs/>
                <w:color w:val="000000"/>
                <w:sz w:val="20"/>
              </w:rPr>
            </w:pPr>
            <w:r w:rsidRPr="00DD2AB0">
              <w:rPr>
                <w:rFonts w:cs="Arial"/>
                <w:bCs/>
                <w:color w:val="000000"/>
                <w:sz w:val="20"/>
              </w:rPr>
              <w:t>358,049</w:t>
            </w:r>
          </w:p>
        </w:tc>
        <w:tc>
          <w:tcPr>
            <w:tcW w:w="1131" w:type="dxa"/>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DD2AB0" w:rsidRPr="00DD2AB0" w:rsidP="00DD2AB0" w14:paraId="47CC9765" w14:textId="77777777">
            <w:pPr>
              <w:spacing w:after="0"/>
              <w:ind w:firstLine="0"/>
              <w:rPr>
                <w:rFonts w:cs="Arial"/>
                <w:bCs/>
                <w:color w:val="000000"/>
                <w:sz w:val="20"/>
              </w:rPr>
            </w:pPr>
            <w:r w:rsidRPr="00DD2AB0">
              <w:rPr>
                <w:rFonts w:cs="Arial"/>
                <w:bCs/>
                <w:color w:val="000000"/>
                <w:sz w:val="20"/>
              </w:rPr>
              <w:t xml:space="preserve">$59.14 </w:t>
            </w:r>
          </w:p>
        </w:tc>
        <w:tc>
          <w:tcPr>
            <w:tcW w:w="1443" w:type="dxa"/>
            <w:gridSpan w:val="2"/>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DD2AB0" w:rsidRPr="00DD2AB0" w:rsidP="00DD2AB0" w14:paraId="0ED8CF97" w14:textId="77777777">
            <w:pPr>
              <w:spacing w:after="0"/>
              <w:ind w:firstLine="0"/>
              <w:rPr>
                <w:rFonts w:cs="Arial"/>
                <w:bCs/>
                <w:color w:val="000000"/>
                <w:sz w:val="20"/>
              </w:rPr>
            </w:pPr>
            <w:r w:rsidRPr="00DD2AB0">
              <w:rPr>
                <w:rFonts w:cs="Arial"/>
                <w:bCs/>
                <w:color w:val="000000"/>
                <w:sz w:val="20"/>
              </w:rPr>
              <w:t xml:space="preserve">$21,175,968 </w:t>
            </w:r>
          </w:p>
        </w:tc>
      </w:tr>
      <w:tr w14:paraId="05CDA7C4"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single" w:sz="4" w:space="0" w:color="auto"/>
              <w:left w:val="single" w:sz="4" w:space="0" w:color="auto"/>
              <w:bottom w:val="nil"/>
              <w:right w:val="nil"/>
            </w:tcBorders>
            <w:shd w:val="clear" w:color="auto" w:fill="auto"/>
            <w:noWrap/>
            <w:vAlign w:val="center"/>
            <w:hideMark/>
          </w:tcPr>
          <w:p w:rsidR="00DD2AB0" w:rsidRPr="00DD2AB0" w:rsidP="00DD2AB0" w14:paraId="6285563E" w14:textId="77777777">
            <w:pPr>
              <w:spacing w:after="0"/>
              <w:ind w:firstLine="0"/>
              <w:rPr>
                <w:rFonts w:cs="Arial"/>
                <w:bCs/>
                <w:color w:val="000000"/>
                <w:sz w:val="20"/>
                <w:u w:val="single"/>
              </w:rPr>
            </w:pPr>
            <w:r w:rsidRPr="00DD2AB0">
              <w:rPr>
                <w:rFonts w:cs="Arial"/>
                <w:bCs/>
                <w:color w:val="000000"/>
                <w:sz w:val="20"/>
                <w:u w:val="single"/>
              </w:rPr>
              <w:t>General Notes</w:t>
            </w:r>
          </w:p>
        </w:tc>
        <w:tc>
          <w:tcPr>
            <w:tcW w:w="1980" w:type="dxa"/>
            <w:gridSpan w:val="2"/>
            <w:tcBorders>
              <w:top w:val="single" w:sz="4" w:space="0" w:color="auto"/>
              <w:left w:val="nil"/>
              <w:bottom w:val="nil"/>
              <w:right w:val="nil"/>
            </w:tcBorders>
            <w:shd w:val="clear" w:color="auto" w:fill="auto"/>
            <w:noWrap/>
            <w:vAlign w:val="center"/>
            <w:hideMark/>
          </w:tcPr>
          <w:p w:rsidR="00DD2AB0" w:rsidRPr="00DD2AB0" w:rsidP="00DD2AB0" w14:paraId="304A7BC4" w14:textId="77777777">
            <w:pPr>
              <w:spacing w:after="0"/>
              <w:ind w:firstLine="0"/>
              <w:rPr>
                <w:rFonts w:cs="Arial"/>
                <w:bCs/>
                <w:color w:val="000000"/>
                <w:sz w:val="20"/>
              </w:rPr>
            </w:pPr>
            <w:r w:rsidRPr="00DD2AB0">
              <w:rPr>
                <w:rFonts w:cs="Arial"/>
                <w:bCs/>
                <w:color w:val="000000"/>
                <w:sz w:val="20"/>
              </w:rPr>
              <w:t> </w:t>
            </w:r>
          </w:p>
        </w:tc>
        <w:tc>
          <w:tcPr>
            <w:tcW w:w="1460" w:type="dxa"/>
            <w:gridSpan w:val="2"/>
            <w:tcBorders>
              <w:top w:val="single" w:sz="4" w:space="0" w:color="auto"/>
              <w:left w:val="nil"/>
              <w:bottom w:val="nil"/>
              <w:right w:val="nil"/>
            </w:tcBorders>
            <w:shd w:val="clear" w:color="auto" w:fill="auto"/>
            <w:noWrap/>
            <w:vAlign w:val="center"/>
            <w:hideMark/>
          </w:tcPr>
          <w:p w:rsidR="00DD2AB0" w:rsidRPr="00DD2AB0" w:rsidP="00DD2AB0" w14:paraId="347ACF9E" w14:textId="77777777">
            <w:pPr>
              <w:spacing w:after="0"/>
              <w:ind w:firstLine="0"/>
              <w:rPr>
                <w:rFonts w:cs="Arial"/>
                <w:bCs/>
                <w:color w:val="000000"/>
                <w:sz w:val="20"/>
              </w:rPr>
            </w:pPr>
            <w:r w:rsidRPr="00DD2AB0">
              <w:rPr>
                <w:rFonts w:cs="Arial"/>
                <w:bCs/>
                <w:color w:val="000000"/>
                <w:sz w:val="20"/>
              </w:rPr>
              <w:t> </w:t>
            </w:r>
          </w:p>
        </w:tc>
        <w:tc>
          <w:tcPr>
            <w:tcW w:w="1146" w:type="dxa"/>
            <w:gridSpan w:val="2"/>
            <w:tcBorders>
              <w:top w:val="single" w:sz="4" w:space="0" w:color="auto"/>
              <w:left w:val="nil"/>
              <w:bottom w:val="nil"/>
              <w:right w:val="nil"/>
            </w:tcBorders>
            <w:shd w:val="clear" w:color="auto" w:fill="auto"/>
            <w:noWrap/>
            <w:vAlign w:val="center"/>
            <w:hideMark/>
          </w:tcPr>
          <w:p w:rsidR="00DD2AB0" w:rsidRPr="00DD2AB0" w:rsidP="00DD2AB0" w14:paraId="667BA9D3" w14:textId="77777777">
            <w:pPr>
              <w:spacing w:after="0"/>
              <w:ind w:firstLine="0"/>
              <w:rPr>
                <w:rFonts w:cs="Arial"/>
                <w:bCs/>
                <w:color w:val="000000"/>
                <w:sz w:val="20"/>
              </w:rPr>
            </w:pPr>
            <w:r w:rsidRPr="00DD2AB0">
              <w:rPr>
                <w:rFonts w:cs="Arial"/>
                <w:bCs/>
                <w:color w:val="000000"/>
                <w:sz w:val="20"/>
              </w:rPr>
              <w:t> </w:t>
            </w:r>
          </w:p>
        </w:tc>
        <w:tc>
          <w:tcPr>
            <w:tcW w:w="1096" w:type="dxa"/>
            <w:tcBorders>
              <w:top w:val="single" w:sz="4" w:space="0" w:color="auto"/>
              <w:left w:val="nil"/>
              <w:bottom w:val="nil"/>
              <w:right w:val="nil"/>
            </w:tcBorders>
            <w:shd w:val="clear" w:color="auto" w:fill="auto"/>
            <w:noWrap/>
            <w:vAlign w:val="center"/>
            <w:hideMark/>
          </w:tcPr>
          <w:p w:rsidR="00DD2AB0" w:rsidRPr="00DD2AB0" w:rsidP="00DD2AB0" w14:paraId="312F0428" w14:textId="77777777">
            <w:pPr>
              <w:spacing w:after="0"/>
              <w:ind w:firstLine="0"/>
              <w:rPr>
                <w:rFonts w:cs="Arial"/>
                <w:bCs/>
                <w:color w:val="000000"/>
                <w:sz w:val="20"/>
              </w:rPr>
            </w:pPr>
            <w:r w:rsidRPr="00DD2AB0">
              <w:rPr>
                <w:rFonts w:cs="Arial"/>
                <w:bCs/>
                <w:color w:val="000000"/>
                <w:sz w:val="20"/>
              </w:rPr>
              <w:t> </w:t>
            </w:r>
          </w:p>
        </w:tc>
        <w:tc>
          <w:tcPr>
            <w:tcW w:w="1131" w:type="dxa"/>
            <w:gridSpan w:val="2"/>
            <w:tcBorders>
              <w:top w:val="single" w:sz="4" w:space="0" w:color="auto"/>
              <w:left w:val="nil"/>
              <w:bottom w:val="nil"/>
              <w:right w:val="nil"/>
            </w:tcBorders>
            <w:shd w:val="clear" w:color="auto" w:fill="auto"/>
            <w:noWrap/>
            <w:vAlign w:val="center"/>
            <w:hideMark/>
          </w:tcPr>
          <w:p w:rsidR="00DD2AB0" w:rsidRPr="00DD2AB0" w:rsidP="00DD2AB0" w14:paraId="73BF39B6" w14:textId="77777777">
            <w:pPr>
              <w:spacing w:after="0"/>
              <w:ind w:firstLine="0"/>
              <w:rPr>
                <w:rFonts w:cs="Arial"/>
                <w:bCs/>
                <w:color w:val="000000"/>
                <w:sz w:val="20"/>
              </w:rPr>
            </w:pPr>
            <w:r w:rsidRPr="00DD2AB0">
              <w:rPr>
                <w:rFonts w:cs="Arial"/>
                <w:bCs/>
                <w:color w:val="000000"/>
                <w:sz w:val="20"/>
              </w:rPr>
              <w:t> </w:t>
            </w:r>
          </w:p>
        </w:tc>
        <w:tc>
          <w:tcPr>
            <w:tcW w:w="1443" w:type="dxa"/>
            <w:gridSpan w:val="2"/>
            <w:tcBorders>
              <w:top w:val="single" w:sz="4" w:space="0" w:color="auto"/>
              <w:left w:val="nil"/>
              <w:bottom w:val="nil"/>
              <w:right w:val="single" w:sz="4" w:space="0" w:color="auto"/>
            </w:tcBorders>
            <w:shd w:val="clear" w:color="auto" w:fill="auto"/>
            <w:noWrap/>
            <w:vAlign w:val="center"/>
            <w:hideMark/>
          </w:tcPr>
          <w:p w:rsidR="00DD2AB0" w:rsidRPr="00DD2AB0" w:rsidP="00DD2AB0" w14:paraId="0A15EA64" w14:textId="77777777">
            <w:pPr>
              <w:spacing w:after="0"/>
              <w:ind w:firstLine="0"/>
              <w:rPr>
                <w:rFonts w:cs="Arial"/>
                <w:bCs/>
                <w:color w:val="000000"/>
                <w:sz w:val="20"/>
              </w:rPr>
            </w:pPr>
            <w:r w:rsidRPr="00DD2AB0">
              <w:rPr>
                <w:rFonts w:cs="Arial"/>
                <w:bCs/>
                <w:color w:val="000000"/>
                <w:sz w:val="20"/>
              </w:rPr>
              <w:t> </w:t>
            </w:r>
          </w:p>
        </w:tc>
      </w:tr>
      <w:tr w14:paraId="20F2A975" w14:textId="77777777" w:rsidTr="00FA5C9E">
        <w:tblPrEx>
          <w:tblW w:w="13622" w:type="dxa"/>
          <w:tblInd w:w="-100" w:type="dxa"/>
          <w:tblLayout w:type="fixed"/>
          <w:tblLook w:val="04A0"/>
        </w:tblPrEx>
        <w:trPr>
          <w:gridBefore w:val="1"/>
          <w:gridAfter w:val="1"/>
          <w:wBefore w:w="88" w:type="dxa"/>
          <w:wAfter w:w="625" w:type="dxa"/>
          <w:trHeight w:val="832"/>
        </w:trPr>
        <w:tc>
          <w:tcPr>
            <w:tcW w:w="700" w:type="dxa"/>
            <w:tcBorders>
              <w:top w:val="nil"/>
              <w:left w:val="single" w:sz="4" w:space="0" w:color="auto"/>
              <w:bottom w:val="nil"/>
              <w:right w:val="nil"/>
            </w:tcBorders>
            <w:shd w:val="clear" w:color="auto" w:fill="auto"/>
            <w:noWrap/>
            <w:vAlign w:val="center"/>
            <w:hideMark/>
          </w:tcPr>
          <w:p w:rsidR="00DD2AB0" w:rsidRPr="00DD2AB0" w:rsidP="00DD2AB0" w14:paraId="3DA9CED7" w14:textId="77777777">
            <w:pPr>
              <w:spacing w:after="0"/>
              <w:ind w:firstLine="0"/>
              <w:rPr>
                <w:rFonts w:cs="Arial"/>
                <w:bCs/>
                <w:color w:val="000000"/>
                <w:sz w:val="20"/>
              </w:rPr>
            </w:pPr>
            <w:r w:rsidRPr="00DD2AB0">
              <w:rPr>
                <w:rFonts w:cs="Arial"/>
                <w:bCs/>
                <w:color w:val="000000"/>
                <w:sz w:val="20"/>
              </w:rPr>
              <w:t>1</w:t>
            </w:r>
          </w:p>
        </w:tc>
        <w:tc>
          <w:tcPr>
            <w:tcW w:w="12209" w:type="dxa"/>
            <w:gridSpan w:val="14"/>
            <w:tcBorders>
              <w:top w:val="nil"/>
              <w:left w:val="nil"/>
              <w:bottom w:val="nil"/>
              <w:right w:val="single" w:sz="4" w:space="0" w:color="auto"/>
            </w:tcBorders>
            <w:shd w:val="clear" w:color="auto" w:fill="auto"/>
            <w:vAlign w:val="center"/>
            <w:hideMark/>
          </w:tcPr>
          <w:p w:rsidR="00DD2AB0" w:rsidRPr="00DD2AB0" w:rsidP="00DD2AB0" w14:paraId="3670D045" w14:textId="77777777">
            <w:pPr>
              <w:spacing w:after="0"/>
              <w:ind w:firstLine="0"/>
              <w:rPr>
                <w:rFonts w:cs="Arial"/>
                <w:bCs/>
                <w:color w:val="000000"/>
                <w:sz w:val="20"/>
              </w:rPr>
            </w:pPr>
            <w:r w:rsidRPr="00DD2AB0">
              <w:rPr>
                <w:rFonts w:cs="Arial"/>
                <w:bCs/>
                <w:color w:val="000000"/>
                <w:sz w:val="20"/>
              </w:rPr>
              <w:t>Source for unit burdens is Supporting Statement for a Request for OMB Review under the Paperwork Reduction Act - Reporting and Recordkeeping for Asbestos Abatement Worker Protection.  October 11, 2007. (EPA 2007). See Section 6(g) of this document for detailed derivation of per-state unit burdens and associated response counts.</w:t>
            </w:r>
          </w:p>
        </w:tc>
      </w:tr>
      <w:tr w14:paraId="788A30AA" w14:textId="77777777" w:rsidTr="00FA5C9E">
        <w:tblPrEx>
          <w:tblW w:w="13622" w:type="dxa"/>
          <w:tblInd w:w="-100" w:type="dxa"/>
          <w:tblLayout w:type="fixed"/>
          <w:tblLook w:val="04A0"/>
        </w:tblPrEx>
        <w:trPr>
          <w:gridBefore w:val="1"/>
          <w:gridAfter w:val="1"/>
          <w:wBefore w:w="88" w:type="dxa"/>
          <w:wAfter w:w="625" w:type="dxa"/>
          <w:trHeight w:val="438"/>
        </w:trPr>
        <w:tc>
          <w:tcPr>
            <w:tcW w:w="700" w:type="dxa"/>
            <w:tcBorders>
              <w:top w:val="nil"/>
              <w:left w:val="single" w:sz="4" w:space="0" w:color="auto"/>
              <w:bottom w:val="nil"/>
              <w:right w:val="nil"/>
            </w:tcBorders>
            <w:shd w:val="clear" w:color="auto" w:fill="auto"/>
            <w:noWrap/>
            <w:vAlign w:val="center"/>
            <w:hideMark/>
          </w:tcPr>
          <w:p w:rsidR="00DD2AB0" w:rsidRPr="00DD2AB0" w:rsidP="00DD2AB0" w14:paraId="185B9E6F" w14:textId="77777777">
            <w:pPr>
              <w:spacing w:after="0"/>
              <w:ind w:firstLine="0"/>
              <w:rPr>
                <w:rFonts w:cs="Arial"/>
                <w:bCs/>
                <w:color w:val="000000"/>
                <w:sz w:val="20"/>
              </w:rPr>
            </w:pPr>
            <w:r w:rsidRPr="00DD2AB0">
              <w:rPr>
                <w:rFonts w:cs="Arial"/>
                <w:bCs/>
                <w:color w:val="000000"/>
                <w:sz w:val="20"/>
              </w:rPr>
              <w:t>2</w:t>
            </w:r>
          </w:p>
        </w:tc>
        <w:tc>
          <w:tcPr>
            <w:tcW w:w="12209" w:type="dxa"/>
            <w:gridSpan w:val="14"/>
            <w:tcBorders>
              <w:top w:val="nil"/>
              <w:left w:val="nil"/>
              <w:bottom w:val="nil"/>
              <w:right w:val="single" w:sz="4" w:space="0" w:color="auto"/>
            </w:tcBorders>
            <w:shd w:val="clear" w:color="auto" w:fill="auto"/>
            <w:vAlign w:val="center"/>
            <w:hideMark/>
          </w:tcPr>
          <w:p w:rsidR="00DD2AB0" w:rsidRPr="00DD2AB0" w:rsidP="00DD2AB0" w14:paraId="0DD9D342" w14:textId="77777777">
            <w:pPr>
              <w:spacing w:after="0"/>
              <w:ind w:firstLine="0"/>
              <w:rPr>
                <w:rFonts w:cs="Arial"/>
                <w:bCs/>
                <w:color w:val="000000"/>
                <w:sz w:val="20"/>
              </w:rPr>
            </w:pPr>
            <w:r w:rsidRPr="00DD2AB0">
              <w:rPr>
                <w:rFonts w:ascii="Calibri" w:eastAsia="Calibri" w:hAnsi="Calibri" w:cs="Calibri"/>
                <w:bCs/>
                <w:color w:val="000000"/>
                <w:sz w:val="22"/>
                <w:szCs w:val="22"/>
              </w:rPr>
              <w:t xml:space="preserve"> The unit burden per state has implied numbers of respondents and responses. As provided in the 2007 ICR (see General Note 1 above for citation), on average each state has an associated 1422 affected state and local government entities with an associated total count of 46820 responses. Unless otherwise noted as involving a subpopulation set of respondents, activities occur within all affected entity jurisdictions.</w:t>
            </w:r>
            <w:r w:rsidRPr="00DD2AB0">
              <w:rPr>
                <w:rFonts w:cs="Arial"/>
                <w:bCs/>
                <w:color w:val="000000"/>
                <w:sz w:val="20"/>
              </w:rPr>
              <w:tab/>
            </w:r>
          </w:p>
        </w:tc>
      </w:tr>
      <w:tr w14:paraId="176640E3" w14:textId="77777777" w:rsidTr="00FA5C9E">
        <w:tblPrEx>
          <w:tblW w:w="13622" w:type="dxa"/>
          <w:tblInd w:w="-100" w:type="dxa"/>
          <w:tblLayout w:type="fixed"/>
          <w:tblLook w:val="04A0"/>
        </w:tblPrEx>
        <w:trPr>
          <w:gridBefore w:val="1"/>
          <w:gridAfter w:val="1"/>
          <w:wBefore w:w="88" w:type="dxa"/>
          <w:wAfter w:w="625" w:type="dxa"/>
          <w:trHeight w:val="292"/>
        </w:trPr>
        <w:tc>
          <w:tcPr>
            <w:tcW w:w="4653" w:type="dxa"/>
            <w:gridSpan w:val="4"/>
            <w:tcBorders>
              <w:top w:val="nil"/>
              <w:left w:val="single" w:sz="4" w:space="0" w:color="auto"/>
              <w:bottom w:val="nil"/>
              <w:right w:val="nil"/>
            </w:tcBorders>
            <w:shd w:val="clear" w:color="auto" w:fill="auto"/>
            <w:noWrap/>
            <w:vAlign w:val="center"/>
            <w:hideMark/>
          </w:tcPr>
          <w:p w:rsidR="00DD2AB0" w:rsidRPr="00DD2AB0" w:rsidP="00DD2AB0" w14:paraId="6879D19B" w14:textId="77777777">
            <w:pPr>
              <w:spacing w:after="0"/>
              <w:ind w:firstLine="0"/>
              <w:rPr>
                <w:rFonts w:cs="Arial"/>
                <w:bCs/>
                <w:color w:val="000000"/>
                <w:sz w:val="20"/>
                <w:u w:val="single"/>
              </w:rPr>
            </w:pPr>
            <w:r w:rsidRPr="00DD2AB0">
              <w:rPr>
                <w:rFonts w:cs="Arial"/>
                <w:bCs/>
                <w:color w:val="000000"/>
                <w:sz w:val="20"/>
                <w:u w:val="single"/>
              </w:rPr>
              <w:t>Footnotes</w:t>
            </w:r>
          </w:p>
        </w:tc>
        <w:tc>
          <w:tcPr>
            <w:tcW w:w="1980" w:type="dxa"/>
            <w:gridSpan w:val="2"/>
            <w:tcBorders>
              <w:top w:val="nil"/>
              <w:left w:val="nil"/>
              <w:bottom w:val="nil"/>
              <w:right w:val="nil"/>
            </w:tcBorders>
            <w:shd w:val="clear" w:color="auto" w:fill="auto"/>
            <w:noWrap/>
            <w:vAlign w:val="bottom"/>
            <w:hideMark/>
          </w:tcPr>
          <w:p w:rsidR="00DD2AB0" w:rsidRPr="00DD2AB0" w:rsidP="00DD2AB0" w14:paraId="246B1E39" w14:textId="77777777">
            <w:pPr>
              <w:spacing w:after="0"/>
              <w:ind w:firstLine="0"/>
              <w:rPr>
                <w:rFonts w:cs="Arial"/>
                <w:bCs/>
                <w:color w:val="000000"/>
                <w:sz w:val="20"/>
                <w:u w:val="single"/>
              </w:rPr>
            </w:pPr>
          </w:p>
        </w:tc>
        <w:tc>
          <w:tcPr>
            <w:tcW w:w="1460" w:type="dxa"/>
            <w:gridSpan w:val="2"/>
            <w:tcBorders>
              <w:top w:val="nil"/>
              <w:left w:val="nil"/>
              <w:bottom w:val="nil"/>
              <w:right w:val="nil"/>
            </w:tcBorders>
            <w:shd w:val="clear" w:color="auto" w:fill="auto"/>
            <w:noWrap/>
            <w:vAlign w:val="bottom"/>
            <w:hideMark/>
          </w:tcPr>
          <w:p w:rsidR="00DD2AB0" w:rsidRPr="00DD2AB0" w:rsidP="00DD2AB0" w14:paraId="3C732E4C" w14:textId="77777777">
            <w:pPr>
              <w:spacing w:after="0"/>
              <w:ind w:firstLine="0"/>
              <w:rPr>
                <w:rFonts w:cs="Arial"/>
                <w:bCs/>
                <w:color w:val="000000"/>
                <w:sz w:val="20"/>
              </w:rPr>
            </w:pPr>
          </w:p>
        </w:tc>
        <w:tc>
          <w:tcPr>
            <w:tcW w:w="1146" w:type="dxa"/>
            <w:gridSpan w:val="2"/>
            <w:tcBorders>
              <w:top w:val="nil"/>
              <w:left w:val="nil"/>
              <w:bottom w:val="nil"/>
              <w:right w:val="nil"/>
            </w:tcBorders>
            <w:shd w:val="clear" w:color="auto" w:fill="auto"/>
            <w:noWrap/>
            <w:vAlign w:val="bottom"/>
            <w:hideMark/>
          </w:tcPr>
          <w:p w:rsidR="00DD2AB0" w:rsidRPr="00DD2AB0" w:rsidP="00DD2AB0" w14:paraId="29C3FF4A" w14:textId="77777777">
            <w:pPr>
              <w:spacing w:after="0"/>
              <w:ind w:firstLine="0"/>
              <w:rPr>
                <w:rFonts w:cs="Arial"/>
                <w:bCs/>
                <w:color w:val="000000"/>
                <w:sz w:val="20"/>
              </w:rPr>
            </w:pPr>
          </w:p>
        </w:tc>
        <w:tc>
          <w:tcPr>
            <w:tcW w:w="1096" w:type="dxa"/>
            <w:tcBorders>
              <w:top w:val="nil"/>
              <w:left w:val="nil"/>
              <w:bottom w:val="nil"/>
              <w:right w:val="nil"/>
            </w:tcBorders>
            <w:shd w:val="clear" w:color="auto" w:fill="auto"/>
            <w:noWrap/>
            <w:vAlign w:val="bottom"/>
            <w:hideMark/>
          </w:tcPr>
          <w:p w:rsidR="00DD2AB0" w:rsidRPr="00DD2AB0" w:rsidP="00DD2AB0" w14:paraId="5F258004" w14:textId="77777777">
            <w:pPr>
              <w:spacing w:after="0"/>
              <w:ind w:firstLine="0"/>
              <w:rPr>
                <w:rFonts w:cs="Arial"/>
                <w:bCs/>
                <w:color w:val="000000"/>
                <w:sz w:val="20"/>
              </w:rPr>
            </w:pPr>
          </w:p>
        </w:tc>
        <w:tc>
          <w:tcPr>
            <w:tcW w:w="1131" w:type="dxa"/>
            <w:gridSpan w:val="2"/>
            <w:tcBorders>
              <w:top w:val="nil"/>
              <w:left w:val="nil"/>
              <w:bottom w:val="nil"/>
              <w:right w:val="nil"/>
            </w:tcBorders>
            <w:shd w:val="clear" w:color="auto" w:fill="auto"/>
            <w:noWrap/>
            <w:vAlign w:val="bottom"/>
            <w:hideMark/>
          </w:tcPr>
          <w:p w:rsidR="00DD2AB0" w:rsidRPr="00DD2AB0" w:rsidP="00DD2AB0" w14:paraId="3CACF3E4" w14:textId="77777777">
            <w:pPr>
              <w:spacing w:after="0"/>
              <w:ind w:firstLine="0"/>
              <w:rPr>
                <w:rFonts w:cs="Arial"/>
                <w:bCs/>
                <w:color w:val="000000"/>
                <w:sz w:val="20"/>
              </w:rPr>
            </w:pPr>
          </w:p>
        </w:tc>
        <w:tc>
          <w:tcPr>
            <w:tcW w:w="1443" w:type="dxa"/>
            <w:gridSpan w:val="2"/>
            <w:tcBorders>
              <w:top w:val="nil"/>
              <w:left w:val="nil"/>
              <w:bottom w:val="nil"/>
              <w:right w:val="single" w:sz="4" w:space="0" w:color="auto"/>
            </w:tcBorders>
            <w:shd w:val="clear" w:color="auto" w:fill="auto"/>
            <w:noWrap/>
            <w:vAlign w:val="center"/>
            <w:hideMark/>
          </w:tcPr>
          <w:p w:rsidR="00DD2AB0" w:rsidRPr="00DD2AB0" w:rsidP="00DD2AB0" w14:paraId="521554E2" w14:textId="77777777">
            <w:pPr>
              <w:spacing w:after="0"/>
              <w:ind w:firstLine="0"/>
              <w:rPr>
                <w:rFonts w:cs="Arial"/>
                <w:bCs/>
                <w:color w:val="000000"/>
                <w:sz w:val="20"/>
              </w:rPr>
            </w:pPr>
            <w:r w:rsidRPr="00DD2AB0">
              <w:rPr>
                <w:rFonts w:cs="Arial"/>
                <w:bCs/>
                <w:color w:val="000000"/>
                <w:sz w:val="20"/>
              </w:rPr>
              <w:t> </w:t>
            </w:r>
          </w:p>
        </w:tc>
      </w:tr>
      <w:tr w14:paraId="37505CB1" w14:textId="77777777" w:rsidTr="00FA5C9E">
        <w:tblPrEx>
          <w:tblW w:w="13622" w:type="dxa"/>
          <w:tblInd w:w="-100" w:type="dxa"/>
          <w:tblLayout w:type="fixed"/>
          <w:tblLook w:val="04A0"/>
        </w:tblPrEx>
        <w:trPr>
          <w:gridBefore w:val="1"/>
          <w:gridAfter w:val="1"/>
          <w:wBefore w:w="88" w:type="dxa"/>
          <w:wAfter w:w="625" w:type="dxa"/>
          <w:trHeight w:val="832"/>
        </w:trPr>
        <w:tc>
          <w:tcPr>
            <w:tcW w:w="700" w:type="dxa"/>
            <w:tcBorders>
              <w:top w:val="nil"/>
              <w:left w:val="single" w:sz="4" w:space="0" w:color="auto"/>
              <w:bottom w:val="nil"/>
              <w:right w:val="nil"/>
            </w:tcBorders>
            <w:shd w:val="clear" w:color="auto" w:fill="auto"/>
            <w:noWrap/>
            <w:vAlign w:val="center"/>
            <w:hideMark/>
          </w:tcPr>
          <w:p w:rsidR="00DD2AB0" w:rsidRPr="00DD2AB0" w:rsidP="00DD2AB0" w14:paraId="48D415B0" w14:textId="77777777">
            <w:pPr>
              <w:spacing w:after="0"/>
              <w:ind w:firstLine="0"/>
              <w:rPr>
                <w:rFonts w:cs="Arial"/>
                <w:bCs/>
                <w:color w:val="000000"/>
                <w:sz w:val="20"/>
              </w:rPr>
            </w:pPr>
            <w:r w:rsidRPr="00DD2AB0">
              <w:rPr>
                <w:rFonts w:cs="Arial"/>
                <w:bCs/>
                <w:color w:val="000000"/>
                <w:sz w:val="20"/>
              </w:rPr>
              <w:t>a</w:t>
            </w:r>
          </w:p>
        </w:tc>
        <w:tc>
          <w:tcPr>
            <w:tcW w:w="12209" w:type="dxa"/>
            <w:gridSpan w:val="14"/>
            <w:tcBorders>
              <w:top w:val="nil"/>
              <w:left w:val="nil"/>
              <w:bottom w:val="nil"/>
              <w:right w:val="single" w:sz="4" w:space="0" w:color="auto"/>
            </w:tcBorders>
            <w:shd w:val="clear" w:color="auto" w:fill="auto"/>
            <w:vAlign w:val="center"/>
            <w:hideMark/>
          </w:tcPr>
          <w:p w:rsidR="00DD2AB0" w:rsidRPr="00DD2AB0" w:rsidP="00DD2AB0" w14:paraId="0B50D6E2" w14:textId="77777777">
            <w:pPr>
              <w:spacing w:after="0"/>
              <w:ind w:firstLine="0"/>
              <w:rPr>
                <w:rFonts w:cs="Arial"/>
                <w:bCs/>
                <w:color w:val="000000"/>
                <w:sz w:val="20"/>
              </w:rPr>
            </w:pPr>
            <w:r w:rsidRPr="00DD2AB0">
              <w:rPr>
                <w:rFonts w:cs="Arial"/>
                <w:bCs/>
                <w:color w:val="000000"/>
                <w:sz w:val="20"/>
              </w:rPr>
              <w:t>Applies to large entities, identified as those not in the small entity category based on the RFA definition that a small government is any specified government entity, excluding States, with jurisdiction over a population of less than 50,000. Per 2007 ICR (see General Note 1 for citation) large governments constitute 3.23 % of the affected entities.</w:t>
            </w:r>
          </w:p>
        </w:tc>
      </w:tr>
      <w:tr w14:paraId="71113CF9" w14:textId="77777777" w:rsidTr="00FA5C9E">
        <w:tblPrEx>
          <w:tblW w:w="13622" w:type="dxa"/>
          <w:tblInd w:w="-100" w:type="dxa"/>
          <w:tblLayout w:type="fixed"/>
          <w:tblLook w:val="04A0"/>
        </w:tblPrEx>
        <w:trPr>
          <w:gridBefore w:val="1"/>
          <w:gridAfter w:val="1"/>
          <w:wBefore w:w="88" w:type="dxa"/>
          <w:wAfter w:w="625" w:type="dxa"/>
          <w:trHeight w:val="832"/>
        </w:trPr>
        <w:tc>
          <w:tcPr>
            <w:tcW w:w="700" w:type="dxa"/>
            <w:tcBorders>
              <w:top w:val="nil"/>
              <w:left w:val="single" w:sz="4" w:space="0" w:color="auto"/>
              <w:bottom w:val="nil"/>
              <w:right w:val="nil"/>
            </w:tcBorders>
            <w:shd w:val="clear" w:color="auto" w:fill="auto"/>
            <w:noWrap/>
            <w:vAlign w:val="center"/>
            <w:hideMark/>
          </w:tcPr>
          <w:p w:rsidR="00DD2AB0" w:rsidRPr="00DD2AB0" w:rsidP="00DD2AB0" w14:paraId="2100BBCF" w14:textId="77777777">
            <w:pPr>
              <w:spacing w:after="0"/>
              <w:ind w:firstLine="0"/>
              <w:rPr>
                <w:rFonts w:cs="Arial"/>
                <w:bCs/>
                <w:color w:val="000000"/>
                <w:sz w:val="20"/>
              </w:rPr>
            </w:pPr>
            <w:r w:rsidRPr="00DD2AB0">
              <w:rPr>
                <w:rFonts w:cs="Arial"/>
                <w:bCs/>
                <w:color w:val="000000"/>
                <w:sz w:val="20"/>
              </w:rPr>
              <w:t>b</w:t>
            </w:r>
          </w:p>
        </w:tc>
        <w:tc>
          <w:tcPr>
            <w:tcW w:w="12209" w:type="dxa"/>
            <w:gridSpan w:val="14"/>
            <w:tcBorders>
              <w:top w:val="nil"/>
              <w:left w:val="nil"/>
              <w:bottom w:val="nil"/>
              <w:right w:val="single" w:sz="4" w:space="0" w:color="auto"/>
            </w:tcBorders>
            <w:shd w:val="clear" w:color="auto" w:fill="auto"/>
            <w:vAlign w:val="center"/>
            <w:hideMark/>
          </w:tcPr>
          <w:p w:rsidR="00DD2AB0" w:rsidRPr="00DD2AB0" w:rsidP="00DD2AB0" w14:paraId="3431AEF2" w14:textId="77777777">
            <w:pPr>
              <w:spacing w:after="0"/>
              <w:ind w:firstLine="0"/>
              <w:rPr>
                <w:rFonts w:cs="Arial"/>
                <w:bCs/>
                <w:color w:val="000000"/>
                <w:sz w:val="20"/>
              </w:rPr>
            </w:pPr>
            <w:r w:rsidRPr="00DD2AB0">
              <w:rPr>
                <w:rFonts w:cs="Arial"/>
                <w:bCs/>
                <w:color w:val="000000"/>
                <w:sz w:val="20"/>
              </w:rPr>
              <w:t>The proportion of crews that operate under large entities is purposefully assumed to be disproportionately larger than under small entities, in accordance with population records. Based on population data, 42.43% of the total number of crews will work for large entities (per 2007 ICR—see General Note 1 for citation).</w:t>
            </w:r>
          </w:p>
        </w:tc>
      </w:tr>
      <w:tr w14:paraId="3E6C2878" w14:textId="77777777" w:rsidTr="00FA5C9E">
        <w:tblPrEx>
          <w:tblW w:w="13622" w:type="dxa"/>
          <w:tblInd w:w="-100" w:type="dxa"/>
          <w:tblLayout w:type="fixed"/>
          <w:tblLook w:val="04A0"/>
        </w:tblPrEx>
        <w:trPr>
          <w:gridBefore w:val="1"/>
          <w:gridAfter w:val="1"/>
          <w:wBefore w:w="88" w:type="dxa"/>
          <w:wAfter w:w="625" w:type="dxa"/>
          <w:trHeight w:val="438"/>
        </w:trPr>
        <w:tc>
          <w:tcPr>
            <w:tcW w:w="700" w:type="dxa"/>
            <w:tcBorders>
              <w:top w:val="nil"/>
              <w:left w:val="single" w:sz="4" w:space="0" w:color="auto"/>
              <w:bottom w:val="single" w:sz="4" w:space="0" w:color="auto"/>
              <w:right w:val="nil"/>
            </w:tcBorders>
            <w:shd w:val="clear" w:color="auto" w:fill="auto"/>
            <w:noWrap/>
            <w:vAlign w:val="center"/>
            <w:hideMark/>
          </w:tcPr>
          <w:p w:rsidR="00DD2AB0" w:rsidRPr="00DD2AB0" w:rsidP="00DD2AB0" w14:paraId="3D5D0C1A" w14:textId="77777777">
            <w:pPr>
              <w:spacing w:after="0"/>
              <w:ind w:firstLine="0"/>
              <w:rPr>
                <w:rFonts w:cs="Arial"/>
                <w:bCs/>
                <w:color w:val="000000"/>
                <w:sz w:val="20"/>
              </w:rPr>
            </w:pPr>
            <w:r w:rsidRPr="00DD2AB0">
              <w:rPr>
                <w:rFonts w:cs="Arial"/>
                <w:bCs/>
                <w:color w:val="000000"/>
                <w:sz w:val="20"/>
              </w:rPr>
              <w:t>c</w:t>
            </w:r>
          </w:p>
        </w:tc>
        <w:tc>
          <w:tcPr>
            <w:tcW w:w="12209" w:type="dxa"/>
            <w:gridSpan w:val="14"/>
            <w:tcBorders>
              <w:top w:val="nil"/>
              <w:left w:val="nil"/>
              <w:bottom w:val="single" w:sz="4" w:space="0" w:color="auto"/>
              <w:right w:val="single" w:sz="4" w:space="0" w:color="auto"/>
            </w:tcBorders>
            <w:shd w:val="clear" w:color="auto" w:fill="auto"/>
            <w:vAlign w:val="center"/>
            <w:hideMark/>
          </w:tcPr>
          <w:p w:rsidR="00DD2AB0" w:rsidRPr="00DD2AB0" w:rsidP="00DD2AB0" w14:paraId="35A60DCC" w14:textId="77777777">
            <w:pPr>
              <w:spacing w:after="0"/>
              <w:ind w:firstLine="0"/>
              <w:rPr>
                <w:rFonts w:cs="Arial"/>
                <w:bCs/>
                <w:color w:val="000000"/>
                <w:sz w:val="20"/>
              </w:rPr>
            </w:pPr>
            <w:r w:rsidRPr="00DD2AB0">
              <w:rPr>
                <w:rFonts w:cs="Arial"/>
                <w:bCs/>
                <w:color w:val="000000"/>
                <w:sz w:val="20"/>
              </w:rPr>
              <w:t xml:space="preserve">The percentage of affected brake and clutch shops in large government jurisdictions is assumed to occur at 42.43% of the total number of shops (per 2007 ICR—see General Note 1 for citation). </w:t>
            </w:r>
          </w:p>
        </w:tc>
      </w:tr>
    </w:tbl>
    <w:p w:rsidR="00AC7026" w:rsidRPr="00B850BA" w:rsidP="00444A7E" w14:paraId="254D904F" w14:textId="77777777">
      <w:pPr>
        <w:spacing w:after="0" w:line="276" w:lineRule="auto"/>
        <w:rPr>
          <w:rFonts w:asciiTheme="minorHAnsi" w:hAnsiTheme="minorHAnsi" w:cstheme="minorHAnsi"/>
          <w:szCs w:val="24"/>
        </w:rPr>
      </w:pPr>
    </w:p>
    <w:p w:rsidR="00DD2AB0" w:rsidP="00444A7E" w14:paraId="50485845" w14:textId="2F7835A0">
      <w:pPr>
        <w:spacing w:after="0"/>
        <w:rPr>
          <w:rFonts w:asciiTheme="minorHAnsi" w:hAnsiTheme="minorHAnsi" w:cstheme="minorHAnsi"/>
          <w:b/>
          <w:bCs/>
          <w:color w:val="000000"/>
          <w:szCs w:val="24"/>
        </w:rPr>
      </w:pPr>
    </w:p>
    <w:p w:rsidR="00DD2AB0" w14:paraId="31ADF7AB" w14:textId="77777777">
      <w:pPr>
        <w:rPr>
          <w:rFonts w:asciiTheme="minorHAnsi" w:hAnsiTheme="minorHAnsi" w:cstheme="minorHAnsi"/>
          <w:b/>
          <w:bCs/>
          <w:color w:val="000000"/>
          <w:szCs w:val="24"/>
        </w:rPr>
      </w:pPr>
      <w:r>
        <w:rPr>
          <w:rFonts w:asciiTheme="minorHAnsi" w:hAnsiTheme="minorHAnsi" w:cstheme="minorHAnsi"/>
          <w:b/>
          <w:bCs/>
          <w:color w:val="000000"/>
          <w:szCs w:val="24"/>
        </w:rPr>
        <w:br w:type="page"/>
      </w:r>
    </w:p>
    <w:p w:rsidR="00AC7026" w:rsidRPr="00B850BA" w:rsidP="00444A7E" w14:paraId="5370F51D" w14:textId="77777777">
      <w:pPr>
        <w:spacing w:after="0"/>
        <w:rPr>
          <w:rFonts w:asciiTheme="minorHAnsi" w:hAnsiTheme="minorHAnsi" w:cstheme="minorHAnsi"/>
          <w:b/>
          <w:bCs/>
          <w:color w:val="000000"/>
          <w:szCs w:val="24"/>
        </w:rPr>
        <w:sectPr w:rsidSect="002E1451">
          <w:pgSz w:w="15840" w:h="12240" w:orient="landscape"/>
          <w:pgMar w:top="1440" w:right="1440" w:bottom="1440" w:left="1440" w:header="576" w:footer="576" w:gutter="0"/>
          <w:cols w:space="720"/>
          <w:docGrid w:linePitch="326"/>
        </w:sectPr>
      </w:pPr>
    </w:p>
    <w:p w:rsidR="006F7601" w:rsidRPr="00B909B5" w:rsidP="00FC7ED6" w14:paraId="7B63AE43" w14:textId="32DDDE3B">
      <w:pPr>
        <w:pStyle w:val="Heading1"/>
        <w:spacing w:before="240"/>
        <w:contextualSpacing/>
        <w:rPr>
          <w:rFonts w:ascii="Calibri" w:hAnsi="Calibri" w:cs="Calibri"/>
          <w:i/>
          <w:iCs/>
          <w:szCs w:val="24"/>
        </w:rPr>
      </w:pPr>
      <w:r w:rsidRPr="00B909B5">
        <w:rPr>
          <w:rFonts w:ascii="Calibri" w:hAnsi="Calibri" w:cs="Calibri"/>
          <w:i/>
          <w:iCs/>
          <w:szCs w:val="24"/>
        </w:rPr>
        <w:t>13. Provide an estimate for the total annual cost burden to respondents or record</w:t>
      </w:r>
      <w:r w:rsidRPr="00B909B5" w:rsidR="00822BB3">
        <w:rPr>
          <w:rFonts w:ascii="Calibri" w:hAnsi="Calibri" w:cs="Calibri"/>
          <w:i/>
          <w:iCs/>
          <w:szCs w:val="24"/>
        </w:rPr>
        <w:t xml:space="preserve"> </w:t>
      </w:r>
      <w:r w:rsidRPr="00B909B5" w:rsidR="00DC43A6">
        <w:rPr>
          <w:rFonts w:ascii="Calibri" w:hAnsi="Calibri" w:cs="Calibri"/>
          <w:i/>
          <w:iCs/>
          <w:szCs w:val="24"/>
        </w:rPr>
        <w:t>k</w:t>
      </w:r>
      <w:r w:rsidRPr="00B909B5">
        <w:rPr>
          <w:rFonts w:ascii="Calibri" w:hAnsi="Calibri" w:cs="Calibri"/>
          <w:i/>
          <w:iCs/>
          <w:szCs w:val="24"/>
        </w:rPr>
        <w:t>eepers</w:t>
      </w:r>
      <w:r w:rsidRPr="00B909B5" w:rsidR="00DC43A6">
        <w:rPr>
          <w:rFonts w:ascii="Calibri" w:hAnsi="Calibri" w:cs="Calibri"/>
          <w:i/>
          <w:iCs/>
          <w:szCs w:val="24"/>
        </w:rPr>
        <w:t xml:space="preserve"> </w:t>
      </w:r>
      <w:r w:rsidRPr="00B909B5">
        <w:rPr>
          <w:rFonts w:ascii="Calibri" w:hAnsi="Calibri" w:cs="Calibri"/>
          <w:i/>
          <w:iCs/>
          <w:szCs w:val="24"/>
        </w:rPr>
        <w:t>resulting from the collection of information. (Do not include the cost of</w:t>
      </w:r>
      <w:r w:rsidRPr="00B909B5" w:rsidR="00822BB3">
        <w:rPr>
          <w:rFonts w:ascii="Calibri" w:hAnsi="Calibri" w:cs="Calibri"/>
          <w:i/>
          <w:iCs/>
          <w:szCs w:val="24"/>
        </w:rPr>
        <w:t xml:space="preserve"> </w:t>
      </w:r>
      <w:r w:rsidRPr="00B909B5">
        <w:rPr>
          <w:rFonts w:ascii="Calibri" w:hAnsi="Calibri" w:cs="Calibri"/>
          <w:i/>
          <w:iCs/>
          <w:szCs w:val="24"/>
        </w:rPr>
        <w:t>any hour burden</w:t>
      </w:r>
      <w:r w:rsidRPr="00B909B5" w:rsidR="00DC43A6">
        <w:rPr>
          <w:rFonts w:ascii="Calibri" w:hAnsi="Calibri" w:cs="Calibri"/>
          <w:i/>
          <w:iCs/>
          <w:szCs w:val="24"/>
        </w:rPr>
        <w:t xml:space="preserve"> </w:t>
      </w:r>
      <w:r w:rsidRPr="00B909B5">
        <w:rPr>
          <w:rFonts w:ascii="Calibri" w:hAnsi="Calibri" w:cs="Calibri"/>
          <w:i/>
          <w:iCs/>
          <w:szCs w:val="24"/>
        </w:rPr>
        <w:t>already reflected on the burden worksheet).</w:t>
      </w:r>
    </w:p>
    <w:p w:rsidR="006F7601" w:rsidRPr="00B850BA" w:rsidP="00822BB3" w14:paraId="07B31230" w14:textId="77777777">
      <w:pPr>
        <w:pStyle w:val="NoSpacing"/>
        <w:numPr>
          <w:ilvl w:val="0"/>
          <w:numId w:val="33"/>
        </w:numPr>
        <w:rPr>
          <w:rFonts w:asciiTheme="minorHAnsi" w:hAnsiTheme="minorHAnsi" w:cstheme="minorHAnsi"/>
          <w:b/>
          <w:bCs/>
          <w:szCs w:val="24"/>
        </w:rPr>
      </w:pPr>
      <w:r w:rsidRPr="00B850BA">
        <w:rPr>
          <w:rFonts w:asciiTheme="minorHAnsi" w:hAnsiTheme="minorHAnsi" w:cstheme="minorHAnsi"/>
          <w:b/>
          <w:bC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F7601" w:rsidRPr="00B850BA" w:rsidP="00822BB3" w14:paraId="4663DED0" w14:textId="77777777">
      <w:pPr>
        <w:pStyle w:val="NoSpacing"/>
        <w:numPr>
          <w:ilvl w:val="0"/>
          <w:numId w:val="33"/>
        </w:numPr>
        <w:rPr>
          <w:rFonts w:asciiTheme="minorHAnsi" w:hAnsiTheme="minorHAnsi" w:cstheme="minorHAnsi"/>
          <w:b/>
          <w:bCs/>
          <w:szCs w:val="24"/>
        </w:rPr>
      </w:pPr>
      <w:r w:rsidRPr="00B850BA">
        <w:rPr>
          <w:rFonts w:asciiTheme="minorHAnsi" w:hAnsiTheme="minorHAnsi" w:cstheme="minorHAnsi"/>
          <w:b/>
          <w:bCs/>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F7601" w:rsidRPr="00B850BA" w:rsidP="00822BB3" w14:paraId="5B9E0D9A" w14:textId="333A017F">
      <w:pPr>
        <w:pStyle w:val="NoSpacing"/>
        <w:numPr>
          <w:ilvl w:val="0"/>
          <w:numId w:val="33"/>
        </w:numPr>
        <w:rPr>
          <w:rFonts w:asciiTheme="minorHAnsi" w:hAnsiTheme="minorHAnsi" w:cstheme="minorHAnsi"/>
          <w:b/>
          <w:bCs/>
          <w:szCs w:val="24"/>
        </w:rPr>
      </w:pPr>
      <w:r w:rsidRPr="00B850BA">
        <w:rPr>
          <w:rFonts w:asciiTheme="minorHAnsi" w:hAnsiTheme="minorHAnsi" w:cstheme="minorHAnsi"/>
          <w:b/>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644DA" w:rsidRPr="00B850BA" w:rsidP="008F708D" w14:paraId="672C3A36" w14:textId="10FCBD41">
      <w:pPr>
        <w:tabs>
          <w:tab w:val="left" w:pos="720"/>
        </w:tabs>
        <w:spacing w:line="276" w:lineRule="auto"/>
        <w:ind w:left="720" w:hanging="720"/>
        <w:rPr>
          <w:rFonts w:asciiTheme="minorHAnsi" w:hAnsiTheme="minorHAnsi" w:cstheme="minorHAnsi"/>
          <w:szCs w:val="24"/>
        </w:rPr>
      </w:pPr>
      <w:r w:rsidRPr="00B850BA">
        <w:rPr>
          <w:rFonts w:asciiTheme="minorHAnsi" w:hAnsiTheme="minorHAnsi" w:cstheme="minorHAnsi"/>
          <w:szCs w:val="24"/>
        </w:rPr>
        <w:t xml:space="preserve">There are no operational or maintenance costs associated with this collection. </w:t>
      </w:r>
    </w:p>
    <w:p w:rsidR="00D867AA" w:rsidRPr="00B909B5" w:rsidP="00FC7ED6" w14:paraId="12EE2DF2" w14:textId="543CB960">
      <w:pPr>
        <w:pStyle w:val="Heading1"/>
        <w:spacing w:before="240"/>
        <w:rPr>
          <w:rFonts w:ascii="Calibri" w:hAnsi="Calibri" w:cs="Calibri"/>
          <w:i/>
          <w:iCs/>
          <w:szCs w:val="24"/>
        </w:rPr>
      </w:pPr>
      <w:r w:rsidRPr="00B909B5">
        <w:rPr>
          <w:rFonts w:ascii="Calibri" w:hAnsi="Calibri" w:cs="Calibri"/>
          <w:i/>
          <w:iCs/>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867AA" w:rsidRPr="00B850BA" w:rsidP="00FC7ED6" w14:paraId="56656106" w14:textId="7AEB196D">
      <w:pPr>
        <w:spacing w:line="276" w:lineRule="auto"/>
        <w:ind w:firstLine="0"/>
        <w:rPr>
          <w:rFonts w:asciiTheme="minorHAnsi" w:hAnsiTheme="minorHAnsi" w:cstheme="minorHAnsi"/>
          <w:szCs w:val="24"/>
        </w:rPr>
      </w:pPr>
      <w:r w:rsidRPr="00B850BA">
        <w:rPr>
          <w:rFonts w:asciiTheme="minorHAnsi" w:hAnsiTheme="minorHAnsi" w:cstheme="minorHAnsi"/>
          <w:szCs w:val="24"/>
        </w:rPr>
        <w:t>Not applicable. EPA does not collect any information under this information collection. All information subject to this collection request is to be gathered and maintained by the employer.</w:t>
      </w:r>
    </w:p>
    <w:p w:rsidR="00D74D9E" w:rsidRPr="00B850BA" w:rsidP="00FC7ED6" w14:paraId="3542D1CC" w14:textId="0F16D8BE">
      <w:pPr>
        <w:spacing w:line="276" w:lineRule="auto"/>
        <w:ind w:firstLine="0"/>
        <w:rPr>
          <w:rFonts w:asciiTheme="minorHAnsi" w:hAnsiTheme="minorHAnsi" w:cstheme="minorHAnsi"/>
          <w:szCs w:val="24"/>
        </w:rPr>
      </w:pPr>
      <w:bookmarkStart w:id="6" w:name="_Hlk89679930"/>
      <w:r w:rsidRPr="00B850BA">
        <w:rPr>
          <w:rFonts w:asciiTheme="minorHAnsi" w:hAnsiTheme="minorHAnsi" w:cstheme="minorHAnsi"/>
          <w:szCs w:val="24"/>
        </w:rPr>
        <w:t xml:space="preserve">EPA does not collect any information under this </w:t>
      </w:r>
      <w:r w:rsidRPr="00B850BA" w:rsidR="004A3DB4">
        <w:rPr>
          <w:rFonts w:asciiTheme="minorHAnsi" w:hAnsiTheme="minorHAnsi" w:cstheme="minorHAnsi"/>
          <w:szCs w:val="24"/>
        </w:rPr>
        <w:t>information collection</w:t>
      </w:r>
      <w:r w:rsidRPr="00B850BA">
        <w:rPr>
          <w:rFonts w:asciiTheme="minorHAnsi" w:hAnsiTheme="minorHAnsi" w:cstheme="minorHAnsi"/>
          <w:szCs w:val="24"/>
        </w:rPr>
        <w:t>. All information subject to this collection request is to be gathered and maintained by the employer. As such, EPA does not incur any burden or cost under this information collection.</w:t>
      </w:r>
    </w:p>
    <w:bookmarkEnd w:id="6"/>
    <w:p w:rsidR="00DC43A6" w:rsidRPr="00B909B5" w:rsidP="00FC7ED6" w14:paraId="1FF4B0C5" w14:textId="77777777">
      <w:pPr>
        <w:pStyle w:val="Heading1"/>
        <w:keepNext/>
        <w:spacing w:before="240"/>
        <w:rPr>
          <w:rFonts w:ascii="Calibri" w:hAnsi="Calibri" w:cs="Calibri"/>
          <w:i/>
          <w:iCs/>
          <w:szCs w:val="24"/>
        </w:rPr>
      </w:pPr>
      <w:r w:rsidRPr="00B909B5">
        <w:rPr>
          <w:rFonts w:ascii="Calibri" w:hAnsi="Calibri" w:cs="Calibri"/>
          <w:i/>
          <w:iCs/>
          <w:szCs w:val="24"/>
        </w:rPr>
        <w:t>15. Explain the reasons for any program changes or adjustments reported on the burden worksheet (in hour or cost burden.)</w:t>
      </w:r>
    </w:p>
    <w:p w:rsidR="007703DE" w:rsidRPr="00B850BA" w:rsidP="00FC7ED6" w14:paraId="180C1482" w14:textId="61CCE8EA">
      <w:pPr>
        <w:widowControl w:val="0"/>
        <w:spacing w:line="276" w:lineRule="auto"/>
        <w:ind w:firstLine="0"/>
        <w:rPr>
          <w:rFonts w:asciiTheme="minorHAnsi" w:eastAsiaTheme="minorEastAsia" w:hAnsiTheme="minorHAnsi" w:cstheme="minorHAnsi"/>
          <w:szCs w:val="24"/>
        </w:rPr>
      </w:pPr>
      <w:r w:rsidRPr="00B850BA">
        <w:rPr>
          <w:rFonts w:asciiTheme="minorHAnsi" w:eastAsiaTheme="minorEastAsia" w:hAnsiTheme="minorHAnsi" w:cstheme="minorHAnsi"/>
          <w:szCs w:val="24"/>
        </w:rPr>
        <w:t xml:space="preserve">There is an increase in total </w:t>
      </w:r>
      <w:r w:rsidRPr="00B850BA" w:rsidR="633DA3D7">
        <w:rPr>
          <w:rFonts w:asciiTheme="minorHAnsi" w:eastAsiaTheme="minorEastAsia" w:hAnsiTheme="minorHAnsi" w:cstheme="minorHAnsi"/>
          <w:szCs w:val="24"/>
        </w:rPr>
        <w:t xml:space="preserve">cost </w:t>
      </w:r>
      <w:r w:rsidRPr="00B850BA">
        <w:rPr>
          <w:rFonts w:asciiTheme="minorHAnsi" w:eastAsiaTheme="minorEastAsia" w:hAnsiTheme="minorHAnsi" w:cstheme="minorHAnsi"/>
          <w:szCs w:val="24"/>
        </w:rPr>
        <w:t xml:space="preserve">burden of </w:t>
      </w:r>
      <w:r w:rsidRPr="00B850BA" w:rsidR="633DA3D7">
        <w:rPr>
          <w:rFonts w:asciiTheme="minorHAnsi" w:eastAsiaTheme="minorEastAsia" w:hAnsiTheme="minorHAnsi" w:cstheme="minorHAnsi"/>
          <w:szCs w:val="24"/>
        </w:rPr>
        <w:t>$</w:t>
      </w:r>
      <w:r w:rsidRPr="00B850BA" w:rsidR="1E6F2205">
        <w:rPr>
          <w:rFonts w:asciiTheme="minorHAnsi" w:eastAsiaTheme="minorEastAsia" w:hAnsiTheme="minorHAnsi" w:cstheme="minorHAnsi"/>
          <w:szCs w:val="24"/>
        </w:rPr>
        <w:t>4</w:t>
      </w:r>
      <w:r w:rsidRPr="00B850BA" w:rsidR="633DA3D7">
        <w:rPr>
          <w:rFonts w:asciiTheme="minorHAnsi" w:eastAsiaTheme="minorEastAsia" w:hAnsiTheme="minorHAnsi" w:cstheme="minorHAnsi"/>
          <w:szCs w:val="24"/>
        </w:rPr>
        <w:t>.</w:t>
      </w:r>
      <w:r w:rsidRPr="00B850BA" w:rsidR="10B8009F">
        <w:rPr>
          <w:rFonts w:asciiTheme="minorHAnsi" w:eastAsiaTheme="minorEastAsia" w:hAnsiTheme="minorHAnsi" w:cstheme="minorHAnsi"/>
          <w:szCs w:val="24"/>
        </w:rPr>
        <w:t>282</w:t>
      </w:r>
      <w:r w:rsidRPr="00B850BA" w:rsidR="633DA3D7">
        <w:rPr>
          <w:rFonts w:asciiTheme="minorHAnsi" w:eastAsiaTheme="minorEastAsia" w:hAnsiTheme="minorHAnsi" w:cstheme="minorHAnsi"/>
          <w:szCs w:val="24"/>
        </w:rPr>
        <w:t xml:space="preserve"> million compared with </w:t>
      </w:r>
      <w:r w:rsidRPr="00B850BA" w:rsidR="0B9E2E28">
        <w:rPr>
          <w:rFonts w:asciiTheme="minorHAnsi" w:eastAsiaTheme="minorEastAsia" w:hAnsiTheme="minorHAnsi" w:cstheme="minorHAnsi"/>
          <w:szCs w:val="24"/>
        </w:rPr>
        <w:t xml:space="preserve">that identified in </w:t>
      </w:r>
      <w:r w:rsidRPr="00B850BA" w:rsidR="633DA3D7">
        <w:rPr>
          <w:rFonts w:asciiTheme="minorHAnsi" w:eastAsiaTheme="minorEastAsia" w:hAnsiTheme="minorHAnsi" w:cstheme="minorHAnsi"/>
          <w:szCs w:val="24"/>
        </w:rPr>
        <w:t xml:space="preserve">the </w:t>
      </w:r>
      <w:r w:rsidRPr="00B850BA" w:rsidR="0B9E2E28">
        <w:rPr>
          <w:rFonts w:asciiTheme="minorHAnsi" w:eastAsiaTheme="minorEastAsia" w:hAnsiTheme="minorHAnsi" w:cstheme="minorHAnsi"/>
          <w:szCs w:val="24"/>
        </w:rPr>
        <w:t>ICR currently approved by OMB. This increase reflects</w:t>
      </w:r>
      <w:r w:rsidRPr="00B850BA" w:rsidR="5F0F4594">
        <w:rPr>
          <w:rFonts w:asciiTheme="minorHAnsi" w:eastAsiaTheme="minorEastAsia" w:hAnsiTheme="minorHAnsi" w:cstheme="minorHAnsi"/>
          <w:szCs w:val="24"/>
        </w:rPr>
        <w:t xml:space="preserve"> </w:t>
      </w:r>
      <w:r w:rsidRPr="00B850BA" w:rsidR="0B9E2E28">
        <w:rPr>
          <w:rFonts w:asciiTheme="minorHAnsi" w:eastAsiaTheme="minorEastAsia" w:hAnsiTheme="minorHAnsi" w:cstheme="minorHAnsi"/>
          <w:szCs w:val="24"/>
        </w:rPr>
        <w:t>an increase of $1</w:t>
      </w:r>
      <w:r w:rsidRPr="00B850BA" w:rsidR="315EFE87">
        <w:rPr>
          <w:rFonts w:asciiTheme="minorHAnsi" w:eastAsiaTheme="minorEastAsia" w:hAnsiTheme="minorHAnsi" w:cstheme="minorHAnsi"/>
          <w:szCs w:val="24"/>
        </w:rPr>
        <w:t>3</w:t>
      </w:r>
      <w:r w:rsidRPr="00B850BA" w:rsidR="0B9E2E28">
        <w:rPr>
          <w:rFonts w:asciiTheme="minorHAnsi" w:eastAsiaTheme="minorEastAsia" w:hAnsiTheme="minorHAnsi" w:cstheme="minorHAnsi"/>
          <w:szCs w:val="24"/>
        </w:rPr>
        <w:t>.</w:t>
      </w:r>
      <w:r w:rsidRPr="00B850BA" w:rsidR="2333CFB6">
        <w:rPr>
          <w:rFonts w:asciiTheme="minorHAnsi" w:eastAsiaTheme="minorEastAsia" w:hAnsiTheme="minorHAnsi" w:cstheme="minorHAnsi"/>
          <w:szCs w:val="24"/>
        </w:rPr>
        <w:t>8</w:t>
      </w:r>
      <w:r w:rsidRPr="00B850BA" w:rsidR="0B9E2E28">
        <w:rPr>
          <w:rFonts w:asciiTheme="minorHAnsi" w:eastAsiaTheme="minorEastAsia" w:hAnsiTheme="minorHAnsi" w:cstheme="minorHAnsi"/>
          <w:szCs w:val="24"/>
        </w:rPr>
        <w:t>4, or 3</w:t>
      </w:r>
      <w:r w:rsidRPr="00B850BA" w:rsidR="12A7455F">
        <w:rPr>
          <w:rFonts w:asciiTheme="minorHAnsi" w:eastAsiaTheme="minorEastAsia" w:hAnsiTheme="minorHAnsi" w:cstheme="minorHAnsi"/>
          <w:szCs w:val="24"/>
        </w:rPr>
        <w:t>1</w:t>
      </w:r>
      <w:r w:rsidRPr="00B850BA" w:rsidR="0B9E2E28">
        <w:rPr>
          <w:rFonts w:asciiTheme="minorHAnsi" w:eastAsiaTheme="minorEastAsia" w:hAnsiTheme="minorHAnsi" w:cstheme="minorHAnsi"/>
          <w:szCs w:val="24"/>
        </w:rPr>
        <w:t>%, to the weighted average wage rate</w:t>
      </w:r>
      <w:r w:rsidRPr="00B850BA" w:rsidR="5F0F4594">
        <w:rPr>
          <w:rFonts w:asciiTheme="minorHAnsi" w:eastAsiaTheme="minorEastAsia" w:hAnsiTheme="minorHAnsi" w:cstheme="minorHAnsi"/>
          <w:szCs w:val="24"/>
        </w:rPr>
        <w:t xml:space="preserve">, </w:t>
      </w:r>
      <w:r w:rsidRPr="00B850BA" w:rsidR="6601D8E2">
        <w:rPr>
          <w:rFonts w:asciiTheme="minorHAnsi" w:eastAsiaTheme="minorEastAsia" w:hAnsiTheme="minorHAnsi" w:cstheme="minorHAnsi"/>
          <w:szCs w:val="24"/>
        </w:rPr>
        <w:t xml:space="preserve">and </w:t>
      </w:r>
      <w:r w:rsidRPr="00B850BA" w:rsidR="5F0F4594">
        <w:rPr>
          <w:rFonts w:asciiTheme="minorHAnsi" w:eastAsiaTheme="minorEastAsia" w:hAnsiTheme="minorHAnsi" w:cstheme="minorHAnsi"/>
          <w:szCs w:val="24"/>
        </w:rPr>
        <w:t xml:space="preserve">an increase of 10,701 </w:t>
      </w:r>
      <w:r w:rsidRPr="00B850BA" w:rsidR="6601D8E2">
        <w:rPr>
          <w:rFonts w:asciiTheme="minorHAnsi" w:eastAsiaTheme="minorEastAsia" w:hAnsiTheme="minorHAnsi" w:cstheme="minorHAnsi"/>
          <w:szCs w:val="24"/>
        </w:rPr>
        <w:t xml:space="preserve">to </w:t>
      </w:r>
      <w:r w:rsidRPr="00B850BA" w:rsidR="5F0F4594">
        <w:rPr>
          <w:rFonts w:asciiTheme="minorHAnsi" w:eastAsiaTheme="minorEastAsia" w:hAnsiTheme="minorHAnsi" w:cstheme="minorHAnsi"/>
          <w:szCs w:val="24"/>
        </w:rPr>
        <w:t>total respondents (local entities)</w:t>
      </w:r>
      <w:r w:rsidRPr="00B850BA" w:rsidR="6601D8E2">
        <w:rPr>
          <w:rFonts w:asciiTheme="minorHAnsi" w:eastAsiaTheme="minorEastAsia" w:hAnsiTheme="minorHAnsi" w:cstheme="minorHAnsi"/>
          <w:szCs w:val="24"/>
        </w:rPr>
        <w:t>,</w:t>
      </w:r>
      <w:r w:rsidRPr="00B850BA" w:rsidR="5F0F4594">
        <w:rPr>
          <w:rFonts w:asciiTheme="minorHAnsi" w:eastAsiaTheme="minorEastAsia" w:hAnsiTheme="minorHAnsi" w:cstheme="minorHAnsi"/>
          <w:szCs w:val="24"/>
        </w:rPr>
        <w:t xml:space="preserve"> reflecting updated numbers of governments from the Census of Governments. These increases are partially offset by a decrease of 46,824 in the total number of responses due to a decrease in the number of states subject to the rule </w:t>
      </w:r>
      <w:r w:rsidRPr="00B850BA" w:rsidR="389A98CC">
        <w:rPr>
          <w:rFonts w:asciiTheme="minorHAnsi" w:eastAsiaTheme="minorEastAsia" w:hAnsiTheme="minorHAnsi" w:cstheme="minorHAnsi"/>
          <w:szCs w:val="24"/>
        </w:rPr>
        <w:t>compared with that identified in the ICR currently approved by OMB.</w:t>
      </w:r>
      <w:r w:rsidRPr="00B850BA" w:rsidR="516F2C72">
        <w:rPr>
          <w:rFonts w:asciiTheme="minorHAnsi" w:eastAsiaTheme="minorEastAsia" w:hAnsiTheme="minorHAnsi" w:cstheme="minorHAnsi"/>
          <w:szCs w:val="24"/>
        </w:rPr>
        <w:t xml:space="preserve"> There is a decrease in burden hours by 14,920 due to a decrease in estimated number of </w:t>
      </w:r>
      <w:r w:rsidRPr="00B850BA" w:rsidR="7EB0FE71">
        <w:rPr>
          <w:rFonts w:asciiTheme="minorHAnsi" w:eastAsiaTheme="minorEastAsia" w:hAnsiTheme="minorHAnsi" w:cstheme="minorHAnsi"/>
          <w:szCs w:val="24"/>
        </w:rPr>
        <w:t>responses</w:t>
      </w:r>
      <w:r w:rsidRPr="00B850BA" w:rsidR="516F2C72">
        <w:rPr>
          <w:rFonts w:asciiTheme="minorHAnsi" w:eastAsiaTheme="minorEastAsia" w:hAnsiTheme="minorHAnsi" w:cstheme="minorHAnsi"/>
          <w:szCs w:val="24"/>
        </w:rPr>
        <w:t xml:space="preserve">. </w:t>
      </w:r>
      <w:r w:rsidR="00A8517E">
        <w:rPr>
          <w:rFonts w:asciiTheme="minorHAnsi" w:eastAsiaTheme="minorEastAsia" w:hAnsiTheme="minorHAnsi" w:cstheme="minorHAnsi"/>
          <w:szCs w:val="24"/>
        </w:rPr>
        <w:t xml:space="preserve">This change is an adjustment. </w:t>
      </w:r>
    </w:p>
    <w:p w:rsidR="006F7601" w:rsidRPr="00B909B5" w:rsidP="00FC7ED6" w14:paraId="1322CC7E" w14:textId="202CEAB5">
      <w:pPr>
        <w:pStyle w:val="Heading1"/>
        <w:spacing w:before="240"/>
        <w:rPr>
          <w:rFonts w:ascii="Calibri" w:hAnsi="Calibri" w:cs="Calibri"/>
          <w:i/>
          <w:iCs/>
          <w:szCs w:val="24"/>
        </w:rPr>
      </w:pPr>
      <w:r w:rsidRPr="00B909B5">
        <w:rPr>
          <w:rFonts w:ascii="Calibri" w:hAnsi="Calibri" w:cs="Calibri"/>
          <w:i/>
          <w:iCs/>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44DA" w:rsidRPr="00B850BA" w:rsidP="00FC7ED6" w14:paraId="342001D2" w14:textId="0B0C8F36">
      <w:pPr>
        <w:spacing w:line="276" w:lineRule="auto"/>
        <w:ind w:firstLine="0"/>
        <w:rPr>
          <w:rFonts w:asciiTheme="minorHAnsi" w:hAnsiTheme="minorHAnsi" w:cstheme="minorHAnsi"/>
          <w:bCs/>
          <w:szCs w:val="24"/>
        </w:rPr>
      </w:pPr>
      <w:r w:rsidRPr="00B850BA">
        <w:rPr>
          <w:rFonts w:asciiTheme="minorHAnsi" w:hAnsiTheme="minorHAnsi" w:cstheme="minorHAnsi"/>
          <w:bCs/>
          <w:szCs w:val="24"/>
        </w:rPr>
        <w:t xml:space="preserve">Not applicable. </w:t>
      </w:r>
    </w:p>
    <w:p w:rsidR="006F7601" w:rsidRPr="00B909B5" w:rsidP="00FC7ED6" w14:paraId="314F47D7" w14:textId="7785B179">
      <w:pPr>
        <w:pStyle w:val="Heading1"/>
        <w:spacing w:before="240"/>
        <w:rPr>
          <w:rFonts w:ascii="Calibri" w:hAnsi="Calibri" w:cs="Calibri"/>
          <w:i/>
          <w:iCs/>
          <w:szCs w:val="24"/>
        </w:rPr>
      </w:pPr>
      <w:r w:rsidRPr="00B909B5">
        <w:rPr>
          <w:rFonts w:ascii="Calibri" w:hAnsi="Calibri" w:cs="Calibri"/>
          <w:i/>
          <w:iCs/>
          <w:szCs w:val="24"/>
        </w:rPr>
        <w:t>17. If seeking approval to not display the expiration date for OMB approval of the information collection, explain the reasons that display would be inappropriate.</w:t>
      </w:r>
    </w:p>
    <w:p w:rsidR="005644DA" w:rsidRPr="00B850BA" w:rsidP="00FC7ED6" w14:paraId="2AD65467" w14:textId="78E5F5A5">
      <w:pPr>
        <w:spacing w:line="276" w:lineRule="auto"/>
        <w:ind w:firstLine="0"/>
        <w:rPr>
          <w:rFonts w:asciiTheme="minorHAnsi" w:hAnsiTheme="minorHAnsi" w:cstheme="minorHAnsi"/>
          <w:bCs/>
          <w:szCs w:val="24"/>
        </w:rPr>
      </w:pPr>
      <w:r w:rsidRPr="00B850BA">
        <w:rPr>
          <w:rFonts w:asciiTheme="minorHAnsi" w:hAnsiTheme="minorHAnsi" w:cstheme="minorHAnsi"/>
          <w:bCs/>
          <w:szCs w:val="24"/>
        </w:rPr>
        <w:t xml:space="preserve">Not applicable. </w:t>
      </w:r>
    </w:p>
    <w:p w:rsidR="006F7601" w:rsidRPr="00B909B5" w:rsidP="00FC7ED6" w14:paraId="39BC1B62" w14:textId="0A4BCD74">
      <w:pPr>
        <w:pStyle w:val="Heading1"/>
        <w:spacing w:before="240"/>
        <w:rPr>
          <w:rFonts w:ascii="Calibri" w:hAnsi="Calibri" w:cs="Calibri"/>
          <w:i/>
          <w:iCs/>
          <w:szCs w:val="24"/>
        </w:rPr>
      </w:pPr>
      <w:r w:rsidRPr="00B909B5">
        <w:rPr>
          <w:rFonts w:ascii="Calibri" w:hAnsi="Calibri" w:cs="Calibri"/>
          <w:i/>
          <w:iCs/>
          <w:szCs w:val="24"/>
        </w:rPr>
        <w:t>18.</w:t>
      </w:r>
      <w:r w:rsidR="00EE07F9">
        <w:rPr>
          <w:rFonts w:ascii="Calibri" w:hAnsi="Calibri" w:cs="Calibri"/>
          <w:i/>
          <w:iCs/>
          <w:szCs w:val="24"/>
        </w:rPr>
        <w:t xml:space="preserve"> </w:t>
      </w:r>
      <w:r w:rsidRPr="00B909B5">
        <w:rPr>
          <w:rFonts w:ascii="Calibri" w:hAnsi="Calibri" w:cs="Calibri"/>
          <w:i/>
          <w:iCs/>
          <w:szCs w:val="24"/>
        </w:rPr>
        <w:t>Explain each exception to the topics of the certification statement identified in “Certification for Paperwork Reduction Act Submissions.”</w:t>
      </w:r>
    </w:p>
    <w:p w:rsidR="004C310C" w:rsidRPr="00B850BA" w:rsidP="00FC7ED6" w14:paraId="3B977FF3" w14:textId="7815DCCF">
      <w:pPr>
        <w:spacing w:line="276" w:lineRule="auto"/>
        <w:ind w:firstLine="0"/>
        <w:rPr>
          <w:rFonts w:asciiTheme="minorHAnsi" w:hAnsiTheme="minorHAnsi" w:cstheme="minorHAnsi"/>
          <w:szCs w:val="24"/>
          <w:lang w:bidi="en-US"/>
        </w:rPr>
      </w:pPr>
      <w:bookmarkStart w:id="7" w:name="_Hlk85093343"/>
      <w:r w:rsidRPr="00B850BA">
        <w:rPr>
          <w:rFonts w:asciiTheme="minorHAnsi" w:hAnsiTheme="minorHAnsi" w:cstheme="minorHAnsi"/>
          <w:szCs w:val="24"/>
          <w:lang w:bidi="en-US"/>
        </w:rPr>
        <w:t xml:space="preserve">EPA does not request an exception to the certification of this information collection. </w:t>
      </w:r>
    </w:p>
    <w:bookmarkEnd w:id="7"/>
    <w:p w:rsidR="00F06DF8" w:rsidRPr="00B850BA" w:rsidP="00822BB3" w14:paraId="12A326F7" w14:textId="77777777">
      <w:pPr>
        <w:pStyle w:val="Heading1"/>
        <w:rPr>
          <w:rFonts w:asciiTheme="minorHAnsi" w:hAnsiTheme="minorHAnsi" w:cstheme="minorHAnsi"/>
          <w:szCs w:val="24"/>
        </w:rPr>
      </w:pPr>
      <w:r w:rsidRPr="00B850BA">
        <w:rPr>
          <w:rFonts w:asciiTheme="minorHAnsi" w:hAnsiTheme="minorHAnsi" w:cstheme="minorHAnsi"/>
          <w:szCs w:val="24"/>
        </w:rPr>
        <w:t>SUPPLEMENTAL INFORMATION</w:t>
      </w:r>
    </w:p>
    <w:p w:rsidR="00F06DF8" w:rsidRPr="00B850BA" w:rsidP="00DF3295" w14:paraId="3934A380" w14:textId="52D66B5F">
      <w:pPr>
        <w:pStyle w:val="Heading1"/>
        <w:rPr>
          <w:rFonts w:asciiTheme="minorHAnsi" w:hAnsiTheme="minorHAnsi" w:cstheme="minorHAnsi"/>
          <w:szCs w:val="24"/>
        </w:rPr>
      </w:pPr>
      <w:r w:rsidRPr="00B850BA">
        <w:rPr>
          <w:rFonts w:asciiTheme="minorHAnsi" w:hAnsiTheme="minorHAnsi" w:cstheme="minorHAnsi"/>
          <w:szCs w:val="24"/>
        </w:rPr>
        <w:t xml:space="preserve">PRA Burden Statement </w:t>
      </w:r>
    </w:p>
    <w:p w:rsidR="00F06DF8" w:rsidP="00FC7ED6" w14:paraId="33712B56" w14:textId="7634D9B9">
      <w:pPr>
        <w:spacing w:line="276" w:lineRule="auto"/>
        <w:ind w:firstLine="0"/>
        <w:rPr>
          <w:rFonts w:asciiTheme="minorHAnsi" w:hAnsiTheme="minorHAnsi" w:cstheme="minorHAnsi"/>
          <w:szCs w:val="24"/>
        </w:rPr>
      </w:pPr>
      <w:r w:rsidRPr="00B850BA">
        <w:rPr>
          <w:rFonts w:asciiTheme="minorHAnsi" w:hAnsiTheme="minorHAnsi" w:cstheme="minorHAnsi"/>
          <w:szCs w:val="24"/>
        </w:rPr>
        <w:t>This collection of information is approved by OMB under the Paperwork Reduction Act, 44 U.S.C. 3501 et seq. (OMB Control No. 2070-</w:t>
      </w:r>
      <w:r w:rsidRPr="00B850BA" w:rsidR="008A0269">
        <w:rPr>
          <w:rFonts w:asciiTheme="minorHAnsi" w:hAnsiTheme="minorHAnsi" w:cstheme="minorHAnsi"/>
          <w:szCs w:val="24"/>
        </w:rPr>
        <w:t>0072</w:t>
      </w:r>
      <w:r w:rsidRPr="00B850BA">
        <w:rPr>
          <w:rFonts w:asciiTheme="minorHAnsi" w:hAnsiTheme="minorHAnsi" w:cstheme="minorHAnsi"/>
          <w:szCs w:val="24"/>
        </w:rPr>
        <w:t>). Responses to this collection of information are mandatory for certain persons, as specified at 40 CFR Part</w:t>
      </w:r>
      <w:r w:rsidRPr="00B850BA" w:rsidR="008A0269">
        <w:rPr>
          <w:rFonts w:asciiTheme="minorHAnsi" w:hAnsiTheme="minorHAnsi" w:cstheme="minorHAnsi"/>
          <w:szCs w:val="24"/>
        </w:rPr>
        <w:t xml:space="preserve"> 763</w:t>
      </w:r>
      <w:r w:rsidRPr="00B850BA">
        <w:rPr>
          <w:rFonts w:asciiTheme="minorHAnsi" w:hAnsiTheme="minorHAnsi" w:cstheme="minorHAnsi"/>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B850BA" w:rsidR="00292CDB">
        <w:rPr>
          <w:rFonts w:asciiTheme="minorHAnsi" w:hAnsiTheme="minorHAnsi" w:cstheme="minorHAnsi"/>
          <w:szCs w:val="24"/>
        </w:rPr>
        <w:t>0.</w:t>
      </w:r>
      <w:r w:rsidRPr="00B850BA" w:rsidR="000D047D">
        <w:rPr>
          <w:rFonts w:asciiTheme="minorHAnsi" w:hAnsiTheme="minorHAnsi" w:cstheme="minorHAnsi"/>
          <w:szCs w:val="24"/>
        </w:rPr>
        <w:t>32</w:t>
      </w:r>
      <w:r w:rsidRPr="00B850BA" w:rsidR="00292CDB">
        <w:rPr>
          <w:rFonts w:asciiTheme="minorHAnsi" w:hAnsiTheme="minorHAnsi" w:cstheme="minorHAnsi"/>
          <w:szCs w:val="24"/>
        </w:rPr>
        <w:t xml:space="preserve"> hours</w:t>
      </w:r>
      <w:r w:rsidRPr="00B850BA">
        <w:rPr>
          <w:rFonts w:asciiTheme="minorHAnsi" w:hAnsiTheme="minorHAnsi" w:cstheme="minorHAnsi"/>
          <w:szCs w:val="24"/>
        </w:rPr>
        <w:t xml:space="preserve"> per response. Send comments on the Agency’s need for this information, the accuracy of the provided burden estimates and any suggested methods for minimizing respondent burden to the </w:t>
      </w:r>
      <w:r w:rsidRPr="00B850BA" w:rsidR="006C25E7">
        <w:rPr>
          <w:rFonts w:asciiTheme="minorHAnsi" w:hAnsiTheme="minorHAnsi" w:cstheme="minorHAnsi"/>
          <w:szCs w:val="24"/>
        </w:rPr>
        <w:t xml:space="preserve">Information Engagement </w:t>
      </w:r>
      <w:r w:rsidRPr="00B850BA">
        <w:rPr>
          <w:rFonts w:asciiTheme="minorHAnsi" w:hAnsiTheme="minorHAnsi" w:cstheme="minorHAnsi"/>
          <w:szCs w:val="24"/>
        </w:rPr>
        <w:t>Division Director, U.S. Environmental Protection Agency (2821T), 1200 Pennsylvania Ave., NW, Washington, D.C. 20460. Include the OMB control number in any correspondence. Do not send the completed form to this address.</w:t>
      </w:r>
    </w:p>
    <w:p w:rsidR="00865600" w:rsidRPr="00865600" w:rsidP="00865600" w14:paraId="7F85BB25" w14:textId="7CCF6C86">
      <w:pPr>
        <w:spacing w:line="276" w:lineRule="auto"/>
        <w:ind w:firstLine="0"/>
        <w:rPr>
          <w:rFonts w:asciiTheme="minorHAnsi" w:hAnsiTheme="minorHAnsi" w:cstheme="minorHAnsi"/>
          <w:szCs w:val="24"/>
        </w:rPr>
      </w:pPr>
      <w:r w:rsidRPr="00865600">
        <w:rPr>
          <w:rFonts w:asciiTheme="minorHAnsi" w:hAnsiTheme="minorHAnsi" w:cstheme="minorHAnsi"/>
          <w:szCs w:val="24"/>
        </w:rPr>
        <w:t xml:space="preserve">You can also provide comments to the Office of Information and Regulatory Affairs, Office of Management and Budget via </w:t>
      </w:r>
      <w:hyperlink r:id="rId13" w:history="1">
        <w:r w:rsidRPr="00865600">
          <w:rPr>
            <w:rStyle w:val="Hyperlink"/>
            <w:rFonts w:asciiTheme="minorHAnsi" w:hAnsiTheme="minorHAnsi" w:cstheme="minorHAnsi"/>
            <w:szCs w:val="24"/>
          </w:rPr>
          <w:t>https://www.reginfo.gov/public/do/PRAMain.</w:t>
        </w:r>
      </w:hyperlink>
      <w:r w:rsidRPr="00865600">
        <w:rPr>
          <w:rFonts w:asciiTheme="minorHAnsi" w:hAnsiTheme="minorHAnsi" w:cstheme="minorHAnsi"/>
          <w:szCs w:val="24"/>
        </w:rPr>
        <w:t xml:space="preserve"> Find this particular </w:t>
      </w:r>
      <w:r w:rsidRPr="00865600">
        <w:rPr>
          <w:rFonts w:asciiTheme="minorHAnsi" w:hAnsiTheme="minorHAnsi" w:cstheme="minorHAnsi"/>
          <w:szCs w:val="24"/>
        </w:rPr>
        <w:t>information collection by selecting ‘‘Currently under 30-day Review—Open for Public Comments’’ or by using the search function.</w:t>
      </w:r>
    </w:p>
    <w:p w:rsidR="00865600" w:rsidRPr="00B850BA" w:rsidP="00865600" w14:paraId="39275AC8" w14:textId="48698176">
      <w:pPr>
        <w:spacing w:line="276" w:lineRule="auto"/>
        <w:ind w:firstLine="0"/>
        <w:rPr>
          <w:rFonts w:asciiTheme="minorHAnsi" w:hAnsiTheme="minorHAnsi" w:cstheme="minorHAnsi"/>
          <w:szCs w:val="24"/>
        </w:rPr>
      </w:pPr>
      <w:r w:rsidRPr="00865600">
        <w:rPr>
          <w:rFonts w:asciiTheme="minorHAnsi" w:hAnsiTheme="minorHAnsi" w:cstheme="minorHAnsi"/>
          <w:szCs w:val="24"/>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p w:rsidR="00F06DF8" w:rsidRPr="00B850BA" w:rsidP="00DF3295" w14:paraId="7FB32ADD" w14:textId="77777777">
      <w:pPr>
        <w:pStyle w:val="Heading1"/>
        <w:rPr>
          <w:rFonts w:asciiTheme="minorHAnsi" w:hAnsiTheme="minorHAnsi" w:cstheme="minorHAnsi"/>
          <w:szCs w:val="24"/>
        </w:rPr>
      </w:pPr>
      <w:r w:rsidRPr="00B850BA">
        <w:rPr>
          <w:rFonts w:asciiTheme="minorHAnsi" w:hAnsiTheme="minorHAnsi" w:cstheme="minorHAnsi"/>
          <w:szCs w:val="24"/>
        </w:rPr>
        <w:t>LIST OF ATTACHMENTS</w:t>
      </w:r>
    </w:p>
    <w:p w:rsidR="00F06DF8" w:rsidRPr="00B850BA" w:rsidP="008F708D" w14:paraId="17805507" w14:textId="4FD8A268">
      <w:pPr>
        <w:spacing w:line="276" w:lineRule="auto"/>
        <w:rPr>
          <w:rFonts w:asciiTheme="minorHAnsi" w:hAnsiTheme="minorHAnsi" w:cstheme="minorHAnsi"/>
          <w:szCs w:val="24"/>
        </w:rPr>
      </w:pPr>
      <w:r w:rsidRPr="00B850BA">
        <w:rPr>
          <w:rFonts w:asciiTheme="minorHAnsi" w:hAnsiTheme="minorHAnsi" w:cstheme="minorHAnsi"/>
          <w:szCs w:val="24"/>
        </w:rPr>
        <w:t xml:space="preserve">The attachments listed below can be found in the docket for this ICR or by using the hyperlink that is provided in the list below. The docket for this ICR is accessible electronically through </w:t>
      </w:r>
      <w:r w:rsidRPr="00B850BA">
        <w:rPr>
          <w:rStyle w:val="Hyperlink"/>
          <w:rFonts w:asciiTheme="minorHAnsi" w:hAnsiTheme="minorHAnsi" w:cstheme="minorHAnsi"/>
          <w:szCs w:val="24"/>
        </w:rPr>
        <w:t>https://www.regulations.gov</w:t>
      </w:r>
      <w:r w:rsidRPr="00B850BA">
        <w:rPr>
          <w:rFonts w:asciiTheme="minorHAnsi" w:hAnsiTheme="minorHAnsi" w:cstheme="minorHAnsi"/>
          <w:szCs w:val="24"/>
        </w:rPr>
        <w:t xml:space="preserve"> using Docket ID Number: EPA-HQ</w:t>
      </w:r>
      <w:r w:rsidRPr="00B850BA" w:rsidR="008A0269">
        <w:rPr>
          <w:rFonts w:asciiTheme="minorHAnsi" w:hAnsiTheme="minorHAnsi" w:cstheme="minorHAnsi"/>
          <w:szCs w:val="24"/>
        </w:rPr>
        <w:t>—OPPT-2020-0262</w:t>
      </w:r>
      <w:r w:rsidRPr="00B850BA">
        <w:rPr>
          <w:rFonts w:asciiTheme="minorHAnsi" w:hAnsiTheme="minorHAnsi" w:cstheme="minorHAnsi"/>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6"/>
        <w:gridCol w:w="7624"/>
      </w:tblGrid>
      <w:tr w14:paraId="5E08AACC" w14:textId="77777777" w:rsidTr="0024638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736" w:type="dxa"/>
            <w:tcBorders>
              <w:bottom w:val="single" w:sz="4" w:space="0" w:color="auto"/>
            </w:tcBorders>
            <w:shd w:val="clear" w:color="auto" w:fill="auto"/>
          </w:tcPr>
          <w:p w:rsidR="00F06DF8" w:rsidRPr="00B850BA" w:rsidP="008F708D" w14:paraId="314AA105" w14:textId="77777777">
            <w:pPr>
              <w:pStyle w:val="NoSpacing"/>
              <w:spacing w:line="276" w:lineRule="auto"/>
              <w:rPr>
                <w:rFonts w:asciiTheme="minorHAnsi" w:hAnsiTheme="minorHAnsi" w:cstheme="minorHAnsi"/>
                <w:szCs w:val="24"/>
              </w:rPr>
            </w:pPr>
            <w:r w:rsidRPr="00B850BA">
              <w:rPr>
                <w:rFonts w:asciiTheme="minorHAnsi" w:hAnsiTheme="minorHAnsi" w:cstheme="minorHAnsi"/>
                <w:szCs w:val="24"/>
              </w:rPr>
              <w:t>Attachment</w:t>
            </w:r>
          </w:p>
        </w:tc>
        <w:tc>
          <w:tcPr>
            <w:tcW w:w="7624" w:type="dxa"/>
            <w:tcBorders>
              <w:bottom w:val="single" w:sz="4" w:space="0" w:color="auto"/>
            </w:tcBorders>
            <w:shd w:val="clear" w:color="auto" w:fill="auto"/>
          </w:tcPr>
          <w:p w:rsidR="00F06DF8" w:rsidRPr="00B850BA" w:rsidP="008F708D" w14:paraId="17100E7E" w14:textId="77777777">
            <w:pPr>
              <w:pStyle w:val="NoSpacing"/>
              <w:spacing w:line="276" w:lineRule="auto"/>
              <w:rPr>
                <w:rFonts w:asciiTheme="minorHAnsi" w:hAnsiTheme="minorHAnsi" w:cstheme="minorHAnsi"/>
                <w:szCs w:val="24"/>
              </w:rPr>
            </w:pPr>
            <w:r w:rsidRPr="00B850BA">
              <w:rPr>
                <w:rFonts w:asciiTheme="minorHAnsi" w:hAnsiTheme="minorHAnsi" w:cstheme="minorHAnsi"/>
                <w:szCs w:val="24"/>
              </w:rPr>
              <w:t>Description</w:t>
            </w:r>
          </w:p>
        </w:tc>
      </w:tr>
      <w:tr w14:paraId="0418B2A3" w14:textId="77777777" w:rsidTr="00AD565E">
        <w:tblPrEx>
          <w:tblW w:w="5000" w:type="pct"/>
          <w:tblLook w:val="04A0"/>
        </w:tblPrEx>
        <w:tc>
          <w:tcPr>
            <w:tcW w:w="1736" w:type="dxa"/>
            <w:tcBorders>
              <w:top w:val="single" w:sz="4" w:space="0" w:color="auto"/>
            </w:tcBorders>
          </w:tcPr>
          <w:p w:rsidR="0024638E" w:rsidRPr="00B850BA" w:rsidP="008F708D" w14:paraId="0D8D48B4" w14:textId="2A4083F8">
            <w:pPr>
              <w:spacing w:line="276" w:lineRule="auto"/>
              <w:jc w:val="center"/>
              <w:rPr>
                <w:rFonts w:asciiTheme="minorHAnsi" w:hAnsiTheme="minorHAnsi" w:cstheme="minorHAnsi"/>
                <w:szCs w:val="24"/>
              </w:rPr>
            </w:pPr>
            <w:r>
              <w:rPr>
                <w:rFonts w:asciiTheme="minorHAnsi" w:hAnsiTheme="minorHAnsi" w:cstheme="minorHAnsi"/>
                <w:szCs w:val="24"/>
              </w:rPr>
              <w:t>A</w:t>
            </w:r>
          </w:p>
        </w:tc>
        <w:tc>
          <w:tcPr>
            <w:tcW w:w="7624" w:type="dxa"/>
            <w:tcBorders>
              <w:top w:val="single" w:sz="4" w:space="0" w:color="auto"/>
            </w:tcBorders>
          </w:tcPr>
          <w:p w:rsidR="0024638E" w:rsidRPr="00B850BA" w:rsidP="00684759" w14:paraId="002AC6C9" w14:textId="15FD8914">
            <w:pPr>
              <w:spacing w:line="276" w:lineRule="auto"/>
              <w:ind w:firstLine="0"/>
              <w:rPr>
                <w:rFonts w:asciiTheme="minorHAnsi" w:hAnsiTheme="minorHAnsi" w:cstheme="minorHAnsi"/>
                <w:szCs w:val="24"/>
              </w:rPr>
            </w:pPr>
            <w:r w:rsidRPr="00B850BA">
              <w:rPr>
                <w:rFonts w:asciiTheme="minorHAnsi" w:hAnsiTheme="minorHAnsi" w:cstheme="minorHAnsi"/>
                <w:szCs w:val="24"/>
              </w:rPr>
              <w:t xml:space="preserve">Consultation – Questions </w:t>
            </w:r>
          </w:p>
        </w:tc>
      </w:tr>
    </w:tbl>
    <w:p w:rsidR="006C25E7" w:rsidRPr="00B850BA" w:rsidP="006C25E7" w14:paraId="4CF54362" w14:textId="77777777">
      <w:pPr>
        <w:rPr>
          <w:rFonts w:asciiTheme="minorHAnsi" w:hAnsiTheme="minorHAnsi" w:cstheme="minorHAnsi"/>
          <w:szCs w:val="24"/>
        </w:rPr>
      </w:pPr>
    </w:p>
    <w:p w:rsidR="00952D05" w:rsidRPr="00B850BA" w:rsidP="00DF3295" w14:paraId="2294C591" w14:textId="458CFDE6">
      <w:pPr>
        <w:pStyle w:val="Heading1"/>
        <w:rPr>
          <w:rFonts w:asciiTheme="minorHAnsi" w:hAnsiTheme="minorHAnsi" w:cstheme="minorHAnsi"/>
          <w:szCs w:val="24"/>
        </w:rPr>
      </w:pPr>
      <w:r w:rsidRPr="00B850BA">
        <w:rPr>
          <w:rFonts w:asciiTheme="minorHAnsi" w:hAnsiTheme="minorHAnsi" w:cstheme="minorHAnsi"/>
          <w:szCs w:val="24"/>
        </w:rPr>
        <w:t xml:space="preserve">REFERENCES </w:t>
      </w:r>
    </w:p>
    <w:p w:rsidR="0024638E" w:rsidP="008F708D" w14:paraId="44AAAEE0" w14:textId="4CB90162">
      <w:pPr>
        <w:spacing w:line="276" w:lineRule="auto"/>
        <w:ind w:left="720" w:hanging="720"/>
        <w:rPr>
          <w:rFonts w:asciiTheme="minorHAnsi" w:hAnsiTheme="minorHAnsi" w:cstheme="minorHAnsi"/>
          <w:bCs/>
          <w:szCs w:val="24"/>
        </w:rPr>
      </w:pPr>
      <w:hyperlink r:id="rId14" w:history="1">
        <w:r w:rsidRPr="00B850BA">
          <w:rPr>
            <w:rStyle w:val="Hyperlink"/>
            <w:rFonts w:asciiTheme="minorHAnsi" w:hAnsiTheme="minorHAnsi" w:cstheme="minorHAnsi"/>
            <w:szCs w:val="24"/>
          </w:rPr>
          <w:t xml:space="preserve">15 U.S.C. 2605) </w:t>
        </w:r>
      </w:hyperlink>
    </w:p>
    <w:p w:rsidR="0024638E" w:rsidP="008F708D" w14:paraId="1AABEAEB" w14:textId="512A96F0">
      <w:pPr>
        <w:spacing w:line="276" w:lineRule="auto"/>
        <w:ind w:left="720" w:hanging="720"/>
        <w:rPr>
          <w:rStyle w:val="Hyperlink"/>
          <w:rFonts w:asciiTheme="minorHAnsi" w:hAnsiTheme="minorHAnsi" w:cstheme="minorHAnsi"/>
          <w:szCs w:val="24"/>
        </w:rPr>
      </w:pPr>
      <w:hyperlink r:id="rId15" w:history="1">
        <w:r w:rsidRPr="00B850BA">
          <w:rPr>
            <w:rStyle w:val="Hyperlink"/>
            <w:rFonts w:asciiTheme="minorHAnsi" w:hAnsiTheme="minorHAnsi" w:cstheme="minorHAnsi"/>
            <w:szCs w:val="24"/>
          </w:rPr>
          <w:t xml:space="preserve">15 U.S.C. 2607(a) </w:t>
        </w:r>
      </w:hyperlink>
    </w:p>
    <w:p w:rsidR="0024638E" w:rsidP="0024638E" w14:paraId="1583496E" w14:textId="078A4754">
      <w:pPr>
        <w:spacing w:line="276" w:lineRule="auto"/>
        <w:ind w:left="720" w:hanging="720"/>
        <w:rPr>
          <w:rStyle w:val="Hyperlink"/>
          <w:rFonts w:asciiTheme="minorHAnsi" w:hAnsiTheme="minorHAnsi" w:cstheme="minorHAnsi"/>
          <w:szCs w:val="24"/>
        </w:rPr>
      </w:pPr>
      <w:hyperlink r:id="rId16" w:history="1">
        <w:r w:rsidRPr="00B850BA">
          <w:rPr>
            <w:rStyle w:val="Hyperlink"/>
            <w:rFonts w:asciiTheme="minorHAnsi" w:hAnsiTheme="minorHAnsi" w:cstheme="minorHAnsi"/>
            <w:szCs w:val="24"/>
          </w:rPr>
          <w:t>29 CFR 1910.1001</w:t>
        </w:r>
      </w:hyperlink>
    </w:p>
    <w:p w:rsidR="0024638E" w:rsidP="008F708D" w14:paraId="3701C153" w14:textId="5EDF1F7B">
      <w:pPr>
        <w:spacing w:line="276" w:lineRule="auto"/>
        <w:ind w:left="720" w:hanging="720"/>
        <w:rPr>
          <w:rStyle w:val="Hyperlink"/>
          <w:rFonts w:asciiTheme="minorHAnsi" w:hAnsiTheme="minorHAnsi" w:cstheme="minorHAnsi"/>
          <w:szCs w:val="24"/>
        </w:rPr>
      </w:pPr>
      <w:hyperlink r:id="rId17" w:history="1">
        <w:r w:rsidRPr="00B850BA">
          <w:rPr>
            <w:rStyle w:val="Hyperlink"/>
            <w:rFonts w:asciiTheme="minorHAnsi" w:hAnsiTheme="minorHAnsi" w:cstheme="minorHAnsi"/>
            <w:szCs w:val="24"/>
          </w:rPr>
          <w:t>29 CFR 1926.1101</w:t>
        </w:r>
      </w:hyperlink>
    </w:p>
    <w:p w:rsidR="0024638E" w:rsidP="008F708D" w14:paraId="5C5C8373" w14:textId="30C793D7">
      <w:pPr>
        <w:spacing w:line="276" w:lineRule="auto"/>
        <w:ind w:left="720" w:hanging="720"/>
        <w:rPr>
          <w:rFonts w:asciiTheme="minorHAnsi" w:hAnsiTheme="minorHAnsi" w:cstheme="minorHAnsi"/>
          <w:bCs/>
          <w:szCs w:val="24"/>
        </w:rPr>
      </w:pPr>
      <w:hyperlink r:id="rId18" w:history="1">
        <w:r>
          <w:rPr>
            <w:rStyle w:val="Hyperlink"/>
            <w:rFonts w:asciiTheme="minorHAnsi" w:hAnsiTheme="minorHAnsi" w:cstheme="minorHAnsi"/>
            <w:szCs w:val="24"/>
          </w:rPr>
          <w:t>4</w:t>
        </w:r>
        <w:r w:rsidRPr="00B850BA">
          <w:rPr>
            <w:rStyle w:val="Hyperlink"/>
            <w:rFonts w:asciiTheme="minorHAnsi" w:hAnsiTheme="minorHAnsi" w:cstheme="minorHAnsi"/>
            <w:szCs w:val="24"/>
          </w:rPr>
          <w:t>0 CFR part 763, subpart G</w:t>
        </w:r>
      </w:hyperlink>
    </w:p>
    <w:p w:rsidR="00D4653A" w:rsidRPr="00B850BA" w:rsidP="008F708D" w14:paraId="0DF6C100" w14:textId="63038FAE">
      <w:pPr>
        <w:spacing w:line="276" w:lineRule="auto"/>
        <w:ind w:left="720" w:hanging="720"/>
        <w:rPr>
          <w:rFonts w:asciiTheme="minorHAnsi" w:hAnsiTheme="minorHAnsi" w:cstheme="minorHAnsi"/>
          <w:bCs/>
          <w:szCs w:val="24"/>
        </w:rPr>
      </w:pPr>
      <w:r w:rsidRPr="00B850BA">
        <w:rPr>
          <w:rFonts w:asciiTheme="minorHAnsi" w:hAnsiTheme="minorHAnsi" w:cstheme="minorHAnsi"/>
          <w:bCs/>
          <w:szCs w:val="24"/>
        </w:rPr>
        <w:t>1987 WPR</w:t>
      </w:r>
      <w:r w:rsidRPr="00B850BA" w:rsidR="00DB4635">
        <w:rPr>
          <w:rFonts w:asciiTheme="minorHAnsi" w:hAnsiTheme="minorHAnsi" w:cstheme="minorHAnsi"/>
          <w:bCs/>
          <w:szCs w:val="24"/>
        </w:rPr>
        <w:t xml:space="preserve">. </w:t>
      </w:r>
      <w:r w:rsidRPr="00B850BA" w:rsidR="003E1B6F">
        <w:rPr>
          <w:rFonts w:asciiTheme="minorHAnsi" w:hAnsiTheme="minorHAnsi" w:cstheme="minorHAnsi"/>
          <w:bCs/>
          <w:szCs w:val="24"/>
        </w:rPr>
        <w:t xml:space="preserve"> </w:t>
      </w:r>
      <w:r w:rsidRPr="00B850BA" w:rsidR="003E1B6F">
        <w:rPr>
          <w:rFonts w:asciiTheme="minorHAnsi" w:hAnsiTheme="minorHAnsi" w:cstheme="minorHAnsi"/>
          <w:bCs/>
          <w:i/>
          <w:szCs w:val="24"/>
        </w:rPr>
        <w:t>Asbestos Abatement Projects; Worker Protection</w:t>
      </w:r>
      <w:r w:rsidRPr="00B850BA" w:rsidR="003E1B6F">
        <w:rPr>
          <w:rFonts w:asciiTheme="minorHAnsi" w:hAnsiTheme="minorHAnsi" w:cstheme="minorHAnsi"/>
          <w:bCs/>
          <w:szCs w:val="24"/>
        </w:rPr>
        <w:t>; Final Rule (52 FR 5618, February 25, 1987)</w:t>
      </w:r>
      <w:r w:rsidRPr="00B850BA" w:rsidR="00E02004">
        <w:rPr>
          <w:rFonts w:asciiTheme="minorHAnsi" w:hAnsiTheme="minorHAnsi" w:cstheme="minorHAnsi"/>
          <w:bCs/>
          <w:szCs w:val="24"/>
        </w:rPr>
        <w:t>.</w:t>
      </w:r>
      <w:r w:rsidRPr="00B850BA" w:rsidR="003E1B6F">
        <w:rPr>
          <w:rFonts w:asciiTheme="minorHAnsi" w:hAnsiTheme="minorHAnsi" w:cstheme="minorHAnsi"/>
          <w:bCs/>
          <w:szCs w:val="24"/>
        </w:rPr>
        <w:t xml:space="preserve"> </w:t>
      </w:r>
      <w:hyperlink r:id="rId19" w:history="1">
        <w:r w:rsidRPr="00B850BA" w:rsidR="00B30924">
          <w:rPr>
            <w:rStyle w:val="Hyperlink"/>
            <w:rFonts w:asciiTheme="minorHAnsi" w:hAnsiTheme="minorHAnsi" w:cstheme="minorHAnsi"/>
            <w:bCs/>
            <w:szCs w:val="24"/>
          </w:rPr>
          <w:t>https://www.govinfo.gov/content/pkg/FR-1987-02-25/pdf/FR-1987-02-25.pdf</w:t>
        </w:r>
      </w:hyperlink>
    </w:p>
    <w:p w:rsidR="004F5B54" w:rsidRPr="00B850BA" w:rsidP="003A0A7B" w14:paraId="026CF99D" w14:textId="4552BB6C">
      <w:pPr>
        <w:spacing w:line="276" w:lineRule="auto"/>
        <w:ind w:left="720" w:hanging="720"/>
        <w:rPr>
          <w:rFonts w:asciiTheme="minorHAnsi" w:hAnsiTheme="minorHAnsi" w:cstheme="minorHAnsi"/>
          <w:szCs w:val="24"/>
        </w:rPr>
      </w:pPr>
      <w:r w:rsidRPr="00B850BA">
        <w:rPr>
          <w:rFonts w:asciiTheme="minorHAnsi" w:hAnsiTheme="minorHAnsi" w:cstheme="minorHAnsi"/>
          <w:bCs/>
          <w:szCs w:val="24"/>
        </w:rPr>
        <w:t>2000 WPR</w:t>
      </w:r>
      <w:r w:rsidRPr="00B850BA" w:rsidR="00DB4635">
        <w:rPr>
          <w:rFonts w:asciiTheme="minorHAnsi" w:hAnsiTheme="minorHAnsi" w:cstheme="minorHAnsi"/>
          <w:bCs/>
          <w:szCs w:val="24"/>
        </w:rPr>
        <w:t xml:space="preserve">. </w:t>
      </w:r>
      <w:r w:rsidRPr="00B850BA" w:rsidR="00FB463B">
        <w:rPr>
          <w:rFonts w:asciiTheme="minorHAnsi" w:hAnsiTheme="minorHAnsi" w:cstheme="minorHAnsi"/>
          <w:bCs/>
          <w:szCs w:val="24"/>
        </w:rPr>
        <w:t xml:space="preserve"> </w:t>
      </w:r>
      <w:r w:rsidRPr="00B850BA" w:rsidR="00FB463B">
        <w:rPr>
          <w:rFonts w:asciiTheme="minorHAnsi" w:hAnsiTheme="minorHAnsi" w:cstheme="minorHAnsi"/>
          <w:bCs/>
          <w:i/>
          <w:szCs w:val="24"/>
        </w:rPr>
        <w:t>Asbestos Worker Protection Rule</w:t>
      </w:r>
      <w:r w:rsidRPr="00B850BA" w:rsidR="00FB463B">
        <w:rPr>
          <w:rFonts w:asciiTheme="minorHAnsi" w:hAnsiTheme="minorHAnsi" w:cstheme="minorHAnsi"/>
          <w:bCs/>
          <w:szCs w:val="24"/>
        </w:rPr>
        <w:t>. Final Rule (</w:t>
      </w:r>
      <w:r w:rsidRPr="00B850BA" w:rsidR="00B85044">
        <w:rPr>
          <w:rFonts w:asciiTheme="minorHAnsi" w:hAnsiTheme="minorHAnsi" w:cstheme="minorHAnsi"/>
          <w:bCs/>
          <w:szCs w:val="24"/>
        </w:rPr>
        <w:t>65 FR 69210,</w:t>
      </w:r>
      <w:r w:rsidRPr="00B850BA" w:rsidR="00FB463B">
        <w:rPr>
          <w:rFonts w:asciiTheme="minorHAnsi" w:hAnsiTheme="minorHAnsi" w:cstheme="minorHAnsi"/>
          <w:bCs/>
          <w:szCs w:val="24"/>
        </w:rPr>
        <w:t xml:space="preserve"> </w:t>
      </w:r>
      <w:r w:rsidRPr="00B850BA" w:rsidR="00B85044">
        <w:rPr>
          <w:rFonts w:asciiTheme="minorHAnsi" w:hAnsiTheme="minorHAnsi" w:cstheme="minorHAnsi"/>
          <w:bCs/>
          <w:szCs w:val="24"/>
        </w:rPr>
        <w:t xml:space="preserve">November 15, 2000. </w:t>
      </w:r>
      <w:r w:rsidRPr="00B850BA" w:rsidR="00FB463B">
        <w:rPr>
          <w:rFonts w:asciiTheme="minorHAnsi" w:hAnsiTheme="minorHAnsi" w:cstheme="minorHAnsi"/>
          <w:bCs/>
          <w:szCs w:val="24"/>
        </w:rPr>
        <w:t>Available at:</w:t>
      </w:r>
      <w:r w:rsidRPr="00B850BA" w:rsidR="00DF3295">
        <w:rPr>
          <w:rFonts w:asciiTheme="minorHAnsi" w:hAnsiTheme="minorHAnsi" w:cstheme="minorHAnsi"/>
          <w:bCs/>
          <w:szCs w:val="24"/>
        </w:rPr>
        <w:t xml:space="preserve"> </w:t>
      </w:r>
      <w:hyperlink r:id="rId20" w:history="1">
        <w:r w:rsidRPr="00B850BA" w:rsidR="003A0A7B">
          <w:rPr>
            <w:rStyle w:val="Hyperlink"/>
            <w:rFonts w:asciiTheme="minorHAnsi" w:hAnsiTheme="minorHAnsi" w:cstheme="minorHAnsi"/>
            <w:szCs w:val="24"/>
          </w:rPr>
          <w:t>https://www.federalregister.gov/documents/2000/11/15/00-29232/asbestos-worker-protection</w:t>
        </w:r>
      </w:hyperlink>
    </w:p>
    <w:p w:rsidR="00952D05" w:rsidRPr="00B850BA" w:rsidP="008F708D" w14:paraId="5571D728" w14:textId="61854506">
      <w:pPr>
        <w:spacing w:line="276" w:lineRule="auto"/>
        <w:ind w:left="720" w:hanging="720"/>
        <w:rPr>
          <w:rFonts w:asciiTheme="minorHAnsi" w:hAnsiTheme="minorHAnsi" w:cstheme="minorHAnsi"/>
          <w:bCs/>
          <w:szCs w:val="24"/>
        </w:rPr>
      </w:pPr>
      <w:r w:rsidRPr="00B850BA">
        <w:rPr>
          <w:rFonts w:asciiTheme="minorHAnsi" w:hAnsiTheme="minorHAnsi" w:cstheme="minorHAnsi"/>
          <w:bCs/>
          <w:szCs w:val="24"/>
        </w:rPr>
        <w:t xml:space="preserve">OSHA 2000a.  </w:t>
      </w:r>
      <w:r w:rsidRPr="00B850BA">
        <w:rPr>
          <w:rFonts w:asciiTheme="minorHAnsi" w:hAnsiTheme="minorHAnsi" w:cstheme="minorHAnsi"/>
          <w:bCs/>
          <w:i/>
          <w:szCs w:val="24"/>
        </w:rPr>
        <w:t>Supporting Statement for the Information Collection Requirements of the</w:t>
      </w:r>
      <w:r w:rsidRPr="00B850BA" w:rsidR="00000898">
        <w:rPr>
          <w:rFonts w:asciiTheme="minorHAnsi" w:hAnsiTheme="minorHAnsi" w:cstheme="minorHAnsi"/>
          <w:bCs/>
          <w:i/>
          <w:szCs w:val="24"/>
        </w:rPr>
        <w:t xml:space="preserve"> </w:t>
      </w:r>
      <w:r w:rsidRPr="00B850BA">
        <w:rPr>
          <w:rFonts w:asciiTheme="minorHAnsi" w:hAnsiTheme="minorHAnsi" w:cstheme="minorHAnsi"/>
          <w:bCs/>
          <w:i/>
          <w:szCs w:val="24"/>
        </w:rPr>
        <w:t>Asbestos Standard (Construction),</w:t>
      </w:r>
      <w:r w:rsidRPr="00B850BA">
        <w:rPr>
          <w:rFonts w:asciiTheme="minorHAnsi" w:hAnsiTheme="minorHAnsi" w:cstheme="minorHAnsi"/>
          <w:bCs/>
          <w:szCs w:val="24"/>
        </w:rPr>
        <w:t xml:space="preserve"> </w:t>
      </w:r>
      <w:hyperlink r:id="rId21" w:history="1">
        <w:r w:rsidRPr="00B850BA" w:rsidR="00D42BBE">
          <w:rPr>
            <w:rStyle w:val="Hyperlink"/>
            <w:rFonts w:asciiTheme="minorHAnsi" w:hAnsiTheme="minorHAnsi" w:cstheme="minorHAnsi"/>
            <w:bCs/>
            <w:szCs w:val="24"/>
          </w:rPr>
          <w:t>OMB Approval Number 1218-0134.</w:t>
        </w:r>
      </w:hyperlink>
    </w:p>
    <w:p w:rsidR="00952D05" w:rsidRPr="00B850BA" w:rsidP="008F708D" w14:paraId="4E97869F" w14:textId="4C68A3AF">
      <w:pPr>
        <w:spacing w:line="276" w:lineRule="auto"/>
        <w:ind w:left="720" w:hanging="720"/>
        <w:rPr>
          <w:rFonts w:asciiTheme="minorHAnsi" w:hAnsiTheme="minorHAnsi" w:cstheme="minorHAnsi"/>
          <w:bCs/>
          <w:szCs w:val="24"/>
        </w:rPr>
      </w:pPr>
      <w:r w:rsidRPr="00B850BA">
        <w:rPr>
          <w:rFonts w:asciiTheme="minorHAnsi" w:hAnsiTheme="minorHAnsi" w:cstheme="minorHAnsi"/>
          <w:bCs/>
          <w:szCs w:val="24"/>
        </w:rPr>
        <w:t xml:space="preserve">OSHA 2000b.  </w:t>
      </w:r>
      <w:r w:rsidRPr="00B850BA">
        <w:rPr>
          <w:rFonts w:asciiTheme="minorHAnsi" w:hAnsiTheme="minorHAnsi" w:cstheme="minorHAnsi"/>
          <w:bCs/>
          <w:i/>
          <w:szCs w:val="24"/>
        </w:rPr>
        <w:t>Supporting Statement for the Information Collection Requirements of the</w:t>
      </w:r>
      <w:r w:rsidRPr="00B850BA" w:rsidR="00000898">
        <w:rPr>
          <w:rFonts w:asciiTheme="minorHAnsi" w:hAnsiTheme="minorHAnsi" w:cstheme="minorHAnsi"/>
          <w:bCs/>
          <w:i/>
          <w:szCs w:val="24"/>
        </w:rPr>
        <w:t xml:space="preserve"> </w:t>
      </w:r>
      <w:r w:rsidRPr="00B850BA">
        <w:rPr>
          <w:rFonts w:asciiTheme="minorHAnsi" w:hAnsiTheme="minorHAnsi" w:cstheme="minorHAnsi"/>
          <w:bCs/>
          <w:i/>
          <w:szCs w:val="24"/>
        </w:rPr>
        <w:t>Asbestos Standard (General Industry),</w:t>
      </w:r>
      <w:r w:rsidRPr="00B850BA">
        <w:rPr>
          <w:rFonts w:asciiTheme="minorHAnsi" w:hAnsiTheme="minorHAnsi" w:cstheme="minorHAnsi"/>
          <w:bCs/>
          <w:szCs w:val="24"/>
        </w:rPr>
        <w:t xml:space="preserve"> </w:t>
      </w:r>
      <w:hyperlink r:id="rId22" w:history="1">
        <w:r w:rsidRPr="00B850BA">
          <w:rPr>
            <w:rStyle w:val="Hyperlink"/>
            <w:rFonts w:asciiTheme="minorHAnsi" w:hAnsiTheme="minorHAnsi" w:cstheme="minorHAnsi"/>
            <w:bCs/>
            <w:szCs w:val="24"/>
          </w:rPr>
          <w:t>OMB Approval Number 1218-0133</w:t>
        </w:r>
      </w:hyperlink>
      <w:r w:rsidRPr="00B850BA">
        <w:rPr>
          <w:rFonts w:asciiTheme="minorHAnsi" w:hAnsiTheme="minorHAnsi" w:cstheme="minorHAnsi"/>
          <w:bCs/>
          <w:szCs w:val="24"/>
        </w:rPr>
        <w:t>.</w:t>
      </w:r>
    </w:p>
    <w:p w:rsidR="00952D05" w:rsidRPr="00B850BA" w:rsidP="00DF3295" w14:paraId="75C317D9" w14:textId="23A786B2">
      <w:pPr>
        <w:spacing w:line="276" w:lineRule="auto"/>
        <w:ind w:left="720" w:hanging="720"/>
        <w:rPr>
          <w:rFonts w:asciiTheme="minorHAnsi" w:hAnsiTheme="minorHAnsi" w:cstheme="minorHAnsi"/>
          <w:szCs w:val="24"/>
        </w:rPr>
      </w:pPr>
      <w:r w:rsidRPr="00B850BA">
        <w:rPr>
          <w:rFonts w:asciiTheme="minorHAnsi" w:hAnsiTheme="minorHAnsi" w:cstheme="minorHAnsi"/>
          <w:szCs w:val="24"/>
        </w:rPr>
        <w:t>U.S. BLS 20</w:t>
      </w:r>
      <w:r w:rsidRPr="00B850BA" w:rsidR="00E0095B">
        <w:rPr>
          <w:rFonts w:asciiTheme="minorHAnsi" w:hAnsiTheme="minorHAnsi" w:cstheme="minorHAnsi"/>
          <w:szCs w:val="24"/>
        </w:rPr>
        <w:t>2</w:t>
      </w:r>
      <w:r w:rsidRPr="00B850BA" w:rsidR="06F85F91">
        <w:rPr>
          <w:rFonts w:asciiTheme="minorHAnsi" w:hAnsiTheme="minorHAnsi" w:cstheme="minorHAnsi"/>
          <w:szCs w:val="24"/>
        </w:rPr>
        <w:t>3</w:t>
      </w:r>
      <w:r w:rsidRPr="00B850BA">
        <w:rPr>
          <w:rFonts w:asciiTheme="minorHAnsi" w:hAnsiTheme="minorHAnsi" w:cstheme="minorHAnsi"/>
          <w:szCs w:val="24"/>
        </w:rPr>
        <w:t>. U.S. Bureau of Labor Statistics</w:t>
      </w:r>
      <w:r w:rsidRPr="00B850BA" w:rsidR="00DB4635">
        <w:rPr>
          <w:rFonts w:asciiTheme="minorHAnsi" w:hAnsiTheme="minorHAnsi" w:cstheme="minorHAnsi"/>
          <w:szCs w:val="24"/>
        </w:rPr>
        <w:t>.</w:t>
      </w:r>
      <w:r w:rsidRPr="00B850BA">
        <w:rPr>
          <w:rFonts w:asciiTheme="minorHAnsi" w:hAnsiTheme="minorHAnsi" w:cstheme="minorHAnsi"/>
          <w:szCs w:val="24"/>
        </w:rPr>
        <w:t xml:space="preserve"> </w:t>
      </w:r>
      <w:r w:rsidRPr="00B850BA">
        <w:rPr>
          <w:rFonts w:asciiTheme="minorHAnsi" w:hAnsiTheme="minorHAnsi" w:cstheme="minorHAnsi"/>
          <w:i/>
          <w:szCs w:val="24"/>
        </w:rPr>
        <w:t xml:space="preserve">National Occupational Employment Statistics data. </w:t>
      </w:r>
      <w:r w:rsidRPr="00B850BA" w:rsidR="00E0095B">
        <w:rPr>
          <w:rFonts w:asciiTheme="minorHAnsi" w:hAnsiTheme="minorHAnsi" w:cstheme="minorHAnsi"/>
          <w:i/>
          <w:szCs w:val="24"/>
        </w:rPr>
        <w:t xml:space="preserve">April </w:t>
      </w:r>
      <w:r w:rsidRPr="00B850BA" w:rsidR="443F1EF3">
        <w:rPr>
          <w:rFonts w:asciiTheme="minorHAnsi" w:hAnsiTheme="minorHAnsi" w:cstheme="minorHAnsi"/>
          <w:i/>
          <w:iCs/>
          <w:szCs w:val="24"/>
        </w:rPr>
        <w:t>3</w:t>
      </w:r>
      <w:r w:rsidRPr="00B850BA" w:rsidR="4359F980">
        <w:rPr>
          <w:rFonts w:asciiTheme="minorHAnsi" w:hAnsiTheme="minorHAnsi" w:cstheme="minorHAnsi"/>
          <w:i/>
          <w:iCs/>
          <w:szCs w:val="24"/>
        </w:rPr>
        <w:t>, 20</w:t>
      </w:r>
      <w:r w:rsidRPr="00B850BA" w:rsidR="2C981CE6">
        <w:rPr>
          <w:rFonts w:asciiTheme="minorHAnsi" w:hAnsiTheme="minorHAnsi" w:cstheme="minorHAnsi"/>
          <w:i/>
          <w:iCs/>
          <w:szCs w:val="24"/>
        </w:rPr>
        <w:t>2</w:t>
      </w:r>
      <w:r w:rsidRPr="00B850BA" w:rsidR="7526F779">
        <w:rPr>
          <w:rFonts w:asciiTheme="minorHAnsi" w:hAnsiTheme="minorHAnsi" w:cstheme="minorHAnsi"/>
          <w:i/>
          <w:iCs/>
          <w:szCs w:val="24"/>
        </w:rPr>
        <w:t>4</w:t>
      </w:r>
      <w:r w:rsidRPr="00B850BA">
        <w:rPr>
          <w:rFonts w:asciiTheme="minorHAnsi" w:hAnsiTheme="minorHAnsi" w:cstheme="minorHAnsi"/>
          <w:i/>
          <w:szCs w:val="24"/>
        </w:rPr>
        <w:t xml:space="preserve"> (U S Bureau of Labor Statistics, May </w:t>
      </w:r>
      <w:r w:rsidRPr="00B850BA" w:rsidR="4359F980">
        <w:rPr>
          <w:rFonts w:asciiTheme="minorHAnsi" w:hAnsiTheme="minorHAnsi" w:cstheme="minorHAnsi"/>
          <w:i/>
          <w:iCs/>
          <w:szCs w:val="24"/>
        </w:rPr>
        <w:t>20</w:t>
      </w:r>
      <w:r w:rsidRPr="00B850BA" w:rsidR="2C981CE6">
        <w:rPr>
          <w:rFonts w:asciiTheme="minorHAnsi" w:hAnsiTheme="minorHAnsi" w:cstheme="minorHAnsi"/>
          <w:i/>
          <w:iCs/>
          <w:szCs w:val="24"/>
        </w:rPr>
        <w:t>2</w:t>
      </w:r>
      <w:r w:rsidRPr="00B850BA" w:rsidR="2A8CF13B">
        <w:rPr>
          <w:rFonts w:asciiTheme="minorHAnsi" w:hAnsiTheme="minorHAnsi" w:cstheme="minorHAnsi"/>
          <w:i/>
          <w:iCs/>
          <w:szCs w:val="24"/>
        </w:rPr>
        <w:t>3</w:t>
      </w:r>
      <w:r w:rsidRPr="00B850BA">
        <w:rPr>
          <w:rFonts w:asciiTheme="minorHAnsi" w:hAnsiTheme="minorHAnsi" w:cstheme="minorHAnsi"/>
          <w:i/>
          <w:szCs w:val="24"/>
        </w:rPr>
        <w:t>).</w:t>
      </w:r>
      <w:r w:rsidRPr="00B850BA">
        <w:rPr>
          <w:rFonts w:asciiTheme="minorHAnsi" w:hAnsiTheme="minorHAnsi" w:cstheme="minorHAnsi"/>
          <w:szCs w:val="24"/>
        </w:rPr>
        <w:t xml:space="preserve"> Available via </w:t>
      </w:r>
      <w:hyperlink r:id="rId23">
        <w:r w:rsidRPr="00B850BA" w:rsidR="2C981CE6">
          <w:rPr>
            <w:rStyle w:val="Hyperlink"/>
            <w:rFonts w:asciiTheme="minorHAnsi" w:hAnsiTheme="minorHAnsi" w:cstheme="minorHAnsi"/>
            <w:szCs w:val="24"/>
          </w:rPr>
          <w:t>https://www.bls.gov/oes/tables.htm</w:t>
        </w:r>
      </w:hyperlink>
      <w:r w:rsidRPr="00B850BA" w:rsidR="3F1F185C">
        <w:rPr>
          <w:rFonts w:asciiTheme="minorHAnsi" w:hAnsiTheme="minorHAnsi" w:cstheme="minorHAnsi"/>
          <w:szCs w:val="24"/>
        </w:rPr>
        <w:t xml:space="preserve"> </w:t>
      </w:r>
    </w:p>
    <w:p w:rsidR="00E0095B" w:rsidRPr="00B850BA" w:rsidP="008F708D" w14:paraId="79A193F4" w14:textId="3AF853C4">
      <w:pPr>
        <w:spacing w:line="276" w:lineRule="auto"/>
        <w:ind w:left="720" w:hanging="720"/>
        <w:rPr>
          <w:rFonts w:asciiTheme="minorHAnsi" w:hAnsiTheme="minorHAnsi" w:cstheme="minorHAnsi"/>
          <w:szCs w:val="24"/>
        </w:rPr>
      </w:pPr>
      <w:r w:rsidRPr="00B850BA">
        <w:rPr>
          <w:rFonts w:asciiTheme="minorHAnsi" w:hAnsiTheme="minorHAnsi" w:cstheme="minorHAnsi"/>
          <w:szCs w:val="24"/>
        </w:rPr>
        <w:t xml:space="preserve">U.S. BLS </w:t>
      </w:r>
      <w:r w:rsidRPr="00B850BA" w:rsidR="2C981CE6">
        <w:rPr>
          <w:rFonts w:asciiTheme="minorHAnsi" w:hAnsiTheme="minorHAnsi" w:cstheme="minorHAnsi"/>
          <w:szCs w:val="24"/>
        </w:rPr>
        <w:t>202</w:t>
      </w:r>
      <w:r w:rsidRPr="00B850BA" w:rsidR="043EBFA5">
        <w:rPr>
          <w:rFonts w:asciiTheme="minorHAnsi" w:hAnsiTheme="minorHAnsi" w:cstheme="minorHAnsi"/>
          <w:szCs w:val="24"/>
        </w:rPr>
        <w:t>3</w:t>
      </w:r>
      <w:r w:rsidRPr="00B850BA" w:rsidR="2C981CE6">
        <w:rPr>
          <w:rFonts w:asciiTheme="minorHAnsi" w:hAnsiTheme="minorHAnsi" w:cstheme="minorHAnsi"/>
          <w:szCs w:val="24"/>
        </w:rPr>
        <w:t>.</w:t>
      </w:r>
      <w:r w:rsidRPr="00B850BA">
        <w:rPr>
          <w:rFonts w:asciiTheme="minorHAnsi" w:hAnsiTheme="minorHAnsi" w:cstheme="minorHAnsi"/>
          <w:szCs w:val="24"/>
        </w:rPr>
        <w:t xml:space="preserve"> U.S. Bureau of Labor Statistics. Employer Costs for Employee Compensation data. March 1</w:t>
      </w:r>
      <w:r w:rsidRPr="00B850BA" w:rsidR="5FD30835">
        <w:rPr>
          <w:rFonts w:asciiTheme="minorHAnsi" w:hAnsiTheme="minorHAnsi" w:cstheme="minorHAnsi"/>
          <w:szCs w:val="24"/>
        </w:rPr>
        <w:t>3</w:t>
      </w:r>
      <w:r w:rsidRPr="00B850BA" w:rsidR="2C981CE6">
        <w:rPr>
          <w:rFonts w:asciiTheme="minorHAnsi" w:hAnsiTheme="minorHAnsi" w:cstheme="minorHAnsi"/>
          <w:szCs w:val="24"/>
        </w:rPr>
        <w:t>, 202</w:t>
      </w:r>
      <w:r w:rsidRPr="00B850BA" w:rsidR="5EB3EA65">
        <w:rPr>
          <w:rFonts w:asciiTheme="minorHAnsi" w:hAnsiTheme="minorHAnsi" w:cstheme="minorHAnsi"/>
          <w:szCs w:val="24"/>
        </w:rPr>
        <w:t>4</w:t>
      </w:r>
      <w:r w:rsidRPr="00B850BA">
        <w:rPr>
          <w:rFonts w:asciiTheme="minorHAnsi" w:hAnsiTheme="minorHAnsi" w:cstheme="minorHAnsi"/>
          <w:szCs w:val="24"/>
        </w:rPr>
        <w:t xml:space="preserve"> (U S Bureau of Labor Statistics, December 202</w:t>
      </w:r>
      <w:r w:rsidRPr="00B850BA" w:rsidR="02A13583">
        <w:rPr>
          <w:rFonts w:asciiTheme="minorHAnsi" w:hAnsiTheme="minorHAnsi" w:cstheme="minorHAnsi"/>
          <w:szCs w:val="24"/>
        </w:rPr>
        <w:t>3</w:t>
      </w:r>
      <w:r w:rsidRPr="00B850BA">
        <w:rPr>
          <w:rFonts w:asciiTheme="minorHAnsi" w:hAnsiTheme="minorHAnsi" w:cstheme="minorHAnsi"/>
          <w:szCs w:val="24"/>
        </w:rPr>
        <w:t xml:space="preserve">). Available via </w:t>
      </w:r>
      <w:r w:rsidRPr="00B850BA" w:rsidR="7DE40E3C">
        <w:rPr>
          <w:rStyle w:val="Hyperlink"/>
          <w:rFonts w:asciiTheme="minorHAnsi" w:hAnsiTheme="minorHAnsi" w:cstheme="minorHAnsi"/>
          <w:szCs w:val="24"/>
        </w:rPr>
        <w:t xml:space="preserve"> https://www.bls.gov/news.release/archives/ecec_03132024.pdf</w:t>
      </w:r>
    </w:p>
    <w:p w:rsidR="00EB1EFF" w:rsidRPr="00B850BA" w:rsidP="00EB1EFF" w14:paraId="142FF3AD" w14:textId="7F073957">
      <w:pPr>
        <w:spacing w:line="276" w:lineRule="auto"/>
        <w:ind w:left="720" w:hanging="720"/>
        <w:rPr>
          <w:rFonts w:asciiTheme="minorHAnsi" w:hAnsiTheme="minorHAnsi" w:cstheme="minorHAnsi"/>
          <w:bCs/>
          <w:szCs w:val="24"/>
        </w:rPr>
      </w:pPr>
      <w:r w:rsidRPr="00B850BA">
        <w:rPr>
          <w:rFonts w:asciiTheme="minorHAnsi" w:hAnsiTheme="minorHAnsi" w:cstheme="minorHAnsi"/>
          <w:bCs/>
          <w:szCs w:val="24"/>
        </w:rPr>
        <w:t xml:space="preserve">U.S. Census Bureau 2022. Census of Governments, Local Governments by Type and State. Available </w:t>
      </w:r>
      <w:r w:rsidRPr="00B850BA" w:rsidR="004A4233">
        <w:rPr>
          <w:rFonts w:asciiTheme="minorHAnsi" w:hAnsiTheme="minorHAnsi" w:cstheme="minorHAnsi"/>
          <w:bCs/>
          <w:szCs w:val="24"/>
        </w:rPr>
        <w:t>via</w:t>
      </w:r>
      <w:r w:rsidRPr="00B850BA">
        <w:rPr>
          <w:rFonts w:asciiTheme="minorHAnsi" w:hAnsiTheme="minorHAnsi" w:cstheme="minorHAnsi"/>
          <w:bCs/>
          <w:szCs w:val="24"/>
        </w:rPr>
        <w:t xml:space="preserve"> </w:t>
      </w:r>
      <w:hyperlink r:id="rId24" w:history="1">
        <w:r w:rsidRPr="00B850BA" w:rsidR="004F5B54">
          <w:rPr>
            <w:rStyle w:val="Hyperlink"/>
            <w:rFonts w:asciiTheme="minorHAnsi" w:hAnsiTheme="minorHAnsi" w:cstheme="minorHAnsi"/>
            <w:bCs/>
            <w:szCs w:val="24"/>
          </w:rPr>
          <w:t>https://www.census.gov/data/tables/2022/econ/gus/2022-governments.html</w:t>
        </w:r>
      </w:hyperlink>
    </w:p>
    <w:p w:rsidR="004F5B54" w:rsidRPr="00B850BA" w:rsidP="008F708D" w14:paraId="5EB63F43" w14:textId="0DD4C37C">
      <w:pPr>
        <w:spacing w:line="276" w:lineRule="auto"/>
        <w:ind w:left="720" w:hanging="720"/>
        <w:rPr>
          <w:rFonts w:asciiTheme="minorHAnsi" w:hAnsiTheme="minorHAnsi" w:cstheme="minorHAnsi"/>
          <w:bCs/>
          <w:szCs w:val="24"/>
          <w:lang w:val=""/>
        </w:rPr>
      </w:pPr>
      <w:r w:rsidRPr="00B850BA">
        <w:rPr>
          <w:rFonts w:asciiTheme="minorHAnsi" w:hAnsiTheme="minorHAnsi" w:cstheme="minorHAnsi"/>
          <w:bCs/>
          <w:szCs w:val="24"/>
        </w:rPr>
        <w:t xml:space="preserve">U.S. Department of Education 2021. National Center for Education Statistics, Common Core of Data (CCD), "Public Elementary/ Secondary School Universe Survey" (U.S. Department of Education, 2021). </w:t>
      </w:r>
      <w:r w:rsidR="00CA797E">
        <w:rPr>
          <w:rFonts w:asciiTheme="minorHAnsi" w:hAnsiTheme="minorHAnsi" w:cstheme="minorHAnsi"/>
          <w:bCs/>
          <w:szCs w:val="24"/>
        </w:rPr>
        <w:t xml:space="preserve"> </w:t>
      </w:r>
      <w:r w:rsidRPr="00B850BA">
        <w:rPr>
          <w:rFonts w:asciiTheme="minorHAnsi" w:hAnsiTheme="minorHAnsi" w:cstheme="minorHAnsi"/>
          <w:bCs/>
          <w:szCs w:val="24"/>
          <w:lang w:val=""/>
        </w:rPr>
        <w:t>Available</w:t>
      </w:r>
      <w:r w:rsidRPr="00B850BA">
        <w:rPr>
          <w:rFonts w:asciiTheme="minorHAnsi" w:hAnsiTheme="minorHAnsi" w:cstheme="minorHAnsi"/>
          <w:bCs/>
          <w:szCs w:val="24"/>
          <w:lang w:val=""/>
        </w:rPr>
        <w:t xml:space="preserve"> </w:t>
      </w:r>
      <w:r w:rsidR="00CA797E">
        <w:rPr>
          <w:rFonts w:asciiTheme="minorHAnsi" w:hAnsiTheme="minorHAnsi" w:cstheme="minorHAnsi"/>
          <w:bCs/>
          <w:szCs w:val="24"/>
          <w:lang w:val=""/>
        </w:rPr>
        <w:t>via</w:t>
      </w:r>
      <w:r w:rsidR="00CA797E">
        <w:rPr>
          <w:rFonts w:asciiTheme="minorHAnsi" w:hAnsiTheme="minorHAnsi" w:cstheme="minorHAnsi"/>
          <w:bCs/>
          <w:szCs w:val="24"/>
          <w:lang w:val=""/>
        </w:rPr>
        <w:t xml:space="preserve"> </w:t>
      </w:r>
      <w:hyperlink r:id="rId25" w:history="1">
        <w:r w:rsidRPr="00B850BA">
          <w:rPr>
            <w:rStyle w:val="Hyperlink"/>
            <w:rFonts w:asciiTheme="minorHAnsi" w:hAnsiTheme="minorHAnsi" w:cstheme="minorHAnsi"/>
            <w:bCs/>
            <w:szCs w:val="24"/>
            <w:lang w:val=""/>
          </w:rPr>
          <w:t>https://nces.ed.gov/ccd/tables/202021_summary_2.asp</w:t>
        </w:r>
      </w:hyperlink>
    </w:p>
    <w:p w:rsidR="00952D05" w:rsidRPr="00B850BA" w:rsidP="008F708D" w14:paraId="38385680" w14:textId="72273551">
      <w:pPr>
        <w:spacing w:line="276" w:lineRule="auto"/>
        <w:ind w:left="720" w:hanging="720"/>
        <w:rPr>
          <w:rFonts w:asciiTheme="minorHAnsi" w:hAnsiTheme="minorHAnsi" w:cstheme="minorHAnsi"/>
          <w:bCs/>
          <w:szCs w:val="24"/>
        </w:rPr>
      </w:pPr>
      <w:r w:rsidRPr="00B850BA">
        <w:rPr>
          <w:rFonts w:asciiTheme="minorHAnsi" w:hAnsiTheme="minorHAnsi" w:cstheme="minorHAnsi"/>
          <w:bCs/>
          <w:szCs w:val="24"/>
          <w:lang w:val=""/>
        </w:rPr>
        <w:t xml:space="preserve">U.S.  EPA 2000. </w:t>
      </w:r>
      <w:r w:rsidRPr="00B850BA">
        <w:rPr>
          <w:rFonts w:asciiTheme="minorHAnsi" w:hAnsiTheme="minorHAnsi" w:cstheme="minorHAnsi"/>
          <w:bCs/>
          <w:szCs w:val="24"/>
        </w:rPr>
        <w:t>U.S. EPA, Office of Pollution Prevention and Toxics</w:t>
      </w:r>
      <w:r w:rsidRPr="00B850BA" w:rsidR="00DB4635">
        <w:rPr>
          <w:rFonts w:asciiTheme="minorHAnsi" w:hAnsiTheme="minorHAnsi" w:cstheme="minorHAnsi"/>
          <w:bCs/>
          <w:i/>
          <w:szCs w:val="24"/>
        </w:rPr>
        <w:t>.</w:t>
      </w:r>
      <w:r w:rsidRPr="00B850BA">
        <w:rPr>
          <w:rFonts w:asciiTheme="minorHAnsi" w:hAnsiTheme="minorHAnsi" w:cstheme="minorHAnsi"/>
          <w:bCs/>
          <w:i/>
          <w:szCs w:val="24"/>
        </w:rPr>
        <w:t xml:space="preserve">  Final Asbestos Worker</w:t>
      </w:r>
      <w:r w:rsidRPr="00B850BA" w:rsidR="00E0095B">
        <w:rPr>
          <w:rFonts w:asciiTheme="minorHAnsi" w:hAnsiTheme="minorHAnsi" w:cstheme="minorHAnsi"/>
          <w:bCs/>
          <w:i/>
          <w:szCs w:val="24"/>
        </w:rPr>
        <w:t xml:space="preserve"> </w:t>
      </w:r>
      <w:r w:rsidRPr="00B850BA">
        <w:rPr>
          <w:rFonts w:asciiTheme="minorHAnsi" w:hAnsiTheme="minorHAnsi" w:cstheme="minorHAnsi"/>
          <w:bCs/>
          <w:i/>
          <w:szCs w:val="24"/>
        </w:rPr>
        <w:t>Protection Rule Economic Analysis</w:t>
      </w:r>
      <w:r w:rsidRPr="00B850BA" w:rsidR="00DB4635">
        <w:rPr>
          <w:rFonts w:asciiTheme="minorHAnsi" w:hAnsiTheme="minorHAnsi" w:cstheme="minorHAnsi"/>
          <w:bCs/>
          <w:szCs w:val="24"/>
        </w:rPr>
        <w:t>.</w:t>
      </w:r>
      <w:r w:rsidRPr="00B850BA">
        <w:rPr>
          <w:rFonts w:asciiTheme="minorHAnsi" w:hAnsiTheme="minorHAnsi" w:cstheme="minorHAnsi"/>
          <w:bCs/>
          <w:szCs w:val="24"/>
        </w:rPr>
        <w:t xml:space="preserve"> Economic and</w:t>
      </w:r>
      <w:r w:rsidRPr="00B850BA" w:rsidR="00071ACB">
        <w:rPr>
          <w:rFonts w:asciiTheme="minorHAnsi" w:hAnsiTheme="minorHAnsi" w:cstheme="minorHAnsi"/>
          <w:bCs/>
          <w:szCs w:val="24"/>
        </w:rPr>
        <w:t xml:space="preserve"> </w:t>
      </w:r>
      <w:r w:rsidRPr="00B850BA">
        <w:rPr>
          <w:rFonts w:asciiTheme="minorHAnsi" w:hAnsiTheme="minorHAnsi" w:cstheme="minorHAnsi"/>
          <w:bCs/>
          <w:szCs w:val="24"/>
        </w:rPr>
        <w:t>Policy Analysis Branch, Economics,</w:t>
      </w:r>
      <w:r w:rsidRPr="00B850BA" w:rsidR="00000898">
        <w:rPr>
          <w:rFonts w:asciiTheme="minorHAnsi" w:hAnsiTheme="minorHAnsi" w:cstheme="minorHAnsi"/>
          <w:bCs/>
          <w:szCs w:val="24"/>
        </w:rPr>
        <w:t xml:space="preserve"> </w:t>
      </w:r>
      <w:r w:rsidRPr="00B850BA">
        <w:rPr>
          <w:rFonts w:asciiTheme="minorHAnsi" w:hAnsiTheme="minorHAnsi" w:cstheme="minorHAnsi"/>
          <w:bCs/>
          <w:szCs w:val="24"/>
        </w:rPr>
        <w:t>Exposure and Technology Division, Office of Pollution Prevention and Toxics,</w:t>
      </w:r>
      <w:r w:rsidRPr="00B850BA" w:rsidR="00000898">
        <w:rPr>
          <w:rFonts w:asciiTheme="minorHAnsi" w:hAnsiTheme="minorHAnsi" w:cstheme="minorHAnsi"/>
          <w:bCs/>
          <w:szCs w:val="24"/>
        </w:rPr>
        <w:t xml:space="preserve"> </w:t>
      </w:r>
      <w:r w:rsidRPr="00B850BA">
        <w:rPr>
          <w:rFonts w:asciiTheme="minorHAnsi" w:hAnsiTheme="minorHAnsi" w:cstheme="minorHAnsi"/>
          <w:bCs/>
          <w:szCs w:val="24"/>
        </w:rPr>
        <w:t>September 25, 2000.</w:t>
      </w:r>
    </w:p>
    <w:p w:rsidR="00A705C1" w:rsidRPr="00B850BA" w:rsidP="008F708D" w14:paraId="57A4C60F" w14:textId="528DCC24">
      <w:pPr>
        <w:spacing w:line="276" w:lineRule="auto"/>
        <w:ind w:left="720" w:hanging="720"/>
        <w:rPr>
          <w:rFonts w:asciiTheme="minorHAnsi" w:hAnsiTheme="minorHAnsi" w:cstheme="minorHAnsi"/>
          <w:szCs w:val="24"/>
        </w:rPr>
      </w:pPr>
      <w:r w:rsidRPr="00B850BA">
        <w:rPr>
          <w:rFonts w:asciiTheme="minorHAnsi" w:hAnsiTheme="minorHAnsi" w:cstheme="minorHAnsi"/>
          <w:bCs/>
          <w:szCs w:val="24"/>
        </w:rPr>
        <w:t>U.S. EPA 2007</w:t>
      </w:r>
      <w:r w:rsidRPr="00B850BA" w:rsidR="00DB4635">
        <w:rPr>
          <w:rFonts w:asciiTheme="minorHAnsi" w:hAnsiTheme="minorHAnsi" w:cstheme="minorHAnsi"/>
          <w:bCs/>
          <w:szCs w:val="24"/>
        </w:rPr>
        <w:t>.</w:t>
      </w:r>
      <w:r w:rsidRPr="00B850BA">
        <w:rPr>
          <w:rFonts w:asciiTheme="minorHAnsi" w:hAnsiTheme="minorHAnsi" w:cstheme="minorHAnsi"/>
          <w:bCs/>
          <w:szCs w:val="24"/>
        </w:rPr>
        <w:t xml:space="preserve"> </w:t>
      </w:r>
      <w:r w:rsidRPr="00B850BA">
        <w:rPr>
          <w:rFonts w:asciiTheme="minorHAnsi" w:hAnsiTheme="minorHAnsi" w:cstheme="minorHAnsi"/>
          <w:bCs/>
          <w:i/>
          <w:szCs w:val="24"/>
        </w:rPr>
        <w:t>Supporting Statement for a Request for OMB Review under the Paperwork Reduction Act - Reporting and Recordkeeping for Asbestos Abatement Worker Protection.</w:t>
      </w:r>
      <w:r w:rsidRPr="00B850BA">
        <w:rPr>
          <w:rFonts w:asciiTheme="minorHAnsi" w:hAnsiTheme="minorHAnsi" w:cstheme="minorHAnsi"/>
          <w:bCs/>
          <w:szCs w:val="24"/>
        </w:rPr>
        <w:t xml:space="preserve"> </w:t>
      </w:r>
      <w:hyperlink r:id="rId26" w:history="1">
        <w:r w:rsidRPr="00B850BA" w:rsidR="002250FF">
          <w:rPr>
            <w:rStyle w:val="Hyperlink"/>
            <w:rFonts w:asciiTheme="minorHAnsi" w:hAnsiTheme="minorHAnsi" w:cstheme="minorHAnsi"/>
            <w:bCs/>
            <w:szCs w:val="24"/>
          </w:rPr>
          <w:t>OMB 2070-0072; EPA 1249.10</w:t>
        </w:r>
        <w:r w:rsidRPr="00B850BA" w:rsidR="009012DD">
          <w:rPr>
            <w:rStyle w:val="Hyperlink"/>
            <w:rFonts w:asciiTheme="minorHAnsi" w:hAnsiTheme="minorHAnsi" w:cstheme="minorHAnsi"/>
            <w:bCs/>
            <w:szCs w:val="24"/>
          </w:rPr>
          <w:t xml:space="preserve">, </w:t>
        </w:r>
        <w:r w:rsidRPr="00B850BA" w:rsidR="001E2583">
          <w:rPr>
            <w:rStyle w:val="Hyperlink"/>
            <w:rFonts w:asciiTheme="minorHAnsi" w:hAnsiTheme="minorHAnsi" w:cstheme="minorHAnsi"/>
            <w:bCs/>
            <w:szCs w:val="24"/>
          </w:rPr>
          <w:t>submitted to OMB 2007.</w:t>
        </w:r>
      </w:hyperlink>
    </w:p>
    <w:sectPr w:rsidSect="00000898">
      <w:pgSz w:w="12240" w:h="15840"/>
      <w:pgMar w:top="720" w:right="1440" w:bottom="720" w:left="1440" w:header="720" w:footer="475"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393398"/>
      <w:docPartObj>
        <w:docPartGallery w:val="Page Numbers (Bottom of Page)"/>
        <w:docPartUnique/>
      </w:docPartObj>
    </w:sdtPr>
    <w:sdtContent>
      <w:sdt>
        <w:sdtPr>
          <w:id w:val="1728636285"/>
          <w:docPartObj>
            <w:docPartGallery w:val="Page Numbers (Top of Page)"/>
            <w:docPartUnique/>
          </w:docPartObj>
        </w:sdtPr>
        <w:sdtContent>
          <w:p w:rsidR="00B279BE" w:rsidRPr="001F0D81" w:rsidP="001F0D81" w14:paraId="60AC61E0" w14:textId="35E56426">
            <w:pPr>
              <w:pStyle w:val="Footer"/>
              <w:spacing w:before="120" w:after="0"/>
              <w:jc w:val="center"/>
            </w:pPr>
            <w:r w:rsidRPr="001F0D81">
              <w:rPr>
                <w:rFonts w:cs="Arial"/>
                <w:sz w:val="20"/>
              </w:rPr>
              <w:t xml:space="preserve">Page </w:t>
            </w:r>
            <w:r w:rsidRPr="001F0D81">
              <w:rPr>
                <w:rFonts w:cs="Arial"/>
                <w:b/>
                <w:bCs/>
                <w:sz w:val="20"/>
              </w:rPr>
              <w:fldChar w:fldCharType="begin"/>
            </w:r>
            <w:r w:rsidRPr="001F0D81">
              <w:rPr>
                <w:rFonts w:cs="Arial"/>
                <w:b/>
                <w:bCs/>
                <w:sz w:val="20"/>
              </w:rPr>
              <w:instrText xml:space="preserve"> PAGE </w:instrText>
            </w:r>
            <w:r w:rsidRPr="001F0D81">
              <w:rPr>
                <w:rFonts w:cs="Arial"/>
                <w:b/>
                <w:bCs/>
                <w:sz w:val="20"/>
              </w:rPr>
              <w:fldChar w:fldCharType="separate"/>
            </w:r>
            <w:r w:rsidRPr="001F0D81">
              <w:rPr>
                <w:rFonts w:cs="Arial"/>
                <w:b/>
                <w:bCs/>
                <w:noProof/>
                <w:sz w:val="20"/>
              </w:rPr>
              <w:t>2</w:t>
            </w:r>
            <w:r w:rsidRPr="001F0D81">
              <w:rPr>
                <w:rFonts w:cs="Arial"/>
                <w:b/>
                <w:bCs/>
                <w:sz w:val="20"/>
              </w:rPr>
              <w:fldChar w:fldCharType="end"/>
            </w:r>
            <w:r w:rsidRPr="001F0D81">
              <w:rPr>
                <w:rFonts w:cs="Arial"/>
                <w:sz w:val="20"/>
              </w:rPr>
              <w:t xml:space="preserve"> of </w:t>
            </w:r>
            <w:r w:rsidRPr="001F0D81">
              <w:rPr>
                <w:rFonts w:cs="Arial"/>
                <w:b/>
                <w:bCs/>
                <w:sz w:val="20"/>
              </w:rPr>
              <w:fldChar w:fldCharType="begin"/>
            </w:r>
            <w:r w:rsidRPr="001F0D81">
              <w:rPr>
                <w:rFonts w:cs="Arial"/>
                <w:b/>
                <w:bCs/>
                <w:sz w:val="20"/>
              </w:rPr>
              <w:instrText xml:space="preserve"> NUMPAGES  </w:instrText>
            </w:r>
            <w:r w:rsidRPr="001F0D81">
              <w:rPr>
                <w:rFonts w:cs="Arial"/>
                <w:b/>
                <w:bCs/>
                <w:sz w:val="20"/>
              </w:rPr>
              <w:fldChar w:fldCharType="separate"/>
            </w:r>
            <w:r w:rsidRPr="001F0D81">
              <w:rPr>
                <w:rFonts w:cs="Arial"/>
                <w:b/>
                <w:bCs/>
                <w:noProof/>
                <w:sz w:val="20"/>
              </w:rPr>
              <w:t>2</w:t>
            </w:r>
            <w:r w:rsidRPr="001F0D81">
              <w:rPr>
                <w:rFonts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2AF1" w14:paraId="09DBED3A" w14:textId="77777777">
      <w:r>
        <w:separator/>
      </w:r>
    </w:p>
  </w:footnote>
  <w:footnote w:type="continuationSeparator" w:id="1">
    <w:p w:rsidR="00CD2AF1" w14:paraId="0F1D01BF" w14:textId="77777777">
      <w:r>
        <w:continuationSeparator/>
      </w:r>
    </w:p>
  </w:footnote>
  <w:footnote w:type="continuationNotice" w:id="2">
    <w:p w:rsidR="00CD2AF1" w14:paraId="250CFE5C" w14:textId="77777777"/>
  </w:footnote>
  <w:footnote w:id="3">
    <w:p w:rsidR="00B279BE" w:rsidRPr="00E407C9" w:rsidP="004D2FF7" w14:paraId="2DFF9001" w14:textId="19A72DC5">
      <w:pPr>
        <w:pStyle w:val="FootnoteText"/>
        <w:rPr>
          <w:rFonts w:ascii="Calibri" w:hAnsi="Calibri" w:cs="Calibri"/>
        </w:rPr>
      </w:pPr>
      <w:r w:rsidRPr="00E407C9">
        <w:rPr>
          <w:rStyle w:val="FootnoteReference"/>
          <w:rFonts w:ascii="Calibri" w:hAnsi="Calibri" w:cs="Calibri"/>
        </w:rPr>
        <w:footnoteRef/>
      </w:r>
      <w:r w:rsidRPr="00E407C9">
        <w:rPr>
          <w:rFonts w:ascii="Calibri" w:hAnsi="Calibri" w:cs="Calibri"/>
        </w:rPr>
        <w:t xml:space="preserve"> The underlying models developed in the 2000 WPR are used in this ICR renewal and are not changed from the 2000 WPR. However, given that these models are not routinely re-estimated (see e.g., EPA 2007), the practical approach in this report is to scale on a per-state basis and update according to the number of states without OSHA-approved plans. </w:t>
      </w:r>
    </w:p>
  </w:footnote>
  <w:footnote w:id="4">
    <w:p w:rsidR="00B279BE" w:rsidRPr="00E407C9" w:rsidP="00181B5A" w14:paraId="404447F6" w14:textId="77777777">
      <w:pPr>
        <w:pStyle w:val="FootnoteText"/>
        <w:rPr>
          <w:rFonts w:ascii="Calibri" w:hAnsi="Calibri" w:cs="Calibri"/>
        </w:rPr>
      </w:pPr>
      <w:r w:rsidRPr="00E407C9">
        <w:rPr>
          <w:rStyle w:val="FootnoteReference"/>
          <w:rFonts w:ascii="Calibri" w:hAnsi="Calibri" w:cs="Calibri"/>
        </w:rPr>
        <w:footnoteRef/>
      </w:r>
      <w:r w:rsidRPr="00E407C9">
        <w:rPr>
          <w:rFonts w:ascii="Calibri" w:hAnsi="Calibri" w:cs="Calibri"/>
        </w:rPr>
        <w:t xml:space="preserve"> The contract cost to small entities is not estimated for purposes of this and previous ICR renewals. </w:t>
      </w:r>
    </w:p>
  </w:footnote>
  <w:footnote w:id="5">
    <w:p w:rsidR="00B279BE" w:rsidRPr="00E407C9" w:rsidP="00D978E8" w14:paraId="16897ACB" w14:textId="0237B533">
      <w:pPr>
        <w:rPr>
          <w:rFonts w:ascii="Calibri" w:hAnsi="Calibri" w:cs="Calibri"/>
        </w:rPr>
      </w:pPr>
      <w:r w:rsidRPr="00E407C9">
        <w:rPr>
          <w:rStyle w:val="FootnoteReference"/>
          <w:rFonts w:ascii="Calibri" w:hAnsi="Calibri" w:cs="Calibri"/>
        </w:rPr>
        <w:footnoteRef/>
      </w:r>
      <w:r w:rsidRPr="00E407C9">
        <w:rPr>
          <w:rFonts w:ascii="Calibri" w:hAnsi="Calibri" w:cs="Calibri"/>
        </w:rPr>
        <w:t xml:space="preserve"> As in previous ICRs (see e.g., EPA 2007), based on the Regulatory Flexibility Act (RFA) definition and affected entity population counts. As defined by the RFA, a small government is any specified government entity, excluding states, with jurisdiction over a population of less than 50,000.</w:t>
      </w:r>
    </w:p>
  </w:footnote>
  <w:footnote w:id="6">
    <w:p w:rsidR="00B279BE" w:rsidRPr="00E407C9" w14:paraId="333869BB" w14:textId="77777777">
      <w:pPr>
        <w:pStyle w:val="FootnoteText"/>
        <w:rPr>
          <w:rFonts w:ascii="Calibri" w:hAnsi="Calibri" w:cs="Calibri"/>
        </w:rPr>
      </w:pPr>
      <w:r w:rsidRPr="00E407C9">
        <w:rPr>
          <w:rStyle w:val="FootnoteReference"/>
          <w:rFonts w:ascii="Calibri" w:hAnsi="Calibri" w:cs="Calibri"/>
        </w:rPr>
        <w:footnoteRef/>
      </w:r>
      <w:r w:rsidRPr="00E407C9">
        <w:rPr>
          <w:rFonts w:ascii="Calibri" w:hAnsi="Calibri" w:cs="Calibri"/>
        </w:rPr>
        <w:t xml:space="preserve"> For the case of twenty-seven states (ICR 2007), the total burden estimates for fit tests are (1) forty full-time equivalents (FTE) for full-face masks, and (2) 2,651 FTE for half masks.</w:t>
      </w:r>
    </w:p>
  </w:footnote>
  <w:footnote w:id="7">
    <w:p w:rsidR="00B279BE" w:rsidRPr="004C6D74" w14:paraId="163CF650" w14:textId="77777777">
      <w:pPr>
        <w:pStyle w:val="FootnoteText"/>
        <w:rPr>
          <w:rFonts w:ascii="Calibri" w:hAnsi="Calibri" w:cs="Calibri"/>
        </w:rPr>
      </w:pPr>
      <w:r w:rsidRPr="004C6D74">
        <w:rPr>
          <w:rStyle w:val="FootnoteReference"/>
          <w:rFonts w:ascii="Calibri" w:hAnsi="Calibri" w:cs="Calibri"/>
        </w:rPr>
        <w:footnoteRef/>
      </w:r>
      <w:r w:rsidRPr="004C6D74">
        <w:rPr>
          <w:rFonts w:ascii="Calibri" w:hAnsi="Calibri" w:cs="Calibri"/>
        </w:rPr>
        <w:t xml:space="preserve"> EPA assumes that small local governments hire contractors to perform industrial hygiene tasks and incur a cost but not a burden (not estimated for purposes of this and previous ICR renewals).</w:t>
      </w:r>
    </w:p>
  </w:footnote>
  <w:footnote w:id="8">
    <w:p w:rsidR="00B279BE" w:rsidRPr="004C6D74" w14:paraId="3BC22A90" w14:textId="77777777">
      <w:pPr>
        <w:pStyle w:val="FootnoteText"/>
        <w:rPr>
          <w:rFonts w:ascii="Calibri" w:hAnsi="Calibri" w:cs="Calibri"/>
        </w:rPr>
      </w:pPr>
      <w:r w:rsidRPr="004C6D74">
        <w:rPr>
          <w:rStyle w:val="FootnoteReference"/>
          <w:rFonts w:ascii="Calibri" w:hAnsi="Calibri" w:cs="Calibri"/>
        </w:rPr>
        <w:footnoteRef/>
      </w:r>
      <w:r w:rsidRPr="004C6D74">
        <w:rPr>
          <w:rFonts w:ascii="Calibri" w:hAnsi="Calibri" w:cs="Calibri"/>
        </w:rPr>
        <w:t xml:space="preserve"> The proportion of crews that operate under large entities is purposefully assumed to be disproportionately larger than under small entities, based on population records (EPA 2007).</w:t>
      </w:r>
    </w:p>
  </w:footnote>
  <w:footnote w:id="9">
    <w:p w:rsidR="00B279BE" w:rsidRPr="004C6D74" w14:paraId="22E7A570" w14:textId="77777777">
      <w:pPr>
        <w:pStyle w:val="FootnoteText"/>
        <w:rPr>
          <w:rFonts w:ascii="Calibri" w:hAnsi="Calibri" w:cs="Calibri"/>
        </w:rPr>
      </w:pPr>
      <w:r w:rsidRPr="004C6D74">
        <w:rPr>
          <w:rStyle w:val="FootnoteReference"/>
          <w:rFonts w:ascii="Calibri" w:hAnsi="Calibri" w:cs="Calibri"/>
        </w:rPr>
        <w:footnoteRef/>
      </w:r>
      <w:r w:rsidRPr="004C6D74">
        <w:rPr>
          <w:rFonts w:ascii="Calibri" w:hAnsi="Calibri" w:cs="Calibri"/>
        </w:rPr>
        <w:t xml:space="preserve"> The contract cost to small entities is not estimated for purposes of this and previous ICR renewals.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5E8147E"/>
    <w:lvl w:ilvl="0">
      <w:start w:val="1"/>
      <w:numFmt w:val="decimal"/>
      <w:lvlText w:val="%1."/>
      <w:lvlJc w:val="left"/>
      <w:pPr>
        <w:tabs>
          <w:tab w:val="num" w:pos="1800"/>
        </w:tabs>
        <w:ind w:left="1800" w:hanging="360"/>
      </w:pPr>
    </w:lvl>
  </w:abstractNum>
  <w:abstractNum w:abstractNumId="1">
    <w:nsid w:val="FFFFFF7D"/>
    <w:multiLevelType w:val="singleLevel"/>
    <w:tmpl w:val="20DC189A"/>
    <w:lvl w:ilvl="0">
      <w:start w:val="1"/>
      <w:numFmt w:val="decimal"/>
      <w:lvlText w:val="%1."/>
      <w:lvlJc w:val="left"/>
      <w:pPr>
        <w:tabs>
          <w:tab w:val="num" w:pos="1440"/>
        </w:tabs>
        <w:ind w:left="1440" w:hanging="360"/>
      </w:pPr>
    </w:lvl>
  </w:abstractNum>
  <w:abstractNum w:abstractNumId="2">
    <w:nsid w:val="FFFFFF7E"/>
    <w:multiLevelType w:val="singleLevel"/>
    <w:tmpl w:val="56FA1F08"/>
    <w:lvl w:ilvl="0">
      <w:start w:val="1"/>
      <w:numFmt w:val="decimal"/>
      <w:lvlText w:val="%1."/>
      <w:lvlJc w:val="left"/>
      <w:pPr>
        <w:tabs>
          <w:tab w:val="num" w:pos="1080"/>
        </w:tabs>
        <w:ind w:left="1080" w:hanging="360"/>
      </w:pPr>
    </w:lvl>
  </w:abstractNum>
  <w:abstractNum w:abstractNumId="3">
    <w:nsid w:val="FFFFFF7F"/>
    <w:multiLevelType w:val="singleLevel"/>
    <w:tmpl w:val="BF04714E"/>
    <w:lvl w:ilvl="0">
      <w:start w:val="1"/>
      <w:numFmt w:val="decimal"/>
      <w:lvlText w:val="%1."/>
      <w:lvlJc w:val="left"/>
      <w:pPr>
        <w:tabs>
          <w:tab w:val="num" w:pos="720"/>
        </w:tabs>
        <w:ind w:left="720" w:hanging="360"/>
      </w:pPr>
    </w:lvl>
  </w:abstractNum>
  <w:abstractNum w:abstractNumId="4">
    <w:nsid w:val="FFFFFF80"/>
    <w:multiLevelType w:val="singleLevel"/>
    <w:tmpl w:val="1C729B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F4F9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F458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3CBF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9AAFCE"/>
    <w:lvl w:ilvl="0">
      <w:start w:val="1"/>
      <w:numFmt w:val="decimal"/>
      <w:lvlText w:val="%1."/>
      <w:lvlJc w:val="left"/>
      <w:pPr>
        <w:tabs>
          <w:tab w:val="num" w:pos="360"/>
        </w:tabs>
        <w:ind w:left="360" w:hanging="360"/>
      </w:pPr>
    </w:lvl>
  </w:abstractNum>
  <w:abstractNum w:abstractNumId="9">
    <w:nsid w:val="FFFFFF89"/>
    <w:multiLevelType w:val="singleLevel"/>
    <w:tmpl w:val="379A59B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4E080D0"/>
    <w:lvl w:ilvl="0">
      <w:start w:val="0"/>
      <w:numFmt w:val="bullet"/>
      <w:lvlText w:val="*"/>
      <w:lvlJc w:val="left"/>
    </w:lvl>
  </w:abstractNum>
  <w:abstractNum w:abstractNumId="11">
    <w:nsid w:val="049E4106"/>
    <w:multiLevelType w:val="hybridMultilevel"/>
    <w:tmpl w:val="9182D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F915F4"/>
    <w:multiLevelType w:val="hybridMultilevel"/>
    <w:tmpl w:val="CAEA26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4ED0451"/>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647915"/>
    <w:multiLevelType w:val="hybridMultilevel"/>
    <w:tmpl w:val="E2D8F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CF02D7"/>
    <w:multiLevelType w:val="hybridMultilevel"/>
    <w:tmpl w:val="2FA64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49365A"/>
    <w:multiLevelType w:val="hybridMultilevel"/>
    <w:tmpl w:val="4836CF36"/>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2DDA3051"/>
    <w:multiLevelType w:val="hybridMultilevel"/>
    <w:tmpl w:val="DCDC68B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E06A9E"/>
    <w:multiLevelType w:val="hybridMultilevel"/>
    <w:tmpl w:val="E5C0B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637A34"/>
    <w:multiLevelType w:val="hybridMultilevel"/>
    <w:tmpl w:val="C4B87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096DC3"/>
    <w:multiLevelType w:val="hybridMultilevel"/>
    <w:tmpl w:val="A74E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DE6E58"/>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1302C4"/>
    <w:multiLevelType w:val="hybridMultilevel"/>
    <w:tmpl w:val="D12C2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A41DFA"/>
    <w:multiLevelType w:val="hybridMultilevel"/>
    <w:tmpl w:val="492A5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FC0758"/>
    <w:multiLevelType w:val="hybridMultilevel"/>
    <w:tmpl w:val="D1B46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1748D7"/>
    <w:multiLevelType w:val="hybridMultilevel"/>
    <w:tmpl w:val="FB1628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BA27919"/>
    <w:multiLevelType w:val="hybridMultilevel"/>
    <w:tmpl w:val="263E62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E0398D"/>
    <w:multiLevelType w:val="hybridMultilevel"/>
    <w:tmpl w:val="3B0ED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CF50DD"/>
    <w:multiLevelType w:val="hybridMultilevel"/>
    <w:tmpl w:val="DB9A4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193F9C"/>
    <w:multiLevelType w:val="hybridMultilevel"/>
    <w:tmpl w:val="EF183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04754D"/>
    <w:multiLevelType w:val="hybridMultilevel"/>
    <w:tmpl w:val="DA4055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9AD232A"/>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9D54238"/>
    <w:multiLevelType w:val="hybridMultilevel"/>
    <w:tmpl w:val="247C1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3220D1"/>
    <w:multiLevelType w:val="hybridMultilevel"/>
    <w:tmpl w:val="ABD6D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4910AD"/>
    <w:multiLevelType w:val="hybridMultilevel"/>
    <w:tmpl w:val="2C96F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99158F"/>
    <w:multiLevelType w:val="hybridMultilevel"/>
    <w:tmpl w:val="462C7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6C5CE4"/>
    <w:multiLevelType w:val="hybridMultilevel"/>
    <w:tmpl w:val="CAE68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4F3D67"/>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F7B53EA"/>
    <w:multiLevelType w:val="hybridMultilevel"/>
    <w:tmpl w:val="F00470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90230703">
    <w:abstractNumId w:val="1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16cid:durableId="157042648">
    <w:abstractNumId w:val="10"/>
    <w:lvlOverride w:ilvl="0">
      <w:lvl w:ilvl="0">
        <w:start w:val="4"/>
        <w:numFmt w:val="bullet"/>
        <w:lvlText w:val="•"/>
        <w:legacy w:legacy="1" w:legacySpace="0" w:legacyIndent="1"/>
        <w:lvlJc w:val="left"/>
        <w:pPr>
          <w:ind w:left="631" w:hanging="1"/>
        </w:pPr>
        <w:rPr>
          <w:rFonts w:ascii="Times New Roman" w:hAnsi="Times New Roman" w:cs="Times New Roman" w:hint="default"/>
        </w:rPr>
      </w:lvl>
    </w:lvlOverride>
  </w:num>
  <w:num w:numId="3" w16cid:durableId="706413189">
    <w:abstractNumId w:val="16"/>
  </w:num>
  <w:num w:numId="4" w16cid:durableId="695351938">
    <w:abstractNumId w:val="9"/>
  </w:num>
  <w:num w:numId="5" w16cid:durableId="172229641">
    <w:abstractNumId w:val="7"/>
  </w:num>
  <w:num w:numId="6" w16cid:durableId="1670055629">
    <w:abstractNumId w:val="6"/>
  </w:num>
  <w:num w:numId="7" w16cid:durableId="1376199099">
    <w:abstractNumId w:val="5"/>
  </w:num>
  <w:num w:numId="8" w16cid:durableId="23020628">
    <w:abstractNumId w:val="4"/>
  </w:num>
  <w:num w:numId="9" w16cid:durableId="859583969">
    <w:abstractNumId w:val="8"/>
  </w:num>
  <w:num w:numId="10" w16cid:durableId="1035347194">
    <w:abstractNumId w:val="3"/>
  </w:num>
  <w:num w:numId="11" w16cid:durableId="700130560">
    <w:abstractNumId w:val="2"/>
  </w:num>
  <w:num w:numId="12" w16cid:durableId="1174685720">
    <w:abstractNumId w:val="1"/>
  </w:num>
  <w:num w:numId="13" w16cid:durableId="2127382191">
    <w:abstractNumId w:val="0"/>
  </w:num>
  <w:num w:numId="14" w16cid:durableId="1600020801">
    <w:abstractNumId w:val="38"/>
  </w:num>
  <w:num w:numId="15" w16cid:durableId="1425884036">
    <w:abstractNumId w:val="23"/>
  </w:num>
  <w:num w:numId="16" w16cid:durableId="456530305">
    <w:abstractNumId w:val="36"/>
  </w:num>
  <w:num w:numId="17" w16cid:durableId="1654597610">
    <w:abstractNumId w:val="17"/>
  </w:num>
  <w:num w:numId="18" w16cid:durableId="11749511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7921454">
    <w:abstractNumId w:val="28"/>
  </w:num>
  <w:num w:numId="20" w16cid:durableId="347564829">
    <w:abstractNumId w:val="32"/>
  </w:num>
  <w:num w:numId="21" w16cid:durableId="1005480047">
    <w:abstractNumId w:val="24"/>
  </w:num>
  <w:num w:numId="22" w16cid:durableId="2035228735">
    <w:abstractNumId w:val="22"/>
  </w:num>
  <w:num w:numId="23" w16cid:durableId="1556938777">
    <w:abstractNumId w:val="35"/>
  </w:num>
  <w:num w:numId="24" w16cid:durableId="360009661">
    <w:abstractNumId w:val="20"/>
  </w:num>
  <w:num w:numId="25" w16cid:durableId="955601331">
    <w:abstractNumId w:val="34"/>
  </w:num>
  <w:num w:numId="26" w16cid:durableId="1151753044">
    <w:abstractNumId w:val="25"/>
  </w:num>
  <w:num w:numId="27" w16cid:durableId="1347514176">
    <w:abstractNumId w:val="19"/>
  </w:num>
  <w:num w:numId="28" w16cid:durableId="76178072">
    <w:abstractNumId w:val="14"/>
  </w:num>
  <w:num w:numId="29" w16cid:durableId="1604729468">
    <w:abstractNumId w:val="29"/>
  </w:num>
  <w:num w:numId="30" w16cid:durableId="607011800">
    <w:abstractNumId w:val="27"/>
  </w:num>
  <w:num w:numId="31" w16cid:durableId="726302618">
    <w:abstractNumId w:val="11"/>
  </w:num>
  <w:num w:numId="32" w16cid:durableId="423452686">
    <w:abstractNumId w:val="18"/>
  </w:num>
  <w:num w:numId="33" w16cid:durableId="1777675727">
    <w:abstractNumId w:val="15"/>
  </w:num>
  <w:num w:numId="34" w16cid:durableId="724449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67859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0587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21955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7698680">
    <w:abstractNumId w:val="33"/>
  </w:num>
  <w:num w:numId="39" w16cid:durableId="459343522">
    <w:abstractNumId w:val="12"/>
  </w:num>
  <w:num w:numId="40" w16cid:durableId="1445073252">
    <w:abstractNumId w:val="13"/>
  </w:num>
  <w:num w:numId="41" w16cid:durableId="14881300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00"/>
  <w:drawingGridVerticalSpacing w:val="163"/>
  <w:displayHorizontalDrawingGridEvery w:val="0"/>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0A7"/>
    <w:rsid w:val="00000898"/>
    <w:rsid w:val="00001C71"/>
    <w:rsid w:val="000076E0"/>
    <w:rsid w:val="00007FA4"/>
    <w:rsid w:val="000135E2"/>
    <w:rsid w:val="00014CE5"/>
    <w:rsid w:val="00015631"/>
    <w:rsid w:val="00016313"/>
    <w:rsid w:val="00016E48"/>
    <w:rsid w:val="00017187"/>
    <w:rsid w:val="00022073"/>
    <w:rsid w:val="00022D36"/>
    <w:rsid w:val="00026E1D"/>
    <w:rsid w:val="000305A3"/>
    <w:rsid w:val="000321FB"/>
    <w:rsid w:val="00033C1E"/>
    <w:rsid w:val="000401DD"/>
    <w:rsid w:val="0004091A"/>
    <w:rsid w:val="00042C52"/>
    <w:rsid w:val="00042FCB"/>
    <w:rsid w:val="00045846"/>
    <w:rsid w:val="0004601F"/>
    <w:rsid w:val="00047E08"/>
    <w:rsid w:val="00050C3A"/>
    <w:rsid w:val="00053022"/>
    <w:rsid w:val="00057D33"/>
    <w:rsid w:val="00061099"/>
    <w:rsid w:val="00061481"/>
    <w:rsid w:val="000615C4"/>
    <w:rsid w:val="00063D4A"/>
    <w:rsid w:val="00064DE9"/>
    <w:rsid w:val="00065F53"/>
    <w:rsid w:val="00070192"/>
    <w:rsid w:val="000709E1"/>
    <w:rsid w:val="00071ACB"/>
    <w:rsid w:val="000726C6"/>
    <w:rsid w:val="00077448"/>
    <w:rsid w:val="0007773A"/>
    <w:rsid w:val="00077F82"/>
    <w:rsid w:val="00080467"/>
    <w:rsid w:val="000819F1"/>
    <w:rsid w:val="00082500"/>
    <w:rsid w:val="000828A0"/>
    <w:rsid w:val="00082C58"/>
    <w:rsid w:val="00085F6B"/>
    <w:rsid w:val="00091083"/>
    <w:rsid w:val="00092E44"/>
    <w:rsid w:val="00094BCD"/>
    <w:rsid w:val="000A055B"/>
    <w:rsid w:val="000A1FE1"/>
    <w:rsid w:val="000A22C9"/>
    <w:rsid w:val="000A3501"/>
    <w:rsid w:val="000A37B5"/>
    <w:rsid w:val="000A413C"/>
    <w:rsid w:val="000A60BC"/>
    <w:rsid w:val="000A79EA"/>
    <w:rsid w:val="000B045B"/>
    <w:rsid w:val="000B22A5"/>
    <w:rsid w:val="000B7CDA"/>
    <w:rsid w:val="000C0E0B"/>
    <w:rsid w:val="000C144D"/>
    <w:rsid w:val="000C17A4"/>
    <w:rsid w:val="000C27F9"/>
    <w:rsid w:val="000C32C8"/>
    <w:rsid w:val="000C4353"/>
    <w:rsid w:val="000C66A0"/>
    <w:rsid w:val="000C7947"/>
    <w:rsid w:val="000D047D"/>
    <w:rsid w:val="000D05E3"/>
    <w:rsid w:val="000D12ED"/>
    <w:rsid w:val="000D24DE"/>
    <w:rsid w:val="000D484D"/>
    <w:rsid w:val="000D5979"/>
    <w:rsid w:val="000D6D40"/>
    <w:rsid w:val="000D7CB0"/>
    <w:rsid w:val="000D7E14"/>
    <w:rsid w:val="000D7F61"/>
    <w:rsid w:val="000E09C7"/>
    <w:rsid w:val="000E2184"/>
    <w:rsid w:val="000E2A4F"/>
    <w:rsid w:val="000E6CB6"/>
    <w:rsid w:val="000E7B49"/>
    <w:rsid w:val="000F0514"/>
    <w:rsid w:val="000F1DD2"/>
    <w:rsid w:val="000F2D12"/>
    <w:rsid w:val="000F34C3"/>
    <w:rsid w:val="000F4174"/>
    <w:rsid w:val="001002FC"/>
    <w:rsid w:val="00102644"/>
    <w:rsid w:val="001034F9"/>
    <w:rsid w:val="00103DCE"/>
    <w:rsid w:val="001051DF"/>
    <w:rsid w:val="00106AF5"/>
    <w:rsid w:val="00107C69"/>
    <w:rsid w:val="001103E4"/>
    <w:rsid w:val="00110DA9"/>
    <w:rsid w:val="00110F5A"/>
    <w:rsid w:val="00111326"/>
    <w:rsid w:val="00113390"/>
    <w:rsid w:val="00113790"/>
    <w:rsid w:val="00117614"/>
    <w:rsid w:val="00120D21"/>
    <w:rsid w:val="001217FB"/>
    <w:rsid w:val="00121E74"/>
    <w:rsid w:val="00122507"/>
    <w:rsid w:val="00123D45"/>
    <w:rsid w:val="00124379"/>
    <w:rsid w:val="00125643"/>
    <w:rsid w:val="001261B4"/>
    <w:rsid w:val="00134898"/>
    <w:rsid w:val="0013520D"/>
    <w:rsid w:val="00137CDF"/>
    <w:rsid w:val="00140D87"/>
    <w:rsid w:val="00142967"/>
    <w:rsid w:val="00143BCC"/>
    <w:rsid w:val="00145C97"/>
    <w:rsid w:val="001461B0"/>
    <w:rsid w:val="00146909"/>
    <w:rsid w:val="00146935"/>
    <w:rsid w:val="00146CB9"/>
    <w:rsid w:val="00146E1A"/>
    <w:rsid w:val="00146FB8"/>
    <w:rsid w:val="0014710B"/>
    <w:rsid w:val="00151240"/>
    <w:rsid w:val="00151962"/>
    <w:rsid w:val="001540A8"/>
    <w:rsid w:val="00157E93"/>
    <w:rsid w:val="00160EDC"/>
    <w:rsid w:val="0016149C"/>
    <w:rsid w:val="00162B33"/>
    <w:rsid w:val="00163461"/>
    <w:rsid w:val="00164CB3"/>
    <w:rsid w:val="00166308"/>
    <w:rsid w:val="00170D30"/>
    <w:rsid w:val="001745C0"/>
    <w:rsid w:val="0017749A"/>
    <w:rsid w:val="001802C9"/>
    <w:rsid w:val="00180BCA"/>
    <w:rsid w:val="00181B5A"/>
    <w:rsid w:val="00181D93"/>
    <w:rsid w:val="00181EAD"/>
    <w:rsid w:val="00185CCC"/>
    <w:rsid w:val="001861C3"/>
    <w:rsid w:val="00186448"/>
    <w:rsid w:val="001871C1"/>
    <w:rsid w:val="00191202"/>
    <w:rsid w:val="00192660"/>
    <w:rsid w:val="00192B34"/>
    <w:rsid w:val="00192F35"/>
    <w:rsid w:val="001966AB"/>
    <w:rsid w:val="001970B8"/>
    <w:rsid w:val="001972A9"/>
    <w:rsid w:val="001A0A77"/>
    <w:rsid w:val="001A182A"/>
    <w:rsid w:val="001A1BB3"/>
    <w:rsid w:val="001A49AA"/>
    <w:rsid w:val="001A665B"/>
    <w:rsid w:val="001B0032"/>
    <w:rsid w:val="001B0053"/>
    <w:rsid w:val="001B3777"/>
    <w:rsid w:val="001B475D"/>
    <w:rsid w:val="001B4F4E"/>
    <w:rsid w:val="001B53D9"/>
    <w:rsid w:val="001B5E16"/>
    <w:rsid w:val="001B79B0"/>
    <w:rsid w:val="001C2C32"/>
    <w:rsid w:val="001D1B9D"/>
    <w:rsid w:val="001D4CC6"/>
    <w:rsid w:val="001D649F"/>
    <w:rsid w:val="001E0C36"/>
    <w:rsid w:val="001E1BF7"/>
    <w:rsid w:val="001E226E"/>
    <w:rsid w:val="001E2583"/>
    <w:rsid w:val="001E2FE6"/>
    <w:rsid w:val="001E5269"/>
    <w:rsid w:val="001F0D81"/>
    <w:rsid w:val="001F20C1"/>
    <w:rsid w:val="001F2962"/>
    <w:rsid w:val="001F30CD"/>
    <w:rsid w:val="001F3C8C"/>
    <w:rsid w:val="001F664C"/>
    <w:rsid w:val="002002DC"/>
    <w:rsid w:val="00200E3E"/>
    <w:rsid w:val="002013FD"/>
    <w:rsid w:val="002014CF"/>
    <w:rsid w:val="0020227A"/>
    <w:rsid w:val="002029FD"/>
    <w:rsid w:val="0020640C"/>
    <w:rsid w:val="00207704"/>
    <w:rsid w:val="00207DBE"/>
    <w:rsid w:val="00210748"/>
    <w:rsid w:val="0021147C"/>
    <w:rsid w:val="00212BA9"/>
    <w:rsid w:val="0021318E"/>
    <w:rsid w:val="00213237"/>
    <w:rsid w:val="0021356F"/>
    <w:rsid w:val="002135F5"/>
    <w:rsid w:val="00220429"/>
    <w:rsid w:val="00222DA5"/>
    <w:rsid w:val="0022488D"/>
    <w:rsid w:val="00224A69"/>
    <w:rsid w:val="002250FF"/>
    <w:rsid w:val="00225927"/>
    <w:rsid w:val="002266DD"/>
    <w:rsid w:val="0022783B"/>
    <w:rsid w:val="002312E8"/>
    <w:rsid w:val="0023436E"/>
    <w:rsid w:val="00235638"/>
    <w:rsid w:val="00245020"/>
    <w:rsid w:val="00245162"/>
    <w:rsid w:val="0024638E"/>
    <w:rsid w:val="002464D9"/>
    <w:rsid w:val="00246793"/>
    <w:rsid w:val="00247C6A"/>
    <w:rsid w:val="00250653"/>
    <w:rsid w:val="00252669"/>
    <w:rsid w:val="00253106"/>
    <w:rsid w:val="00253DEF"/>
    <w:rsid w:val="002545BE"/>
    <w:rsid w:val="00257EDA"/>
    <w:rsid w:val="00257F5F"/>
    <w:rsid w:val="00260016"/>
    <w:rsid w:val="00260C6E"/>
    <w:rsid w:val="00262912"/>
    <w:rsid w:val="00262C6C"/>
    <w:rsid w:val="0026345E"/>
    <w:rsid w:val="00263497"/>
    <w:rsid w:val="00263CBD"/>
    <w:rsid w:val="00264510"/>
    <w:rsid w:val="00264AE9"/>
    <w:rsid w:val="00267C55"/>
    <w:rsid w:val="002700F7"/>
    <w:rsid w:val="002718DF"/>
    <w:rsid w:val="002722F1"/>
    <w:rsid w:val="0027361B"/>
    <w:rsid w:val="002737B7"/>
    <w:rsid w:val="00273A55"/>
    <w:rsid w:val="002752F5"/>
    <w:rsid w:val="00275466"/>
    <w:rsid w:val="002778F4"/>
    <w:rsid w:val="00277FEF"/>
    <w:rsid w:val="002822C8"/>
    <w:rsid w:val="00283BFA"/>
    <w:rsid w:val="00283D7C"/>
    <w:rsid w:val="00284340"/>
    <w:rsid w:val="00285115"/>
    <w:rsid w:val="002852E1"/>
    <w:rsid w:val="00286E60"/>
    <w:rsid w:val="002878F7"/>
    <w:rsid w:val="00290F25"/>
    <w:rsid w:val="00291C25"/>
    <w:rsid w:val="00292CDB"/>
    <w:rsid w:val="00293D0B"/>
    <w:rsid w:val="0029708A"/>
    <w:rsid w:val="002A13E2"/>
    <w:rsid w:val="002A1560"/>
    <w:rsid w:val="002A2580"/>
    <w:rsid w:val="002A4ED2"/>
    <w:rsid w:val="002A5257"/>
    <w:rsid w:val="002A6559"/>
    <w:rsid w:val="002A6B5F"/>
    <w:rsid w:val="002A6DBB"/>
    <w:rsid w:val="002B223E"/>
    <w:rsid w:val="002B3582"/>
    <w:rsid w:val="002B3CF4"/>
    <w:rsid w:val="002B5403"/>
    <w:rsid w:val="002C043A"/>
    <w:rsid w:val="002C1650"/>
    <w:rsid w:val="002C1872"/>
    <w:rsid w:val="002C1EC2"/>
    <w:rsid w:val="002C270E"/>
    <w:rsid w:val="002C279C"/>
    <w:rsid w:val="002C56B5"/>
    <w:rsid w:val="002D0995"/>
    <w:rsid w:val="002D0AAA"/>
    <w:rsid w:val="002D1A80"/>
    <w:rsid w:val="002D2184"/>
    <w:rsid w:val="002D252C"/>
    <w:rsid w:val="002D3C44"/>
    <w:rsid w:val="002D3C8E"/>
    <w:rsid w:val="002D4CC1"/>
    <w:rsid w:val="002E04C2"/>
    <w:rsid w:val="002E1451"/>
    <w:rsid w:val="002E1518"/>
    <w:rsid w:val="002E27ED"/>
    <w:rsid w:val="002E3C41"/>
    <w:rsid w:val="002E7C8F"/>
    <w:rsid w:val="002F0605"/>
    <w:rsid w:val="002F1974"/>
    <w:rsid w:val="002F4C55"/>
    <w:rsid w:val="002F6A37"/>
    <w:rsid w:val="002F7346"/>
    <w:rsid w:val="003032E0"/>
    <w:rsid w:val="0030578F"/>
    <w:rsid w:val="003106C9"/>
    <w:rsid w:val="00310CDB"/>
    <w:rsid w:val="00310E3B"/>
    <w:rsid w:val="003114C6"/>
    <w:rsid w:val="00315103"/>
    <w:rsid w:val="0031641E"/>
    <w:rsid w:val="00316698"/>
    <w:rsid w:val="00317693"/>
    <w:rsid w:val="0032077C"/>
    <w:rsid w:val="00322ADF"/>
    <w:rsid w:val="00323135"/>
    <w:rsid w:val="00325245"/>
    <w:rsid w:val="00325EC3"/>
    <w:rsid w:val="003267DC"/>
    <w:rsid w:val="00326AF4"/>
    <w:rsid w:val="0033031C"/>
    <w:rsid w:val="00330BDC"/>
    <w:rsid w:val="00337BFA"/>
    <w:rsid w:val="003426DD"/>
    <w:rsid w:val="003433BF"/>
    <w:rsid w:val="003444F6"/>
    <w:rsid w:val="0034524B"/>
    <w:rsid w:val="003521E3"/>
    <w:rsid w:val="00352651"/>
    <w:rsid w:val="0035326D"/>
    <w:rsid w:val="0035483C"/>
    <w:rsid w:val="00362D4A"/>
    <w:rsid w:val="003639EB"/>
    <w:rsid w:val="003656FD"/>
    <w:rsid w:val="00367C20"/>
    <w:rsid w:val="003732B8"/>
    <w:rsid w:val="0037338E"/>
    <w:rsid w:val="00377CBB"/>
    <w:rsid w:val="00381479"/>
    <w:rsid w:val="00381A49"/>
    <w:rsid w:val="003821EA"/>
    <w:rsid w:val="00382694"/>
    <w:rsid w:val="00384AF8"/>
    <w:rsid w:val="0038546B"/>
    <w:rsid w:val="00386C80"/>
    <w:rsid w:val="003909C7"/>
    <w:rsid w:val="003915D1"/>
    <w:rsid w:val="003920D8"/>
    <w:rsid w:val="003925E2"/>
    <w:rsid w:val="0039392C"/>
    <w:rsid w:val="00393AF3"/>
    <w:rsid w:val="00393E36"/>
    <w:rsid w:val="00395FBE"/>
    <w:rsid w:val="003A0A7B"/>
    <w:rsid w:val="003A0C17"/>
    <w:rsid w:val="003A0F3B"/>
    <w:rsid w:val="003A1AC6"/>
    <w:rsid w:val="003A346D"/>
    <w:rsid w:val="003A63D8"/>
    <w:rsid w:val="003A6956"/>
    <w:rsid w:val="003B0CC1"/>
    <w:rsid w:val="003B1881"/>
    <w:rsid w:val="003B6437"/>
    <w:rsid w:val="003B6CA7"/>
    <w:rsid w:val="003B6D91"/>
    <w:rsid w:val="003C287A"/>
    <w:rsid w:val="003C4295"/>
    <w:rsid w:val="003C47B6"/>
    <w:rsid w:val="003C6CE4"/>
    <w:rsid w:val="003C770F"/>
    <w:rsid w:val="003D3985"/>
    <w:rsid w:val="003D4423"/>
    <w:rsid w:val="003D4C5D"/>
    <w:rsid w:val="003D5F70"/>
    <w:rsid w:val="003D60D9"/>
    <w:rsid w:val="003E01A5"/>
    <w:rsid w:val="003E158D"/>
    <w:rsid w:val="003E1B6F"/>
    <w:rsid w:val="003E2DC8"/>
    <w:rsid w:val="003E359F"/>
    <w:rsid w:val="003E3F15"/>
    <w:rsid w:val="003E5490"/>
    <w:rsid w:val="003E6706"/>
    <w:rsid w:val="003F086E"/>
    <w:rsid w:val="003F2256"/>
    <w:rsid w:val="003F6640"/>
    <w:rsid w:val="004001CA"/>
    <w:rsid w:val="004035B5"/>
    <w:rsid w:val="00405403"/>
    <w:rsid w:val="004057B8"/>
    <w:rsid w:val="00415D42"/>
    <w:rsid w:val="00416A6A"/>
    <w:rsid w:val="00416E53"/>
    <w:rsid w:val="00417A2A"/>
    <w:rsid w:val="00420C5E"/>
    <w:rsid w:val="004235E8"/>
    <w:rsid w:val="0042406C"/>
    <w:rsid w:val="00425CEF"/>
    <w:rsid w:val="0043012E"/>
    <w:rsid w:val="004301C3"/>
    <w:rsid w:val="004305F2"/>
    <w:rsid w:val="00430E22"/>
    <w:rsid w:val="00431BCB"/>
    <w:rsid w:val="0043227F"/>
    <w:rsid w:val="004348B1"/>
    <w:rsid w:val="004349F0"/>
    <w:rsid w:val="004362E2"/>
    <w:rsid w:val="004369AA"/>
    <w:rsid w:val="00437231"/>
    <w:rsid w:val="004378AB"/>
    <w:rsid w:val="00437BDA"/>
    <w:rsid w:val="004414E0"/>
    <w:rsid w:val="00443554"/>
    <w:rsid w:val="004439B3"/>
    <w:rsid w:val="0044492C"/>
    <w:rsid w:val="00444A7E"/>
    <w:rsid w:val="00445BE0"/>
    <w:rsid w:val="00446DCA"/>
    <w:rsid w:val="004478E5"/>
    <w:rsid w:val="004504FE"/>
    <w:rsid w:val="00453176"/>
    <w:rsid w:val="004563DA"/>
    <w:rsid w:val="00460511"/>
    <w:rsid w:val="00460570"/>
    <w:rsid w:val="00462331"/>
    <w:rsid w:val="00462A80"/>
    <w:rsid w:val="00463B33"/>
    <w:rsid w:val="0046440A"/>
    <w:rsid w:val="00465987"/>
    <w:rsid w:val="00470D33"/>
    <w:rsid w:val="00471197"/>
    <w:rsid w:val="004711C2"/>
    <w:rsid w:val="00471432"/>
    <w:rsid w:val="004716FE"/>
    <w:rsid w:val="0047356A"/>
    <w:rsid w:val="00474DE3"/>
    <w:rsid w:val="004769A0"/>
    <w:rsid w:val="00477873"/>
    <w:rsid w:val="0048151C"/>
    <w:rsid w:val="00481FB2"/>
    <w:rsid w:val="00482499"/>
    <w:rsid w:val="00482513"/>
    <w:rsid w:val="00482BBF"/>
    <w:rsid w:val="00483B54"/>
    <w:rsid w:val="00483F94"/>
    <w:rsid w:val="00484754"/>
    <w:rsid w:val="00484B34"/>
    <w:rsid w:val="00486924"/>
    <w:rsid w:val="004872B4"/>
    <w:rsid w:val="00491265"/>
    <w:rsid w:val="00491508"/>
    <w:rsid w:val="00492685"/>
    <w:rsid w:val="00496C0B"/>
    <w:rsid w:val="004A030F"/>
    <w:rsid w:val="004A27F8"/>
    <w:rsid w:val="004A3099"/>
    <w:rsid w:val="004A3DB4"/>
    <w:rsid w:val="004A4233"/>
    <w:rsid w:val="004A4FBA"/>
    <w:rsid w:val="004A788C"/>
    <w:rsid w:val="004B0B9B"/>
    <w:rsid w:val="004B2706"/>
    <w:rsid w:val="004B4F9F"/>
    <w:rsid w:val="004B57F4"/>
    <w:rsid w:val="004B5932"/>
    <w:rsid w:val="004B66A0"/>
    <w:rsid w:val="004B7F52"/>
    <w:rsid w:val="004C0E81"/>
    <w:rsid w:val="004C310C"/>
    <w:rsid w:val="004C3A65"/>
    <w:rsid w:val="004C6D74"/>
    <w:rsid w:val="004D0990"/>
    <w:rsid w:val="004D2B1C"/>
    <w:rsid w:val="004D2FF7"/>
    <w:rsid w:val="004D3AEC"/>
    <w:rsid w:val="004D4152"/>
    <w:rsid w:val="004D416C"/>
    <w:rsid w:val="004D511A"/>
    <w:rsid w:val="004E25FE"/>
    <w:rsid w:val="004E54A2"/>
    <w:rsid w:val="004E6509"/>
    <w:rsid w:val="004E6E6A"/>
    <w:rsid w:val="004F1536"/>
    <w:rsid w:val="004F1614"/>
    <w:rsid w:val="004F29BA"/>
    <w:rsid w:val="004F4362"/>
    <w:rsid w:val="004F5B54"/>
    <w:rsid w:val="004F7A5E"/>
    <w:rsid w:val="00500F53"/>
    <w:rsid w:val="00500FBB"/>
    <w:rsid w:val="00501A29"/>
    <w:rsid w:val="00501A94"/>
    <w:rsid w:val="00502609"/>
    <w:rsid w:val="00502672"/>
    <w:rsid w:val="00504AC1"/>
    <w:rsid w:val="005062B4"/>
    <w:rsid w:val="00507CD9"/>
    <w:rsid w:val="0051207F"/>
    <w:rsid w:val="005136CB"/>
    <w:rsid w:val="005152DB"/>
    <w:rsid w:val="0051617A"/>
    <w:rsid w:val="00516844"/>
    <w:rsid w:val="00516E5E"/>
    <w:rsid w:val="005231FD"/>
    <w:rsid w:val="005274CB"/>
    <w:rsid w:val="0053567B"/>
    <w:rsid w:val="00535C95"/>
    <w:rsid w:val="00537724"/>
    <w:rsid w:val="0054267D"/>
    <w:rsid w:val="005433B9"/>
    <w:rsid w:val="0054488A"/>
    <w:rsid w:val="00545DA0"/>
    <w:rsid w:val="00546C76"/>
    <w:rsid w:val="005516A2"/>
    <w:rsid w:val="00551B46"/>
    <w:rsid w:val="00553B3B"/>
    <w:rsid w:val="00554BC6"/>
    <w:rsid w:val="0055645F"/>
    <w:rsid w:val="00556AAC"/>
    <w:rsid w:val="00560036"/>
    <w:rsid w:val="0056301F"/>
    <w:rsid w:val="005633DF"/>
    <w:rsid w:val="00563D78"/>
    <w:rsid w:val="005644DA"/>
    <w:rsid w:val="00565621"/>
    <w:rsid w:val="005671D8"/>
    <w:rsid w:val="00572FEB"/>
    <w:rsid w:val="005737B1"/>
    <w:rsid w:val="0057481F"/>
    <w:rsid w:val="005765AC"/>
    <w:rsid w:val="00580521"/>
    <w:rsid w:val="005818B6"/>
    <w:rsid w:val="005825BF"/>
    <w:rsid w:val="00582792"/>
    <w:rsid w:val="005831AA"/>
    <w:rsid w:val="005843A5"/>
    <w:rsid w:val="005855CF"/>
    <w:rsid w:val="00586475"/>
    <w:rsid w:val="005868FB"/>
    <w:rsid w:val="005929DE"/>
    <w:rsid w:val="005949D9"/>
    <w:rsid w:val="00595443"/>
    <w:rsid w:val="005A2623"/>
    <w:rsid w:val="005A3F1C"/>
    <w:rsid w:val="005A4125"/>
    <w:rsid w:val="005A458E"/>
    <w:rsid w:val="005A5F7A"/>
    <w:rsid w:val="005A6788"/>
    <w:rsid w:val="005A7892"/>
    <w:rsid w:val="005B1B16"/>
    <w:rsid w:val="005B283A"/>
    <w:rsid w:val="005B37C1"/>
    <w:rsid w:val="005B5FFD"/>
    <w:rsid w:val="005B632A"/>
    <w:rsid w:val="005B747A"/>
    <w:rsid w:val="005C26B5"/>
    <w:rsid w:val="005C4CC3"/>
    <w:rsid w:val="005D3736"/>
    <w:rsid w:val="005D3D8D"/>
    <w:rsid w:val="005D44A4"/>
    <w:rsid w:val="005D4B09"/>
    <w:rsid w:val="005D5FF4"/>
    <w:rsid w:val="005E2052"/>
    <w:rsid w:val="005E2111"/>
    <w:rsid w:val="005E4C62"/>
    <w:rsid w:val="005E58B9"/>
    <w:rsid w:val="005F1587"/>
    <w:rsid w:val="005F3035"/>
    <w:rsid w:val="005F373A"/>
    <w:rsid w:val="005F74F4"/>
    <w:rsid w:val="005F7ABB"/>
    <w:rsid w:val="005F7EAA"/>
    <w:rsid w:val="00600524"/>
    <w:rsid w:val="00600729"/>
    <w:rsid w:val="00604E5C"/>
    <w:rsid w:val="0060529D"/>
    <w:rsid w:val="006059ED"/>
    <w:rsid w:val="00606050"/>
    <w:rsid w:val="00607A62"/>
    <w:rsid w:val="00607C33"/>
    <w:rsid w:val="006101B5"/>
    <w:rsid w:val="0061361F"/>
    <w:rsid w:val="00615829"/>
    <w:rsid w:val="00615889"/>
    <w:rsid w:val="00617B95"/>
    <w:rsid w:val="0062050D"/>
    <w:rsid w:val="006218C3"/>
    <w:rsid w:val="00623B8A"/>
    <w:rsid w:val="0062458C"/>
    <w:rsid w:val="006301E8"/>
    <w:rsid w:val="006351C5"/>
    <w:rsid w:val="006365E8"/>
    <w:rsid w:val="00636E69"/>
    <w:rsid w:val="006400AB"/>
    <w:rsid w:val="0064023C"/>
    <w:rsid w:val="00640B01"/>
    <w:rsid w:val="0064138C"/>
    <w:rsid w:val="00642A8D"/>
    <w:rsid w:val="0064433A"/>
    <w:rsid w:val="00644493"/>
    <w:rsid w:val="00644EF4"/>
    <w:rsid w:val="00654E05"/>
    <w:rsid w:val="006554D9"/>
    <w:rsid w:val="00657519"/>
    <w:rsid w:val="00661FC5"/>
    <w:rsid w:val="00662549"/>
    <w:rsid w:val="00663B0C"/>
    <w:rsid w:val="0066736A"/>
    <w:rsid w:val="00667D40"/>
    <w:rsid w:val="00670158"/>
    <w:rsid w:val="00671222"/>
    <w:rsid w:val="00673E3E"/>
    <w:rsid w:val="00674E13"/>
    <w:rsid w:val="00677FCA"/>
    <w:rsid w:val="006808B3"/>
    <w:rsid w:val="00680D8E"/>
    <w:rsid w:val="00684759"/>
    <w:rsid w:val="00684AF1"/>
    <w:rsid w:val="00687545"/>
    <w:rsid w:val="006878E9"/>
    <w:rsid w:val="00687AD1"/>
    <w:rsid w:val="00692249"/>
    <w:rsid w:val="00692A37"/>
    <w:rsid w:val="006940F9"/>
    <w:rsid w:val="00695D65"/>
    <w:rsid w:val="00697381"/>
    <w:rsid w:val="006A0C79"/>
    <w:rsid w:val="006A165F"/>
    <w:rsid w:val="006A1866"/>
    <w:rsid w:val="006A18E9"/>
    <w:rsid w:val="006A3618"/>
    <w:rsid w:val="006B016A"/>
    <w:rsid w:val="006B18AE"/>
    <w:rsid w:val="006B2B76"/>
    <w:rsid w:val="006B40DE"/>
    <w:rsid w:val="006B6B2F"/>
    <w:rsid w:val="006C00E3"/>
    <w:rsid w:val="006C25E7"/>
    <w:rsid w:val="006C414F"/>
    <w:rsid w:val="006C5C27"/>
    <w:rsid w:val="006C68DB"/>
    <w:rsid w:val="006D0740"/>
    <w:rsid w:val="006D09B7"/>
    <w:rsid w:val="006D0BEC"/>
    <w:rsid w:val="006D17DE"/>
    <w:rsid w:val="006D1D9F"/>
    <w:rsid w:val="006D23F1"/>
    <w:rsid w:val="006D2DD2"/>
    <w:rsid w:val="006D59BF"/>
    <w:rsid w:val="006D789C"/>
    <w:rsid w:val="006E1F77"/>
    <w:rsid w:val="006E3591"/>
    <w:rsid w:val="006E683C"/>
    <w:rsid w:val="006E720F"/>
    <w:rsid w:val="006F1539"/>
    <w:rsid w:val="006F1DA6"/>
    <w:rsid w:val="006F2A81"/>
    <w:rsid w:val="006F409D"/>
    <w:rsid w:val="006F4695"/>
    <w:rsid w:val="006F54F1"/>
    <w:rsid w:val="006F7601"/>
    <w:rsid w:val="006F79BD"/>
    <w:rsid w:val="007008BC"/>
    <w:rsid w:val="007036D8"/>
    <w:rsid w:val="0070375D"/>
    <w:rsid w:val="0070686D"/>
    <w:rsid w:val="00707564"/>
    <w:rsid w:val="007076E1"/>
    <w:rsid w:val="00710083"/>
    <w:rsid w:val="0071247E"/>
    <w:rsid w:val="00714EFA"/>
    <w:rsid w:val="00720A20"/>
    <w:rsid w:val="00720EF2"/>
    <w:rsid w:val="00723F4B"/>
    <w:rsid w:val="00726499"/>
    <w:rsid w:val="007275D3"/>
    <w:rsid w:val="00732F36"/>
    <w:rsid w:val="007333D1"/>
    <w:rsid w:val="00734021"/>
    <w:rsid w:val="00734B24"/>
    <w:rsid w:val="007370BE"/>
    <w:rsid w:val="00737C20"/>
    <w:rsid w:val="0074053C"/>
    <w:rsid w:val="0074168E"/>
    <w:rsid w:val="007436C0"/>
    <w:rsid w:val="00743CD3"/>
    <w:rsid w:val="007459CB"/>
    <w:rsid w:val="00745CA8"/>
    <w:rsid w:val="007512C9"/>
    <w:rsid w:val="00751389"/>
    <w:rsid w:val="00755092"/>
    <w:rsid w:val="0075569C"/>
    <w:rsid w:val="00755BB2"/>
    <w:rsid w:val="007563D6"/>
    <w:rsid w:val="007703DE"/>
    <w:rsid w:val="00771E44"/>
    <w:rsid w:val="00772385"/>
    <w:rsid w:val="007725E8"/>
    <w:rsid w:val="007763FC"/>
    <w:rsid w:val="00780063"/>
    <w:rsid w:val="00780CB4"/>
    <w:rsid w:val="007812C9"/>
    <w:rsid w:val="00782775"/>
    <w:rsid w:val="00783FD0"/>
    <w:rsid w:val="00784E76"/>
    <w:rsid w:val="00785624"/>
    <w:rsid w:val="0079094F"/>
    <w:rsid w:val="00794D31"/>
    <w:rsid w:val="00796054"/>
    <w:rsid w:val="007A18A3"/>
    <w:rsid w:val="007A2FA3"/>
    <w:rsid w:val="007A3942"/>
    <w:rsid w:val="007A4593"/>
    <w:rsid w:val="007A7788"/>
    <w:rsid w:val="007B004B"/>
    <w:rsid w:val="007B236D"/>
    <w:rsid w:val="007B2D43"/>
    <w:rsid w:val="007B3879"/>
    <w:rsid w:val="007B447C"/>
    <w:rsid w:val="007B4A4F"/>
    <w:rsid w:val="007B62D6"/>
    <w:rsid w:val="007C0307"/>
    <w:rsid w:val="007C2752"/>
    <w:rsid w:val="007C5937"/>
    <w:rsid w:val="007C6AC4"/>
    <w:rsid w:val="007D0BA5"/>
    <w:rsid w:val="007D2358"/>
    <w:rsid w:val="007D2EEA"/>
    <w:rsid w:val="007D3232"/>
    <w:rsid w:val="007D439F"/>
    <w:rsid w:val="007D7D3D"/>
    <w:rsid w:val="007E021F"/>
    <w:rsid w:val="007E08B0"/>
    <w:rsid w:val="007E46BC"/>
    <w:rsid w:val="007E651D"/>
    <w:rsid w:val="007F0701"/>
    <w:rsid w:val="007F083D"/>
    <w:rsid w:val="007F27F0"/>
    <w:rsid w:val="007F2AC9"/>
    <w:rsid w:val="00801DD5"/>
    <w:rsid w:val="0080349D"/>
    <w:rsid w:val="00804739"/>
    <w:rsid w:val="0080631D"/>
    <w:rsid w:val="008101A7"/>
    <w:rsid w:val="00810CEB"/>
    <w:rsid w:val="00811205"/>
    <w:rsid w:val="00811AAC"/>
    <w:rsid w:val="00812233"/>
    <w:rsid w:val="00812678"/>
    <w:rsid w:val="00813C39"/>
    <w:rsid w:val="00814D79"/>
    <w:rsid w:val="00814F52"/>
    <w:rsid w:val="0081557B"/>
    <w:rsid w:val="00815E14"/>
    <w:rsid w:val="0082120D"/>
    <w:rsid w:val="00822566"/>
    <w:rsid w:val="00822BB3"/>
    <w:rsid w:val="00830EA6"/>
    <w:rsid w:val="008363DB"/>
    <w:rsid w:val="0083681E"/>
    <w:rsid w:val="00841E8B"/>
    <w:rsid w:val="00842494"/>
    <w:rsid w:val="008425CF"/>
    <w:rsid w:val="008445CE"/>
    <w:rsid w:val="00851689"/>
    <w:rsid w:val="00851F75"/>
    <w:rsid w:val="00854581"/>
    <w:rsid w:val="0085662C"/>
    <w:rsid w:val="0085699F"/>
    <w:rsid w:val="0085707A"/>
    <w:rsid w:val="008636BD"/>
    <w:rsid w:val="00865600"/>
    <w:rsid w:val="00865A2B"/>
    <w:rsid w:val="00865D96"/>
    <w:rsid w:val="0086696F"/>
    <w:rsid w:val="00867783"/>
    <w:rsid w:val="008703BC"/>
    <w:rsid w:val="008707A3"/>
    <w:rsid w:val="008724A4"/>
    <w:rsid w:val="00872BD3"/>
    <w:rsid w:val="008744A4"/>
    <w:rsid w:val="00874B53"/>
    <w:rsid w:val="008751C2"/>
    <w:rsid w:val="00876419"/>
    <w:rsid w:val="00876825"/>
    <w:rsid w:val="00883A16"/>
    <w:rsid w:val="00885397"/>
    <w:rsid w:val="00886FC9"/>
    <w:rsid w:val="00887D36"/>
    <w:rsid w:val="00890564"/>
    <w:rsid w:val="00890D8A"/>
    <w:rsid w:val="008941A9"/>
    <w:rsid w:val="00894452"/>
    <w:rsid w:val="0089533E"/>
    <w:rsid w:val="00896203"/>
    <w:rsid w:val="008968F3"/>
    <w:rsid w:val="008A0269"/>
    <w:rsid w:val="008A2383"/>
    <w:rsid w:val="008A24CC"/>
    <w:rsid w:val="008A2AD3"/>
    <w:rsid w:val="008A3920"/>
    <w:rsid w:val="008A4F26"/>
    <w:rsid w:val="008A5367"/>
    <w:rsid w:val="008A5C25"/>
    <w:rsid w:val="008A60CE"/>
    <w:rsid w:val="008A6B96"/>
    <w:rsid w:val="008A7475"/>
    <w:rsid w:val="008A74E0"/>
    <w:rsid w:val="008B38D0"/>
    <w:rsid w:val="008B399E"/>
    <w:rsid w:val="008B3E85"/>
    <w:rsid w:val="008B70B9"/>
    <w:rsid w:val="008B73C7"/>
    <w:rsid w:val="008B7DC7"/>
    <w:rsid w:val="008C0B4B"/>
    <w:rsid w:val="008C282E"/>
    <w:rsid w:val="008C474A"/>
    <w:rsid w:val="008D2155"/>
    <w:rsid w:val="008D2352"/>
    <w:rsid w:val="008D27E3"/>
    <w:rsid w:val="008D3A7C"/>
    <w:rsid w:val="008D41C1"/>
    <w:rsid w:val="008D5192"/>
    <w:rsid w:val="008E2086"/>
    <w:rsid w:val="008E2E6E"/>
    <w:rsid w:val="008E3486"/>
    <w:rsid w:val="008E361D"/>
    <w:rsid w:val="008E3A57"/>
    <w:rsid w:val="008E529B"/>
    <w:rsid w:val="008E727F"/>
    <w:rsid w:val="008F247B"/>
    <w:rsid w:val="008F45A8"/>
    <w:rsid w:val="008F5365"/>
    <w:rsid w:val="008F593A"/>
    <w:rsid w:val="008F698E"/>
    <w:rsid w:val="008F708D"/>
    <w:rsid w:val="008F7215"/>
    <w:rsid w:val="008F7D1F"/>
    <w:rsid w:val="00900599"/>
    <w:rsid w:val="009012DD"/>
    <w:rsid w:val="00901BDE"/>
    <w:rsid w:val="00901F1B"/>
    <w:rsid w:val="00903D76"/>
    <w:rsid w:val="00904184"/>
    <w:rsid w:val="00905299"/>
    <w:rsid w:val="00905843"/>
    <w:rsid w:val="00907FDE"/>
    <w:rsid w:val="009118EA"/>
    <w:rsid w:val="00911927"/>
    <w:rsid w:val="00911A0B"/>
    <w:rsid w:val="00911CCF"/>
    <w:rsid w:val="00913F73"/>
    <w:rsid w:val="009155CF"/>
    <w:rsid w:val="00916223"/>
    <w:rsid w:val="00920464"/>
    <w:rsid w:val="0092051D"/>
    <w:rsid w:val="009220FF"/>
    <w:rsid w:val="00922EC6"/>
    <w:rsid w:val="00925D80"/>
    <w:rsid w:val="009303CA"/>
    <w:rsid w:val="00930F12"/>
    <w:rsid w:val="0093337D"/>
    <w:rsid w:val="00933EA5"/>
    <w:rsid w:val="00934A8D"/>
    <w:rsid w:val="00936BA9"/>
    <w:rsid w:val="00940318"/>
    <w:rsid w:val="00941D09"/>
    <w:rsid w:val="00942426"/>
    <w:rsid w:val="00942956"/>
    <w:rsid w:val="00942F4F"/>
    <w:rsid w:val="00943732"/>
    <w:rsid w:val="00944848"/>
    <w:rsid w:val="00944B71"/>
    <w:rsid w:val="00950559"/>
    <w:rsid w:val="00950B04"/>
    <w:rsid w:val="009517ED"/>
    <w:rsid w:val="009523D4"/>
    <w:rsid w:val="00952D05"/>
    <w:rsid w:val="00953B4A"/>
    <w:rsid w:val="009548BA"/>
    <w:rsid w:val="00963401"/>
    <w:rsid w:val="00963BE1"/>
    <w:rsid w:val="0096468A"/>
    <w:rsid w:val="00970199"/>
    <w:rsid w:val="00972678"/>
    <w:rsid w:val="0097387C"/>
    <w:rsid w:val="00974C99"/>
    <w:rsid w:val="009754E9"/>
    <w:rsid w:val="00975D0E"/>
    <w:rsid w:val="00975E3D"/>
    <w:rsid w:val="009769D1"/>
    <w:rsid w:val="009775F3"/>
    <w:rsid w:val="00977AC2"/>
    <w:rsid w:val="009803CD"/>
    <w:rsid w:val="009816FC"/>
    <w:rsid w:val="00986549"/>
    <w:rsid w:val="00987013"/>
    <w:rsid w:val="00987293"/>
    <w:rsid w:val="00990B20"/>
    <w:rsid w:val="009914C8"/>
    <w:rsid w:val="00991CBF"/>
    <w:rsid w:val="0099363C"/>
    <w:rsid w:val="00994199"/>
    <w:rsid w:val="009965A1"/>
    <w:rsid w:val="009978CF"/>
    <w:rsid w:val="009A0813"/>
    <w:rsid w:val="009A138B"/>
    <w:rsid w:val="009A21D4"/>
    <w:rsid w:val="009A27AE"/>
    <w:rsid w:val="009A5E6A"/>
    <w:rsid w:val="009B2992"/>
    <w:rsid w:val="009B6457"/>
    <w:rsid w:val="009B64F5"/>
    <w:rsid w:val="009B730C"/>
    <w:rsid w:val="009D2625"/>
    <w:rsid w:val="009D35EB"/>
    <w:rsid w:val="009D53A4"/>
    <w:rsid w:val="009D5D7F"/>
    <w:rsid w:val="009D6B45"/>
    <w:rsid w:val="009E02F1"/>
    <w:rsid w:val="009E1ED0"/>
    <w:rsid w:val="009E439D"/>
    <w:rsid w:val="009E7C6D"/>
    <w:rsid w:val="009F07EA"/>
    <w:rsid w:val="009F08E1"/>
    <w:rsid w:val="009F30B6"/>
    <w:rsid w:val="009F3843"/>
    <w:rsid w:val="009F3976"/>
    <w:rsid w:val="009F3C80"/>
    <w:rsid w:val="009F4CCD"/>
    <w:rsid w:val="009F533A"/>
    <w:rsid w:val="009F79EC"/>
    <w:rsid w:val="00A00EF8"/>
    <w:rsid w:val="00A04E0F"/>
    <w:rsid w:val="00A10B62"/>
    <w:rsid w:val="00A11E75"/>
    <w:rsid w:val="00A127EF"/>
    <w:rsid w:val="00A12AD5"/>
    <w:rsid w:val="00A145E8"/>
    <w:rsid w:val="00A16AED"/>
    <w:rsid w:val="00A20556"/>
    <w:rsid w:val="00A2215A"/>
    <w:rsid w:val="00A23CC1"/>
    <w:rsid w:val="00A25E24"/>
    <w:rsid w:val="00A26C9E"/>
    <w:rsid w:val="00A30072"/>
    <w:rsid w:val="00A320FB"/>
    <w:rsid w:val="00A32160"/>
    <w:rsid w:val="00A33830"/>
    <w:rsid w:val="00A35AA5"/>
    <w:rsid w:val="00A371B3"/>
    <w:rsid w:val="00A375B9"/>
    <w:rsid w:val="00A4025F"/>
    <w:rsid w:val="00A41290"/>
    <w:rsid w:val="00A4435F"/>
    <w:rsid w:val="00A45348"/>
    <w:rsid w:val="00A4768C"/>
    <w:rsid w:val="00A4770D"/>
    <w:rsid w:val="00A51CE5"/>
    <w:rsid w:val="00A54C3C"/>
    <w:rsid w:val="00A563EC"/>
    <w:rsid w:val="00A564AD"/>
    <w:rsid w:val="00A579DB"/>
    <w:rsid w:val="00A57BA8"/>
    <w:rsid w:val="00A57DC5"/>
    <w:rsid w:val="00A641AE"/>
    <w:rsid w:val="00A64555"/>
    <w:rsid w:val="00A64DB4"/>
    <w:rsid w:val="00A677DF"/>
    <w:rsid w:val="00A70371"/>
    <w:rsid w:val="00A705C1"/>
    <w:rsid w:val="00A70809"/>
    <w:rsid w:val="00A70D86"/>
    <w:rsid w:val="00A73209"/>
    <w:rsid w:val="00A7423A"/>
    <w:rsid w:val="00A77820"/>
    <w:rsid w:val="00A82E37"/>
    <w:rsid w:val="00A8517E"/>
    <w:rsid w:val="00A857C1"/>
    <w:rsid w:val="00A91191"/>
    <w:rsid w:val="00A91F2F"/>
    <w:rsid w:val="00A92E8B"/>
    <w:rsid w:val="00A94B98"/>
    <w:rsid w:val="00A96775"/>
    <w:rsid w:val="00AA016F"/>
    <w:rsid w:val="00AA3CC2"/>
    <w:rsid w:val="00AA3D50"/>
    <w:rsid w:val="00AA466D"/>
    <w:rsid w:val="00AA57FB"/>
    <w:rsid w:val="00AA5CC0"/>
    <w:rsid w:val="00AA63A2"/>
    <w:rsid w:val="00AB4900"/>
    <w:rsid w:val="00AC63CA"/>
    <w:rsid w:val="00AC7026"/>
    <w:rsid w:val="00AC7BDA"/>
    <w:rsid w:val="00AD2774"/>
    <w:rsid w:val="00AD34BC"/>
    <w:rsid w:val="00AD4930"/>
    <w:rsid w:val="00AD4CD0"/>
    <w:rsid w:val="00AD5424"/>
    <w:rsid w:val="00AD6918"/>
    <w:rsid w:val="00AD722D"/>
    <w:rsid w:val="00AD7778"/>
    <w:rsid w:val="00AE0C45"/>
    <w:rsid w:val="00AE3846"/>
    <w:rsid w:val="00AE57E8"/>
    <w:rsid w:val="00AE7A62"/>
    <w:rsid w:val="00AF08F6"/>
    <w:rsid w:val="00AF1F89"/>
    <w:rsid w:val="00AF5512"/>
    <w:rsid w:val="00AF5563"/>
    <w:rsid w:val="00AF5877"/>
    <w:rsid w:val="00AF7B39"/>
    <w:rsid w:val="00B02952"/>
    <w:rsid w:val="00B04E2C"/>
    <w:rsid w:val="00B057F2"/>
    <w:rsid w:val="00B10A45"/>
    <w:rsid w:val="00B121FC"/>
    <w:rsid w:val="00B12F71"/>
    <w:rsid w:val="00B169A1"/>
    <w:rsid w:val="00B1792F"/>
    <w:rsid w:val="00B20D0D"/>
    <w:rsid w:val="00B22205"/>
    <w:rsid w:val="00B22775"/>
    <w:rsid w:val="00B2441D"/>
    <w:rsid w:val="00B25ADD"/>
    <w:rsid w:val="00B26EEC"/>
    <w:rsid w:val="00B279BE"/>
    <w:rsid w:val="00B30924"/>
    <w:rsid w:val="00B315BB"/>
    <w:rsid w:val="00B33BAC"/>
    <w:rsid w:val="00B340AA"/>
    <w:rsid w:val="00B37FBD"/>
    <w:rsid w:val="00B401A2"/>
    <w:rsid w:val="00B42138"/>
    <w:rsid w:val="00B42D67"/>
    <w:rsid w:val="00B444A0"/>
    <w:rsid w:val="00B44F37"/>
    <w:rsid w:val="00B46299"/>
    <w:rsid w:val="00B46A6C"/>
    <w:rsid w:val="00B46D64"/>
    <w:rsid w:val="00B512FF"/>
    <w:rsid w:val="00B55926"/>
    <w:rsid w:val="00B55CAD"/>
    <w:rsid w:val="00B56714"/>
    <w:rsid w:val="00B603A3"/>
    <w:rsid w:val="00B606C4"/>
    <w:rsid w:val="00B60AEB"/>
    <w:rsid w:val="00B6129D"/>
    <w:rsid w:val="00B62B31"/>
    <w:rsid w:val="00B65222"/>
    <w:rsid w:val="00B65C54"/>
    <w:rsid w:val="00B70625"/>
    <w:rsid w:val="00B71835"/>
    <w:rsid w:val="00B72BB3"/>
    <w:rsid w:val="00B72E27"/>
    <w:rsid w:val="00B7393D"/>
    <w:rsid w:val="00B743D8"/>
    <w:rsid w:val="00B77E43"/>
    <w:rsid w:val="00B83BDF"/>
    <w:rsid w:val="00B84E45"/>
    <w:rsid w:val="00B85044"/>
    <w:rsid w:val="00B850BA"/>
    <w:rsid w:val="00B87F8C"/>
    <w:rsid w:val="00B909B5"/>
    <w:rsid w:val="00B93CBB"/>
    <w:rsid w:val="00B9539E"/>
    <w:rsid w:val="00B95E08"/>
    <w:rsid w:val="00BA2AE8"/>
    <w:rsid w:val="00BA3321"/>
    <w:rsid w:val="00BA52E7"/>
    <w:rsid w:val="00BA749B"/>
    <w:rsid w:val="00BB2FF7"/>
    <w:rsid w:val="00BB3644"/>
    <w:rsid w:val="00BB3657"/>
    <w:rsid w:val="00BB59BB"/>
    <w:rsid w:val="00BB609E"/>
    <w:rsid w:val="00BB675E"/>
    <w:rsid w:val="00BB743A"/>
    <w:rsid w:val="00BC0DDD"/>
    <w:rsid w:val="00BC15B0"/>
    <w:rsid w:val="00BC301B"/>
    <w:rsid w:val="00BC4F1E"/>
    <w:rsid w:val="00BC73C6"/>
    <w:rsid w:val="00BC77D0"/>
    <w:rsid w:val="00BC7C84"/>
    <w:rsid w:val="00BD236A"/>
    <w:rsid w:val="00BD5F5A"/>
    <w:rsid w:val="00BD7667"/>
    <w:rsid w:val="00BE139A"/>
    <w:rsid w:val="00BE17B7"/>
    <w:rsid w:val="00BE2228"/>
    <w:rsid w:val="00BE2645"/>
    <w:rsid w:val="00BE60B5"/>
    <w:rsid w:val="00BE70FE"/>
    <w:rsid w:val="00BF122A"/>
    <w:rsid w:val="00BF177C"/>
    <w:rsid w:val="00BF2F77"/>
    <w:rsid w:val="00BF3DA5"/>
    <w:rsid w:val="00BF5B7F"/>
    <w:rsid w:val="00BF7165"/>
    <w:rsid w:val="00BF7255"/>
    <w:rsid w:val="00C00139"/>
    <w:rsid w:val="00C004A4"/>
    <w:rsid w:val="00C04C99"/>
    <w:rsid w:val="00C06D0F"/>
    <w:rsid w:val="00C07E92"/>
    <w:rsid w:val="00C11653"/>
    <w:rsid w:val="00C13464"/>
    <w:rsid w:val="00C14547"/>
    <w:rsid w:val="00C15F2A"/>
    <w:rsid w:val="00C168AA"/>
    <w:rsid w:val="00C175D6"/>
    <w:rsid w:val="00C23633"/>
    <w:rsid w:val="00C240A7"/>
    <w:rsid w:val="00C253B7"/>
    <w:rsid w:val="00C25671"/>
    <w:rsid w:val="00C26610"/>
    <w:rsid w:val="00C33640"/>
    <w:rsid w:val="00C40065"/>
    <w:rsid w:val="00C41302"/>
    <w:rsid w:val="00C41FEB"/>
    <w:rsid w:val="00C4252C"/>
    <w:rsid w:val="00C45D0B"/>
    <w:rsid w:val="00C46D57"/>
    <w:rsid w:val="00C475B4"/>
    <w:rsid w:val="00C52D68"/>
    <w:rsid w:val="00C55666"/>
    <w:rsid w:val="00C55B14"/>
    <w:rsid w:val="00C619D2"/>
    <w:rsid w:val="00C632ED"/>
    <w:rsid w:val="00C632EF"/>
    <w:rsid w:val="00C63AC3"/>
    <w:rsid w:val="00C70EE0"/>
    <w:rsid w:val="00C7435C"/>
    <w:rsid w:val="00C764B7"/>
    <w:rsid w:val="00C76611"/>
    <w:rsid w:val="00C8234B"/>
    <w:rsid w:val="00C82A49"/>
    <w:rsid w:val="00C82E08"/>
    <w:rsid w:val="00C85A4A"/>
    <w:rsid w:val="00C85C38"/>
    <w:rsid w:val="00C870F2"/>
    <w:rsid w:val="00C903F2"/>
    <w:rsid w:val="00C91A53"/>
    <w:rsid w:val="00C926DA"/>
    <w:rsid w:val="00C939E3"/>
    <w:rsid w:val="00C95946"/>
    <w:rsid w:val="00C95D67"/>
    <w:rsid w:val="00C96D20"/>
    <w:rsid w:val="00C96F13"/>
    <w:rsid w:val="00C9703F"/>
    <w:rsid w:val="00CA13C9"/>
    <w:rsid w:val="00CA1B16"/>
    <w:rsid w:val="00CA6E4A"/>
    <w:rsid w:val="00CA7884"/>
    <w:rsid w:val="00CA797E"/>
    <w:rsid w:val="00CB0390"/>
    <w:rsid w:val="00CB2CFA"/>
    <w:rsid w:val="00CB3C8E"/>
    <w:rsid w:val="00CB3DBB"/>
    <w:rsid w:val="00CB432B"/>
    <w:rsid w:val="00CB4563"/>
    <w:rsid w:val="00CB4EB1"/>
    <w:rsid w:val="00CB58DE"/>
    <w:rsid w:val="00CB6A3B"/>
    <w:rsid w:val="00CC0AEB"/>
    <w:rsid w:val="00CC116D"/>
    <w:rsid w:val="00CC26A6"/>
    <w:rsid w:val="00CC6004"/>
    <w:rsid w:val="00CC6CD7"/>
    <w:rsid w:val="00CD05C4"/>
    <w:rsid w:val="00CD07B2"/>
    <w:rsid w:val="00CD1585"/>
    <w:rsid w:val="00CD2AF1"/>
    <w:rsid w:val="00CD33ED"/>
    <w:rsid w:val="00CE10D9"/>
    <w:rsid w:val="00CE1A5E"/>
    <w:rsid w:val="00CE2ED9"/>
    <w:rsid w:val="00CE3208"/>
    <w:rsid w:val="00CE3CC8"/>
    <w:rsid w:val="00CE42F0"/>
    <w:rsid w:val="00CE46A4"/>
    <w:rsid w:val="00CE53F5"/>
    <w:rsid w:val="00CE5758"/>
    <w:rsid w:val="00CF0729"/>
    <w:rsid w:val="00CF7464"/>
    <w:rsid w:val="00D049C3"/>
    <w:rsid w:val="00D04B91"/>
    <w:rsid w:val="00D0532B"/>
    <w:rsid w:val="00D06157"/>
    <w:rsid w:val="00D07601"/>
    <w:rsid w:val="00D14A94"/>
    <w:rsid w:val="00D170D6"/>
    <w:rsid w:val="00D17DC0"/>
    <w:rsid w:val="00D21E9C"/>
    <w:rsid w:val="00D22E8F"/>
    <w:rsid w:val="00D244E4"/>
    <w:rsid w:val="00D25B7E"/>
    <w:rsid w:val="00D31432"/>
    <w:rsid w:val="00D3153B"/>
    <w:rsid w:val="00D34B08"/>
    <w:rsid w:val="00D35200"/>
    <w:rsid w:val="00D35F2E"/>
    <w:rsid w:val="00D36079"/>
    <w:rsid w:val="00D3780D"/>
    <w:rsid w:val="00D37BE8"/>
    <w:rsid w:val="00D37F53"/>
    <w:rsid w:val="00D408AC"/>
    <w:rsid w:val="00D42BBE"/>
    <w:rsid w:val="00D450DD"/>
    <w:rsid w:val="00D4653A"/>
    <w:rsid w:val="00D47889"/>
    <w:rsid w:val="00D558F6"/>
    <w:rsid w:val="00D6156B"/>
    <w:rsid w:val="00D640E6"/>
    <w:rsid w:val="00D64418"/>
    <w:rsid w:val="00D651DC"/>
    <w:rsid w:val="00D652B0"/>
    <w:rsid w:val="00D65D35"/>
    <w:rsid w:val="00D704BD"/>
    <w:rsid w:val="00D74043"/>
    <w:rsid w:val="00D74D9E"/>
    <w:rsid w:val="00D75C46"/>
    <w:rsid w:val="00D75CFA"/>
    <w:rsid w:val="00D80ED3"/>
    <w:rsid w:val="00D8105A"/>
    <w:rsid w:val="00D842C8"/>
    <w:rsid w:val="00D85D80"/>
    <w:rsid w:val="00D85E0F"/>
    <w:rsid w:val="00D867AA"/>
    <w:rsid w:val="00D87E90"/>
    <w:rsid w:val="00D90FEF"/>
    <w:rsid w:val="00D916F0"/>
    <w:rsid w:val="00D93ADD"/>
    <w:rsid w:val="00D96AAC"/>
    <w:rsid w:val="00D973FA"/>
    <w:rsid w:val="00D974C0"/>
    <w:rsid w:val="00D978E8"/>
    <w:rsid w:val="00DA2510"/>
    <w:rsid w:val="00DA37DC"/>
    <w:rsid w:val="00DA37F1"/>
    <w:rsid w:val="00DA39F5"/>
    <w:rsid w:val="00DA5DED"/>
    <w:rsid w:val="00DA5F15"/>
    <w:rsid w:val="00DB0B93"/>
    <w:rsid w:val="00DB1295"/>
    <w:rsid w:val="00DB1467"/>
    <w:rsid w:val="00DB305B"/>
    <w:rsid w:val="00DB3377"/>
    <w:rsid w:val="00DB3549"/>
    <w:rsid w:val="00DB4635"/>
    <w:rsid w:val="00DB755D"/>
    <w:rsid w:val="00DC1487"/>
    <w:rsid w:val="00DC2DCA"/>
    <w:rsid w:val="00DC43A6"/>
    <w:rsid w:val="00DC69D0"/>
    <w:rsid w:val="00DC7166"/>
    <w:rsid w:val="00DD2AB0"/>
    <w:rsid w:val="00DD4A13"/>
    <w:rsid w:val="00DD5EDB"/>
    <w:rsid w:val="00DD6FD7"/>
    <w:rsid w:val="00DE1014"/>
    <w:rsid w:val="00DE529D"/>
    <w:rsid w:val="00DE6491"/>
    <w:rsid w:val="00DE6EDD"/>
    <w:rsid w:val="00DF010A"/>
    <w:rsid w:val="00DF1F5A"/>
    <w:rsid w:val="00DF2FD3"/>
    <w:rsid w:val="00DF3295"/>
    <w:rsid w:val="00DF3791"/>
    <w:rsid w:val="00E000C6"/>
    <w:rsid w:val="00E0095B"/>
    <w:rsid w:val="00E02004"/>
    <w:rsid w:val="00E0471B"/>
    <w:rsid w:val="00E049DF"/>
    <w:rsid w:val="00E04FF5"/>
    <w:rsid w:val="00E0567C"/>
    <w:rsid w:val="00E06E3F"/>
    <w:rsid w:val="00E11675"/>
    <w:rsid w:val="00E11B52"/>
    <w:rsid w:val="00E11F55"/>
    <w:rsid w:val="00E12A17"/>
    <w:rsid w:val="00E12D73"/>
    <w:rsid w:val="00E14284"/>
    <w:rsid w:val="00E164A1"/>
    <w:rsid w:val="00E20953"/>
    <w:rsid w:val="00E2206B"/>
    <w:rsid w:val="00E25100"/>
    <w:rsid w:val="00E26BC4"/>
    <w:rsid w:val="00E31079"/>
    <w:rsid w:val="00E3166C"/>
    <w:rsid w:val="00E32186"/>
    <w:rsid w:val="00E35B69"/>
    <w:rsid w:val="00E40515"/>
    <w:rsid w:val="00E407C9"/>
    <w:rsid w:val="00E40A65"/>
    <w:rsid w:val="00E40B7E"/>
    <w:rsid w:val="00E42657"/>
    <w:rsid w:val="00E42E00"/>
    <w:rsid w:val="00E43D9B"/>
    <w:rsid w:val="00E44176"/>
    <w:rsid w:val="00E4538E"/>
    <w:rsid w:val="00E46450"/>
    <w:rsid w:val="00E50774"/>
    <w:rsid w:val="00E509F0"/>
    <w:rsid w:val="00E52463"/>
    <w:rsid w:val="00E52A5C"/>
    <w:rsid w:val="00E54B3C"/>
    <w:rsid w:val="00E56783"/>
    <w:rsid w:val="00E568EA"/>
    <w:rsid w:val="00E57A7C"/>
    <w:rsid w:val="00E57B6D"/>
    <w:rsid w:val="00E60DA1"/>
    <w:rsid w:val="00E62ACB"/>
    <w:rsid w:val="00E62DFB"/>
    <w:rsid w:val="00E65150"/>
    <w:rsid w:val="00E76694"/>
    <w:rsid w:val="00E81FFA"/>
    <w:rsid w:val="00E832F5"/>
    <w:rsid w:val="00E92E2F"/>
    <w:rsid w:val="00E93ED7"/>
    <w:rsid w:val="00E948C5"/>
    <w:rsid w:val="00E9629C"/>
    <w:rsid w:val="00E962AA"/>
    <w:rsid w:val="00E97626"/>
    <w:rsid w:val="00E97B38"/>
    <w:rsid w:val="00EA5EDB"/>
    <w:rsid w:val="00EB1CD7"/>
    <w:rsid w:val="00EB1EED"/>
    <w:rsid w:val="00EB1EFF"/>
    <w:rsid w:val="00EB212F"/>
    <w:rsid w:val="00EB305D"/>
    <w:rsid w:val="00EC2555"/>
    <w:rsid w:val="00EC4403"/>
    <w:rsid w:val="00EC4AFC"/>
    <w:rsid w:val="00EC4C7C"/>
    <w:rsid w:val="00EC55EA"/>
    <w:rsid w:val="00ED0D67"/>
    <w:rsid w:val="00ED18B7"/>
    <w:rsid w:val="00ED4C54"/>
    <w:rsid w:val="00ED521C"/>
    <w:rsid w:val="00ED7F2C"/>
    <w:rsid w:val="00EE07F9"/>
    <w:rsid w:val="00EE3A0C"/>
    <w:rsid w:val="00EE419B"/>
    <w:rsid w:val="00EE5437"/>
    <w:rsid w:val="00EE58E7"/>
    <w:rsid w:val="00EE6191"/>
    <w:rsid w:val="00EF2FF2"/>
    <w:rsid w:val="00EF2FF3"/>
    <w:rsid w:val="00EF35C5"/>
    <w:rsid w:val="00EF479A"/>
    <w:rsid w:val="00EF7FCB"/>
    <w:rsid w:val="00F000F8"/>
    <w:rsid w:val="00F00870"/>
    <w:rsid w:val="00F01DF0"/>
    <w:rsid w:val="00F0304B"/>
    <w:rsid w:val="00F039AE"/>
    <w:rsid w:val="00F051F3"/>
    <w:rsid w:val="00F061A1"/>
    <w:rsid w:val="00F06DF8"/>
    <w:rsid w:val="00F079A7"/>
    <w:rsid w:val="00F10469"/>
    <w:rsid w:val="00F10684"/>
    <w:rsid w:val="00F11C85"/>
    <w:rsid w:val="00F12449"/>
    <w:rsid w:val="00F13118"/>
    <w:rsid w:val="00F13DCE"/>
    <w:rsid w:val="00F1452D"/>
    <w:rsid w:val="00F15239"/>
    <w:rsid w:val="00F171CD"/>
    <w:rsid w:val="00F20DBE"/>
    <w:rsid w:val="00F21F3A"/>
    <w:rsid w:val="00F25723"/>
    <w:rsid w:val="00F26F7F"/>
    <w:rsid w:val="00F2750E"/>
    <w:rsid w:val="00F323EE"/>
    <w:rsid w:val="00F37440"/>
    <w:rsid w:val="00F40C25"/>
    <w:rsid w:val="00F41112"/>
    <w:rsid w:val="00F46D5A"/>
    <w:rsid w:val="00F478B6"/>
    <w:rsid w:val="00F47BBD"/>
    <w:rsid w:val="00F567FB"/>
    <w:rsid w:val="00F57ECE"/>
    <w:rsid w:val="00F6037B"/>
    <w:rsid w:val="00F60AF0"/>
    <w:rsid w:val="00F60FB2"/>
    <w:rsid w:val="00F61AE8"/>
    <w:rsid w:val="00F62C3A"/>
    <w:rsid w:val="00F65C50"/>
    <w:rsid w:val="00F71C95"/>
    <w:rsid w:val="00F7242C"/>
    <w:rsid w:val="00F74EDE"/>
    <w:rsid w:val="00F75384"/>
    <w:rsid w:val="00F826CC"/>
    <w:rsid w:val="00F85BE7"/>
    <w:rsid w:val="00F8649F"/>
    <w:rsid w:val="00F868C5"/>
    <w:rsid w:val="00F90AFE"/>
    <w:rsid w:val="00F944C6"/>
    <w:rsid w:val="00F94B85"/>
    <w:rsid w:val="00FA0E89"/>
    <w:rsid w:val="00FA1E2A"/>
    <w:rsid w:val="00FA3A21"/>
    <w:rsid w:val="00FA583C"/>
    <w:rsid w:val="00FA6099"/>
    <w:rsid w:val="00FA67F3"/>
    <w:rsid w:val="00FA767C"/>
    <w:rsid w:val="00FA7995"/>
    <w:rsid w:val="00FB04E9"/>
    <w:rsid w:val="00FB0734"/>
    <w:rsid w:val="00FB12C3"/>
    <w:rsid w:val="00FB463B"/>
    <w:rsid w:val="00FB6676"/>
    <w:rsid w:val="00FC1386"/>
    <w:rsid w:val="00FC20AB"/>
    <w:rsid w:val="00FC2590"/>
    <w:rsid w:val="00FC4A04"/>
    <w:rsid w:val="00FC7ED6"/>
    <w:rsid w:val="00FD408D"/>
    <w:rsid w:val="00FD4E21"/>
    <w:rsid w:val="00FD7A51"/>
    <w:rsid w:val="00FE41A7"/>
    <w:rsid w:val="00FE44CC"/>
    <w:rsid w:val="00FE491B"/>
    <w:rsid w:val="00FE5DEC"/>
    <w:rsid w:val="00FE7B37"/>
    <w:rsid w:val="00FE7D5D"/>
    <w:rsid w:val="00FE7EB5"/>
    <w:rsid w:val="00FF15FB"/>
    <w:rsid w:val="00FF4B94"/>
    <w:rsid w:val="00FF4E51"/>
    <w:rsid w:val="00FF72D9"/>
    <w:rsid w:val="00FF7538"/>
    <w:rsid w:val="00FF78E0"/>
    <w:rsid w:val="017F9861"/>
    <w:rsid w:val="01B91E47"/>
    <w:rsid w:val="020A2C1C"/>
    <w:rsid w:val="021D5247"/>
    <w:rsid w:val="02236EDA"/>
    <w:rsid w:val="02793CCD"/>
    <w:rsid w:val="02A13583"/>
    <w:rsid w:val="03198506"/>
    <w:rsid w:val="0323E6E7"/>
    <w:rsid w:val="037C4243"/>
    <w:rsid w:val="03C2655E"/>
    <w:rsid w:val="042F152F"/>
    <w:rsid w:val="043EBFA5"/>
    <w:rsid w:val="043F8858"/>
    <w:rsid w:val="049AE0DA"/>
    <w:rsid w:val="04EBEF93"/>
    <w:rsid w:val="04F6FE16"/>
    <w:rsid w:val="050F8BD6"/>
    <w:rsid w:val="0515BFF8"/>
    <w:rsid w:val="05177BDC"/>
    <w:rsid w:val="0571A1FA"/>
    <w:rsid w:val="05FAC93B"/>
    <w:rsid w:val="06163D28"/>
    <w:rsid w:val="0636086C"/>
    <w:rsid w:val="0686B2B2"/>
    <w:rsid w:val="0693ED65"/>
    <w:rsid w:val="06A3453F"/>
    <w:rsid w:val="06E6713C"/>
    <w:rsid w:val="06F85F91"/>
    <w:rsid w:val="07469D27"/>
    <w:rsid w:val="074CADF0"/>
    <w:rsid w:val="07D9C9B9"/>
    <w:rsid w:val="0809B5EF"/>
    <w:rsid w:val="0830318D"/>
    <w:rsid w:val="0839EC7A"/>
    <w:rsid w:val="085C10BC"/>
    <w:rsid w:val="08B9D7B2"/>
    <w:rsid w:val="08D44757"/>
    <w:rsid w:val="091FC995"/>
    <w:rsid w:val="09640B64"/>
    <w:rsid w:val="0979CD08"/>
    <w:rsid w:val="098B0A1E"/>
    <w:rsid w:val="09966D07"/>
    <w:rsid w:val="09BED968"/>
    <w:rsid w:val="09ED0463"/>
    <w:rsid w:val="0A11AD3A"/>
    <w:rsid w:val="0A5DC3C6"/>
    <w:rsid w:val="0B9E2E28"/>
    <w:rsid w:val="0BC14065"/>
    <w:rsid w:val="0BDE2A3A"/>
    <w:rsid w:val="0C1C11A8"/>
    <w:rsid w:val="0C4041B8"/>
    <w:rsid w:val="0CF0AE60"/>
    <w:rsid w:val="0D09AE63"/>
    <w:rsid w:val="0D75F66D"/>
    <w:rsid w:val="0DA117BB"/>
    <w:rsid w:val="0E08B007"/>
    <w:rsid w:val="0E94DDA7"/>
    <w:rsid w:val="0EC5E622"/>
    <w:rsid w:val="0EDBA444"/>
    <w:rsid w:val="0EDD2635"/>
    <w:rsid w:val="0EFF1092"/>
    <w:rsid w:val="0FD51FF9"/>
    <w:rsid w:val="1066D98C"/>
    <w:rsid w:val="10B8009F"/>
    <w:rsid w:val="10D36A1B"/>
    <w:rsid w:val="111A8F97"/>
    <w:rsid w:val="11507697"/>
    <w:rsid w:val="119D6F9D"/>
    <w:rsid w:val="11DCAA36"/>
    <w:rsid w:val="12A7455F"/>
    <w:rsid w:val="12C045B5"/>
    <w:rsid w:val="12CD3800"/>
    <w:rsid w:val="12E27B6C"/>
    <w:rsid w:val="13081177"/>
    <w:rsid w:val="13551F63"/>
    <w:rsid w:val="1365C164"/>
    <w:rsid w:val="1371D033"/>
    <w:rsid w:val="13721222"/>
    <w:rsid w:val="13DD5C70"/>
    <w:rsid w:val="143DA473"/>
    <w:rsid w:val="146CBE36"/>
    <w:rsid w:val="147AD9B7"/>
    <w:rsid w:val="147F57AA"/>
    <w:rsid w:val="14F18828"/>
    <w:rsid w:val="150FC332"/>
    <w:rsid w:val="15213FA9"/>
    <w:rsid w:val="158E7260"/>
    <w:rsid w:val="159B19E1"/>
    <w:rsid w:val="15BA9297"/>
    <w:rsid w:val="15C7E2CD"/>
    <w:rsid w:val="165DD3F0"/>
    <w:rsid w:val="1680ED72"/>
    <w:rsid w:val="170369F6"/>
    <w:rsid w:val="171CE041"/>
    <w:rsid w:val="177EC785"/>
    <w:rsid w:val="1836574F"/>
    <w:rsid w:val="18C10BF1"/>
    <w:rsid w:val="190A490E"/>
    <w:rsid w:val="190BF755"/>
    <w:rsid w:val="191887C1"/>
    <w:rsid w:val="193A54E7"/>
    <w:rsid w:val="19E4CAB0"/>
    <w:rsid w:val="19FA9CF1"/>
    <w:rsid w:val="1A40D922"/>
    <w:rsid w:val="1A9E72D0"/>
    <w:rsid w:val="1B2680BA"/>
    <w:rsid w:val="1B38C78B"/>
    <w:rsid w:val="1C29A1AB"/>
    <w:rsid w:val="1C3AC2B7"/>
    <w:rsid w:val="1C3CE861"/>
    <w:rsid w:val="1CF1BB08"/>
    <w:rsid w:val="1E4DD25F"/>
    <w:rsid w:val="1E6F2205"/>
    <w:rsid w:val="1E807072"/>
    <w:rsid w:val="1ECE0E14"/>
    <w:rsid w:val="1F1D9B12"/>
    <w:rsid w:val="1F2206AC"/>
    <w:rsid w:val="1F230B94"/>
    <w:rsid w:val="1F41387D"/>
    <w:rsid w:val="1FDAF964"/>
    <w:rsid w:val="1FDDBB88"/>
    <w:rsid w:val="201427F5"/>
    <w:rsid w:val="20B6AFBE"/>
    <w:rsid w:val="20CE6AA9"/>
    <w:rsid w:val="215938FA"/>
    <w:rsid w:val="21BB435A"/>
    <w:rsid w:val="2205CFB1"/>
    <w:rsid w:val="221047F3"/>
    <w:rsid w:val="221D2BAF"/>
    <w:rsid w:val="22280728"/>
    <w:rsid w:val="226BE4F5"/>
    <w:rsid w:val="22846F63"/>
    <w:rsid w:val="232BC9C8"/>
    <w:rsid w:val="2333CFB6"/>
    <w:rsid w:val="2335CE8A"/>
    <w:rsid w:val="2344F8FF"/>
    <w:rsid w:val="23544CD9"/>
    <w:rsid w:val="2370C995"/>
    <w:rsid w:val="23A04271"/>
    <w:rsid w:val="23AB3C2B"/>
    <w:rsid w:val="23E2201B"/>
    <w:rsid w:val="23F9C194"/>
    <w:rsid w:val="24D9FBC3"/>
    <w:rsid w:val="2506A87C"/>
    <w:rsid w:val="2567D0F3"/>
    <w:rsid w:val="25970417"/>
    <w:rsid w:val="25DF3B30"/>
    <w:rsid w:val="26C592BD"/>
    <w:rsid w:val="26E36E96"/>
    <w:rsid w:val="27298DE2"/>
    <w:rsid w:val="27C60F26"/>
    <w:rsid w:val="284A71DE"/>
    <w:rsid w:val="286C03C5"/>
    <w:rsid w:val="28B93AA1"/>
    <w:rsid w:val="291BCC7C"/>
    <w:rsid w:val="29C13760"/>
    <w:rsid w:val="29D7FCF4"/>
    <w:rsid w:val="29DE7B5D"/>
    <w:rsid w:val="2A23D3D1"/>
    <w:rsid w:val="2A532698"/>
    <w:rsid w:val="2A728A38"/>
    <w:rsid w:val="2A8CF13B"/>
    <w:rsid w:val="2B21C563"/>
    <w:rsid w:val="2B83AC9C"/>
    <w:rsid w:val="2C32152F"/>
    <w:rsid w:val="2C87479C"/>
    <w:rsid w:val="2C981CE6"/>
    <w:rsid w:val="2D8815E3"/>
    <w:rsid w:val="2D968B34"/>
    <w:rsid w:val="2E1BC7C2"/>
    <w:rsid w:val="2E1F5F04"/>
    <w:rsid w:val="2E7A8949"/>
    <w:rsid w:val="2E8930BF"/>
    <w:rsid w:val="2EABAC0A"/>
    <w:rsid w:val="2F054FDA"/>
    <w:rsid w:val="2F70C817"/>
    <w:rsid w:val="30079953"/>
    <w:rsid w:val="301BA1CB"/>
    <w:rsid w:val="3023E323"/>
    <w:rsid w:val="302F4832"/>
    <w:rsid w:val="3087EFC5"/>
    <w:rsid w:val="308E233E"/>
    <w:rsid w:val="30E1ECDC"/>
    <w:rsid w:val="30E47AAF"/>
    <w:rsid w:val="3131D9ED"/>
    <w:rsid w:val="315EFE87"/>
    <w:rsid w:val="317043F5"/>
    <w:rsid w:val="31EC070A"/>
    <w:rsid w:val="31F3B180"/>
    <w:rsid w:val="32B356E3"/>
    <w:rsid w:val="32B3AEA6"/>
    <w:rsid w:val="32DE4BE0"/>
    <w:rsid w:val="33539DB9"/>
    <w:rsid w:val="33C9A9B3"/>
    <w:rsid w:val="34027D2F"/>
    <w:rsid w:val="347665BC"/>
    <w:rsid w:val="348B69D1"/>
    <w:rsid w:val="34A7E4B7"/>
    <w:rsid w:val="34B6DD11"/>
    <w:rsid w:val="352640B3"/>
    <w:rsid w:val="355E334F"/>
    <w:rsid w:val="35684E28"/>
    <w:rsid w:val="35A7C156"/>
    <w:rsid w:val="35C2BF80"/>
    <w:rsid w:val="35EBFC2B"/>
    <w:rsid w:val="35FD9197"/>
    <w:rsid w:val="3643B518"/>
    <w:rsid w:val="369AC23A"/>
    <w:rsid w:val="3730B82E"/>
    <w:rsid w:val="375AFBE6"/>
    <w:rsid w:val="377CB11C"/>
    <w:rsid w:val="37883B31"/>
    <w:rsid w:val="37A19E8B"/>
    <w:rsid w:val="38043E74"/>
    <w:rsid w:val="385E0395"/>
    <w:rsid w:val="389449AE"/>
    <w:rsid w:val="3894FD19"/>
    <w:rsid w:val="389A98CC"/>
    <w:rsid w:val="38B7FE47"/>
    <w:rsid w:val="39392344"/>
    <w:rsid w:val="3982BCFB"/>
    <w:rsid w:val="3990BE2B"/>
    <w:rsid w:val="39932F46"/>
    <w:rsid w:val="39BAAC3A"/>
    <w:rsid w:val="3A858EFC"/>
    <w:rsid w:val="3AC26FDB"/>
    <w:rsid w:val="3ACCB404"/>
    <w:rsid w:val="3AE5623B"/>
    <w:rsid w:val="3B068FA9"/>
    <w:rsid w:val="3B2DBF4D"/>
    <w:rsid w:val="3BF7B640"/>
    <w:rsid w:val="3C870E72"/>
    <w:rsid w:val="3CC073C8"/>
    <w:rsid w:val="3CD0F2F7"/>
    <w:rsid w:val="3CD20100"/>
    <w:rsid w:val="3D3D6748"/>
    <w:rsid w:val="3D563CA2"/>
    <w:rsid w:val="3D5A793E"/>
    <w:rsid w:val="3D615C67"/>
    <w:rsid w:val="3DBCBBA4"/>
    <w:rsid w:val="3DD4CB56"/>
    <w:rsid w:val="3DE33422"/>
    <w:rsid w:val="3E028F77"/>
    <w:rsid w:val="3E2062B9"/>
    <w:rsid w:val="3E21C756"/>
    <w:rsid w:val="3E770024"/>
    <w:rsid w:val="3EA24094"/>
    <w:rsid w:val="3EF46D7C"/>
    <w:rsid w:val="3F007344"/>
    <w:rsid w:val="3F1F185C"/>
    <w:rsid w:val="3F64FD40"/>
    <w:rsid w:val="3F92D408"/>
    <w:rsid w:val="3F956E93"/>
    <w:rsid w:val="4015539E"/>
    <w:rsid w:val="4077DA2C"/>
    <w:rsid w:val="40B3843A"/>
    <w:rsid w:val="40D805E1"/>
    <w:rsid w:val="4175AB57"/>
    <w:rsid w:val="41B4190D"/>
    <w:rsid w:val="421B5617"/>
    <w:rsid w:val="426691FB"/>
    <w:rsid w:val="42707195"/>
    <w:rsid w:val="427BD9D0"/>
    <w:rsid w:val="427FF0EA"/>
    <w:rsid w:val="42D69267"/>
    <w:rsid w:val="42E9FF15"/>
    <w:rsid w:val="4359F980"/>
    <w:rsid w:val="436C695F"/>
    <w:rsid w:val="43BE96D4"/>
    <w:rsid w:val="43F9802D"/>
    <w:rsid w:val="4400D53A"/>
    <w:rsid w:val="440D5CCF"/>
    <w:rsid w:val="441F2DB9"/>
    <w:rsid w:val="4428E52E"/>
    <w:rsid w:val="443F1EF3"/>
    <w:rsid w:val="4470B983"/>
    <w:rsid w:val="44DFDF95"/>
    <w:rsid w:val="4553B5BF"/>
    <w:rsid w:val="456B4C38"/>
    <w:rsid w:val="45804C79"/>
    <w:rsid w:val="458A9BDE"/>
    <w:rsid w:val="45D58A4B"/>
    <w:rsid w:val="45D913A8"/>
    <w:rsid w:val="465951F3"/>
    <w:rsid w:val="46651455"/>
    <w:rsid w:val="4667075B"/>
    <w:rsid w:val="46A8EB05"/>
    <w:rsid w:val="47634619"/>
    <w:rsid w:val="477E0EC2"/>
    <w:rsid w:val="480B7B50"/>
    <w:rsid w:val="48326754"/>
    <w:rsid w:val="4836E562"/>
    <w:rsid w:val="487A8C3C"/>
    <w:rsid w:val="488FB6EB"/>
    <w:rsid w:val="48A84D26"/>
    <w:rsid w:val="48EC28EF"/>
    <w:rsid w:val="491F2A98"/>
    <w:rsid w:val="49CDA525"/>
    <w:rsid w:val="49FA7E47"/>
    <w:rsid w:val="49FCE3B5"/>
    <w:rsid w:val="4A216E87"/>
    <w:rsid w:val="4B858767"/>
    <w:rsid w:val="4BD545A4"/>
    <w:rsid w:val="4C161B2E"/>
    <w:rsid w:val="4C1CF026"/>
    <w:rsid w:val="4C1DC957"/>
    <w:rsid w:val="4C550F29"/>
    <w:rsid w:val="4C9BB939"/>
    <w:rsid w:val="4D59BF77"/>
    <w:rsid w:val="4D9F0BFE"/>
    <w:rsid w:val="4DC10BDB"/>
    <w:rsid w:val="4E4B8CEF"/>
    <w:rsid w:val="4E4BC0A2"/>
    <w:rsid w:val="4E6A2830"/>
    <w:rsid w:val="4EAE5492"/>
    <w:rsid w:val="4ECEECBF"/>
    <w:rsid w:val="4EEDF96F"/>
    <w:rsid w:val="4F1459F2"/>
    <w:rsid w:val="4F3A8D21"/>
    <w:rsid w:val="4FBA39ED"/>
    <w:rsid w:val="50205D37"/>
    <w:rsid w:val="507B7408"/>
    <w:rsid w:val="508A838E"/>
    <w:rsid w:val="50AA9F2D"/>
    <w:rsid w:val="510689C2"/>
    <w:rsid w:val="512365EC"/>
    <w:rsid w:val="51563684"/>
    <w:rsid w:val="516F2C72"/>
    <w:rsid w:val="51F1BF22"/>
    <w:rsid w:val="523F52F2"/>
    <w:rsid w:val="5253CA7D"/>
    <w:rsid w:val="526B32D8"/>
    <w:rsid w:val="52992EC6"/>
    <w:rsid w:val="52D70AA9"/>
    <w:rsid w:val="52E05BEB"/>
    <w:rsid w:val="52F019B3"/>
    <w:rsid w:val="530AC603"/>
    <w:rsid w:val="546C32CA"/>
    <w:rsid w:val="54D79817"/>
    <w:rsid w:val="553CBF9F"/>
    <w:rsid w:val="55567182"/>
    <w:rsid w:val="55F1C592"/>
    <w:rsid w:val="56F241E3"/>
    <w:rsid w:val="5715192D"/>
    <w:rsid w:val="57B9EA95"/>
    <w:rsid w:val="58168CA3"/>
    <w:rsid w:val="585AE293"/>
    <w:rsid w:val="58A839C4"/>
    <w:rsid w:val="58CB3E05"/>
    <w:rsid w:val="5906A3EC"/>
    <w:rsid w:val="595BE4E8"/>
    <w:rsid w:val="59600ADE"/>
    <w:rsid w:val="5A1CE944"/>
    <w:rsid w:val="5A4818CE"/>
    <w:rsid w:val="5A8FB530"/>
    <w:rsid w:val="5A9E2BD7"/>
    <w:rsid w:val="5AFB2B98"/>
    <w:rsid w:val="5B0D8CAD"/>
    <w:rsid w:val="5B16FACB"/>
    <w:rsid w:val="5B231A6A"/>
    <w:rsid w:val="5B34B845"/>
    <w:rsid w:val="5BFD1B65"/>
    <w:rsid w:val="5C16E496"/>
    <w:rsid w:val="5C1B0496"/>
    <w:rsid w:val="5C9A8BD8"/>
    <w:rsid w:val="5CF019F2"/>
    <w:rsid w:val="5CF04AA8"/>
    <w:rsid w:val="5D087E18"/>
    <w:rsid w:val="5D21DBC1"/>
    <w:rsid w:val="5D73625C"/>
    <w:rsid w:val="5DABA816"/>
    <w:rsid w:val="5E105912"/>
    <w:rsid w:val="5E8D24BA"/>
    <w:rsid w:val="5E9B19E8"/>
    <w:rsid w:val="5EB3EA65"/>
    <w:rsid w:val="5ED87AE6"/>
    <w:rsid w:val="5F0ED028"/>
    <w:rsid w:val="5F0F4594"/>
    <w:rsid w:val="5F1196FA"/>
    <w:rsid w:val="5F534C42"/>
    <w:rsid w:val="5FB9F28D"/>
    <w:rsid w:val="5FD30835"/>
    <w:rsid w:val="6040FAC2"/>
    <w:rsid w:val="6051C823"/>
    <w:rsid w:val="6079C841"/>
    <w:rsid w:val="6081B79B"/>
    <w:rsid w:val="60F9670E"/>
    <w:rsid w:val="610A967C"/>
    <w:rsid w:val="61AF56F2"/>
    <w:rsid w:val="620750E1"/>
    <w:rsid w:val="622573EF"/>
    <w:rsid w:val="623DFCFE"/>
    <w:rsid w:val="62662CC4"/>
    <w:rsid w:val="62887462"/>
    <w:rsid w:val="63177939"/>
    <w:rsid w:val="632472EE"/>
    <w:rsid w:val="633DA3D7"/>
    <w:rsid w:val="636DB6A6"/>
    <w:rsid w:val="63AC7E3D"/>
    <w:rsid w:val="63B7D0AA"/>
    <w:rsid w:val="64000CF8"/>
    <w:rsid w:val="6408F196"/>
    <w:rsid w:val="64159ACE"/>
    <w:rsid w:val="64E9CDC6"/>
    <w:rsid w:val="650F57E8"/>
    <w:rsid w:val="65166A29"/>
    <w:rsid w:val="653B309B"/>
    <w:rsid w:val="658B69F2"/>
    <w:rsid w:val="65DED3F8"/>
    <w:rsid w:val="65DFAA88"/>
    <w:rsid w:val="6601D8E2"/>
    <w:rsid w:val="661B7754"/>
    <w:rsid w:val="66557741"/>
    <w:rsid w:val="6659F7D5"/>
    <w:rsid w:val="66A971D5"/>
    <w:rsid w:val="66AF0467"/>
    <w:rsid w:val="66E41EFF"/>
    <w:rsid w:val="66F82C66"/>
    <w:rsid w:val="66FD5F57"/>
    <w:rsid w:val="671FD731"/>
    <w:rsid w:val="6772B676"/>
    <w:rsid w:val="685C195F"/>
    <w:rsid w:val="686900AC"/>
    <w:rsid w:val="68874D49"/>
    <w:rsid w:val="689B6E65"/>
    <w:rsid w:val="6935B0F9"/>
    <w:rsid w:val="694777A4"/>
    <w:rsid w:val="69D3391A"/>
    <w:rsid w:val="69E0F59F"/>
    <w:rsid w:val="6A31EF4C"/>
    <w:rsid w:val="6A6E42A0"/>
    <w:rsid w:val="6AB29258"/>
    <w:rsid w:val="6AC4DE93"/>
    <w:rsid w:val="6ACA7E52"/>
    <w:rsid w:val="6B0E02E8"/>
    <w:rsid w:val="6B2BCFFD"/>
    <w:rsid w:val="6B9726CB"/>
    <w:rsid w:val="6BD16366"/>
    <w:rsid w:val="6BD33119"/>
    <w:rsid w:val="6BEABF98"/>
    <w:rsid w:val="6C8FBEC8"/>
    <w:rsid w:val="6CB67166"/>
    <w:rsid w:val="6CBF25C2"/>
    <w:rsid w:val="6CE045F8"/>
    <w:rsid w:val="6DADA8A5"/>
    <w:rsid w:val="6DB35F6C"/>
    <w:rsid w:val="6E18AB99"/>
    <w:rsid w:val="6E22100D"/>
    <w:rsid w:val="6E3C2E7A"/>
    <w:rsid w:val="6E8A7206"/>
    <w:rsid w:val="6E950B98"/>
    <w:rsid w:val="6FDEC7F7"/>
    <w:rsid w:val="6FF51310"/>
    <w:rsid w:val="6FFB7774"/>
    <w:rsid w:val="70649C90"/>
    <w:rsid w:val="7082BF55"/>
    <w:rsid w:val="70C6461B"/>
    <w:rsid w:val="70D03A40"/>
    <w:rsid w:val="70E070E8"/>
    <w:rsid w:val="7159D939"/>
    <w:rsid w:val="718532C1"/>
    <w:rsid w:val="7258F7F3"/>
    <w:rsid w:val="73DE2F6D"/>
    <w:rsid w:val="74A1EE63"/>
    <w:rsid w:val="74F78490"/>
    <w:rsid w:val="751A4CED"/>
    <w:rsid w:val="7526F779"/>
    <w:rsid w:val="752755D6"/>
    <w:rsid w:val="75982BAE"/>
    <w:rsid w:val="75D7900F"/>
    <w:rsid w:val="76471DCE"/>
    <w:rsid w:val="76653017"/>
    <w:rsid w:val="769097D0"/>
    <w:rsid w:val="76E150E8"/>
    <w:rsid w:val="76FD2518"/>
    <w:rsid w:val="7821224F"/>
    <w:rsid w:val="7834BF34"/>
    <w:rsid w:val="783AE3C1"/>
    <w:rsid w:val="78D875D6"/>
    <w:rsid w:val="794049CF"/>
    <w:rsid w:val="79914A34"/>
    <w:rsid w:val="79AB74DA"/>
    <w:rsid w:val="7A657383"/>
    <w:rsid w:val="7AE675CA"/>
    <w:rsid w:val="7B62D9F9"/>
    <w:rsid w:val="7BA6133F"/>
    <w:rsid w:val="7BE9A6AE"/>
    <w:rsid w:val="7C811E24"/>
    <w:rsid w:val="7CA9787E"/>
    <w:rsid w:val="7CD6F7F3"/>
    <w:rsid w:val="7CEE1145"/>
    <w:rsid w:val="7D4EB44C"/>
    <w:rsid w:val="7D7057BA"/>
    <w:rsid w:val="7D82E028"/>
    <w:rsid w:val="7D9E6901"/>
    <w:rsid w:val="7DC6EE1F"/>
    <w:rsid w:val="7DE40E3C"/>
    <w:rsid w:val="7E2F8060"/>
    <w:rsid w:val="7E73E987"/>
    <w:rsid w:val="7EB0FE71"/>
    <w:rsid w:val="7EC26337"/>
    <w:rsid w:val="7ED98805"/>
    <w:rsid w:val="7F419C0A"/>
    <w:rsid w:val="7F9AFBA6"/>
    <w:rsid w:val="7FDB59FE"/>
    <w:rsid w:val="7FE98EFB"/>
    <w:rsid w:val="7FF35E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994D7E"/>
  <w15:docId w15:val="{7A13F067-482F-4541-A979-B1E6ED5B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240"/>
        <w:ind w:firstLine="3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27F8"/>
    <w:rPr>
      <w:rFonts w:ascii="Arial" w:hAnsi="Arial"/>
      <w:sz w:val="24"/>
    </w:rPr>
  </w:style>
  <w:style w:type="paragraph" w:styleId="Heading1">
    <w:name w:val="heading 1"/>
    <w:basedOn w:val="Normal"/>
    <w:next w:val="Heading2"/>
    <w:link w:val="Heading1Char"/>
    <w:qFormat/>
    <w:rsid w:val="0064433A"/>
    <w:pPr>
      <w:outlineLvl w:val="0"/>
    </w:pPr>
    <w:rPr>
      <w:b/>
      <w:bCs/>
      <w:kern w:val="36"/>
      <w:szCs w:val="48"/>
    </w:rPr>
  </w:style>
  <w:style w:type="paragraph" w:styleId="Heading2">
    <w:name w:val="heading 2"/>
    <w:basedOn w:val="Normal"/>
    <w:next w:val="Normal"/>
    <w:link w:val="Heading2Char"/>
    <w:semiHidden/>
    <w:unhideWhenUsed/>
    <w:qFormat/>
    <w:rsid w:val="000701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06DF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33A"/>
    <w:rPr>
      <w:rFonts w:ascii="Arial" w:hAnsi="Arial"/>
      <w:b/>
      <w:bCs/>
      <w:kern w:val="36"/>
      <w:sz w:val="24"/>
      <w:szCs w:val="48"/>
    </w:rPr>
  </w:style>
  <w:style w:type="paragraph" w:customStyle="1" w:styleId="Level1">
    <w:name w:val="Level 1"/>
    <w:rsid w:val="00C240A7"/>
    <w:pPr>
      <w:autoSpaceDE w:val="0"/>
      <w:autoSpaceDN w:val="0"/>
      <w:adjustRightInd w:val="0"/>
      <w:ind w:left="720"/>
    </w:pPr>
    <w:rPr>
      <w:sz w:val="24"/>
      <w:szCs w:val="24"/>
    </w:rPr>
  </w:style>
  <w:style w:type="paragraph" w:customStyle="1" w:styleId="Level2">
    <w:name w:val="Level 2"/>
    <w:rsid w:val="00C240A7"/>
    <w:pPr>
      <w:autoSpaceDE w:val="0"/>
      <w:autoSpaceDN w:val="0"/>
      <w:adjustRightInd w:val="0"/>
      <w:ind w:left="1440"/>
    </w:pPr>
    <w:rPr>
      <w:sz w:val="24"/>
      <w:szCs w:val="24"/>
    </w:rPr>
  </w:style>
  <w:style w:type="paragraph" w:customStyle="1" w:styleId="Level3">
    <w:name w:val="Level 3"/>
    <w:rsid w:val="00C240A7"/>
    <w:pPr>
      <w:autoSpaceDE w:val="0"/>
      <w:autoSpaceDN w:val="0"/>
      <w:adjustRightInd w:val="0"/>
      <w:ind w:left="2160"/>
    </w:pPr>
    <w:rPr>
      <w:sz w:val="24"/>
      <w:szCs w:val="24"/>
    </w:rPr>
  </w:style>
  <w:style w:type="paragraph" w:customStyle="1" w:styleId="Level4">
    <w:name w:val="Level 4"/>
    <w:rsid w:val="00C240A7"/>
    <w:pPr>
      <w:autoSpaceDE w:val="0"/>
      <w:autoSpaceDN w:val="0"/>
      <w:adjustRightInd w:val="0"/>
      <w:ind w:left="2880"/>
    </w:pPr>
    <w:rPr>
      <w:sz w:val="24"/>
      <w:szCs w:val="24"/>
    </w:rPr>
  </w:style>
  <w:style w:type="paragraph" w:customStyle="1" w:styleId="Level5">
    <w:name w:val="Level 5"/>
    <w:rsid w:val="00C240A7"/>
    <w:pPr>
      <w:autoSpaceDE w:val="0"/>
      <w:autoSpaceDN w:val="0"/>
      <w:adjustRightInd w:val="0"/>
      <w:ind w:left="3600"/>
    </w:pPr>
    <w:rPr>
      <w:sz w:val="24"/>
      <w:szCs w:val="24"/>
    </w:rPr>
  </w:style>
  <w:style w:type="paragraph" w:customStyle="1" w:styleId="Level6">
    <w:name w:val="Level 6"/>
    <w:rsid w:val="00C240A7"/>
    <w:pPr>
      <w:autoSpaceDE w:val="0"/>
      <w:autoSpaceDN w:val="0"/>
      <w:adjustRightInd w:val="0"/>
      <w:ind w:left="4320"/>
    </w:pPr>
    <w:rPr>
      <w:sz w:val="24"/>
      <w:szCs w:val="24"/>
    </w:rPr>
  </w:style>
  <w:style w:type="paragraph" w:customStyle="1" w:styleId="Level7">
    <w:name w:val="Level 7"/>
    <w:rsid w:val="00C240A7"/>
    <w:pPr>
      <w:autoSpaceDE w:val="0"/>
      <w:autoSpaceDN w:val="0"/>
      <w:adjustRightInd w:val="0"/>
      <w:ind w:left="5040"/>
    </w:pPr>
    <w:rPr>
      <w:sz w:val="24"/>
      <w:szCs w:val="24"/>
    </w:rPr>
  </w:style>
  <w:style w:type="paragraph" w:customStyle="1" w:styleId="Level8">
    <w:name w:val="Level 8"/>
    <w:rsid w:val="00C240A7"/>
    <w:pPr>
      <w:autoSpaceDE w:val="0"/>
      <w:autoSpaceDN w:val="0"/>
      <w:adjustRightInd w:val="0"/>
      <w:ind w:left="5760"/>
    </w:pPr>
    <w:rPr>
      <w:sz w:val="24"/>
      <w:szCs w:val="24"/>
    </w:rPr>
  </w:style>
  <w:style w:type="paragraph" w:customStyle="1" w:styleId="Level9">
    <w:name w:val="Level 9"/>
    <w:rsid w:val="00C240A7"/>
    <w:pPr>
      <w:autoSpaceDE w:val="0"/>
      <w:autoSpaceDN w:val="0"/>
      <w:adjustRightInd w:val="0"/>
      <w:ind w:left="6480"/>
    </w:pPr>
    <w:rPr>
      <w:sz w:val="24"/>
      <w:szCs w:val="24"/>
    </w:rPr>
  </w:style>
  <w:style w:type="character" w:styleId="Hyperlink">
    <w:name w:val="Hyperlink"/>
    <w:basedOn w:val="DefaultParagraphFont"/>
    <w:uiPriority w:val="99"/>
    <w:rsid w:val="00C240A7"/>
    <w:rPr>
      <w:color w:val="0000FF"/>
      <w:u w:val="single"/>
    </w:rPr>
  </w:style>
  <w:style w:type="character" w:styleId="Emphasis">
    <w:name w:val="Emphasis"/>
    <w:basedOn w:val="DefaultParagraphFont"/>
    <w:qFormat/>
    <w:rsid w:val="00C240A7"/>
    <w:rPr>
      <w:b/>
      <w:bCs/>
      <w:i w:val="0"/>
      <w:iCs w:val="0"/>
    </w:rPr>
  </w:style>
  <w:style w:type="paragraph" w:customStyle="1" w:styleId="Body">
    <w:name w:val="Body"/>
    <w:basedOn w:val="Normal"/>
    <w:rsid w:val="00C240A7"/>
    <w:rPr>
      <w:szCs w:val="24"/>
      <w:vertAlign w:val="superscript"/>
    </w:rPr>
  </w:style>
  <w:style w:type="paragraph" w:styleId="Header">
    <w:name w:val="header"/>
    <w:basedOn w:val="Normal"/>
    <w:link w:val="HeaderChar"/>
    <w:uiPriority w:val="99"/>
    <w:rsid w:val="00C240A7"/>
    <w:pPr>
      <w:tabs>
        <w:tab w:val="center" w:pos="4320"/>
        <w:tab w:val="right" w:pos="8640"/>
      </w:tabs>
    </w:pPr>
  </w:style>
  <w:style w:type="character" w:customStyle="1" w:styleId="HeaderChar">
    <w:name w:val="Header Char"/>
    <w:basedOn w:val="DefaultParagraphFont"/>
    <w:link w:val="Header"/>
    <w:uiPriority w:val="99"/>
    <w:rsid w:val="00393E36"/>
  </w:style>
  <w:style w:type="paragraph" w:styleId="Footer">
    <w:name w:val="footer"/>
    <w:basedOn w:val="Normal"/>
    <w:link w:val="FooterChar"/>
    <w:uiPriority w:val="99"/>
    <w:rsid w:val="00C240A7"/>
    <w:pPr>
      <w:tabs>
        <w:tab w:val="center" w:pos="4320"/>
        <w:tab w:val="right" w:pos="8640"/>
      </w:tabs>
    </w:pPr>
  </w:style>
  <w:style w:type="character" w:customStyle="1" w:styleId="FooterChar">
    <w:name w:val="Footer Char"/>
    <w:basedOn w:val="DefaultParagraphFont"/>
    <w:link w:val="Footer"/>
    <w:uiPriority w:val="99"/>
    <w:rsid w:val="00E962AA"/>
  </w:style>
  <w:style w:type="paragraph" w:styleId="BalloonText">
    <w:name w:val="Balloon Text"/>
    <w:basedOn w:val="Normal"/>
    <w:link w:val="BalloonTextChar"/>
    <w:rsid w:val="00393E36"/>
    <w:rPr>
      <w:rFonts w:ascii="Tahoma" w:hAnsi="Tahoma" w:cs="Tahoma"/>
      <w:sz w:val="16"/>
      <w:szCs w:val="16"/>
    </w:rPr>
  </w:style>
  <w:style w:type="character" w:customStyle="1" w:styleId="BalloonTextChar">
    <w:name w:val="Balloon Text Char"/>
    <w:basedOn w:val="DefaultParagraphFont"/>
    <w:link w:val="BalloonText"/>
    <w:rsid w:val="00393E36"/>
    <w:rPr>
      <w:rFonts w:ascii="Tahoma" w:hAnsi="Tahoma" w:cs="Tahoma"/>
      <w:sz w:val="16"/>
      <w:szCs w:val="16"/>
    </w:rPr>
  </w:style>
  <w:style w:type="character" w:styleId="CommentReference">
    <w:name w:val="annotation reference"/>
    <w:basedOn w:val="DefaultParagraphFont"/>
    <w:unhideWhenUsed/>
    <w:rsid w:val="00D74D9E"/>
    <w:rPr>
      <w:sz w:val="16"/>
      <w:szCs w:val="16"/>
    </w:rPr>
  </w:style>
  <w:style w:type="paragraph" w:styleId="CommentText">
    <w:name w:val="annotation text"/>
    <w:basedOn w:val="Normal"/>
    <w:link w:val="CommentTextChar"/>
    <w:uiPriority w:val="99"/>
    <w:unhideWhenUsed/>
    <w:rsid w:val="00D74D9E"/>
    <w:rPr>
      <w:rFonts w:eastAsiaTheme="minorHAnsi"/>
    </w:rPr>
  </w:style>
  <w:style w:type="character" w:customStyle="1" w:styleId="CommentTextChar">
    <w:name w:val="Comment Text Char"/>
    <w:basedOn w:val="DefaultParagraphFont"/>
    <w:link w:val="CommentText"/>
    <w:uiPriority w:val="99"/>
    <w:rsid w:val="00D74D9E"/>
    <w:rPr>
      <w:rFonts w:eastAsiaTheme="minorHAnsi"/>
    </w:rPr>
  </w:style>
  <w:style w:type="paragraph" w:styleId="CommentSubject">
    <w:name w:val="annotation subject"/>
    <w:basedOn w:val="CommentText"/>
    <w:next w:val="CommentText"/>
    <w:link w:val="CommentSubjectChar"/>
    <w:uiPriority w:val="99"/>
    <w:unhideWhenUsed/>
    <w:rsid w:val="00D74D9E"/>
    <w:rPr>
      <w:b/>
      <w:bCs/>
    </w:rPr>
  </w:style>
  <w:style w:type="character" w:customStyle="1" w:styleId="CommentSubjectChar">
    <w:name w:val="Comment Subject Char"/>
    <w:basedOn w:val="CommentTextChar"/>
    <w:link w:val="CommentSubject"/>
    <w:uiPriority w:val="99"/>
    <w:rsid w:val="00D74D9E"/>
    <w:rPr>
      <w:rFonts w:eastAsiaTheme="minorHAnsi"/>
      <w:b/>
      <w:bCs/>
    </w:rPr>
  </w:style>
  <w:style w:type="character" w:styleId="FollowedHyperlink">
    <w:name w:val="FollowedHyperlink"/>
    <w:basedOn w:val="DefaultParagraphFont"/>
    <w:uiPriority w:val="99"/>
    <w:semiHidden/>
    <w:unhideWhenUsed/>
    <w:rsid w:val="00936BA9"/>
    <w:rPr>
      <w:color w:val="800080" w:themeColor="followedHyperlink"/>
      <w:u w:val="single"/>
    </w:rPr>
  </w:style>
  <w:style w:type="paragraph" w:styleId="FootnoteText">
    <w:name w:val="footnote text"/>
    <w:basedOn w:val="Normal"/>
    <w:link w:val="FootnoteTextChar"/>
    <w:semiHidden/>
    <w:unhideWhenUsed/>
    <w:rsid w:val="00431BCB"/>
  </w:style>
  <w:style w:type="character" w:customStyle="1" w:styleId="FootnoteTextChar">
    <w:name w:val="Footnote Text Char"/>
    <w:basedOn w:val="DefaultParagraphFont"/>
    <w:link w:val="FootnoteText"/>
    <w:semiHidden/>
    <w:rsid w:val="00431BCB"/>
  </w:style>
  <w:style w:type="character" w:styleId="FootnoteReference">
    <w:name w:val="footnote reference"/>
    <w:basedOn w:val="DefaultParagraphFont"/>
    <w:semiHidden/>
    <w:unhideWhenUsed/>
    <w:rsid w:val="00431BCB"/>
    <w:rPr>
      <w:vertAlign w:val="superscript"/>
    </w:rPr>
  </w:style>
  <w:style w:type="paragraph" w:styleId="Revision">
    <w:name w:val="Revision"/>
    <w:hidden/>
    <w:uiPriority w:val="99"/>
    <w:semiHidden/>
    <w:rsid w:val="002F0605"/>
  </w:style>
  <w:style w:type="table" w:styleId="TableGrid">
    <w:name w:val="Table Grid"/>
    <w:basedOn w:val="TableNormal"/>
    <w:rsid w:val="0084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12C9"/>
  </w:style>
  <w:style w:type="paragraph" w:styleId="PlainText">
    <w:name w:val="Plain Text"/>
    <w:basedOn w:val="Normal"/>
    <w:link w:val="PlainTextChar"/>
    <w:uiPriority w:val="99"/>
    <w:semiHidden/>
    <w:unhideWhenUsed/>
    <w:rsid w:val="005A7892"/>
    <w:rPr>
      <w:rFonts w:ascii="Courier New" w:hAnsi="Courier New" w:eastAsiaTheme="minorHAnsi" w:cs="Courier New"/>
    </w:rPr>
  </w:style>
  <w:style w:type="character" w:customStyle="1" w:styleId="PlainTextChar">
    <w:name w:val="Plain Text Char"/>
    <w:basedOn w:val="DefaultParagraphFont"/>
    <w:link w:val="PlainText"/>
    <w:uiPriority w:val="99"/>
    <w:semiHidden/>
    <w:rsid w:val="005A7892"/>
    <w:rPr>
      <w:rFonts w:ascii="Courier New" w:hAnsi="Courier New" w:eastAsiaTheme="minorHAnsi" w:cs="Courier New"/>
    </w:rPr>
  </w:style>
  <w:style w:type="paragraph" w:styleId="ListParagraph">
    <w:name w:val="List Paragraph"/>
    <w:basedOn w:val="Normal"/>
    <w:uiPriority w:val="34"/>
    <w:qFormat/>
    <w:rsid w:val="007036D8"/>
    <w:pPr>
      <w:ind w:left="720"/>
      <w:contextualSpacing/>
    </w:pPr>
  </w:style>
  <w:style w:type="character" w:styleId="UnresolvedMention">
    <w:name w:val="Unresolved Mention"/>
    <w:basedOn w:val="DefaultParagraphFont"/>
    <w:uiPriority w:val="99"/>
    <w:unhideWhenUsed/>
    <w:rsid w:val="00491508"/>
    <w:rPr>
      <w:color w:val="605E5C"/>
      <w:shd w:val="clear" w:color="auto" w:fill="E1DFDD"/>
    </w:rPr>
  </w:style>
  <w:style w:type="character" w:customStyle="1" w:styleId="Heading3Char">
    <w:name w:val="Heading 3 Char"/>
    <w:basedOn w:val="DefaultParagraphFont"/>
    <w:link w:val="Heading3"/>
    <w:semiHidden/>
    <w:rsid w:val="00F06DF8"/>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F06DF8"/>
    <w:rPr>
      <w:rFonts w:ascii="Arial" w:hAnsi="Arial" w:eastAsiaTheme="minorHAnsi" w:cstheme="minorBidi"/>
      <w:sz w:val="24"/>
      <w:szCs w:val="22"/>
    </w:rPr>
  </w:style>
  <w:style w:type="character" w:customStyle="1" w:styleId="NoSpacingChar">
    <w:name w:val="No Spacing Char"/>
    <w:basedOn w:val="DefaultParagraphFont"/>
    <w:link w:val="NoSpacing"/>
    <w:uiPriority w:val="1"/>
    <w:locked/>
    <w:rsid w:val="00F06DF8"/>
    <w:rPr>
      <w:rFonts w:ascii="Arial" w:hAnsi="Arial" w:eastAsiaTheme="minorHAnsi" w:cstheme="minorBidi"/>
      <w:sz w:val="24"/>
      <w:szCs w:val="22"/>
    </w:rPr>
  </w:style>
  <w:style w:type="character" w:styleId="Mention">
    <w:name w:val="Mention"/>
    <w:basedOn w:val="DefaultParagraphFont"/>
    <w:uiPriority w:val="99"/>
    <w:unhideWhenUsed/>
    <w:rsid w:val="0074168E"/>
    <w:rPr>
      <w:color w:val="2B579A"/>
      <w:shd w:val="clear" w:color="auto" w:fill="E1DFDD"/>
    </w:rPr>
  </w:style>
  <w:style w:type="paragraph" w:styleId="Title">
    <w:name w:val="Title"/>
    <w:basedOn w:val="Normal"/>
    <w:next w:val="Normal"/>
    <w:link w:val="TitleChar"/>
    <w:qFormat/>
    <w:rsid w:val="0064433A"/>
    <w:pPr>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64433A"/>
    <w:rPr>
      <w:rFonts w:ascii="Arial" w:hAnsi="Arial" w:eastAsiaTheme="majorEastAsia" w:cstheme="majorBidi"/>
      <w:b/>
      <w:spacing w:val="-10"/>
      <w:kern w:val="28"/>
      <w:sz w:val="28"/>
      <w:szCs w:val="56"/>
    </w:rPr>
  </w:style>
  <w:style w:type="paragraph" w:customStyle="1" w:styleId="Tables">
    <w:name w:val="Tables"/>
    <w:basedOn w:val="Normal"/>
    <w:qFormat/>
    <w:rsid w:val="00AF5563"/>
    <w:pPr>
      <w:spacing w:after="0"/>
    </w:pPr>
    <w:rPr>
      <w:rFonts w:cs="Arial"/>
      <w:bCs/>
      <w:color w:val="000000"/>
      <w:sz w:val="20"/>
    </w:rPr>
  </w:style>
  <w:style w:type="character" w:customStyle="1" w:styleId="Heading2Char">
    <w:name w:val="Heading 2 Char"/>
    <w:basedOn w:val="DefaultParagraphFont"/>
    <w:link w:val="Heading2"/>
    <w:semiHidden/>
    <w:rsid w:val="00070192"/>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DD2AB0"/>
  </w:style>
  <w:style w:type="table" w:customStyle="1" w:styleId="TableGrid1">
    <w:name w:val="Table Grid1"/>
    <w:basedOn w:val="TableNormal"/>
    <w:next w:val="TableGrid"/>
    <w:rsid w:val="00DD2AB0"/>
    <w:pPr>
      <w:spacing w:after="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ccd/tables/202122_summary_2.asp" TargetMode="External" /><Relationship Id="rId11" Type="http://schemas.openxmlformats.org/officeDocument/2006/relationships/footer" Target="footer1.xml" /><Relationship Id="rId12" Type="http://schemas.openxmlformats.org/officeDocument/2006/relationships/hyperlink" Target="https://www.bls.gov/news.release/archives/ecec_03172023.pdf" TargetMode="External" /><Relationship Id="rId13" Type="http://schemas.openxmlformats.org/officeDocument/2006/relationships/hyperlink" Target="https://www.reginfo.gov/public/do/PRAMain." TargetMode="External" /><Relationship Id="rId14" Type="http://schemas.openxmlformats.org/officeDocument/2006/relationships/hyperlink" Target="https://www.govinfo.gov/content/pkg/USCODE-2012-title15/html/USCODE-2012-title15-chap53-subchapI-sec2605.htm" TargetMode="External" /><Relationship Id="rId15" Type="http://schemas.openxmlformats.org/officeDocument/2006/relationships/hyperlink" Target="https://www.govinfo.gov/content/pkg/USCODE-2011-title15/html/USCODE-2011-title15-chap53-subchapI-sec2607.htm" TargetMode="External" /><Relationship Id="rId16" Type="http://schemas.openxmlformats.org/officeDocument/2006/relationships/hyperlink" Target="https://www.ecfr.gov/current/title-29/subtitle-B/chapter-XVII/part-1910/subpart-Z/section-1910.1001" TargetMode="External" /><Relationship Id="rId17" Type="http://schemas.openxmlformats.org/officeDocument/2006/relationships/hyperlink" Target="https://www.ecfr.gov/current/title-29/subtitle-B/chapter-XVII/part-1926/subpart-Z/section-1926.1101" TargetMode="External" /><Relationship Id="rId18" Type="http://schemas.openxmlformats.org/officeDocument/2006/relationships/hyperlink" Target="https://www.ecfr.gov/current/title-40/chapter-I/subchapter-R/part-763/subpart-G" TargetMode="External" /><Relationship Id="rId19" Type="http://schemas.openxmlformats.org/officeDocument/2006/relationships/hyperlink" Target="https://www.govinfo.gov/content/pkg/FR-1987-02-25/pdf/FR-1987-02-25.pdf" TargetMode="External" /><Relationship Id="rId2" Type="http://schemas.openxmlformats.org/officeDocument/2006/relationships/settings" Target="settings.xml" /><Relationship Id="rId20" Type="http://schemas.openxmlformats.org/officeDocument/2006/relationships/hyperlink" Target="https://www.federalregister.gov/documents/2000/11/15/00-29232/asbestos-worker-protection" TargetMode="External" /><Relationship Id="rId21" Type="http://schemas.openxmlformats.org/officeDocument/2006/relationships/hyperlink" Target="https://www.reginfo.gov/public/Forward?SearchTarget=PRA&amp;textfield=1218-0134&amp;Image61.x=20&amp;Image61.y=12" TargetMode="External" /><Relationship Id="rId22" Type="http://schemas.openxmlformats.org/officeDocument/2006/relationships/hyperlink" Target="https://www.reginfo.gov/public/Forward?SearchTarget=PRA&amp;textfield=1218-0133&amp;Image61.x=16&amp;Image61.y=8" TargetMode="External" /><Relationship Id="rId23" Type="http://schemas.openxmlformats.org/officeDocument/2006/relationships/hyperlink" Target="https://www.bls.gov/oes/tables.htm" TargetMode="External" /><Relationship Id="rId24" Type="http://schemas.openxmlformats.org/officeDocument/2006/relationships/hyperlink" Target="https://www.census.gov/data/tables/2022/econ/gus/2022-governments.html" TargetMode="External" /><Relationship Id="rId25" Type="http://schemas.openxmlformats.org/officeDocument/2006/relationships/hyperlink" Target="https://nces.ed.gov/ccd/tables/202021_summary_2.asp" TargetMode="External" /><Relationship Id="rId26" Type="http://schemas.openxmlformats.org/officeDocument/2006/relationships/hyperlink" Target="https://www.reginfo.gov/public/do/PRAViewICR?ref_nbr=200710-2070-004"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4877</FRN_x0020_List_x0020_Item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C59D5-AC68-4BBD-B28A-B2B86760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BCC06-5559-4C31-9ABE-AA3ECB6AA7D3}">
  <ds:schemaRefs>
    <ds:schemaRef ds:uri="Microsoft.SharePoint.Taxonomy.ContentTypeSync"/>
  </ds:schemaRefs>
</ds:datastoreItem>
</file>

<file path=customXml/itemProps3.xml><?xml version="1.0" encoding="utf-8"?>
<ds:datastoreItem xmlns:ds="http://schemas.openxmlformats.org/officeDocument/2006/customXml" ds:itemID="{AFD36E44-9016-4E12-B6D2-4191F42DEC19}">
  <ds:schemaRefs>
    <ds:schemaRef ds:uri="http://schemas.microsoft.com/sharepoint/v3/contenttype/forms"/>
  </ds:schemaRefs>
</ds:datastoreItem>
</file>

<file path=customXml/itemProps4.xml><?xml version="1.0" encoding="utf-8"?>
<ds:datastoreItem xmlns:ds="http://schemas.openxmlformats.org/officeDocument/2006/customXml" ds:itemID="{076D9483-8B1D-40A3-86A5-37BE52CE1626}">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4ffa91fb-a0ff-4ac5-b2db-65c790d184a4"/>
    <ds:schemaRef ds:uri="a5d1ca4e-0a3f-4119-b619-e20b93ebd1aa"/>
    <ds:schemaRef ds:uri="http://schemas.microsoft.com/office/infopath/2007/PartnerControls"/>
    <ds:schemaRef ds:uri="http://schemas.openxmlformats.org/package/2006/metadata/core-properties"/>
    <ds:schemaRef ds:uri="http://schemas.microsoft.com/sharepoint.v3"/>
    <ds:schemaRef ds:uri="118f882f-1e32-4cf2-ad69-9de43d57f4c6"/>
    <ds:schemaRef ds:uri="http://schemas.microsoft.com/sharepoint/v3"/>
    <ds:schemaRef ds:uri="http://purl.org/dc/elements/1.1/"/>
  </ds:schemaRefs>
</ds:datastoreItem>
</file>

<file path=customXml/itemProps5.xml><?xml version="1.0" encoding="utf-8"?>
<ds:datastoreItem xmlns:ds="http://schemas.openxmlformats.org/officeDocument/2006/customXml" ds:itemID="{15EAABCB-F0CE-4171-805C-1527AA3D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9841</Words>
  <Characters>56099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65809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ctsuser</dc:creator>
  <cp:lastModifiedBy>Johnson, Amaris</cp:lastModifiedBy>
  <cp:revision>2</cp:revision>
  <cp:lastPrinted>2024-08-09T19:12:00Z</cp:lastPrinted>
  <dcterms:created xsi:type="dcterms:W3CDTF">2024-12-06T14:40:00Z</dcterms:created>
  <dcterms:modified xsi:type="dcterms:W3CDTF">2024-12-06T14:40:00Z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