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C2F5E" w:rsidP="64C4EC2E" w14:paraId="3B781423" w14:textId="77777777">
      <w:pPr>
        <w:shd w:val="clear" w:color="auto" w:fill="FFFFFF" w:themeFill="background1"/>
        <w:spacing w:after="0" w:line="240" w:lineRule="auto"/>
        <w:jc w:val="center"/>
        <w:rPr>
          <w:rFonts w:ascii="Arial" w:eastAsia="Times New Roman" w:hAnsi="Arial" w:cs="Arial"/>
          <w:b/>
          <w:bCs/>
          <w:sz w:val="24"/>
          <w:szCs w:val="24"/>
        </w:rPr>
      </w:pPr>
      <w:r w:rsidRPr="64C4EC2E">
        <w:rPr>
          <w:rFonts w:ascii="Arial" w:eastAsia="Times New Roman" w:hAnsi="Arial" w:cs="Arial"/>
          <w:b/>
          <w:bCs/>
          <w:sz w:val="24"/>
          <w:szCs w:val="24"/>
        </w:rPr>
        <w:t>Supporting Statement A</w:t>
      </w:r>
    </w:p>
    <w:p w:rsidR="00CC0C0B" w:rsidRPr="00CC2F5E" w:rsidP="00C64707" w14:paraId="08A9585D" w14:textId="77777777">
      <w:pPr>
        <w:shd w:val="clear" w:color="auto" w:fill="FFFFFF"/>
        <w:spacing w:after="0" w:line="240" w:lineRule="auto"/>
        <w:jc w:val="center"/>
        <w:rPr>
          <w:rFonts w:ascii="Arial" w:eastAsia="Times New Roman" w:hAnsi="Arial" w:cs="Arial"/>
          <w:sz w:val="24"/>
          <w:szCs w:val="24"/>
        </w:rPr>
      </w:pPr>
    </w:p>
    <w:p w:rsidR="002F60A9" w:rsidRPr="00CC2F5E" w:rsidP="00316C72" w14:paraId="18B93AFE" w14:textId="13D301B6">
      <w:pPr>
        <w:pStyle w:val="Title"/>
        <w:rPr>
          <w:rFonts w:ascii="Arial" w:hAnsi="Arial" w:cs="Arial"/>
          <w:szCs w:val="24"/>
        </w:rPr>
      </w:pPr>
      <w:r w:rsidRPr="00CC2F5E">
        <w:rPr>
          <w:rFonts w:ascii="Arial" w:hAnsi="Arial" w:cs="Arial"/>
          <w:szCs w:val="24"/>
        </w:rPr>
        <w:t>Drug and Alcohol Testing Program for Personnel Engaged in Specified Aviation Activities</w:t>
      </w:r>
    </w:p>
    <w:p w:rsidR="00C64707" w:rsidRPr="00CC2F5E" w:rsidP="00316C72" w14:paraId="0A236F06" w14:textId="4FC4BAF0">
      <w:pPr>
        <w:pStyle w:val="Title"/>
        <w:rPr>
          <w:rFonts w:ascii="Arial" w:hAnsi="Arial" w:cs="Arial"/>
        </w:rPr>
      </w:pPr>
      <w:r w:rsidRPr="74FF94A4">
        <w:rPr>
          <w:rFonts w:ascii="Arial" w:hAnsi="Arial" w:cs="Arial"/>
        </w:rPr>
        <w:t xml:space="preserve">OMB </w:t>
      </w:r>
      <w:r w:rsidRPr="74FF94A4" w:rsidR="00BF42EA">
        <w:rPr>
          <w:rFonts w:ascii="Arial" w:hAnsi="Arial" w:cs="Arial"/>
        </w:rPr>
        <w:t xml:space="preserve">Control </w:t>
      </w:r>
      <w:r w:rsidRPr="74FF94A4" w:rsidR="00194B3A">
        <w:rPr>
          <w:rFonts w:ascii="Arial" w:hAnsi="Arial" w:cs="Arial"/>
        </w:rPr>
        <w:t>2120-0535</w:t>
      </w:r>
    </w:p>
    <w:p w:rsidR="74FF94A4" w:rsidP="74FF94A4" w14:paraId="1AE43628" w14:textId="68ED2D13">
      <w:pPr>
        <w:pStyle w:val="Title"/>
        <w:rPr>
          <w:rFonts w:ascii="Arial" w:hAnsi="Arial" w:cs="Arial"/>
        </w:rPr>
      </w:pPr>
    </w:p>
    <w:p w:rsidR="00C871A6" w:rsidP="00316C72" w14:paraId="4944796E" w14:textId="34689814">
      <w:pPr>
        <w:pStyle w:val="Title"/>
        <w:rPr>
          <w:rFonts w:ascii="Arial" w:hAnsi="Arial" w:cs="Arial"/>
        </w:rPr>
      </w:pPr>
      <w:r w:rsidRPr="17774B72">
        <w:rPr>
          <w:rFonts w:ascii="Arial" w:hAnsi="Arial" w:cs="Arial"/>
        </w:rPr>
        <w:t>Drug and Alcohol Testing of Certificated Repair Station Employees Located Outside of the United States</w:t>
      </w:r>
    </w:p>
    <w:p w:rsidR="00510233" w:rsidRPr="00CC2F5E" w:rsidP="00316C72" w14:paraId="1E16E6DB" w14:textId="54B638D9">
      <w:pPr>
        <w:pStyle w:val="Title"/>
        <w:rPr>
          <w:rFonts w:ascii="Arial" w:hAnsi="Arial" w:cs="Arial"/>
        </w:rPr>
      </w:pPr>
      <w:r w:rsidRPr="17774B72">
        <w:rPr>
          <w:rFonts w:ascii="Arial" w:hAnsi="Arial" w:cs="Arial"/>
        </w:rPr>
        <w:t>Final rule</w:t>
      </w:r>
    </w:p>
    <w:p w:rsidR="00C871A6" w:rsidRPr="00CC2F5E" w:rsidP="00316C72" w14:paraId="2B1925AE" w14:textId="00AACC94">
      <w:pPr>
        <w:pStyle w:val="Title"/>
        <w:rPr>
          <w:rFonts w:ascii="Arial" w:hAnsi="Arial" w:cs="Arial"/>
          <w:szCs w:val="24"/>
        </w:rPr>
      </w:pPr>
      <w:r w:rsidRPr="00CC2F5E">
        <w:rPr>
          <w:rFonts w:ascii="Arial" w:hAnsi="Arial" w:cs="Arial"/>
          <w:szCs w:val="24"/>
        </w:rPr>
        <w:t xml:space="preserve">RIN </w:t>
      </w:r>
      <w:r w:rsidR="00CC2F5E">
        <w:rPr>
          <w:rFonts w:ascii="Arial" w:hAnsi="Arial" w:cs="Arial"/>
          <w:szCs w:val="24"/>
        </w:rPr>
        <w:t>2120-AK09</w:t>
      </w:r>
    </w:p>
    <w:p w:rsidR="00C64707" w:rsidRPr="00CC2F5E" w:rsidP="00C64707" w14:paraId="0C66E3F8" w14:textId="1EE242CB">
      <w:pPr>
        <w:shd w:val="clear" w:color="auto" w:fill="FFFFFF"/>
        <w:spacing w:after="0" w:line="240" w:lineRule="auto"/>
        <w:rPr>
          <w:rFonts w:ascii="Arial" w:eastAsia="Times New Roman" w:hAnsi="Arial" w:cs="Arial"/>
          <w:sz w:val="24"/>
          <w:szCs w:val="24"/>
        </w:rPr>
      </w:pPr>
    </w:p>
    <w:p w:rsidR="00C2344D" w:rsidRPr="008E7227" w:rsidP="00C64707" w14:paraId="6929170C" w14:textId="7D042767">
      <w:pPr>
        <w:shd w:val="clear" w:color="auto" w:fill="FFFFFF"/>
        <w:spacing w:after="0" w:line="240" w:lineRule="auto"/>
        <w:rPr>
          <w:rFonts w:ascii="Arial" w:eastAsia="Times New Roman" w:hAnsi="Arial" w:cs="Arial"/>
          <w:b/>
          <w:bCs/>
          <w:sz w:val="24"/>
          <w:szCs w:val="24"/>
          <w:u w:val="single"/>
        </w:rPr>
      </w:pPr>
      <w:r w:rsidRPr="008E7227">
        <w:rPr>
          <w:rFonts w:ascii="Arial" w:eastAsia="Times New Roman" w:hAnsi="Arial" w:cs="Arial"/>
          <w:b/>
          <w:bCs/>
          <w:sz w:val="24"/>
          <w:szCs w:val="24"/>
          <w:u w:val="single"/>
        </w:rPr>
        <w:t>Program Changes and Adjustments</w:t>
      </w:r>
      <w:r w:rsidR="008E7227">
        <w:rPr>
          <w:rFonts w:ascii="Arial" w:eastAsia="Times New Roman" w:hAnsi="Arial" w:cs="Arial"/>
          <w:b/>
          <w:bCs/>
          <w:sz w:val="24"/>
          <w:szCs w:val="24"/>
          <w:u w:val="single"/>
        </w:rPr>
        <w:br/>
      </w:r>
    </w:p>
    <w:p w:rsidR="0006121C" w:rsidP="0054778F" w14:paraId="4F790A31" w14:textId="2395BD50">
      <w:pPr>
        <w:shd w:val="clear" w:color="auto" w:fill="FFFFFF" w:themeFill="background1"/>
        <w:spacing w:after="0" w:line="240" w:lineRule="auto"/>
        <w:rPr>
          <w:rFonts w:ascii="Arial" w:eastAsia="Times New Roman" w:hAnsi="Arial" w:cs="Arial"/>
          <w:sz w:val="24"/>
          <w:szCs w:val="24"/>
        </w:rPr>
      </w:pPr>
      <w:r w:rsidRPr="359071CB">
        <w:rPr>
          <w:rFonts w:ascii="Arial" w:eastAsia="Times New Roman" w:hAnsi="Arial" w:cs="Arial"/>
          <w:sz w:val="24"/>
          <w:szCs w:val="24"/>
        </w:rPr>
        <w:t>The FAA Modernization and Reform Act of 2012 (the Act) mandates the FAA to include certain aviation entities located outside the territory of the United States into its requirement to conduct drug and alcohol testing.</w:t>
      </w:r>
      <w:r>
        <w:rPr>
          <w:rStyle w:val="FootnoteReference"/>
          <w:rFonts w:ascii="Arial" w:eastAsia="Times New Roman" w:hAnsi="Arial" w:cs="Arial"/>
          <w:sz w:val="24"/>
          <w:szCs w:val="24"/>
        </w:rPr>
        <w:footnoteReference w:id="3"/>
      </w:r>
      <w:r w:rsidRPr="359071CB">
        <w:rPr>
          <w:rFonts w:ascii="Arial" w:eastAsia="Times New Roman" w:hAnsi="Arial" w:cs="Arial"/>
          <w:sz w:val="24"/>
          <w:szCs w:val="24"/>
        </w:rPr>
        <w:t xml:space="preserve"> As a result, the FAA issued a </w:t>
      </w:r>
      <w:r w:rsidR="64C66789">
        <w:rPr>
          <w:rFonts w:ascii="Arial" w:eastAsia="Times New Roman" w:hAnsi="Arial" w:cs="Arial"/>
          <w:sz w:val="24"/>
          <w:szCs w:val="24"/>
        </w:rPr>
        <w:t xml:space="preserve">final rule, </w:t>
      </w:r>
      <w:r w:rsidRPr="359071CB">
        <w:rPr>
          <w:rFonts w:ascii="Arial" w:eastAsia="Times New Roman" w:hAnsi="Arial" w:cs="Arial"/>
          <w:sz w:val="24"/>
          <w:szCs w:val="24"/>
        </w:rPr>
        <w:t xml:space="preserve">Drug and Alcohol Testing of Certificated Repair Station Employees Located Outside of the United States, </w:t>
      </w:r>
      <w:r w:rsidR="64C66789">
        <w:rPr>
          <w:rFonts w:ascii="Arial" w:eastAsia="Times New Roman" w:hAnsi="Arial" w:cs="Arial"/>
          <w:sz w:val="24"/>
          <w:szCs w:val="24"/>
        </w:rPr>
        <w:t>which</w:t>
      </w:r>
      <w:r w:rsidRPr="359071CB">
        <w:rPr>
          <w:rFonts w:ascii="Arial" w:eastAsia="Times New Roman" w:hAnsi="Arial" w:cs="Arial"/>
          <w:sz w:val="24"/>
          <w:szCs w:val="24"/>
        </w:rPr>
        <w:t xml:space="preserve"> require</w:t>
      </w:r>
      <w:r w:rsidR="64C66789">
        <w:rPr>
          <w:rFonts w:ascii="Arial" w:eastAsia="Times New Roman" w:hAnsi="Arial" w:cs="Arial"/>
          <w:sz w:val="24"/>
          <w:szCs w:val="24"/>
        </w:rPr>
        <w:t>s</w:t>
      </w:r>
      <w:r w:rsidRPr="359071CB">
        <w:rPr>
          <w:rFonts w:ascii="Arial" w:eastAsia="Times New Roman" w:hAnsi="Arial" w:cs="Arial"/>
          <w:sz w:val="24"/>
          <w:szCs w:val="24"/>
        </w:rPr>
        <w:t xml:space="preserve"> certificated part 145 repair stations located outside the territory of the United States</w:t>
      </w:r>
      <w:r w:rsidRPr="359071CB" w:rsidR="6C4CBABC">
        <w:rPr>
          <w:rFonts w:ascii="Arial" w:eastAsia="Times New Roman" w:hAnsi="Arial" w:cs="Arial"/>
          <w:sz w:val="24"/>
          <w:szCs w:val="24"/>
        </w:rPr>
        <w:t xml:space="preserve"> </w:t>
      </w:r>
      <w:r w:rsidRPr="359071CB">
        <w:rPr>
          <w:rFonts w:ascii="Arial" w:eastAsia="Times New Roman" w:hAnsi="Arial" w:cs="Arial"/>
          <w:sz w:val="24"/>
          <w:szCs w:val="24"/>
        </w:rPr>
        <w:t>to implement a drug and alcohol testing program in accordance with 14 CFR part 120 and 49 CFR part 40</w:t>
      </w:r>
      <w:r w:rsidRPr="359071CB" w:rsidR="0A98419B">
        <w:rPr>
          <w:rFonts w:ascii="Arial" w:eastAsia="Times New Roman" w:hAnsi="Arial" w:cs="Arial"/>
          <w:sz w:val="24"/>
          <w:szCs w:val="24"/>
        </w:rPr>
        <w:t xml:space="preserve"> </w:t>
      </w:r>
      <w:r w:rsidRPr="359071CB" w:rsidR="6E4C6E8F">
        <w:rPr>
          <w:rFonts w:ascii="Arial" w:eastAsia="Times New Roman" w:hAnsi="Arial" w:cs="Arial"/>
          <w:sz w:val="24"/>
          <w:szCs w:val="24"/>
        </w:rPr>
        <w:t xml:space="preserve">to cover </w:t>
      </w:r>
      <w:r w:rsidRPr="359071CB" w:rsidR="6CEDFFB1">
        <w:rPr>
          <w:rFonts w:ascii="Arial" w:eastAsia="Times New Roman" w:hAnsi="Arial" w:cs="Arial"/>
          <w:sz w:val="24"/>
          <w:szCs w:val="24"/>
        </w:rPr>
        <w:t xml:space="preserve">their </w:t>
      </w:r>
      <w:r w:rsidRPr="359071CB" w:rsidR="0A98419B">
        <w:rPr>
          <w:rFonts w:ascii="Arial" w:eastAsia="Times New Roman" w:hAnsi="Arial" w:cs="Arial"/>
          <w:sz w:val="24"/>
          <w:szCs w:val="24"/>
        </w:rPr>
        <w:t xml:space="preserve">employees </w:t>
      </w:r>
      <w:r w:rsidRPr="359071CB" w:rsidR="6B3C70D1">
        <w:rPr>
          <w:rFonts w:ascii="Arial" w:eastAsia="Times New Roman" w:hAnsi="Arial" w:cs="Arial"/>
          <w:sz w:val="24"/>
          <w:szCs w:val="24"/>
        </w:rPr>
        <w:t xml:space="preserve">who </w:t>
      </w:r>
      <w:r w:rsidRPr="359071CB" w:rsidR="0A98419B">
        <w:rPr>
          <w:rFonts w:ascii="Arial" w:eastAsia="Times New Roman" w:hAnsi="Arial" w:cs="Arial"/>
          <w:sz w:val="24"/>
          <w:szCs w:val="24"/>
        </w:rPr>
        <w:t>perform safety-sensitive maintenance functions on part 121 air carrier aircraft</w:t>
      </w:r>
      <w:r w:rsidR="5BE94BC5">
        <w:rPr>
          <w:rFonts w:ascii="Arial" w:eastAsia="Times New Roman" w:hAnsi="Arial" w:cs="Arial"/>
          <w:sz w:val="24"/>
          <w:szCs w:val="24"/>
        </w:rPr>
        <w:t>.</w:t>
      </w:r>
      <w:r w:rsidRPr="0054778F" w:rsidR="4679068F">
        <w:t xml:space="preserve"> </w:t>
      </w:r>
      <w:r w:rsidRPr="2ADE2609" w:rsidR="242F0E75">
        <w:rPr>
          <w:rFonts w:ascii="Arial" w:eastAsia="Times New Roman" w:hAnsi="Arial" w:cs="Arial"/>
          <w:sz w:val="24"/>
          <w:szCs w:val="24"/>
        </w:rPr>
        <w:t>Alternatively</w:t>
      </w:r>
      <w:r w:rsidRPr="0054778F" w:rsidR="4679068F">
        <w:rPr>
          <w:rFonts w:ascii="Arial" w:eastAsia="Times New Roman" w:hAnsi="Arial" w:cs="Arial"/>
          <w:sz w:val="24"/>
          <w:szCs w:val="24"/>
        </w:rPr>
        <w:t xml:space="preserve">, the final rule establishes a process for foreign governments, on behalf of certificated repair stations within their territories, and individual foreign repair stations subject to the rule to obtain the Administrator’s recognition of a country or foreign repair station’s existing requirements or testing program(s) promulgated under the laws of the country that contains minimum elements of 14 CFR part 120. Affected foreign repair stations that receive a recognition by the Administrator will be relieved from comprehensive compliance with subparts E and F of 14 </w:t>
      </w:r>
      <w:r w:rsidR="524F32B5">
        <w:rPr>
          <w:rFonts w:ascii="Arial" w:eastAsia="Times New Roman" w:hAnsi="Arial" w:cs="Arial"/>
          <w:sz w:val="24"/>
          <w:szCs w:val="24"/>
        </w:rPr>
        <w:t xml:space="preserve">CFR </w:t>
      </w:r>
      <w:r w:rsidRPr="0054778F" w:rsidR="4679068F">
        <w:rPr>
          <w:rFonts w:ascii="Arial" w:eastAsia="Times New Roman" w:hAnsi="Arial" w:cs="Arial"/>
          <w:sz w:val="24"/>
          <w:szCs w:val="24"/>
        </w:rPr>
        <w:t>part 120 (in turn, providing relief from 49 CFR part 40) and will not need to seek further waivers or exemptions from 14 CFR part 120 or 49 CFR part 40.</w:t>
      </w:r>
    </w:p>
    <w:p w:rsidR="002C67AF" w:rsidP="359071CB" w14:paraId="46AB9D29" w14:textId="77777777">
      <w:pPr>
        <w:shd w:val="clear" w:color="auto" w:fill="FFFFFF" w:themeFill="background1"/>
        <w:spacing w:after="0" w:line="240" w:lineRule="auto"/>
        <w:rPr>
          <w:rFonts w:ascii="Arial" w:eastAsia="Times New Roman" w:hAnsi="Arial" w:cs="Arial"/>
          <w:sz w:val="24"/>
          <w:szCs w:val="24"/>
        </w:rPr>
      </w:pPr>
    </w:p>
    <w:p w:rsidR="00832413" w:rsidRPr="00CC2F5E" w:rsidP="359071CB" w14:paraId="728F2492" w14:textId="50A3BCCC">
      <w:pPr>
        <w:shd w:val="clear" w:color="auto" w:fill="FFFFFF" w:themeFill="background1"/>
        <w:spacing w:after="0" w:line="240" w:lineRule="auto"/>
        <w:rPr>
          <w:rFonts w:ascii="Arial" w:eastAsia="Times New Roman" w:hAnsi="Arial" w:cs="Arial"/>
          <w:sz w:val="24"/>
          <w:szCs w:val="24"/>
        </w:rPr>
      </w:pPr>
      <w:r w:rsidRPr="41E278FC">
        <w:rPr>
          <w:rFonts w:ascii="Arial" w:eastAsia="Times New Roman" w:hAnsi="Arial" w:cs="Arial"/>
          <w:sz w:val="24"/>
          <w:szCs w:val="24"/>
        </w:rPr>
        <w:t xml:space="preserve">Foreign repair stations that meet the requirements of the final rule </w:t>
      </w:r>
      <w:r w:rsidRPr="41E278FC" w:rsidR="00FE5DA3">
        <w:rPr>
          <w:rFonts w:ascii="Arial" w:eastAsia="Times New Roman" w:hAnsi="Arial" w:cs="Arial"/>
          <w:sz w:val="24"/>
          <w:szCs w:val="24"/>
        </w:rPr>
        <w:t xml:space="preserve">by </w:t>
      </w:r>
      <w:r w:rsidRPr="41E278FC" w:rsidR="00030943">
        <w:rPr>
          <w:rFonts w:ascii="Arial" w:eastAsia="Times New Roman" w:hAnsi="Arial" w:cs="Arial"/>
          <w:sz w:val="24"/>
          <w:szCs w:val="24"/>
        </w:rPr>
        <w:t>implement</w:t>
      </w:r>
      <w:r w:rsidRPr="41E278FC" w:rsidR="00FE5DA3">
        <w:rPr>
          <w:rFonts w:ascii="Arial" w:eastAsia="Times New Roman" w:hAnsi="Arial" w:cs="Arial"/>
          <w:sz w:val="24"/>
          <w:szCs w:val="24"/>
        </w:rPr>
        <w:t>ing</w:t>
      </w:r>
      <w:r w:rsidRPr="41E278FC" w:rsidR="00030943">
        <w:rPr>
          <w:rFonts w:ascii="Arial" w:eastAsia="Times New Roman" w:hAnsi="Arial" w:cs="Arial"/>
          <w:sz w:val="24"/>
          <w:szCs w:val="24"/>
        </w:rPr>
        <w:t xml:space="preserve"> a drug and alcohol testing program in accordance with 14 CFR part 120 and 49 CFR part 40 </w:t>
      </w:r>
      <w:r w:rsidRPr="41E278FC">
        <w:rPr>
          <w:rFonts w:ascii="Arial" w:eastAsia="Times New Roman" w:hAnsi="Arial" w:cs="Arial"/>
          <w:sz w:val="24"/>
          <w:szCs w:val="24"/>
        </w:rPr>
        <w:t xml:space="preserve">must </w:t>
      </w:r>
      <w:r w:rsidRPr="41E278FC" w:rsidR="00ED03F4">
        <w:rPr>
          <w:rFonts w:ascii="Arial" w:eastAsia="Times New Roman" w:hAnsi="Arial" w:cs="Arial"/>
          <w:sz w:val="24"/>
          <w:szCs w:val="24"/>
        </w:rPr>
        <w:t xml:space="preserve">obtain a </w:t>
      </w:r>
      <w:r w:rsidRPr="41E278FC" w:rsidR="0052756B">
        <w:rPr>
          <w:rFonts w:ascii="Arial" w:eastAsia="Times New Roman" w:hAnsi="Arial" w:cs="Arial"/>
          <w:sz w:val="24"/>
          <w:szCs w:val="24"/>
        </w:rPr>
        <w:t>D</w:t>
      </w:r>
      <w:r w:rsidRPr="41E278FC" w:rsidR="00ED03F4">
        <w:rPr>
          <w:rFonts w:ascii="Arial" w:eastAsia="Times New Roman" w:hAnsi="Arial" w:cs="Arial"/>
          <w:sz w:val="24"/>
          <w:szCs w:val="24"/>
        </w:rPr>
        <w:t xml:space="preserve">rug and Alcohol </w:t>
      </w:r>
      <w:r w:rsidRPr="41E278FC" w:rsidR="0052756B">
        <w:rPr>
          <w:rFonts w:ascii="Arial" w:eastAsia="Times New Roman" w:hAnsi="Arial" w:cs="Arial"/>
          <w:sz w:val="24"/>
          <w:szCs w:val="24"/>
        </w:rPr>
        <w:t>Testing</w:t>
      </w:r>
      <w:r w:rsidRPr="41E278FC" w:rsidR="00ED03F4">
        <w:rPr>
          <w:rFonts w:ascii="Arial" w:eastAsia="Times New Roman" w:hAnsi="Arial" w:cs="Arial"/>
          <w:sz w:val="24"/>
          <w:szCs w:val="24"/>
        </w:rPr>
        <w:t xml:space="preserve"> Program Operations Specification (A449 paragraph) in FAA’s Operations Specifications database. Additionally, these repair stations </w:t>
      </w:r>
      <w:r w:rsidRPr="41E278FC" w:rsidR="00E367CC">
        <w:rPr>
          <w:rFonts w:ascii="Arial" w:eastAsia="Times New Roman" w:hAnsi="Arial" w:cs="Arial"/>
          <w:sz w:val="24"/>
          <w:szCs w:val="24"/>
        </w:rPr>
        <w:t>must</w:t>
      </w:r>
      <w:r w:rsidRPr="41E278FC" w:rsidR="18C13BB3">
        <w:rPr>
          <w:rFonts w:ascii="Arial" w:eastAsia="Times New Roman" w:hAnsi="Arial" w:cs="Arial"/>
          <w:sz w:val="24"/>
          <w:szCs w:val="24"/>
        </w:rPr>
        <w:t xml:space="preserve"> </w:t>
      </w:r>
      <w:r w:rsidRPr="41E278FC" w:rsidR="00ED03F4">
        <w:rPr>
          <w:rFonts w:ascii="Arial" w:eastAsia="Times New Roman" w:hAnsi="Arial" w:cs="Arial"/>
          <w:sz w:val="24"/>
          <w:szCs w:val="24"/>
        </w:rPr>
        <w:t>report annual drug and alcohol testing program statistics through the Department of Transportation Drug and Alcohol Management Information System</w:t>
      </w:r>
      <w:r w:rsidRPr="41E278FC">
        <w:rPr>
          <w:rFonts w:ascii="Arial" w:eastAsia="Times New Roman" w:hAnsi="Arial" w:cs="Arial"/>
          <w:sz w:val="24"/>
          <w:szCs w:val="24"/>
        </w:rPr>
        <w:t xml:space="preserve"> (DAMIS)</w:t>
      </w:r>
      <w:r w:rsidRPr="41E278FC" w:rsidR="00ED03F4">
        <w:rPr>
          <w:rFonts w:ascii="Arial" w:eastAsia="Times New Roman" w:hAnsi="Arial" w:cs="Arial"/>
          <w:sz w:val="24"/>
          <w:szCs w:val="24"/>
        </w:rPr>
        <w:t>.</w:t>
      </w:r>
      <w:r w:rsidRPr="41E278FC">
        <w:rPr>
          <w:rFonts w:ascii="Arial" w:eastAsia="Times New Roman" w:hAnsi="Arial" w:cs="Arial"/>
          <w:sz w:val="24"/>
          <w:szCs w:val="24"/>
        </w:rPr>
        <w:t xml:space="preserve"> </w:t>
      </w:r>
      <w:r w:rsidRPr="41E278FC" w:rsidR="0041309D">
        <w:rPr>
          <w:rFonts w:ascii="Arial" w:eastAsia="Times New Roman" w:hAnsi="Arial" w:cs="Arial"/>
          <w:sz w:val="24"/>
          <w:szCs w:val="24"/>
        </w:rPr>
        <w:t>F</w:t>
      </w:r>
      <w:r w:rsidRPr="41E278FC" w:rsidR="00FE31C9">
        <w:rPr>
          <w:rFonts w:ascii="Arial" w:eastAsia="Times New Roman" w:hAnsi="Arial" w:cs="Arial"/>
          <w:sz w:val="24"/>
          <w:szCs w:val="24"/>
        </w:rPr>
        <w:t xml:space="preserve">oreign repair stations </w:t>
      </w:r>
      <w:r w:rsidRPr="41E278FC" w:rsidR="00D13862">
        <w:rPr>
          <w:rFonts w:ascii="Arial" w:eastAsia="Times New Roman" w:hAnsi="Arial" w:cs="Arial"/>
          <w:sz w:val="24"/>
          <w:szCs w:val="24"/>
        </w:rPr>
        <w:t>that obtain recognition of their own program, or those that fall under the recognition obtained by their foreign government, will not obtain a</w:t>
      </w:r>
      <w:r w:rsidRPr="41E278FC" w:rsidR="00D37AFB">
        <w:rPr>
          <w:rFonts w:ascii="Arial" w:eastAsia="Times New Roman" w:hAnsi="Arial" w:cs="Arial"/>
          <w:sz w:val="24"/>
          <w:szCs w:val="24"/>
        </w:rPr>
        <w:t xml:space="preserve">n A449 and will not report annual drug and alcohol testing program statistics through DAMIS. </w:t>
      </w:r>
    </w:p>
    <w:p w:rsidR="00C2344D" w:rsidRPr="00CC2F5E" w:rsidP="00C64707" w14:paraId="081B3747" w14:textId="77777777">
      <w:pPr>
        <w:shd w:val="clear" w:color="auto" w:fill="FFFFFF"/>
        <w:spacing w:after="0" w:line="240" w:lineRule="auto"/>
        <w:rPr>
          <w:rFonts w:ascii="Arial" w:eastAsia="Times New Roman" w:hAnsi="Arial" w:cs="Arial"/>
          <w:sz w:val="24"/>
          <w:szCs w:val="24"/>
        </w:rPr>
      </w:pPr>
    </w:p>
    <w:p w:rsidR="008E7227" w:rsidP="008E7227" w14:paraId="4E5C95F6"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6F567C" w:rsidP="61DDB35E" w14:paraId="2782E2B5" w14:textId="77777777">
      <w:pPr>
        <w:shd w:val="clear" w:color="auto" w:fill="FFFFFF" w:themeFill="background1"/>
        <w:spacing w:after="0" w:line="240" w:lineRule="auto"/>
        <w:rPr>
          <w:rFonts w:ascii="Arial" w:eastAsia="Times New Roman" w:hAnsi="Arial" w:cs="Arial"/>
          <w:sz w:val="24"/>
          <w:szCs w:val="24"/>
        </w:rPr>
      </w:pPr>
      <w:r>
        <w:rPr>
          <w:rFonts w:ascii="Arial" w:eastAsia="Times New Roman" w:hAnsi="Arial" w:cs="Arial"/>
          <w:sz w:val="24"/>
          <w:szCs w:val="24"/>
        </w:rPr>
        <w:br/>
      </w:r>
      <w:r w:rsidRPr="00CC2F5E" w:rsidR="0B70F1A0">
        <w:rPr>
          <w:rFonts w:ascii="Arial" w:eastAsia="Times New Roman" w:hAnsi="Arial" w:cs="Arial"/>
          <w:sz w:val="24"/>
          <w:szCs w:val="24"/>
        </w:rPr>
        <w:t>The FAA mandates specified aviation entities</w:t>
      </w:r>
      <w:r>
        <w:rPr>
          <w:rStyle w:val="FootnoteReference"/>
          <w:rFonts w:ascii="Arial" w:eastAsia="Times New Roman" w:hAnsi="Arial" w:cs="Arial"/>
          <w:sz w:val="24"/>
          <w:szCs w:val="24"/>
        </w:rPr>
        <w:footnoteReference w:id="4"/>
      </w:r>
      <w:r w:rsidRPr="00CC2F5E" w:rsidR="0B70F1A0">
        <w:rPr>
          <w:rFonts w:ascii="Arial" w:eastAsia="Times New Roman" w:hAnsi="Arial" w:cs="Arial"/>
          <w:sz w:val="24"/>
          <w:szCs w:val="24"/>
        </w:rPr>
        <w:t xml:space="preserve"> to conduct drug and alcohol testing under its </w:t>
      </w:r>
      <w:r w:rsidRPr="00CC2F5E" w:rsidR="5AEB1A4F">
        <w:rPr>
          <w:rFonts w:ascii="Arial" w:eastAsia="Times New Roman" w:hAnsi="Arial" w:cs="Arial"/>
          <w:sz w:val="24"/>
          <w:szCs w:val="24"/>
        </w:rPr>
        <w:t xml:space="preserve">Drug and Alcohol Testing Program </w:t>
      </w:r>
      <w:r w:rsidRPr="00CC2F5E" w:rsidR="0B70F1A0">
        <w:rPr>
          <w:rFonts w:ascii="Arial" w:eastAsia="Times New Roman" w:hAnsi="Arial" w:cs="Arial"/>
          <w:sz w:val="24"/>
          <w:szCs w:val="24"/>
        </w:rPr>
        <w:t>regulation</w:t>
      </w:r>
      <w:r w:rsidRPr="2ADE2609" w:rsidR="77B476BA">
        <w:rPr>
          <w:rFonts w:ascii="Arial" w:eastAsia="Times New Roman" w:hAnsi="Arial" w:cs="Arial"/>
          <w:sz w:val="24"/>
          <w:szCs w:val="24"/>
        </w:rPr>
        <w:t>s</w:t>
      </w:r>
      <w:r w:rsidRPr="00CC2F5E" w:rsidR="54469A1F">
        <w:rPr>
          <w:rFonts w:ascii="Arial" w:eastAsia="Times New Roman" w:hAnsi="Arial" w:cs="Arial"/>
          <w:sz w:val="24"/>
          <w:szCs w:val="24"/>
        </w:rPr>
        <w:t xml:space="preserve"> </w:t>
      </w:r>
      <w:r w:rsidRPr="00CC2F5E" w:rsidR="0B70F1A0">
        <w:rPr>
          <w:rFonts w:ascii="Arial" w:eastAsia="Times New Roman" w:hAnsi="Arial" w:cs="Arial"/>
          <w:sz w:val="24"/>
          <w:szCs w:val="24"/>
        </w:rPr>
        <w:t xml:space="preserve">(14 CFR Part </w:t>
      </w:r>
      <w:r w:rsidRPr="00CC2F5E" w:rsidR="6A24970D">
        <w:rPr>
          <w:rFonts w:ascii="Arial" w:eastAsia="Times New Roman" w:hAnsi="Arial" w:cs="Arial"/>
          <w:sz w:val="24"/>
          <w:szCs w:val="24"/>
        </w:rPr>
        <w:t>120</w:t>
      </w:r>
      <w:r w:rsidRPr="00CC2F5E" w:rsidR="0B70F1A0">
        <w:rPr>
          <w:rFonts w:ascii="Arial" w:eastAsia="Times New Roman" w:hAnsi="Arial" w:cs="Arial"/>
          <w:sz w:val="24"/>
          <w:szCs w:val="24"/>
        </w:rPr>
        <w:t>), 49 USC 31306 (Alcohol and controlled substances testing), the Omnibus Transportation Employee Testing Act of 1991</w:t>
      </w:r>
      <w:r>
        <w:rPr>
          <w:rFonts w:ascii="Arial" w:eastAsia="Times New Roman" w:hAnsi="Arial" w:cs="Arial"/>
          <w:sz w:val="24"/>
          <w:szCs w:val="24"/>
        </w:rPr>
        <w:t xml:space="preserve">, </w:t>
      </w:r>
      <w:r w:rsidRPr="008E7227">
        <w:rPr>
          <w:rFonts w:ascii="Arial" w:eastAsia="Times New Roman" w:hAnsi="Arial" w:cs="Arial"/>
          <w:sz w:val="24"/>
          <w:szCs w:val="24"/>
        </w:rPr>
        <w:t>and the FAA Modernization and Reform Act of 2012</w:t>
      </w:r>
      <w:r w:rsidR="49D5724A">
        <w:rPr>
          <w:rFonts w:ascii="Arial" w:eastAsia="Times New Roman" w:hAnsi="Arial" w:cs="Arial"/>
          <w:sz w:val="24"/>
          <w:szCs w:val="24"/>
        </w:rPr>
        <w:t xml:space="preserve"> (49 U.S.C. </w:t>
      </w:r>
      <w:r w:rsidR="11E00D32">
        <w:rPr>
          <w:rFonts w:ascii="Arial" w:eastAsia="Times New Roman" w:hAnsi="Arial" w:cs="Arial"/>
          <w:sz w:val="24"/>
          <w:szCs w:val="24"/>
        </w:rPr>
        <w:t>4</w:t>
      </w:r>
      <w:r w:rsidR="74630BC7">
        <w:rPr>
          <w:rFonts w:ascii="Arial" w:eastAsia="Times New Roman" w:hAnsi="Arial" w:cs="Arial"/>
          <w:sz w:val="24"/>
          <w:szCs w:val="24"/>
        </w:rPr>
        <w:t>4733(d)(</w:t>
      </w:r>
      <w:r w:rsidR="409B9D08">
        <w:rPr>
          <w:rFonts w:ascii="Arial" w:eastAsia="Times New Roman" w:hAnsi="Arial" w:cs="Arial"/>
          <w:sz w:val="24"/>
          <w:szCs w:val="24"/>
        </w:rPr>
        <w:t>2)</w:t>
      </w:r>
      <w:r w:rsidR="162C6F13">
        <w:rPr>
          <w:rFonts w:ascii="Arial" w:eastAsia="Times New Roman" w:hAnsi="Arial" w:cs="Arial"/>
          <w:sz w:val="24"/>
          <w:szCs w:val="24"/>
        </w:rPr>
        <w:t>)</w:t>
      </w:r>
      <w:r w:rsidRPr="008E7227">
        <w:rPr>
          <w:rFonts w:ascii="Arial" w:eastAsia="Times New Roman" w:hAnsi="Arial" w:cs="Arial"/>
          <w:sz w:val="24"/>
          <w:szCs w:val="24"/>
        </w:rPr>
        <w:t xml:space="preserve">. </w:t>
      </w:r>
    </w:p>
    <w:p w:rsidR="006F567C" w:rsidP="61DDB35E" w14:paraId="2968B851" w14:textId="77777777">
      <w:pPr>
        <w:shd w:val="clear" w:color="auto" w:fill="FFFFFF" w:themeFill="background1"/>
        <w:spacing w:after="0" w:line="240" w:lineRule="auto"/>
        <w:rPr>
          <w:rFonts w:ascii="Arial" w:eastAsia="Times New Roman" w:hAnsi="Arial" w:cs="Arial"/>
          <w:sz w:val="24"/>
          <w:szCs w:val="24"/>
        </w:rPr>
      </w:pPr>
    </w:p>
    <w:p w:rsidR="000D340C" w:rsidP="61DDB35E" w14:paraId="4B52A02B" w14:textId="435EE9A3">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T</w:t>
      </w:r>
      <w:r w:rsidRPr="52F164E3">
        <w:rPr>
          <w:rFonts w:ascii="Arial" w:eastAsia="Times New Roman" w:hAnsi="Arial" w:cs="Arial"/>
          <w:sz w:val="24"/>
          <w:szCs w:val="24"/>
        </w:rPr>
        <w:t>he FAA Extension, Safety, and Security Act of 2016</w:t>
      </w:r>
      <w:r w:rsidRPr="52F164E3" w:rsidR="007C78AE">
        <w:rPr>
          <w:rFonts w:ascii="Arial" w:eastAsia="Times New Roman" w:hAnsi="Arial" w:cs="Arial"/>
          <w:sz w:val="24"/>
          <w:szCs w:val="24"/>
        </w:rPr>
        <w:t xml:space="preserve"> (2016 Act)</w:t>
      </w:r>
      <w:r w:rsidRPr="52F164E3">
        <w:rPr>
          <w:rFonts w:ascii="Arial" w:eastAsia="Times New Roman" w:hAnsi="Arial" w:cs="Arial"/>
          <w:sz w:val="24"/>
          <w:szCs w:val="24"/>
        </w:rPr>
        <w:t xml:space="preserve"> </w:t>
      </w:r>
      <w:r w:rsidRPr="52F164E3" w:rsidR="007C78AE">
        <w:rPr>
          <w:rFonts w:ascii="Arial" w:eastAsia="Times New Roman" w:hAnsi="Arial" w:cs="Arial"/>
          <w:sz w:val="24"/>
          <w:szCs w:val="24"/>
        </w:rPr>
        <w:t>and t</w:t>
      </w:r>
      <w:r w:rsidRPr="52F164E3" w:rsidR="009029B5">
        <w:rPr>
          <w:rFonts w:ascii="Arial" w:eastAsia="Times New Roman" w:hAnsi="Arial" w:cs="Arial"/>
          <w:sz w:val="24"/>
          <w:szCs w:val="24"/>
        </w:rPr>
        <w:t>he FAA Reauthorization Act of 2024</w:t>
      </w:r>
      <w:r w:rsidRPr="52F164E3" w:rsidR="007C78AE">
        <w:rPr>
          <w:rFonts w:ascii="Arial" w:eastAsia="Times New Roman" w:hAnsi="Arial" w:cs="Arial"/>
          <w:sz w:val="24"/>
          <w:szCs w:val="24"/>
        </w:rPr>
        <w:t xml:space="preserve"> (2024 Act)</w:t>
      </w:r>
      <w:r w:rsidRPr="52F164E3" w:rsidR="006F567C">
        <w:rPr>
          <w:rFonts w:ascii="Arial" w:eastAsia="Times New Roman" w:hAnsi="Arial" w:cs="Arial"/>
          <w:sz w:val="24"/>
          <w:szCs w:val="24"/>
        </w:rPr>
        <w:t xml:space="preserve"> </w:t>
      </w:r>
      <w:r w:rsidRPr="52F164E3" w:rsidR="007C78AE">
        <w:rPr>
          <w:rFonts w:ascii="Arial" w:eastAsia="Times New Roman" w:hAnsi="Arial" w:cs="Arial"/>
          <w:sz w:val="24"/>
          <w:szCs w:val="24"/>
        </w:rPr>
        <w:t>both</w:t>
      </w:r>
      <w:r w:rsidRPr="52F164E3" w:rsidR="009029B5">
        <w:rPr>
          <w:rFonts w:ascii="Arial" w:eastAsia="Times New Roman" w:hAnsi="Arial" w:cs="Arial"/>
          <w:sz w:val="24"/>
          <w:szCs w:val="24"/>
        </w:rPr>
        <w:t xml:space="preserve"> reemphasized Congress’s prioritization of drug and alcohol programs for foreign repair station employees who perform maintenance on part 121 air carrier aircraft. Specifically, section 302(b)</w:t>
      </w:r>
      <w:r w:rsidRPr="52F164E3" w:rsidR="007C78AE">
        <w:rPr>
          <w:rFonts w:ascii="Arial" w:eastAsia="Times New Roman" w:hAnsi="Arial" w:cs="Arial"/>
          <w:sz w:val="24"/>
          <w:szCs w:val="24"/>
        </w:rPr>
        <w:t xml:space="preserve"> of the 2024 Act</w:t>
      </w:r>
      <w:r w:rsidRPr="52F164E3" w:rsidR="009029B5">
        <w:rPr>
          <w:rFonts w:ascii="Arial" w:eastAsia="Times New Roman" w:hAnsi="Arial" w:cs="Arial"/>
          <w:sz w:val="24"/>
          <w:szCs w:val="24"/>
        </w:rPr>
        <w:t xml:space="preserve"> directed the FAA to issue a final rule within 18 months of the date of the enactment of the 2024 Act that carries out the requirements of the 2016 Act. </w:t>
      </w:r>
      <w:r w:rsidRPr="52F164E3" w:rsidR="006F567C">
        <w:rPr>
          <w:rFonts w:ascii="Arial" w:eastAsia="Times New Roman" w:hAnsi="Arial" w:cs="Arial"/>
          <w:sz w:val="24"/>
          <w:szCs w:val="24"/>
        </w:rPr>
        <w:t>This</w:t>
      </w:r>
      <w:r w:rsidRPr="52F164E3" w:rsidR="009029B5">
        <w:rPr>
          <w:rFonts w:ascii="Arial" w:eastAsia="Times New Roman" w:hAnsi="Arial" w:cs="Arial"/>
          <w:sz w:val="24"/>
          <w:szCs w:val="24"/>
        </w:rPr>
        <w:t xml:space="preserve"> final rule </w:t>
      </w:r>
      <w:r w:rsidRPr="52F164E3" w:rsidR="006F567C">
        <w:rPr>
          <w:rFonts w:ascii="Arial" w:eastAsia="Times New Roman" w:hAnsi="Arial" w:cs="Arial"/>
          <w:sz w:val="24"/>
          <w:szCs w:val="24"/>
        </w:rPr>
        <w:t>necessitates an update to this collection to account for</w:t>
      </w:r>
      <w:r w:rsidRPr="52F164E3" w:rsidR="007C78AE">
        <w:rPr>
          <w:rFonts w:ascii="Arial" w:eastAsia="Times New Roman" w:hAnsi="Arial" w:cs="Arial"/>
          <w:sz w:val="24"/>
          <w:szCs w:val="24"/>
        </w:rPr>
        <w:t xml:space="preserve"> these</w:t>
      </w:r>
      <w:r w:rsidRPr="52F164E3" w:rsidR="006F567C">
        <w:rPr>
          <w:rFonts w:ascii="Arial" w:eastAsia="Times New Roman" w:hAnsi="Arial" w:cs="Arial"/>
          <w:sz w:val="24"/>
          <w:szCs w:val="24"/>
        </w:rPr>
        <w:t xml:space="preserve"> foreign repair stations. </w:t>
      </w:r>
    </w:p>
    <w:p w:rsidR="000D340C" w:rsidP="61DDB35E" w14:paraId="5924BC1A" w14:textId="77777777">
      <w:pPr>
        <w:shd w:val="clear" w:color="auto" w:fill="FFFFFF" w:themeFill="background1"/>
        <w:spacing w:after="0" w:line="240" w:lineRule="auto"/>
        <w:rPr>
          <w:rFonts w:ascii="Arial" w:eastAsia="Times New Roman" w:hAnsi="Arial" w:cs="Arial"/>
          <w:sz w:val="24"/>
          <w:szCs w:val="24"/>
        </w:rPr>
      </w:pPr>
    </w:p>
    <w:p w:rsidR="00194B3A" w:rsidRPr="00CC2F5E" w:rsidP="61DDB35E" w14:paraId="224A1B77" w14:textId="0F7F4054">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T</w:t>
      </w:r>
      <w:r w:rsidRPr="52F164E3" w:rsidR="00ED03F4">
        <w:rPr>
          <w:rFonts w:ascii="Arial" w:eastAsia="Times New Roman" w:hAnsi="Arial" w:cs="Arial"/>
          <w:sz w:val="24"/>
          <w:szCs w:val="24"/>
        </w:rPr>
        <w:t>his collection of information supports the DOT and FAA strategic goals for safety.</w:t>
      </w:r>
      <w:r w:rsidR="00ED03F4">
        <w:br/>
      </w:r>
    </w:p>
    <w:p w:rsidR="00C64707" w:rsidRPr="00CC2F5E" w:rsidP="00C64707" w14:paraId="100C729C"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AC7DF5" w:rsidP="3BA2C846" w14:paraId="56544CAA" w14:textId="389901A3">
      <w:pPr>
        <w:shd w:val="clear" w:color="auto" w:fill="FFFFFF" w:themeFill="background1"/>
        <w:spacing w:after="0" w:line="240" w:lineRule="auto"/>
        <w:rPr>
          <w:rFonts w:ascii="Arial" w:hAnsi="Arial" w:cs="Arial"/>
          <w:sz w:val="24"/>
          <w:szCs w:val="24"/>
        </w:rPr>
      </w:pPr>
      <w:r>
        <w:br/>
      </w:r>
      <w:r w:rsidRPr="52F164E3" w:rsidR="00150C3B">
        <w:rPr>
          <w:rFonts w:ascii="Arial" w:eastAsia="Times New Roman" w:hAnsi="Arial" w:cs="Arial"/>
          <w:sz w:val="24"/>
          <w:szCs w:val="24"/>
        </w:rPr>
        <w:t>The drug and alcohol testing regulation requires p</w:t>
      </w:r>
      <w:r w:rsidRPr="52F164E3" w:rsidR="00831035">
        <w:rPr>
          <w:rFonts w:ascii="Arial" w:eastAsia="Times New Roman" w:hAnsi="Arial" w:cs="Arial"/>
          <w:sz w:val="24"/>
          <w:szCs w:val="24"/>
        </w:rPr>
        <w:t xml:space="preserve">art 119 certificate holders with the authority to operate under </w:t>
      </w:r>
      <w:r w:rsidRPr="52F164E3" w:rsidR="00831035">
        <w:rPr>
          <w:rFonts w:ascii="Arial" w:eastAsia="Times New Roman" w:hAnsi="Arial" w:cs="Arial"/>
          <w:sz w:val="24"/>
          <w:szCs w:val="24"/>
        </w:rPr>
        <w:t>part</w:t>
      </w:r>
      <w:r w:rsidRPr="52F164E3" w:rsidR="00831035">
        <w:rPr>
          <w:rFonts w:ascii="Arial" w:eastAsia="Times New Roman" w:hAnsi="Arial" w:cs="Arial"/>
          <w:sz w:val="24"/>
          <w:szCs w:val="24"/>
        </w:rPr>
        <w:t xml:space="preserve"> 121 and 135, air tour operators as defined in 14 CFR § 91.147, non-FAA or Military Air Traffic Control Facilities, </w:t>
      </w:r>
      <w:r w:rsidRPr="52F164E3" w:rsidR="00B76A5B">
        <w:rPr>
          <w:rFonts w:ascii="Arial" w:eastAsia="Times New Roman" w:hAnsi="Arial" w:cs="Arial"/>
          <w:sz w:val="24"/>
          <w:szCs w:val="24"/>
        </w:rPr>
        <w:t xml:space="preserve">and </w:t>
      </w:r>
      <w:r w:rsidRPr="52F164E3" w:rsidR="00831035">
        <w:rPr>
          <w:rFonts w:ascii="Arial" w:eastAsia="Times New Roman" w:hAnsi="Arial" w:cs="Arial"/>
          <w:sz w:val="24"/>
          <w:szCs w:val="24"/>
        </w:rPr>
        <w:t xml:space="preserve">contractors or </w:t>
      </w:r>
      <w:r w:rsidRPr="52F164E3" w:rsidR="008E7227">
        <w:rPr>
          <w:rFonts w:ascii="Arial" w:eastAsia="Times New Roman" w:hAnsi="Arial" w:cs="Arial"/>
          <w:sz w:val="24"/>
          <w:szCs w:val="24"/>
        </w:rPr>
        <w:t xml:space="preserve">domestic </w:t>
      </w:r>
      <w:r w:rsidRPr="52F164E3" w:rsidR="00831035">
        <w:rPr>
          <w:rFonts w:ascii="Arial" w:eastAsia="Times New Roman" w:hAnsi="Arial" w:cs="Arial"/>
          <w:sz w:val="24"/>
          <w:szCs w:val="24"/>
        </w:rPr>
        <w:t xml:space="preserve">part 145 </w:t>
      </w:r>
      <w:r w:rsidRPr="52F164E3" w:rsidR="00842AE5">
        <w:rPr>
          <w:rFonts w:ascii="Arial" w:eastAsia="Times New Roman" w:hAnsi="Arial" w:cs="Arial"/>
          <w:sz w:val="24"/>
          <w:szCs w:val="24"/>
        </w:rPr>
        <w:t xml:space="preserve">certificate holders </w:t>
      </w:r>
      <w:r w:rsidRPr="52F164E3" w:rsidR="00831035">
        <w:rPr>
          <w:rFonts w:ascii="Arial" w:eastAsia="Times New Roman" w:hAnsi="Arial" w:cs="Arial"/>
          <w:sz w:val="24"/>
          <w:szCs w:val="24"/>
        </w:rPr>
        <w:t xml:space="preserve">that </w:t>
      </w:r>
      <w:r w:rsidRPr="52F164E3" w:rsidR="0024739A">
        <w:rPr>
          <w:rFonts w:ascii="Arial" w:eastAsia="Times New Roman" w:hAnsi="Arial" w:cs="Arial"/>
          <w:sz w:val="24"/>
          <w:szCs w:val="24"/>
        </w:rPr>
        <w:t xml:space="preserve">elect to </w:t>
      </w:r>
      <w:r w:rsidRPr="52F164E3" w:rsidR="003426B2">
        <w:rPr>
          <w:rFonts w:ascii="Arial" w:eastAsia="Times New Roman" w:hAnsi="Arial" w:cs="Arial"/>
          <w:sz w:val="24"/>
          <w:szCs w:val="24"/>
        </w:rPr>
        <w:t>implement</w:t>
      </w:r>
      <w:r w:rsidRPr="52F164E3" w:rsidR="00831035">
        <w:rPr>
          <w:rFonts w:ascii="Arial" w:eastAsia="Times New Roman" w:hAnsi="Arial" w:cs="Arial"/>
          <w:sz w:val="24"/>
          <w:szCs w:val="24"/>
        </w:rPr>
        <w:t xml:space="preserve"> </w:t>
      </w:r>
      <w:r w:rsidRPr="52F164E3" w:rsidR="0024739A">
        <w:rPr>
          <w:rFonts w:ascii="Arial" w:eastAsia="Times New Roman" w:hAnsi="Arial" w:cs="Arial"/>
          <w:sz w:val="24"/>
          <w:szCs w:val="24"/>
        </w:rPr>
        <w:t xml:space="preserve">a </w:t>
      </w:r>
      <w:r w:rsidRPr="52F164E3" w:rsidR="00831035">
        <w:rPr>
          <w:rFonts w:ascii="Arial" w:eastAsia="Times New Roman" w:hAnsi="Arial" w:cs="Arial"/>
          <w:sz w:val="24"/>
          <w:szCs w:val="24"/>
        </w:rPr>
        <w:t>drug and alcohol testing program</w:t>
      </w:r>
      <w:r w:rsidRPr="52F164E3" w:rsidR="00E12068">
        <w:rPr>
          <w:rFonts w:ascii="Arial" w:eastAsia="Times New Roman" w:hAnsi="Arial" w:cs="Arial"/>
          <w:sz w:val="24"/>
          <w:szCs w:val="24"/>
        </w:rPr>
        <w:t xml:space="preserve"> to report information to this collection</w:t>
      </w:r>
      <w:r w:rsidRPr="52F164E3" w:rsidR="00B76A5B">
        <w:rPr>
          <w:rFonts w:ascii="Arial" w:eastAsia="Times New Roman" w:hAnsi="Arial" w:cs="Arial"/>
          <w:sz w:val="24"/>
          <w:szCs w:val="24"/>
        </w:rPr>
        <w:t xml:space="preserve">. </w:t>
      </w:r>
      <w:r w:rsidRPr="52F164E3" w:rsidR="001E21CB">
        <w:rPr>
          <w:rFonts w:ascii="Arial" w:eastAsia="Times New Roman" w:hAnsi="Arial" w:cs="Arial"/>
          <w:sz w:val="24"/>
          <w:szCs w:val="24"/>
        </w:rPr>
        <w:t xml:space="preserve">The final rule </w:t>
      </w:r>
      <w:r w:rsidRPr="52F164E3" w:rsidR="003735B9">
        <w:rPr>
          <w:rFonts w:ascii="Arial" w:eastAsia="Times New Roman" w:hAnsi="Arial" w:cs="Arial"/>
          <w:sz w:val="24"/>
          <w:szCs w:val="24"/>
        </w:rPr>
        <w:t>extends this requirement to</w:t>
      </w:r>
      <w:r w:rsidRPr="52F164E3" w:rsidR="00314645">
        <w:rPr>
          <w:rFonts w:ascii="Arial" w:eastAsia="Times New Roman" w:hAnsi="Arial" w:cs="Arial"/>
          <w:sz w:val="24"/>
          <w:szCs w:val="24"/>
        </w:rPr>
        <w:t xml:space="preserve"> </w:t>
      </w:r>
      <w:r w:rsidRPr="52F164E3" w:rsidR="003C0576">
        <w:rPr>
          <w:rFonts w:ascii="Arial" w:eastAsia="Times New Roman" w:hAnsi="Arial" w:cs="Arial"/>
          <w:sz w:val="24"/>
          <w:szCs w:val="24"/>
        </w:rPr>
        <w:t>part 145</w:t>
      </w:r>
      <w:r w:rsidRPr="52F164E3" w:rsidR="004A3F2C">
        <w:rPr>
          <w:rFonts w:ascii="Arial" w:eastAsia="Times New Roman" w:hAnsi="Arial" w:cs="Arial"/>
          <w:sz w:val="24"/>
          <w:szCs w:val="24"/>
        </w:rPr>
        <w:t xml:space="preserve"> certificate holders</w:t>
      </w:r>
      <w:r w:rsidRPr="52F164E3" w:rsidR="00B90D85">
        <w:rPr>
          <w:rFonts w:ascii="Arial" w:eastAsia="Times New Roman" w:hAnsi="Arial" w:cs="Arial"/>
          <w:sz w:val="24"/>
          <w:szCs w:val="24"/>
        </w:rPr>
        <w:t xml:space="preserve"> located outside the territory of the United States </w:t>
      </w:r>
      <w:r w:rsidRPr="52F164E3" w:rsidR="003C0576">
        <w:rPr>
          <w:rFonts w:ascii="Arial" w:eastAsia="Times New Roman" w:hAnsi="Arial" w:cs="Arial"/>
          <w:sz w:val="24"/>
          <w:szCs w:val="24"/>
        </w:rPr>
        <w:t>who perform safety-sensitive maintenance functions on part 121 air carrier aircraft</w:t>
      </w:r>
      <w:r w:rsidRPr="52F164E3" w:rsidR="00B90D85">
        <w:rPr>
          <w:rFonts w:ascii="Arial" w:eastAsia="Times New Roman" w:hAnsi="Arial" w:cs="Arial"/>
          <w:sz w:val="24"/>
          <w:szCs w:val="24"/>
        </w:rPr>
        <w:t>, and who obtain and implement a drug and alcohol testing program in accordance with 14 CFR part 120 and 49 CFR part 40</w:t>
      </w:r>
      <w:r w:rsidRPr="52F164E3" w:rsidR="00831035">
        <w:rPr>
          <w:rFonts w:ascii="Arial" w:eastAsia="Times New Roman" w:hAnsi="Arial" w:cs="Arial"/>
          <w:sz w:val="24"/>
          <w:szCs w:val="24"/>
        </w:rPr>
        <w:t xml:space="preserve">. </w:t>
      </w:r>
      <w:r w:rsidRPr="52F164E3" w:rsidR="00194B3A">
        <w:rPr>
          <w:rFonts w:ascii="Arial" w:hAnsi="Arial" w:cs="Arial"/>
          <w:sz w:val="24"/>
          <w:szCs w:val="24"/>
        </w:rPr>
        <w:t>Th</w:t>
      </w:r>
      <w:r w:rsidRPr="52F164E3" w:rsidR="009B2B32">
        <w:rPr>
          <w:rFonts w:ascii="Arial" w:hAnsi="Arial" w:cs="Arial"/>
          <w:sz w:val="24"/>
          <w:szCs w:val="24"/>
        </w:rPr>
        <w:t>e FAA uses this information for</w:t>
      </w:r>
      <w:r w:rsidRPr="52F164E3" w:rsidR="00194B3A">
        <w:rPr>
          <w:rFonts w:ascii="Arial" w:hAnsi="Arial" w:cs="Arial"/>
          <w:sz w:val="24"/>
          <w:szCs w:val="24"/>
        </w:rPr>
        <w:t xml:space="preserve"> determining program compliance or non-compliance </w:t>
      </w:r>
      <w:r w:rsidRPr="52F164E3" w:rsidR="009A552C">
        <w:rPr>
          <w:rFonts w:ascii="Arial" w:hAnsi="Arial" w:cs="Arial"/>
          <w:sz w:val="24"/>
          <w:szCs w:val="24"/>
        </w:rPr>
        <w:t>by</w:t>
      </w:r>
      <w:r w:rsidRPr="52F164E3" w:rsidR="00194B3A">
        <w:rPr>
          <w:rFonts w:ascii="Arial" w:hAnsi="Arial" w:cs="Arial"/>
          <w:sz w:val="24"/>
          <w:szCs w:val="24"/>
        </w:rPr>
        <w:t xml:space="preserve"> regulated aviation employers, oversight planning, determining who must </w:t>
      </w:r>
      <w:r w:rsidRPr="52F164E3" w:rsidR="001F5891">
        <w:rPr>
          <w:rFonts w:ascii="Arial" w:hAnsi="Arial" w:cs="Arial"/>
          <w:sz w:val="24"/>
          <w:szCs w:val="24"/>
        </w:rPr>
        <w:t>provide mandatory</w:t>
      </w:r>
      <w:r w:rsidRPr="52F164E3" w:rsidR="00EE6A49">
        <w:rPr>
          <w:rFonts w:ascii="Arial" w:hAnsi="Arial" w:cs="Arial"/>
          <w:sz w:val="24"/>
          <w:szCs w:val="24"/>
        </w:rPr>
        <w:t xml:space="preserve"> </w:t>
      </w:r>
      <w:r w:rsidRPr="52F164E3" w:rsidR="00194B3A">
        <w:rPr>
          <w:rFonts w:ascii="Arial" w:hAnsi="Arial" w:cs="Arial"/>
          <w:sz w:val="24"/>
          <w:szCs w:val="24"/>
        </w:rPr>
        <w:t xml:space="preserve">annual MIS testing information, and communicating with entities subject to the program regulations. In addition, the information is used to ensure that appropriate action is taken </w:t>
      </w:r>
      <w:r w:rsidRPr="52F164E3" w:rsidR="00145FEB">
        <w:rPr>
          <w:rFonts w:ascii="Arial" w:hAnsi="Arial" w:cs="Arial"/>
          <w:sz w:val="24"/>
          <w:szCs w:val="24"/>
        </w:rPr>
        <w:t>regarding</w:t>
      </w:r>
      <w:r w:rsidRPr="52F164E3" w:rsidR="00194B3A">
        <w:rPr>
          <w:rFonts w:ascii="Arial" w:hAnsi="Arial" w:cs="Arial"/>
          <w:sz w:val="24"/>
          <w:szCs w:val="24"/>
        </w:rPr>
        <w:t xml:space="preserve"> crewmembers and other safety-sensitive employees who have tested positive for drugs</w:t>
      </w:r>
      <w:r w:rsidRPr="52F164E3" w:rsidR="00410069">
        <w:rPr>
          <w:rFonts w:ascii="Arial" w:hAnsi="Arial" w:cs="Arial"/>
          <w:sz w:val="24"/>
          <w:szCs w:val="24"/>
        </w:rPr>
        <w:t>,</w:t>
      </w:r>
      <w:r w:rsidRPr="52F164E3" w:rsidR="00194B3A">
        <w:rPr>
          <w:rFonts w:ascii="Arial" w:hAnsi="Arial" w:cs="Arial"/>
          <w:sz w:val="24"/>
          <w:szCs w:val="24"/>
        </w:rPr>
        <w:t xml:space="preserve"> </w:t>
      </w:r>
      <w:r w:rsidRPr="52F164E3" w:rsidR="00410069">
        <w:rPr>
          <w:rFonts w:ascii="Arial" w:hAnsi="Arial" w:cs="Arial"/>
          <w:sz w:val="24"/>
          <w:szCs w:val="24"/>
        </w:rPr>
        <w:t xml:space="preserve">engaged in prohibited </w:t>
      </w:r>
      <w:r w:rsidRPr="52F164E3" w:rsidR="00194B3A">
        <w:rPr>
          <w:rFonts w:ascii="Arial" w:hAnsi="Arial" w:cs="Arial"/>
          <w:sz w:val="24"/>
          <w:szCs w:val="24"/>
        </w:rPr>
        <w:t>alcohol</w:t>
      </w:r>
      <w:r w:rsidRPr="52F164E3" w:rsidR="00410069">
        <w:rPr>
          <w:rFonts w:ascii="Arial" w:hAnsi="Arial" w:cs="Arial"/>
          <w:sz w:val="24"/>
          <w:szCs w:val="24"/>
        </w:rPr>
        <w:t xml:space="preserve"> related-conduct</w:t>
      </w:r>
      <w:r w:rsidRPr="52F164E3" w:rsidR="00194B3A">
        <w:rPr>
          <w:rFonts w:ascii="Arial" w:hAnsi="Arial" w:cs="Arial"/>
          <w:sz w:val="24"/>
          <w:szCs w:val="24"/>
        </w:rPr>
        <w:t>, or refused to submit to testing.</w:t>
      </w:r>
      <w:r w:rsidRPr="52F164E3">
        <w:rPr>
          <w:rFonts w:ascii="Arial" w:hAnsi="Arial" w:cs="Arial"/>
          <w:sz w:val="24"/>
          <w:szCs w:val="24"/>
        </w:rPr>
        <w:t xml:space="preserve"> </w:t>
      </w:r>
      <w:r w:rsidRPr="52F164E3" w:rsidR="00B45148">
        <w:rPr>
          <w:rFonts w:ascii="Arial" w:hAnsi="Arial" w:cs="Arial"/>
          <w:sz w:val="24"/>
          <w:szCs w:val="24"/>
        </w:rPr>
        <w:t>The collection includes reporting, recordkeeping, and disclosure information.</w:t>
      </w:r>
      <w:r w:rsidRPr="52F164E3" w:rsidR="008A232D">
        <w:rPr>
          <w:rFonts w:ascii="Arial" w:hAnsi="Arial" w:cs="Arial"/>
          <w:sz w:val="24"/>
          <w:szCs w:val="24"/>
        </w:rPr>
        <w:t xml:space="preserve"> </w:t>
      </w:r>
      <w:r w:rsidRPr="52F164E3" w:rsidR="004647F8">
        <w:rPr>
          <w:rFonts w:ascii="Arial" w:hAnsi="Arial" w:cs="Arial"/>
          <w:sz w:val="24"/>
          <w:szCs w:val="24"/>
        </w:rPr>
        <w:t xml:space="preserve">Using the information reported on the annual </w:t>
      </w:r>
      <w:r w:rsidRPr="52F164E3" w:rsidR="004647F8">
        <w:rPr>
          <w:rFonts w:ascii="Arial" w:hAnsi="Arial" w:cs="Arial"/>
          <w:sz w:val="24"/>
          <w:szCs w:val="24"/>
        </w:rPr>
        <w:t xml:space="preserve">MIS allows the FAA Administrator to determine the random testing rates for the following year, which </w:t>
      </w:r>
      <w:r w:rsidRPr="52F164E3" w:rsidR="00145FEB">
        <w:rPr>
          <w:rFonts w:ascii="Arial" w:hAnsi="Arial" w:cs="Arial"/>
          <w:sz w:val="24"/>
          <w:szCs w:val="24"/>
        </w:rPr>
        <w:t>are</w:t>
      </w:r>
      <w:r w:rsidRPr="52F164E3" w:rsidR="004647F8">
        <w:rPr>
          <w:rFonts w:ascii="Arial" w:hAnsi="Arial" w:cs="Arial"/>
          <w:sz w:val="24"/>
          <w:szCs w:val="24"/>
        </w:rPr>
        <w:t xml:space="preserve"> publ</w:t>
      </w:r>
      <w:r w:rsidRPr="52F164E3" w:rsidR="007424A6">
        <w:rPr>
          <w:rFonts w:ascii="Arial" w:hAnsi="Arial" w:cs="Arial"/>
          <w:sz w:val="24"/>
          <w:szCs w:val="24"/>
        </w:rPr>
        <w:t>ished in the Federal Register</w:t>
      </w:r>
      <w:r w:rsidRPr="52F164E3" w:rsidR="00BE2CC5">
        <w:rPr>
          <w:rFonts w:ascii="Arial" w:hAnsi="Arial" w:cs="Arial"/>
          <w:sz w:val="24"/>
          <w:szCs w:val="24"/>
        </w:rPr>
        <w:t>.</w:t>
      </w:r>
    </w:p>
    <w:p w:rsidR="00826E54" w:rsidP="3939C20D" w14:paraId="089F5762" w14:textId="77777777">
      <w:pPr>
        <w:shd w:val="clear" w:color="auto" w:fill="FFFFFF" w:themeFill="background1"/>
        <w:spacing w:after="0" w:line="240" w:lineRule="auto"/>
        <w:rPr>
          <w:rFonts w:ascii="Arial" w:hAnsi="Arial" w:cs="Arial"/>
          <w:sz w:val="24"/>
          <w:szCs w:val="24"/>
        </w:rPr>
      </w:pPr>
    </w:p>
    <w:p w:rsidR="00826E54" w:rsidRPr="00A07FB4" w:rsidP="502865A2" w14:paraId="2617D5E2" w14:textId="6687CE85">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 xml:space="preserve">In addition, foreign governments, on behalf of certificated repair stations within their territories, and individual foreign repair stations subject to the </w:t>
      </w:r>
      <w:r w:rsidRPr="52F164E3" w:rsidR="00E15B01">
        <w:rPr>
          <w:rFonts w:ascii="Arial" w:eastAsia="Times New Roman" w:hAnsi="Arial" w:cs="Arial"/>
          <w:sz w:val="24"/>
          <w:szCs w:val="24"/>
        </w:rPr>
        <w:t>requirements of 14 CFR part 120 may submit inform</w:t>
      </w:r>
      <w:r w:rsidRPr="52F164E3" w:rsidR="007610C8">
        <w:rPr>
          <w:rFonts w:ascii="Arial" w:eastAsia="Times New Roman" w:hAnsi="Arial" w:cs="Arial"/>
          <w:sz w:val="24"/>
          <w:szCs w:val="24"/>
        </w:rPr>
        <w:t>a</w:t>
      </w:r>
      <w:r w:rsidRPr="52F164E3" w:rsidR="00E15B01">
        <w:rPr>
          <w:rFonts w:ascii="Arial" w:eastAsia="Times New Roman" w:hAnsi="Arial" w:cs="Arial"/>
          <w:sz w:val="24"/>
          <w:szCs w:val="24"/>
        </w:rPr>
        <w:t>tio</w:t>
      </w:r>
      <w:r w:rsidRPr="52F164E3" w:rsidR="00984859">
        <w:rPr>
          <w:rFonts w:ascii="Arial" w:eastAsia="Times New Roman" w:hAnsi="Arial" w:cs="Arial"/>
          <w:sz w:val="24"/>
          <w:szCs w:val="24"/>
        </w:rPr>
        <w:t>n</w:t>
      </w:r>
      <w:r w:rsidRPr="52F164E3" w:rsidR="00E15B01">
        <w:rPr>
          <w:rFonts w:ascii="Arial" w:eastAsia="Times New Roman" w:hAnsi="Arial" w:cs="Arial"/>
          <w:sz w:val="24"/>
          <w:szCs w:val="24"/>
        </w:rPr>
        <w:t xml:space="preserve"> to this collection to seek </w:t>
      </w:r>
      <w:r w:rsidRPr="52F164E3">
        <w:rPr>
          <w:rFonts w:ascii="Arial" w:eastAsia="Times New Roman" w:hAnsi="Arial" w:cs="Arial"/>
          <w:sz w:val="24"/>
          <w:szCs w:val="24"/>
        </w:rPr>
        <w:t xml:space="preserve">the </w:t>
      </w:r>
      <w:r w:rsidRPr="52F164E3" w:rsidR="00984859">
        <w:rPr>
          <w:rFonts w:ascii="Arial" w:eastAsia="Times New Roman" w:hAnsi="Arial" w:cs="Arial"/>
          <w:sz w:val="24"/>
          <w:szCs w:val="24"/>
        </w:rPr>
        <w:t xml:space="preserve">FAA </w:t>
      </w:r>
      <w:r w:rsidRPr="52F164E3">
        <w:rPr>
          <w:rFonts w:ascii="Arial" w:eastAsia="Times New Roman" w:hAnsi="Arial" w:cs="Arial"/>
          <w:sz w:val="24"/>
          <w:szCs w:val="24"/>
        </w:rPr>
        <w:t xml:space="preserve">Administrator’s </w:t>
      </w:r>
      <w:bookmarkStart w:id="0" w:name="_Hlk175831942"/>
      <w:r w:rsidRPr="52F164E3">
        <w:rPr>
          <w:rFonts w:ascii="Arial" w:eastAsia="Times New Roman" w:hAnsi="Arial" w:cs="Arial"/>
          <w:sz w:val="24"/>
          <w:szCs w:val="24"/>
        </w:rPr>
        <w:t>recognition of a country</w:t>
      </w:r>
      <w:r w:rsidRPr="52F164E3" w:rsidR="00662776">
        <w:rPr>
          <w:rFonts w:ascii="Arial" w:eastAsia="Times New Roman" w:hAnsi="Arial" w:cs="Arial"/>
          <w:sz w:val="24"/>
          <w:szCs w:val="24"/>
        </w:rPr>
        <w:t>’s</w:t>
      </w:r>
      <w:r w:rsidRPr="52F164E3">
        <w:rPr>
          <w:rFonts w:ascii="Arial" w:eastAsia="Times New Roman" w:hAnsi="Arial" w:cs="Arial"/>
          <w:sz w:val="24"/>
          <w:szCs w:val="24"/>
        </w:rPr>
        <w:t xml:space="preserve"> or foreign repair station’s existing requirements or testing program(s) promulgated under the laws of the country as a compatible alternative </w:t>
      </w:r>
      <w:r w:rsidRPr="52F164E3" w:rsidR="00F25B8E">
        <w:rPr>
          <w:rFonts w:ascii="Arial" w:eastAsia="Times New Roman" w:hAnsi="Arial" w:cs="Arial"/>
          <w:sz w:val="24"/>
          <w:szCs w:val="24"/>
        </w:rPr>
        <w:t>to establishing a d</w:t>
      </w:r>
      <w:r w:rsidRPr="52F164E3" w:rsidR="005D0CD5">
        <w:rPr>
          <w:rFonts w:ascii="Arial" w:eastAsia="Times New Roman" w:hAnsi="Arial" w:cs="Arial"/>
          <w:sz w:val="24"/>
          <w:szCs w:val="24"/>
        </w:rPr>
        <w:t>r</w:t>
      </w:r>
      <w:r w:rsidRPr="52F164E3" w:rsidR="00F25B8E">
        <w:rPr>
          <w:rFonts w:ascii="Arial" w:eastAsia="Times New Roman" w:hAnsi="Arial" w:cs="Arial"/>
          <w:sz w:val="24"/>
          <w:szCs w:val="24"/>
        </w:rPr>
        <w:t>ug and alcohol testing program</w:t>
      </w:r>
      <w:bookmarkEnd w:id="0"/>
      <w:r w:rsidRPr="52F164E3" w:rsidR="000A0916">
        <w:rPr>
          <w:rFonts w:ascii="Arial" w:eastAsia="Times New Roman" w:hAnsi="Arial" w:cs="Arial"/>
          <w:sz w:val="24"/>
          <w:szCs w:val="24"/>
        </w:rPr>
        <w:t xml:space="preserve">. Such recognition is predicated on the establishment by the foreign government or repair station that </w:t>
      </w:r>
      <w:r w:rsidRPr="52F164E3" w:rsidR="003A175E">
        <w:rPr>
          <w:rFonts w:ascii="Arial" w:eastAsia="Times New Roman" w:hAnsi="Arial" w:cs="Arial"/>
          <w:sz w:val="24"/>
          <w:szCs w:val="24"/>
        </w:rPr>
        <w:t>its program</w:t>
      </w:r>
      <w:r w:rsidRPr="52F164E3" w:rsidR="00F25B8E">
        <w:rPr>
          <w:rFonts w:ascii="Arial" w:eastAsia="Times New Roman" w:hAnsi="Arial" w:cs="Arial"/>
          <w:sz w:val="24"/>
          <w:szCs w:val="24"/>
        </w:rPr>
        <w:t xml:space="preserve"> </w:t>
      </w:r>
      <w:r w:rsidRPr="52F164E3">
        <w:rPr>
          <w:rFonts w:ascii="Arial" w:eastAsia="Times New Roman" w:hAnsi="Arial" w:cs="Arial"/>
          <w:sz w:val="24"/>
          <w:szCs w:val="24"/>
        </w:rPr>
        <w:t>contains minimum elements of 14 CFR part 120</w:t>
      </w:r>
      <w:r w:rsidRPr="52F164E3" w:rsidR="00A71875">
        <w:rPr>
          <w:rFonts w:ascii="Arial" w:eastAsia="Times New Roman" w:hAnsi="Arial" w:cs="Arial"/>
          <w:sz w:val="24"/>
          <w:szCs w:val="24"/>
        </w:rPr>
        <w:t xml:space="preserve">, which requires certain information </w:t>
      </w:r>
      <w:r w:rsidRPr="52F164E3" w:rsidR="003B1EF0">
        <w:rPr>
          <w:rFonts w:ascii="Arial" w:eastAsia="Times New Roman" w:hAnsi="Arial" w:cs="Arial"/>
          <w:sz w:val="24"/>
          <w:szCs w:val="24"/>
        </w:rPr>
        <w:t xml:space="preserve">be provided to the FAA so the FAA </w:t>
      </w:r>
      <w:r w:rsidRPr="52F164E3" w:rsidR="00195DDF">
        <w:rPr>
          <w:rFonts w:ascii="Arial" w:eastAsia="Times New Roman" w:hAnsi="Arial" w:cs="Arial"/>
          <w:sz w:val="24"/>
          <w:szCs w:val="24"/>
        </w:rPr>
        <w:t xml:space="preserve">may determine </w:t>
      </w:r>
      <w:r w:rsidRPr="52F164E3" w:rsidR="006164E7">
        <w:rPr>
          <w:rFonts w:ascii="Arial" w:eastAsia="Times New Roman" w:hAnsi="Arial" w:cs="Arial"/>
          <w:sz w:val="24"/>
          <w:szCs w:val="24"/>
        </w:rPr>
        <w:t xml:space="preserve">the existing requirements </w:t>
      </w:r>
      <w:r w:rsidRPr="52F164E3" w:rsidR="00500890">
        <w:rPr>
          <w:rFonts w:ascii="Arial" w:eastAsia="Times New Roman" w:hAnsi="Arial" w:cs="Arial"/>
          <w:sz w:val="24"/>
          <w:szCs w:val="24"/>
        </w:rPr>
        <w:t>or testing program(s)</w:t>
      </w:r>
      <w:r w:rsidRPr="52F164E3" w:rsidR="00646235">
        <w:rPr>
          <w:rFonts w:ascii="Arial" w:eastAsia="Times New Roman" w:hAnsi="Arial" w:cs="Arial"/>
          <w:sz w:val="24"/>
          <w:szCs w:val="24"/>
        </w:rPr>
        <w:t xml:space="preserve"> meet the regulatory elements</w:t>
      </w:r>
      <w:r w:rsidRPr="52F164E3">
        <w:rPr>
          <w:rFonts w:ascii="Arial" w:eastAsia="Times New Roman" w:hAnsi="Arial" w:cs="Arial"/>
          <w:sz w:val="24"/>
          <w:szCs w:val="24"/>
        </w:rPr>
        <w:t>. Affected foreign repair stations that receive a recognition by the Administrator will be relieved from comprehensive compliance with subparts E and F of 14 CFR part 120 (in turn, providing relief from 49 CFR part 40) and will not need to seek further waivers or exemptions from 14 CFR part 120 or 49 CFR part 40. All other foreign repair stations subject to the rule will be required to meet 14 CFR part 120 and 49 CFR part 40, subject to any waivers or exemptions that a repair station may obtain. Foreign repair stations subject to the rule must comply not later than</w:t>
      </w:r>
      <w:r w:rsidRPr="52F164E3" w:rsidR="77746F99">
        <w:rPr>
          <w:rFonts w:ascii="Arial" w:eastAsia="Times New Roman" w:hAnsi="Arial" w:cs="Arial"/>
          <w:sz w:val="24"/>
          <w:szCs w:val="24"/>
        </w:rPr>
        <w:t xml:space="preserve"> three years after the date of publication in the Federal Register. </w:t>
      </w:r>
    </w:p>
    <w:p w:rsidR="00C64707" w:rsidRPr="00CC2F5E" w:rsidP="00C64707" w14:paraId="2A0F89BD" w14:textId="77777777">
      <w:pPr>
        <w:shd w:val="clear" w:color="auto" w:fill="FFFFFF"/>
        <w:spacing w:after="0" w:line="240" w:lineRule="auto"/>
        <w:rPr>
          <w:rFonts w:ascii="Arial" w:eastAsia="Times New Roman" w:hAnsi="Arial" w:cs="Arial"/>
          <w:sz w:val="24"/>
          <w:szCs w:val="24"/>
        </w:rPr>
      </w:pPr>
    </w:p>
    <w:p w:rsidR="00C64707" w:rsidRPr="00CC2F5E" w:rsidP="00C64707" w14:paraId="3123D2E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EC0727" w:rsidP="31EBC469" w14:paraId="069DD18C" w14:textId="1AAA65DE">
      <w:pPr>
        <w:rPr>
          <w:rFonts w:ascii="Arial" w:eastAsia="Times New Roman" w:hAnsi="Arial" w:cs="Arial"/>
          <w:sz w:val="24"/>
          <w:szCs w:val="24"/>
        </w:rPr>
      </w:pPr>
      <w:r>
        <w:br/>
      </w:r>
      <w:r w:rsidRPr="52F164E3" w:rsidR="00EC44D5">
        <w:rPr>
          <w:rFonts w:ascii="Arial" w:eastAsia="Times New Roman" w:hAnsi="Arial" w:cs="Arial"/>
          <w:sz w:val="24"/>
          <w:szCs w:val="24"/>
        </w:rPr>
        <w:t xml:space="preserve">Since </w:t>
      </w:r>
      <w:r w:rsidRPr="52F164E3">
        <w:rPr>
          <w:rFonts w:ascii="Arial" w:eastAsia="Times New Roman" w:hAnsi="Arial" w:cs="Arial"/>
          <w:sz w:val="24"/>
          <w:szCs w:val="24"/>
        </w:rPr>
        <w:t>2004, the Drug Abatement Division</w:t>
      </w:r>
      <w:r w:rsidRPr="52F164E3" w:rsidR="00145FEB">
        <w:rPr>
          <w:rFonts w:ascii="Arial" w:eastAsia="Times New Roman" w:hAnsi="Arial" w:cs="Arial"/>
          <w:sz w:val="24"/>
          <w:szCs w:val="24"/>
        </w:rPr>
        <w:t xml:space="preserve"> has</w:t>
      </w:r>
      <w:r w:rsidRPr="52F164E3">
        <w:rPr>
          <w:rFonts w:ascii="Arial" w:eastAsia="Times New Roman" w:hAnsi="Arial" w:cs="Arial"/>
          <w:sz w:val="24"/>
          <w:szCs w:val="24"/>
        </w:rPr>
        <w:t xml:space="preserve"> </w:t>
      </w:r>
      <w:r w:rsidRPr="52F164E3" w:rsidR="00EC44D5">
        <w:rPr>
          <w:rFonts w:ascii="Arial" w:eastAsia="Times New Roman" w:hAnsi="Arial" w:cs="Arial"/>
          <w:sz w:val="24"/>
          <w:szCs w:val="24"/>
        </w:rPr>
        <w:t xml:space="preserve">required part 119 certificate holders with the authority to operate under </w:t>
      </w:r>
      <w:r w:rsidRPr="52F164E3">
        <w:rPr>
          <w:rFonts w:ascii="Arial" w:eastAsia="Times New Roman" w:hAnsi="Arial" w:cs="Arial"/>
          <w:sz w:val="24"/>
          <w:szCs w:val="24"/>
        </w:rPr>
        <w:t>part</w:t>
      </w:r>
      <w:r w:rsidRPr="52F164E3">
        <w:rPr>
          <w:rFonts w:ascii="Arial" w:eastAsia="Times New Roman" w:hAnsi="Arial" w:cs="Arial"/>
          <w:sz w:val="24"/>
          <w:szCs w:val="24"/>
        </w:rPr>
        <w:t xml:space="preserve"> 121 and 135 and </w:t>
      </w:r>
      <w:r w:rsidRPr="52F164E3" w:rsidR="00145FEB">
        <w:rPr>
          <w:rFonts w:ascii="Arial" w:eastAsia="Times New Roman" w:hAnsi="Arial" w:cs="Arial"/>
          <w:sz w:val="24"/>
          <w:szCs w:val="24"/>
        </w:rPr>
        <w:t xml:space="preserve">domestic </w:t>
      </w:r>
      <w:r w:rsidRPr="52F164E3" w:rsidR="00395DD8">
        <w:rPr>
          <w:rFonts w:ascii="Arial" w:eastAsia="Times New Roman" w:hAnsi="Arial" w:cs="Arial"/>
          <w:sz w:val="24"/>
          <w:szCs w:val="24"/>
        </w:rPr>
        <w:t xml:space="preserve">part </w:t>
      </w:r>
      <w:r w:rsidRPr="52F164E3">
        <w:rPr>
          <w:rFonts w:ascii="Arial" w:eastAsia="Times New Roman" w:hAnsi="Arial" w:cs="Arial"/>
          <w:sz w:val="24"/>
          <w:szCs w:val="24"/>
        </w:rPr>
        <w:t xml:space="preserve">145 </w:t>
      </w:r>
      <w:r w:rsidRPr="52F164E3" w:rsidR="00EC44D5">
        <w:rPr>
          <w:rFonts w:ascii="Arial" w:eastAsia="Times New Roman" w:hAnsi="Arial" w:cs="Arial"/>
          <w:sz w:val="24"/>
          <w:szCs w:val="24"/>
        </w:rPr>
        <w:t xml:space="preserve">repair stations </w:t>
      </w:r>
      <w:r w:rsidRPr="52F164E3">
        <w:rPr>
          <w:rFonts w:ascii="Arial" w:eastAsia="Times New Roman" w:hAnsi="Arial" w:cs="Arial"/>
          <w:sz w:val="24"/>
          <w:szCs w:val="24"/>
        </w:rPr>
        <w:t xml:space="preserve">that </w:t>
      </w:r>
      <w:r w:rsidRPr="52F164E3" w:rsidR="00E17C2A">
        <w:rPr>
          <w:rFonts w:ascii="Arial" w:eastAsia="Times New Roman" w:hAnsi="Arial" w:cs="Arial"/>
          <w:sz w:val="24"/>
          <w:szCs w:val="24"/>
        </w:rPr>
        <w:t xml:space="preserve">elect to implement </w:t>
      </w:r>
      <w:r w:rsidRPr="52F164E3" w:rsidR="00EC44D5">
        <w:rPr>
          <w:rFonts w:ascii="Arial" w:eastAsia="Times New Roman" w:hAnsi="Arial" w:cs="Arial"/>
          <w:sz w:val="24"/>
          <w:szCs w:val="24"/>
        </w:rPr>
        <w:t xml:space="preserve">their own drug and alcohol testing </w:t>
      </w:r>
      <w:r w:rsidRPr="52F164E3">
        <w:rPr>
          <w:rFonts w:ascii="Arial" w:eastAsia="Times New Roman" w:hAnsi="Arial" w:cs="Arial"/>
          <w:sz w:val="24"/>
          <w:szCs w:val="24"/>
        </w:rPr>
        <w:t xml:space="preserve">programs to certify their compliance by obtaining </w:t>
      </w:r>
      <w:r w:rsidRPr="52F164E3" w:rsidR="00F01049">
        <w:rPr>
          <w:rFonts w:ascii="Arial" w:eastAsia="Times New Roman" w:hAnsi="Arial" w:cs="Arial"/>
          <w:sz w:val="24"/>
          <w:szCs w:val="24"/>
        </w:rPr>
        <w:t>a</w:t>
      </w:r>
      <w:r w:rsidRPr="52F164E3" w:rsidR="00EC44D5">
        <w:rPr>
          <w:rFonts w:ascii="Arial" w:eastAsia="Times New Roman" w:hAnsi="Arial" w:cs="Arial"/>
          <w:sz w:val="24"/>
          <w:szCs w:val="24"/>
        </w:rPr>
        <w:t xml:space="preserve"> drug</w:t>
      </w:r>
      <w:r w:rsidRPr="52F164E3" w:rsidR="009B2B32">
        <w:rPr>
          <w:rFonts w:ascii="Arial" w:eastAsia="Times New Roman" w:hAnsi="Arial" w:cs="Arial"/>
          <w:sz w:val="24"/>
          <w:szCs w:val="24"/>
        </w:rPr>
        <w:t xml:space="preserve"> and alcohol</w:t>
      </w:r>
      <w:r w:rsidRPr="52F164E3" w:rsidR="00EC44D5">
        <w:rPr>
          <w:rFonts w:ascii="Arial" w:eastAsia="Times New Roman" w:hAnsi="Arial" w:cs="Arial"/>
          <w:sz w:val="24"/>
          <w:szCs w:val="24"/>
        </w:rPr>
        <w:t xml:space="preserve"> </w:t>
      </w:r>
      <w:r w:rsidRPr="52F164E3" w:rsidR="0052756B">
        <w:rPr>
          <w:rFonts w:ascii="Arial" w:eastAsia="Times New Roman" w:hAnsi="Arial" w:cs="Arial"/>
          <w:sz w:val="24"/>
          <w:szCs w:val="24"/>
        </w:rPr>
        <w:t>testing</w:t>
      </w:r>
      <w:r w:rsidRPr="52F164E3" w:rsidR="00EC44D5">
        <w:rPr>
          <w:rFonts w:ascii="Arial" w:eastAsia="Times New Roman" w:hAnsi="Arial" w:cs="Arial"/>
          <w:sz w:val="24"/>
          <w:szCs w:val="24"/>
        </w:rPr>
        <w:t xml:space="preserve"> program</w:t>
      </w:r>
      <w:r w:rsidRPr="52F164E3" w:rsidR="009B2B32">
        <w:rPr>
          <w:rFonts w:ascii="Arial" w:eastAsia="Times New Roman" w:hAnsi="Arial" w:cs="Arial"/>
          <w:sz w:val="24"/>
          <w:szCs w:val="24"/>
        </w:rPr>
        <w:t xml:space="preserve"> </w:t>
      </w:r>
      <w:r w:rsidRPr="52F164E3" w:rsidR="00D31772">
        <w:rPr>
          <w:rFonts w:ascii="Arial" w:eastAsia="Times New Roman" w:hAnsi="Arial" w:cs="Arial"/>
          <w:sz w:val="24"/>
          <w:szCs w:val="24"/>
        </w:rPr>
        <w:t xml:space="preserve">paragraph </w:t>
      </w:r>
      <w:r w:rsidRPr="52F164E3" w:rsidR="009B2B32">
        <w:rPr>
          <w:rFonts w:ascii="Arial" w:eastAsia="Times New Roman" w:hAnsi="Arial" w:cs="Arial"/>
          <w:sz w:val="24"/>
          <w:szCs w:val="24"/>
        </w:rPr>
        <w:t>(</w:t>
      </w:r>
      <w:r w:rsidRPr="52F164E3">
        <w:rPr>
          <w:rFonts w:ascii="Arial" w:eastAsia="Times New Roman" w:hAnsi="Arial" w:cs="Arial"/>
          <w:sz w:val="24"/>
          <w:szCs w:val="24"/>
        </w:rPr>
        <w:t>A449</w:t>
      </w:r>
      <w:r w:rsidRPr="52F164E3" w:rsidR="009B2B32">
        <w:rPr>
          <w:rFonts w:ascii="Arial" w:eastAsia="Times New Roman" w:hAnsi="Arial" w:cs="Arial"/>
          <w:sz w:val="24"/>
          <w:szCs w:val="24"/>
        </w:rPr>
        <w:t>)</w:t>
      </w:r>
      <w:r w:rsidRPr="52F164E3" w:rsidR="006233A8">
        <w:rPr>
          <w:rFonts w:ascii="Arial" w:eastAsia="Times New Roman" w:hAnsi="Arial" w:cs="Arial"/>
          <w:sz w:val="24"/>
          <w:szCs w:val="24"/>
        </w:rPr>
        <w:t xml:space="preserve"> in FAA’s </w:t>
      </w:r>
      <w:r w:rsidRPr="52F164E3">
        <w:rPr>
          <w:rFonts w:ascii="Arial" w:eastAsia="Times New Roman" w:hAnsi="Arial" w:cs="Arial"/>
          <w:sz w:val="24"/>
          <w:szCs w:val="24"/>
        </w:rPr>
        <w:t>Operations Specification</w:t>
      </w:r>
      <w:r w:rsidRPr="52F164E3" w:rsidR="006233A8">
        <w:rPr>
          <w:rFonts w:ascii="Arial" w:eastAsia="Times New Roman" w:hAnsi="Arial" w:cs="Arial"/>
          <w:sz w:val="24"/>
          <w:szCs w:val="24"/>
        </w:rPr>
        <w:t>s System (OPSS)</w:t>
      </w:r>
      <w:r w:rsidRPr="52F164E3" w:rsidR="00023FC1">
        <w:rPr>
          <w:rFonts w:ascii="Arial" w:eastAsia="Times New Roman" w:hAnsi="Arial" w:cs="Arial"/>
          <w:sz w:val="24"/>
          <w:szCs w:val="24"/>
        </w:rPr>
        <w:t>.</w:t>
      </w:r>
      <w:r w:rsidRPr="52F164E3">
        <w:rPr>
          <w:rFonts w:ascii="Arial" w:eastAsia="Times New Roman" w:hAnsi="Arial" w:cs="Arial"/>
          <w:sz w:val="24"/>
          <w:szCs w:val="24"/>
        </w:rPr>
        <w:t xml:space="preserve"> </w:t>
      </w:r>
      <w:r w:rsidRPr="52F164E3" w:rsidR="00145FEB">
        <w:rPr>
          <w:rFonts w:ascii="Arial" w:eastAsia="Times New Roman" w:hAnsi="Arial" w:cs="Arial"/>
          <w:sz w:val="24"/>
          <w:szCs w:val="24"/>
        </w:rPr>
        <w:t xml:space="preserve">Because of the Act, which implemented 49 U.S.C. 44733, </w:t>
      </w:r>
      <w:r w:rsidRPr="52F164E3" w:rsidR="00FA2837">
        <w:rPr>
          <w:rFonts w:ascii="Arial" w:eastAsia="Times New Roman" w:hAnsi="Arial" w:cs="Arial"/>
          <w:sz w:val="24"/>
          <w:szCs w:val="24"/>
        </w:rPr>
        <w:t xml:space="preserve">the FAA issued a </w:t>
      </w:r>
      <w:r w:rsidRPr="52F164E3" w:rsidR="0087431B">
        <w:rPr>
          <w:rFonts w:ascii="Arial" w:eastAsia="Times New Roman" w:hAnsi="Arial" w:cs="Arial"/>
          <w:sz w:val="24"/>
          <w:szCs w:val="24"/>
        </w:rPr>
        <w:t>final rule</w:t>
      </w:r>
      <w:r w:rsidRPr="52F164E3" w:rsidR="00FA2837">
        <w:rPr>
          <w:rFonts w:ascii="Arial" w:eastAsia="Times New Roman" w:hAnsi="Arial" w:cs="Arial"/>
          <w:sz w:val="24"/>
          <w:szCs w:val="24"/>
        </w:rPr>
        <w:t xml:space="preserve">, Drug and Alcohol Testing of Certificated Repair Station Employees Located Outside of the United States, which </w:t>
      </w:r>
      <w:r w:rsidRPr="52F164E3" w:rsidR="0087431B">
        <w:rPr>
          <w:rFonts w:ascii="Arial" w:eastAsia="Times New Roman" w:hAnsi="Arial" w:cs="Arial"/>
          <w:sz w:val="24"/>
          <w:szCs w:val="24"/>
        </w:rPr>
        <w:t>requires</w:t>
      </w:r>
      <w:r w:rsidRPr="52F164E3" w:rsidR="00AF66E5">
        <w:rPr>
          <w:rFonts w:ascii="Arial" w:eastAsia="Times New Roman" w:hAnsi="Arial" w:cs="Arial"/>
          <w:sz w:val="24"/>
          <w:szCs w:val="24"/>
        </w:rPr>
        <w:t xml:space="preserve"> </w:t>
      </w:r>
      <w:r w:rsidRPr="52F164E3" w:rsidR="00145FEB">
        <w:rPr>
          <w:rFonts w:ascii="Arial" w:eastAsia="Times New Roman" w:hAnsi="Arial" w:cs="Arial"/>
          <w:sz w:val="24"/>
          <w:szCs w:val="24"/>
        </w:rPr>
        <w:t xml:space="preserve">part 145 certificated repair stations located outside the territory of the United States </w:t>
      </w:r>
      <w:r w:rsidRPr="52F164E3" w:rsidR="00C613DC">
        <w:rPr>
          <w:rFonts w:ascii="Arial" w:eastAsia="Times New Roman" w:hAnsi="Arial" w:cs="Arial"/>
          <w:sz w:val="24"/>
          <w:szCs w:val="24"/>
        </w:rPr>
        <w:t xml:space="preserve">who perform safety-sensitive maintenance functions on part 121 air carrier aircraft, and who obtain and implement a drug and alcohol testing program in accordance with 14 CFR part 120 and 49 CFR part 40, </w:t>
      </w:r>
      <w:r w:rsidRPr="52F164E3" w:rsidR="00145FEB">
        <w:rPr>
          <w:rFonts w:ascii="Arial" w:eastAsia="Times New Roman" w:hAnsi="Arial" w:cs="Arial"/>
          <w:sz w:val="24"/>
          <w:szCs w:val="24"/>
        </w:rPr>
        <w:t>to obtain an A449 paragraph</w:t>
      </w:r>
      <w:r w:rsidRPr="52F164E3" w:rsidR="00840947">
        <w:rPr>
          <w:rFonts w:ascii="Arial" w:eastAsia="Times New Roman" w:hAnsi="Arial" w:cs="Arial"/>
          <w:sz w:val="24"/>
          <w:szCs w:val="24"/>
        </w:rPr>
        <w:t xml:space="preserve"> as part of their Operations Specifications</w:t>
      </w:r>
      <w:r w:rsidRPr="52F164E3" w:rsidR="00145FEB">
        <w:rPr>
          <w:rFonts w:ascii="Arial" w:eastAsia="Times New Roman" w:hAnsi="Arial" w:cs="Arial"/>
          <w:sz w:val="24"/>
          <w:szCs w:val="24"/>
        </w:rPr>
        <w:t>.</w:t>
      </w:r>
      <w:r w:rsidRPr="52F164E3">
        <w:rPr>
          <w:rFonts w:ascii="Arial" w:eastAsia="Times New Roman" w:hAnsi="Arial" w:cs="Arial"/>
          <w:sz w:val="24"/>
          <w:szCs w:val="24"/>
        </w:rPr>
        <w:t xml:space="preserve"> Companies that possess the capability of transmitting information securely can make and amend these entries electronically. </w:t>
      </w:r>
      <w:r w:rsidRPr="52F164E3" w:rsidR="005E0988">
        <w:rPr>
          <w:rFonts w:ascii="Arial" w:eastAsia="Times New Roman" w:hAnsi="Arial" w:cs="Arial"/>
          <w:sz w:val="24"/>
          <w:szCs w:val="24"/>
        </w:rPr>
        <w:t xml:space="preserve">Others may </w:t>
      </w:r>
      <w:r w:rsidRPr="52F164E3">
        <w:rPr>
          <w:rFonts w:ascii="Arial" w:eastAsia="Times New Roman" w:hAnsi="Arial" w:cs="Arial"/>
          <w:sz w:val="24"/>
          <w:szCs w:val="24"/>
        </w:rPr>
        <w:t>mail</w:t>
      </w:r>
      <w:r w:rsidRPr="52F164E3" w:rsidR="00EC44D5">
        <w:rPr>
          <w:rFonts w:ascii="Arial" w:eastAsia="Times New Roman" w:hAnsi="Arial" w:cs="Arial"/>
          <w:sz w:val="24"/>
          <w:szCs w:val="24"/>
        </w:rPr>
        <w:t xml:space="preserve">, </w:t>
      </w:r>
      <w:r w:rsidRPr="52F164E3" w:rsidR="00EC44D5">
        <w:rPr>
          <w:rFonts w:ascii="Arial" w:eastAsia="Times New Roman" w:hAnsi="Arial" w:cs="Arial"/>
          <w:sz w:val="24"/>
          <w:szCs w:val="24"/>
        </w:rPr>
        <w:t>email</w:t>
      </w:r>
      <w:r w:rsidRPr="52F164E3" w:rsidR="00EC44D5">
        <w:rPr>
          <w:rFonts w:ascii="Arial" w:eastAsia="Times New Roman" w:hAnsi="Arial" w:cs="Arial"/>
          <w:sz w:val="24"/>
          <w:szCs w:val="24"/>
        </w:rPr>
        <w:t xml:space="preserve"> </w:t>
      </w:r>
      <w:r w:rsidRPr="52F164E3" w:rsidR="00023FC1">
        <w:rPr>
          <w:rFonts w:ascii="Arial" w:eastAsia="Times New Roman" w:hAnsi="Arial" w:cs="Arial"/>
          <w:sz w:val="24"/>
          <w:szCs w:val="24"/>
        </w:rPr>
        <w:t xml:space="preserve">or fax the information </w:t>
      </w:r>
      <w:r w:rsidRPr="52F164E3">
        <w:rPr>
          <w:rFonts w:ascii="Arial" w:eastAsia="Times New Roman" w:hAnsi="Arial" w:cs="Arial"/>
          <w:sz w:val="24"/>
          <w:szCs w:val="24"/>
        </w:rPr>
        <w:t xml:space="preserve">to be input by the FAA. </w:t>
      </w:r>
      <w:r w:rsidRPr="52F164E3" w:rsidR="006233A8">
        <w:rPr>
          <w:rFonts w:ascii="Arial" w:eastAsia="Times New Roman" w:hAnsi="Arial" w:cs="Arial"/>
          <w:sz w:val="24"/>
          <w:szCs w:val="24"/>
        </w:rPr>
        <w:t>In 2004, the DOT and FAA</w:t>
      </w:r>
      <w:r w:rsidRPr="52F164E3" w:rsidR="005E0988">
        <w:rPr>
          <w:rFonts w:ascii="Arial" w:eastAsia="Times New Roman" w:hAnsi="Arial" w:cs="Arial"/>
          <w:sz w:val="24"/>
          <w:szCs w:val="24"/>
        </w:rPr>
        <w:t xml:space="preserve"> allowed electronic reporting of annual MIS data using the Drug and Alcohol Management Information System (DAMIS).</w:t>
      </w:r>
      <w:r w:rsidRPr="52F164E3">
        <w:rPr>
          <w:rFonts w:ascii="Arial" w:eastAsia="Times New Roman" w:hAnsi="Arial" w:cs="Arial"/>
          <w:sz w:val="24"/>
          <w:szCs w:val="24"/>
        </w:rPr>
        <w:t xml:space="preserve"> Therefore, in reference to the </w:t>
      </w:r>
      <w:r w:rsidRPr="52F164E3" w:rsidR="006233A8">
        <w:rPr>
          <w:rFonts w:ascii="Arial" w:eastAsia="Times New Roman" w:hAnsi="Arial" w:cs="Arial"/>
          <w:sz w:val="24"/>
          <w:szCs w:val="24"/>
        </w:rPr>
        <w:t xml:space="preserve">Government </w:t>
      </w:r>
      <w:r w:rsidRPr="52F164E3">
        <w:rPr>
          <w:rFonts w:ascii="Arial" w:eastAsia="Times New Roman" w:hAnsi="Arial" w:cs="Arial"/>
          <w:sz w:val="24"/>
          <w:szCs w:val="24"/>
        </w:rPr>
        <w:t>Paperwork Reduction Act requirements, and as explained in the following paragraph,</w:t>
      </w:r>
      <w:r w:rsidRPr="52F164E3" w:rsidR="00C57D6F">
        <w:rPr>
          <w:rFonts w:ascii="Arial" w:eastAsia="Times New Roman" w:hAnsi="Arial" w:cs="Arial"/>
          <w:sz w:val="24"/>
          <w:szCs w:val="24"/>
        </w:rPr>
        <w:t xml:space="preserve"> all respondents have the option to submit electronically, and</w:t>
      </w:r>
      <w:r w:rsidRPr="52F164E3">
        <w:rPr>
          <w:rFonts w:ascii="Arial" w:eastAsia="Times New Roman" w:hAnsi="Arial" w:cs="Arial"/>
          <w:sz w:val="24"/>
          <w:szCs w:val="24"/>
        </w:rPr>
        <w:t xml:space="preserve"> most </w:t>
      </w:r>
      <w:r w:rsidRPr="52F164E3" w:rsidR="00C57D6F">
        <w:rPr>
          <w:rFonts w:ascii="Arial" w:eastAsia="Times New Roman" w:hAnsi="Arial" w:cs="Arial"/>
          <w:sz w:val="24"/>
          <w:szCs w:val="24"/>
        </w:rPr>
        <w:t xml:space="preserve">respondents choose to submit </w:t>
      </w:r>
      <w:r w:rsidRPr="52F164E3">
        <w:rPr>
          <w:rFonts w:ascii="Arial" w:eastAsia="Times New Roman" w:hAnsi="Arial" w:cs="Arial"/>
          <w:sz w:val="24"/>
          <w:szCs w:val="24"/>
        </w:rPr>
        <w:t>electronically.</w:t>
      </w:r>
      <w:r w:rsidRPr="52F164E3" w:rsidR="0025373C">
        <w:rPr>
          <w:rFonts w:ascii="Arial" w:eastAsia="Times New Roman" w:hAnsi="Arial" w:cs="Arial"/>
          <w:sz w:val="24"/>
          <w:szCs w:val="24"/>
        </w:rPr>
        <w:t xml:space="preserve"> </w:t>
      </w:r>
    </w:p>
    <w:p w:rsidR="00EC0727" w:rsidP="00EC0727" w14:paraId="21C3A6FA" w14:textId="72AC906C">
      <w:pPr>
        <w:rPr>
          <w:rFonts w:ascii="Arial" w:eastAsia="Times New Roman" w:hAnsi="Arial" w:cs="Arial"/>
          <w:sz w:val="24"/>
          <w:szCs w:val="24"/>
        </w:rPr>
      </w:pPr>
      <w:r w:rsidRPr="52F164E3">
        <w:rPr>
          <w:rFonts w:ascii="Arial" w:eastAsia="Times New Roman" w:hAnsi="Arial" w:cs="Arial"/>
          <w:sz w:val="24"/>
          <w:szCs w:val="24"/>
        </w:rPr>
        <w:t xml:space="preserve">Foreign governments or individual foreign repair stations that </w:t>
      </w:r>
      <w:r w:rsidRPr="52F164E3" w:rsidR="004F4298">
        <w:rPr>
          <w:rFonts w:ascii="Arial" w:eastAsia="Times New Roman" w:hAnsi="Arial" w:cs="Arial"/>
          <w:sz w:val="24"/>
          <w:szCs w:val="24"/>
        </w:rPr>
        <w:t xml:space="preserve">seek to </w:t>
      </w:r>
      <w:r w:rsidRPr="52F164E3">
        <w:rPr>
          <w:rFonts w:ascii="Arial" w:eastAsia="Times New Roman" w:hAnsi="Arial" w:cs="Arial"/>
          <w:sz w:val="24"/>
          <w:szCs w:val="24"/>
        </w:rPr>
        <w:t>obtain the Administrator’s recognition of a country or foreign repair station’s existing requirements or testing program(s)</w:t>
      </w:r>
      <w:r w:rsidRPr="52F164E3" w:rsidR="00EE53CB">
        <w:rPr>
          <w:rFonts w:ascii="Arial" w:eastAsia="Times New Roman" w:hAnsi="Arial" w:cs="Arial"/>
          <w:sz w:val="24"/>
          <w:szCs w:val="24"/>
        </w:rPr>
        <w:t xml:space="preserve"> </w:t>
      </w:r>
      <w:r w:rsidRPr="52F164E3" w:rsidR="00090A0A">
        <w:rPr>
          <w:rFonts w:ascii="Arial" w:eastAsia="Times New Roman" w:hAnsi="Arial" w:cs="Arial"/>
          <w:sz w:val="24"/>
          <w:szCs w:val="24"/>
        </w:rPr>
        <w:t>can make these requests electronically</w:t>
      </w:r>
      <w:r w:rsidRPr="52F164E3" w:rsidR="00B85F89">
        <w:rPr>
          <w:rFonts w:ascii="Arial" w:eastAsia="Times New Roman" w:hAnsi="Arial" w:cs="Arial"/>
          <w:sz w:val="24"/>
          <w:szCs w:val="24"/>
        </w:rPr>
        <w:t xml:space="preserve"> by </w:t>
      </w:r>
      <w:r w:rsidRPr="52F164E3" w:rsidR="00E25192">
        <w:rPr>
          <w:rFonts w:ascii="Arial" w:eastAsia="Times New Roman" w:hAnsi="Arial" w:cs="Arial"/>
          <w:sz w:val="24"/>
          <w:szCs w:val="24"/>
        </w:rPr>
        <w:t xml:space="preserve">email or may use </w:t>
      </w:r>
      <w:r w:rsidRPr="52F164E3" w:rsidR="00D70153">
        <w:rPr>
          <w:rFonts w:ascii="Arial" w:eastAsia="Times New Roman" w:hAnsi="Arial" w:cs="Arial"/>
          <w:sz w:val="24"/>
          <w:szCs w:val="24"/>
        </w:rPr>
        <w:t>mail or f</w:t>
      </w:r>
      <w:r w:rsidRPr="52F164E3" w:rsidR="00E25192">
        <w:rPr>
          <w:rFonts w:ascii="Arial" w:eastAsia="Times New Roman" w:hAnsi="Arial" w:cs="Arial"/>
          <w:sz w:val="24"/>
          <w:szCs w:val="24"/>
        </w:rPr>
        <w:t xml:space="preserve">ax. </w:t>
      </w:r>
      <w:r w:rsidRPr="52F164E3" w:rsidR="00EE1867">
        <w:rPr>
          <w:rFonts w:ascii="Arial" w:eastAsia="Times New Roman" w:hAnsi="Arial" w:cs="Arial"/>
          <w:sz w:val="24"/>
          <w:szCs w:val="24"/>
        </w:rPr>
        <w:t>All respondents have the option to submit electronically, and the FAA expects most respondents will choose to submit electronically.</w:t>
      </w:r>
    </w:p>
    <w:p w:rsidR="00D96E40" w:rsidRPr="00CC2F5E" w:rsidP="00EC0727" w14:paraId="2B6D205F" w14:textId="41F9A88B">
      <w:pPr>
        <w:rPr>
          <w:rFonts w:ascii="Arial" w:eastAsia="Times New Roman" w:hAnsi="Arial" w:cs="Arial"/>
          <w:sz w:val="24"/>
          <w:szCs w:val="24"/>
        </w:rPr>
      </w:pPr>
      <w:r w:rsidRPr="00CC2F5E">
        <w:rPr>
          <w:rFonts w:ascii="Arial" w:eastAsia="Times New Roman" w:hAnsi="Arial" w:cs="Arial"/>
          <w:sz w:val="24"/>
          <w:szCs w:val="24"/>
        </w:rPr>
        <w:t>Line 13.b.1. of the Paperwork Reduction Act Submission form, i.e., “Percentage of these responses collected electronically” refers to responses required in the form of reports to the FAA</w:t>
      </w:r>
      <w:r w:rsidR="00D26611">
        <w:rPr>
          <w:rFonts w:ascii="Arial" w:eastAsia="Times New Roman" w:hAnsi="Arial" w:cs="Arial"/>
          <w:sz w:val="24"/>
          <w:szCs w:val="24"/>
        </w:rPr>
        <w:t xml:space="preserve">. Of the responses to </w:t>
      </w:r>
      <w:r w:rsidRPr="00CC2F5E">
        <w:rPr>
          <w:rFonts w:ascii="Arial" w:eastAsia="Times New Roman" w:hAnsi="Arial" w:cs="Arial"/>
          <w:sz w:val="24"/>
          <w:szCs w:val="24"/>
        </w:rPr>
        <w:t>items 2, 10, 11, 12 and 13 on the attached table</w:t>
      </w:r>
      <w:r w:rsidR="00D26611">
        <w:rPr>
          <w:rFonts w:ascii="Arial" w:eastAsia="Times New Roman" w:hAnsi="Arial" w:cs="Arial"/>
          <w:sz w:val="24"/>
          <w:szCs w:val="24"/>
        </w:rPr>
        <w:t>,</w:t>
      </w:r>
      <w:r w:rsidRPr="00CC2F5E">
        <w:rPr>
          <w:rFonts w:ascii="Arial" w:eastAsia="Times New Roman" w:hAnsi="Arial" w:cs="Arial"/>
          <w:sz w:val="24"/>
          <w:szCs w:val="24"/>
        </w:rPr>
        <w:t xml:space="preserve"> </w:t>
      </w:r>
      <w:r w:rsidRPr="00CC2F5E" w:rsidR="00344D18">
        <w:rPr>
          <w:rFonts w:ascii="Arial" w:eastAsia="Times New Roman" w:hAnsi="Arial" w:cs="Arial"/>
          <w:sz w:val="24"/>
          <w:szCs w:val="24"/>
        </w:rPr>
        <w:t>8</w:t>
      </w:r>
      <w:r w:rsidRPr="00CC2F5E">
        <w:rPr>
          <w:rFonts w:ascii="Arial" w:eastAsia="Times New Roman" w:hAnsi="Arial" w:cs="Arial"/>
          <w:sz w:val="24"/>
          <w:szCs w:val="24"/>
        </w:rPr>
        <w:t xml:space="preserve">0% are submitted to the FAA electronically. The remaining Paperwork Burden responses consist of recordkeeping and may be accomplished in any form (electronic or otherwise) that the respondents choose.  </w:t>
      </w:r>
      <w:r w:rsidR="00D26611">
        <w:rPr>
          <w:rFonts w:ascii="Arial" w:eastAsia="Times New Roman" w:hAnsi="Arial" w:cs="Arial"/>
          <w:sz w:val="24"/>
          <w:szCs w:val="24"/>
        </w:rPr>
        <w:t xml:space="preserve">The FAA estimates </w:t>
      </w:r>
      <w:r w:rsidRPr="00CC2F5E">
        <w:rPr>
          <w:rFonts w:ascii="Arial" w:eastAsia="Times New Roman" w:hAnsi="Arial" w:cs="Arial"/>
          <w:sz w:val="24"/>
          <w:szCs w:val="24"/>
        </w:rPr>
        <w:t>that a similar percentage of these responses</w:t>
      </w:r>
      <w:r w:rsidR="00D26611">
        <w:rPr>
          <w:rFonts w:ascii="Arial" w:eastAsia="Times New Roman" w:hAnsi="Arial" w:cs="Arial"/>
          <w:sz w:val="24"/>
          <w:szCs w:val="24"/>
        </w:rPr>
        <w:t xml:space="preserve"> (</w:t>
      </w:r>
      <w:r w:rsidRPr="00CC2F5E">
        <w:rPr>
          <w:rFonts w:ascii="Arial" w:eastAsia="Times New Roman" w:hAnsi="Arial" w:cs="Arial"/>
          <w:sz w:val="24"/>
          <w:szCs w:val="24"/>
        </w:rPr>
        <w:t xml:space="preserve">i.e., </w:t>
      </w:r>
      <w:r w:rsidRPr="00CC2F5E" w:rsidR="00344D18">
        <w:rPr>
          <w:rFonts w:ascii="Arial" w:eastAsia="Times New Roman" w:hAnsi="Arial" w:cs="Arial"/>
          <w:sz w:val="24"/>
          <w:szCs w:val="24"/>
        </w:rPr>
        <w:t>8</w:t>
      </w:r>
      <w:r w:rsidRPr="00CC2F5E">
        <w:rPr>
          <w:rFonts w:ascii="Arial" w:eastAsia="Times New Roman" w:hAnsi="Arial" w:cs="Arial"/>
          <w:sz w:val="24"/>
          <w:szCs w:val="24"/>
        </w:rPr>
        <w:t>0%</w:t>
      </w:r>
      <w:r w:rsidR="00D26611">
        <w:rPr>
          <w:rFonts w:ascii="Arial" w:eastAsia="Times New Roman" w:hAnsi="Arial" w:cs="Arial"/>
          <w:sz w:val="24"/>
          <w:szCs w:val="24"/>
        </w:rPr>
        <w:t>)</w:t>
      </w:r>
      <w:r w:rsidRPr="00CC2F5E">
        <w:rPr>
          <w:rFonts w:ascii="Arial" w:eastAsia="Times New Roman" w:hAnsi="Arial" w:cs="Arial"/>
          <w:sz w:val="24"/>
          <w:szCs w:val="24"/>
        </w:rPr>
        <w:t xml:space="preserve"> are maintained electronically as well.</w:t>
      </w:r>
    </w:p>
    <w:p w:rsidR="00C64707" w:rsidRPr="00CC2F5E" w:rsidP="00C64707" w14:paraId="147FB9A7" w14:textId="77777777">
      <w:pPr>
        <w:shd w:val="clear" w:color="auto" w:fill="FFFFFF"/>
        <w:spacing w:after="0" w:line="240" w:lineRule="auto"/>
        <w:rPr>
          <w:rFonts w:ascii="Arial" w:eastAsia="Times New Roman" w:hAnsi="Arial" w:cs="Arial"/>
          <w:sz w:val="24"/>
          <w:szCs w:val="24"/>
        </w:rPr>
      </w:pPr>
    </w:p>
    <w:p w:rsidR="00C64707" w:rsidRPr="00CC2F5E" w:rsidP="00C64707" w14:paraId="0301E6A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D9044B" w:rsidRPr="00CC2F5E" w:rsidP="00D9044B" w14:paraId="7AFB5EB9" w14:textId="77777777">
      <w:pPr>
        <w:rPr>
          <w:rFonts w:ascii="Arial" w:eastAsia="Times New Roman" w:hAnsi="Arial" w:cs="Arial"/>
          <w:sz w:val="24"/>
          <w:szCs w:val="24"/>
        </w:rPr>
      </w:pPr>
      <w:r w:rsidRPr="00CC2F5E">
        <w:rPr>
          <w:rFonts w:ascii="Arial" w:eastAsia="Times New Roman" w:hAnsi="Arial" w:cs="Arial"/>
          <w:sz w:val="24"/>
          <w:szCs w:val="24"/>
        </w:rPr>
        <w:br/>
        <w:t>No similar information exists.</w:t>
      </w:r>
    </w:p>
    <w:p w:rsidR="00C64707" w:rsidRPr="00CC2F5E" w:rsidP="00C64707" w14:paraId="186DE449" w14:textId="77777777">
      <w:pPr>
        <w:shd w:val="clear" w:color="auto" w:fill="FFFFFF"/>
        <w:spacing w:after="0" w:line="240" w:lineRule="auto"/>
        <w:rPr>
          <w:rFonts w:ascii="Arial" w:eastAsia="Times New Roman" w:hAnsi="Arial" w:cs="Arial"/>
          <w:sz w:val="24"/>
          <w:szCs w:val="24"/>
        </w:rPr>
      </w:pPr>
    </w:p>
    <w:p w:rsidR="00C64707" w:rsidRPr="00CC2F5E" w:rsidP="00C64707" w14:paraId="4ADB7F7D"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5. If the collection of information involves small businesses or other small entities, describe the methods used to minimize burden.</w:t>
      </w:r>
    </w:p>
    <w:p w:rsidR="00905F27" w:rsidRPr="00CC2F5E" w:rsidP="00905F27" w14:paraId="61B6B660" w14:textId="03F3B848">
      <w:pPr>
        <w:rPr>
          <w:rFonts w:ascii="Arial" w:eastAsia="Times New Roman" w:hAnsi="Arial" w:cs="Arial"/>
          <w:sz w:val="24"/>
          <w:szCs w:val="24"/>
        </w:rPr>
      </w:pPr>
      <w:r w:rsidRPr="00CC2F5E">
        <w:rPr>
          <w:rFonts w:ascii="Arial" w:eastAsia="Times New Roman" w:hAnsi="Arial" w:cs="Arial"/>
          <w:sz w:val="24"/>
          <w:szCs w:val="24"/>
        </w:rPr>
        <w:br/>
      </w:r>
      <w:r w:rsidRPr="00CC2F5E" w:rsidR="00805F54">
        <w:rPr>
          <w:rFonts w:ascii="Arial" w:eastAsia="Times New Roman" w:hAnsi="Arial" w:cs="Arial"/>
          <w:sz w:val="24"/>
          <w:szCs w:val="24"/>
        </w:rPr>
        <w:t>Starting in 2004, t</w:t>
      </w:r>
      <w:r w:rsidRPr="00CC2F5E">
        <w:rPr>
          <w:rFonts w:ascii="Arial" w:eastAsia="Times New Roman" w:hAnsi="Arial" w:cs="Arial"/>
          <w:sz w:val="24"/>
          <w:szCs w:val="24"/>
        </w:rPr>
        <w:t>he Drug Abatement Division reduced the paperwork burden on small businesses by simplifying the data requirements for certifying</w:t>
      </w:r>
      <w:r w:rsidRPr="00CC2F5E" w:rsidR="00EC44D5">
        <w:rPr>
          <w:rFonts w:ascii="Arial" w:eastAsia="Times New Roman" w:hAnsi="Arial" w:cs="Arial"/>
          <w:sz w:val="24"/>
          <w:szCs w:val="24"/>
        </w:rPr>
        <w:t xml:space="preserve"> </w:t>
      </w:r>
      <w:r w:rsidRPr="00CC2F5E" w:rsidR="00805F54">
        <w:rPr>
          <w:rFonts w:ascii="Arial" w:eastAsia="Times New Roman" w:hAnsi="Arial" w:cs="Arial"/>
          <w:sz w:val="24"/>
          <w:szCs w:val="24"/>
        </w:rPr>
        <w:t xml:space="preserve">compliance by allowing electronic submission of their certification for compliance in OPSS and MIS reporting in DAMIS.  </w:t>
      </w:r>
    </w:p>
    <w:p w:rsidR="00C64707" w:rsidRPr="00CC2F5E" w:rsidP="00C64707" w14:paraId="397F6428" w14:textId="77777777">
      <w:pPr>
        <w:shd w:val="clear" w:color="auto" w:fill="FFFFFF"/>
        <w:spacing w:after="0" w:line="240" w:lineRule="auto"/>
        <w:rPr>
          <w:rFonts w:ascii="Arial" w:eastAsia="Times New Roman" w:hAnsi="Arial" w:cs="Arial"/>
          <w:sz w:val="24"/>
          <w:szCs w:val="24"/>
        </w:rPr>
      </w:pPr>
    </w:p>
    <w:p w:rsidR="00C64707" w:rsidRPr="00CC2F5E" w:rsidP="00C64707" w14:paraId="67321FDB"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0567AB" w:rsidRPr="00CC2F5E" w:rsidP="000567AB" w14:paraId="08FCFFC9" w14:textId="10D37797">
      <w:pPr>
        <w:rPr>
          <w:rFonts w:ascii="Arial" w:hAnsi="Arial" w:cs="Arial"/>
          <w:sz w:val="24"/>
          <w:szCs w:val="24"/>
        </w:rPr>
      </w:pPr>
      <w:r>
        <w:br/>
      </w:r>
      <w:r w:rsidRPr="52F164E3" w:rsidR="0D71134D">
        <w:rPr>
          <w:rFonts w:ascii="Arial" w:hAnsi="Arial" w:cs="Arial"/>
          <w:sz w:val="24"/>
          <w:szCs w:val="24"/>
        </w:rPr>
        <w:t xml:space="preserve">The data required for program registration is provided upon startup </w:t>
      </w:r>
      <w:r w:rsidRPr="52F164E3" w:rsidR="2DF9E24D">
        <w:rPr>
          <w:rFonts w:ascii="Arial" w:hAnsi="Arial" w:cs="Arial"/>
          <w:sz w:val="24"/>
          <w:szCs w:val="24"/>
        </w:rPr>
        <w:t>b</w:t>
      </w:r>
      <w:r w:rsidRPr="52F164E3" w:rsidR="0D71134D">
        <w:rPr>
          <w:rFonts w:ascii="Arial" w:hAnsi="Arial" w:cs="Arial"/>
          <w:sz w:val="24"/>
          <w:szCs w:val="24"/>
        </w:rPr>
        <w:t>y each regulated company</w:t>
      </w:r>
      <w:r w:rsidRPr="52F164E3" w:rsidR="227F852B">
        <w:rPr>
          <w:rFonts w:ascii="Arial" w:hAnsi="Arial" w:cs="Arial"/>
          <w:sz w:val="24"/>
          <w:szCs w:val="24"/>
        </w:rPr>
        <w:t xml:space="preserve"> (and after three years if seeking renewal)</w:t>
      </w:r>
      <w:r w:rsidRPr="52F164E3" w:rsidR="0D71134D">
        <w:rPr>
          <w:rFonts w:ascii="Arial" w:hAnsi="Arial" w:cs="Arial"/>
          <w:sz w:val="24"/>
          <w:szCs w:val="24"/>
        </w:rPr>
        <w:t xml:space="preserve"> and then amended only when significant program changes occur</w:t>
      </w:r>
      <w:r w:rsidRPr="52F164E3" w:rsidR="04401839">
        <w:rPr>
          <w:rFonts w:ascii="Arial" w:hAnsi="Arial" w:cs="Arial"/>
          <w:sz w:val="24"/>
          <w:szCs w:val="24"/>
        </w:rPr>
        <w:t>.</w:t>
      </w:r>
      <w:r w:rsidRPr="52F164E3" w:rsidR="0D71134D">
        <w:rPr>
          <w:rFonts w:ascii="Arial" w:hAnsi="Arial" w:cs="Arial"/>
          <w:sz w:val="24"/>
          <w:szCs w:val="24"/>
        </w:rPr>
        <w:t xml:space="preserve"> </w:t>
      </w:r>
      <w:r w:rsidRPr="52F164E3">
        <w:rPr>
          <w:rFonts w:ascii="Arial" w:hAnsi="Arial" w:cs="Arial"/>
          <w:sz w:val="24"/>
          <w:szCs w:val="24"/>
        </w:rPr>
        <w:t>The data required for program certification</w:t>
      </w:r>
      <w:r w:rsidRPr="52F164E3" w:rsidR="35B038E2">
        <w:rPr>
          <w:rFonts w:ascii="Arial" w:hAnsi="Arial" w:cs="Arial"/>
          <w:sz w:val="24"/>
          <w:szCs w:val="24"/>
        </w:rPr>
        <w:t xml:space="preserve"> (e.g., A449)</w:t>
      </w:r>
      <w:r w:rsidRPr="52F164E3">
        <w:rPr>
          <w:rFonts w:ascii="Arial" w:hAnsi="Arial" w:cs="Arial"/>
          <w:sz w:val="24"/>
          <w:szCs w:val="24"/>
        </w:rPr>
        <w:t xml:space="preserve"> is provided upon startup by each regulated company and then amended only when significant program changes occur.</w:t>
      </w:r>
      <w:r w:rsidRPr="52F164E3" w:rsidR="0F3A0BA2">
        <w:rPr>
          <w:rFonts w:ascii="Arial" w:hAnsi="Arial" w:cs="Arial"/>
          <w:sz w:val="24"/>
          <w:szCs w:val="24"/>
        </w:rPr>
        <w:t xml:space="preserve"> </w:t>
      </w:r>
      <w:r w:rsidRPr="52F164E3" w:rsidR="0D71134D">
        <w:rPr>
          <w:rFonts w:ascii="Arial" w:hAnsi="Arial" w:cs="Arial"/>
          <w:sz w:val="24"/>
          <w:szCs w:val="24"/>
        </w:rPr>
        <w:t xml:space="preserve">If </w:t>
      </w:r>
      <w:r w:rsidRPr="52F164E3" w:rsidR="0E6B3964">
        <w:rPr>
          <w:rFonts w:ascii="Arial" w:hAnsi="Arial" w:cs="Arial"/>
          <w:sz w:val="24"/>
          <w:szCs w:val="24"/>
        </w:rPr>
        <w:t>the FAA</w:t>
      </w:r>
      <w:r w:rsidRPr="52F164E3" w:rsidR="0D71134D">
        <w:rPr>
          <w:rFonts w:ascii="Arial" w:hAnsi="Arial" w:cs="Arial"/>
          <w:sz w:val="24"/>
          <w:szCs w:val="24"/>
        </w:rPr>
        <w:t xml:space="preserve"> were unable to update company information, </w:t>
      </w:r>
      <w:r w:rsidRPr="52F164E3" w:rsidR="0E6B3964">
        <w:rPr>
          <w:rFonts w:ascii="Arial" w:hAnsi="Arial" w:cs="Arial"/>
          <w:sz w:val="24"/>
          <w:szCs w:val="24"/>
        </w:rPr>
        <w:t xml:space="preserve">it would not be possible to </w:t>
      </w:r>
      <w:r w:rsidRPr="52F164E3" w:rsidR="0D71134D">
        <w:rPr>
          <w:rFonts w:ascii="Arial" w:hAnsi="Arial" w:cs="Arial"/>
          <w:sz w:val="24"/>
          <w:szCs w:val="24"/>
        </w:rPr>
        <w:t>stay current with the status of companies regulate</w:t>
      </w:r>
      <w:r w:rsidRPr="52F164E3" w:rsidR="0E6B3964">
        <w:rPr>
          <w:rFonts w:ascii="Arial" w:hAnsi="Arial" w:cs="Arial"/>
          <w:sz w:val="24"/>
          <w:szCs w:val="24"/>
        </w:rPr>
        <w:t>d</w:t>
      </w:r>
      <w:r w:rsidRPr="52F164E3" w:rsidR="0D71134D">
        <w:rPr>
          <w:rFonts w:ascii="Arial" w:hAnsi="Arial" w:cs="Arial"/>
          <w:sz w:val="24"/>
          <w:szCs w:val="24"/>
        </w:rPr>
        <w:t xml:space="preserve">. Furthermore, if </w:t>
      </w:r>
      <w:r w:rsidRPr="52F164E3" w:rsidR="01AA966C">
        <w:rPr>
          <w:rFonts w:ascii="Arial" w:hAnsi="Arial" w:cs="Arial"/>
          <w:sz w:val="24"/>
          <w:szCs w:val="24"/>
        </w:rPr>
        <w:t>the FAA</w:t>
      </w:r>
      <w:r w:rsidRPr="52F164E3" w:rsidR="0D71134D">
        <w:rPr>
          <w:rFonts w:ascii="Arial" w:hAnsi="Arial" w:cs="Arial"/>
          <w:sz w:val="24"/>
          <w:szCs w:val="24"/>
        </w:rPr>
        <w:t xml:space="preserve"> did not receive reports of positive drug</w:t>
      </w:r>
      <w:r w:rsidRPr="52F164E3" w:rsidR="7D852361">
        <w:rPr>
          <w:rFonts w:ascii="Arial" w:hAnsi="Arial" w:cs="Arial"/>
          <w:sz w:val="24"/>
          <w:szCs w:val="24"/>
        </w:rPr>
        <w:t xml:space="preserve"> </w:t>
      </w:r>
      <w:r w:rsidRPr="52F164E3" w:rsidR="0D71134D">
        <w:rPr>
          <w:rFonts w:ascii="Arial" w:hAnsi="Arial" w:cs="Arial"/>
          <w:sz w:val="24"/>
          <w:szCs w:val="24"/>
        </w:rPr>
        <w:t xml:space="preserve">or alcohol tests or refusals by airmen, </w:t>
      </w:r>
      <w:r w:rsidRPr="52F164E3" w:rsidR="01AA966C">
        <w:rPr>
          <w:rFonts w:ascii="Arial" w:hAnsi="Arial" w:cs="Arial"/>
          <w:sz w:val="24"/>
          <w:szCs w:val="24"/>
        </w:rPr>
        <w:t xml:space="preserve">the agency </w:t>
      </w:r>
      <w:r w:rsidRPr="52F164E3" w:rsidR="0D71134D">
        <w:rPr>
          <w:rFonts w:ascii="Arial" w:hAnsi="Arial" w:cs="Arial"/>
          <w:sz w:val="24"/>
          <w:szCs w:val="24"/>
        </w:rPr>
        <w:t xml:space="preserve">would not be able to take </w:t>
      </w:r>
      <w:r w:rsidRPr="52F164E3" w:rsidR="61FEC914">
        <w:rPr>
          <w:rFonts w:ascii="Arial" w:hAnsi="Arial" w:cs="Arial"/>
          <w:sz w:val="24"/>
          <w:szCs w:val="24"/>
        </w:rPr>
        <w:t>enforcement</w:t>
      </w:r>
      <w:r w:rsidRPr="52F164E3" w:rsidR="0D71134D">
        <w:rPr>
          <w:rFonts w:ascii="Arial" w:hAnsi="Arial" w:cs="Arial"/>
          <w:sz w:val="24"/>
          <w:szCs w:val="24"/>
        </w:rPr>
        <w:t xml:space="preserve"> action regarding the </w:t>
      </w:r>
      <w:r w:rsidRPr="52F164E3" w:rsidR="48261647">
        <w:rPr>
          <w:rFonts w:ascii="Arial" w:hAnsi="Arial" w:cs="Arial"/>
          <w:sz w:val="24"/>
          <w:szCs w:val="24"/>
        </w:rPr>
        <w:t xml:space="preserve">qualification to hold the </w:t>
      </w:r>
      <w:r w:rsidRPr="52F164E3" w:rsidR="0D71134D">
        <w:rPr>
          <w:rFonts w:ascii="Arial" w:hAnsi="Arial" w:cs="Arial"/>
          <w:sz w:val="24"/>
          <w:szCs w:val="24"/>
        </w:rPr>
        <w:t xml:space="preserve">certificates, </w:t>
      </w:r>
      <w:r w:rsidRPr="52F164E3" w:rsidR="01AA966C">
        <w:rPr>
          <w:rFonts w:ascii="Arial" w:hAnsi="Arial" w:cs="Arial"/>
          <w:sz w:val="24"/>
          <w:szCs w:val="24"/>
        </w:rPr>
        <w:t>which would result</w:t>
      </w:r>
      <w:r w:rsidRPr="52F164E3" w:rsidR="0D71134D">
        <w:rPr>
          <w:rFonts w:ascii="Arial" w:hAnsi="Arial" w:cs="Arial"/>
          <w:sz w:val="24"/>
          <w:szCs w:val="24"/>
        </w:rPr>
        <w:t xml:space="preserve"> in a serious detriment to public safety</w:t>
      </w:r>
      <w:r w:rsidRPr="52F164E3" w:rsidR="61FEC914">
        <w:rPr>
          <w:rFonts w:ascii="Arial" w:hAnsi="Arial" w:cs="Arial"/>
          <w:sz w:val="24"/>
          <w:szCs w:val="24"/>
        </w:rPr>
        <w:t xml:space="preserve">. </w:t>
      </w:r>
    </w:p>
    <w:p w:rsidR="00C64707" w:rsidRPr="00CC2F5E" w:rsidP="00C64707" w14:paraId="6CED72B8" w14:textId="77777777">
      <w:pPr>
        <w:shd w:val="clear" w:color="auto" w:fill="FFFFFF"/>
        <w:spacing w:after="0" w:line="240" w:lineRule="auto"/>
        <w:rPr>
          <w:rFonts w:ascii="Arial" w:eastAsia="Times New Roman" w:hAnsi="Arial" w:cs="Arial"/>
          <w:sz w:val="24"/>
          <w:szCs w:val="24"/>
        </w:rPr>
      </w:pPr>
    </w:p>
    <w:p w:rsidR="00C64707" w:rsidRPr="00CC2F5E" w:rsidP="00C64707" w14:paraId="6C56FF97" w14:textId="18D17FE9">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7. Explain any special circumstances that would cause an information collection to be conducted in a manner</w:t>
      </w:r>
      <w:r w:rsidRPr="00CC2F5E" w:rsidR="000C199B">
        <w:rPr>
          <w:rFonts w:ascii="Arial" w:eastAsia="Times New Roman" w:hAnsi="Arial" w:cs="Arial"/>
          <w:b/>
          <w:bCs/>
          <w:sz w:val="24"/>
          <w:szCs w:val="24"/>
        </w:rPr>
        <w:t xml:space="preserve"> that conflicts with the guidelines</w:t>
      </w:r>
      <w:r w:rsidRPr="00CC2F5E" w:rsidR="005C0F14">
        <w:rPr>
          <w:rFonts w:ascii="Arial" w:eastAsia="Times New Roman" w:hAnsi="Arial" w:cs="Arial"/>
          <w:b/>
          <w:bCs/>
          <w:sz w:val="24"/>
          <w:szCs w:val="24"/>
        </w:rPr>
        <w:t>.</w:t>
      </w:r>
    </w:p>
    <w:p w:rsidR="00905F27" w:rsidRPr="00CC2F5E" w:rsidP="00C64707" w14:paraId="609842B5" w14:textId="1DD94255">
      <w:pPr>
        <w:shd w:val="clear" w:color="auto" w:fill="FFFFFF"/>
        <w:spacing w:after="0" w:line="240" w:lineRule="auto"/>
        <w:rPr>
          <w:rFonts w:ascii="Arial" w:eastAsia="Times New Roman" w:hAnsi="Arial" w:cs="Arial"/>
          <w:b/>
          <w:bCs/>
          <w:sz w:val="24"/>
          <w:szCs w:val="24"/>
        </w:rPr>
      </w:pPr>
    </w:p>
    <w:p w:rsidR="00905F27" w:rsidRPr="00CC2F5E" w:rsidP="00C64707" w14:paraId="4C440786" w14:textId="538BFF53">
      <w:pPr>
        <w:shd w:val="clear" w:color="auto" w:fill="FFFFFF"/>
        <w:spacing w:after="0" w:line="240" w:lineRule="auto"/>
        <w:rPr>
          <w:rFonts w:ascii="Arial" w:eastAsia="Times New Roman" w:hAnsi="Arial" w:cs="Arial"/>
          <w:sz w:val="24"/>
          <w:szCs w:val="24"/>
        </w:rPr>
      </w:pPr>
      <w:r w:rsidRPr="00CC2F5E">
        <w:rPr>
          <w:rFonts w:ascii="Arial" w:hAnsi="Arial" w:cs="Arial"/>
          <w:sz w:val="24"/>
          <w:szCs w:val="24"/>
        </w:rPr>
        <w:t>There are no special circumstances</w:t>
      </w:r>
      <w:r w:rsidRPr="00CC2F5E" w:rsidR="007B62A8">
        <w:rPr>
          <w:rFonts w:ascii="Arial" w:hAnsi="Arial" w:cs="Arial"/>
          <w:sz w:val="24"/>
          <w:szCs w:val="24"/>
        </w:rPr>
        <w:t xml:space="preserve"> and th</w:t>
      </w:r>
      <w:r w:rsidRPr="00CC2F5E" w:rsidR="00A66974">
        <w:rPr>
          <w:rFonts w:ascii="Arial" w:hAnsi="Arial" w:cs="Arial"/>
          <w:sz w:val="24"/>
          <w:szCs w:val="24"/>
        </w:rPr>
        <w:t xml:space="preserve">e </w:t>
      </w:r>
      <w:r w:rsidRPr="00CC2F5E">
        <w:rPr>
          <w:rFonts w:ascii="Arial" w:hAnsi="Arial" w:cs="Arial"/>
          <w:sz w:val="24"/>
          <w:szCs w:val="24"/>
        </w:rPr>
        <w:t>information required is not in conflict with these guidelines.</w:t>
      </w:r>
    </w:p>
    <w:p w:rsidR="00C64707" w:rsidP="00C64707" w14:paraId="68E17D7D" w14:textId="69E98D6C">
      <w:pPr>
        <w:shd w:val="clear" w:color="auto" w:fill="FFFFFF"/>
        <w:spacing w:after="0" w:line="240" w:lineRule="auto"/>
        <w:rPr>
          <w:rFonts w:ascii="Arial" w:eastAsia="Times New Roman" w:hAnsi="Arial" w:cs="Arial"/>
          <w:sz w:val="24"/>
          <w:szCs w:val="24"/>
        </w:rPr>
      </w:pPr>
    </w:p>
    <w:p w:rsidR="00EC0727" w:rsidRPr="00CC2F5E" w:rsidP="00C64707" w14:paraId="3FE368D0" w14:textId="77777777">
      <w:pPr>
        <w:shd w:val="clear" w:color="auto" w:fill="FFFFFF"/>
        <w:spacing w:after="0" w:line="240" w:lineRule="auto"/>
        <w:rPr>
          <w:rFonts w:ascii="Arial" w:eastAsia="Times New Roman" w:hAnsi="Arial" w:cs="Arial"/>
          <w:sz w:val="24"/>
          <w:szCs w:val="24"/>
        </w:rPr>
      </w:pPr>
    </w:p>
    <w:p w:rsidR="002D66DD" w:rsidRPr="00CC2F5E" w:rsidP="002D66DD" w14:paraId="7C88FD27" w14:textId="5D9AC75D">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C2F5E">
        <w:rPr>
          <w:rFonts w:ascii="Arial" w:eastAsia="Times New Roman" w:hAnsi="Arial" w:cs="Arial"/>
          <w:sz w:val="24"/>
          <w:szCs w:val="24"/>
        </w:rPr>
        <w:br/>
      </w:r>
      <w:bookmarkStart w:id="1" w:name="OLE_LINK7"/>
      <w:bookmarkStart w:id="2" w:name="OLE_LINK8"/>
    </w:p>
    <w:p w:rsidR="003A2E74" w:rsidP="000A5A44" w14:paraId="39EE367C" w14:textId="37B9BB6F">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 xml:space="preserve">The revision of this information collection supports the </w:t>
      </w:r>
      <w:r w:rsidRPr="52F164E3" w:rsidR="00492BD1">
        <w:rPr>
          <w:rFonts w:ascii="Arial" w:eastAsia="Times New Roman" w:hAnsi="Arial" w:cs="Arial"/>
          <w:sz w:val="24"/>
          <w:szCs w:val="24"/>
        </w:rPr>
        <w:t>final rule</w:t>
      </w:r>
      <w:r w:rsidRPr="52F164E3">
        <w:rPr>
          <w:rFonts w:ascii="Arial" w:eastAsia="Times New Roman" w:hAnsi="Arial" w:cs="Arial"/>
          <w:sz w:val="24"/>
          <w:szCs w:val="24"/>
        </w:rPr>
        <w:t xml:space="preserve">, </w:t>
      </w:r>
      <w:r w:rsidRPr="52F164E3" w:rsidR="00135903">
        <w:rPr>
          <w:rFonts w:ascii="Arial" w:eastAsia="Times New Roman" w:hAnsi="Arial" w:cs="Arial"/>
          <w:sz w:val="24"/>
          <w:szCs w:val="24"/>
        </w:rPr>
        <w:t>Drug and Alcohol Testing of Certificated Repair Station Employees Located Outside of the United States</w:t>
      </w:r>
      <w:r w:rsidRPr="52F164E3">
        <w:rPr>
          <w:rFonts w:ascii="Arial" w:eastAsia="Times New Roman" w:hAnsi="Arial" w:cs="Arial"/>
          <w:sz w:val="24"/>
          <w:szCs w:val="24"/>
        </w:rPr>
        <w:t xml:space="preserve"> (RIN 2120-</w:t>
      </w:r>
      <w:r w:rsidRPr="52F164E3" w:rsidR="00135903">
        <w:rPr>
          <w:rFonts w:ascii="Arial" w:eastAsia="Times New Roman" w:hAnsi="Arial" w:cs="Arial"/>
          <w:sz w:val="24"/>
          <w:szCs w:val="24"/>
        </w:rPr>
        <w:t>AK09</w:t>
      </w:r>
      <w:r w:rsidRPr="52F164E3">
        <w:rPr>
          <w:rFonts w:ascii="Arial" w:eastAsia="Times New Roman" w:hAnsi="Arial" w:cs="Arial"/>
          <w:sz w:val="24"/>
          <w:szCs w:val="24"/>
        </w:rPr>
        <w:t>)</w:t>
      </w:r>
      <w:r w:rsidRPr="52F164E3" w:rsidR="003C027E">
        <w:rPr>
          <w:rFonts w:ascii="Arial" w:eastAsia="Times New Roman" w:hAnsi="Arial" w:cs="Arial"/>
          <w:sz w:val="24"/>
          <w:szCs w:val="24"/>
        </w:rPr>
        <w:t xml:space="preserve">. </w:t>
      </w:r>
      <w:r w:rsidRPr="52F164E3" w:rsidR="002C7AD7">
        <w:rPr>
          <w:rFonts w:ascii="Arial" w:eastAsia="Times New Roman" w:hAnsi="Arial" w:cs="Arial"/>
          <w:sz w:val="24"/>
          <w:szCs w:val="24"/>
        </w:rPr>
        <w:t>The FAA</w:t>
      </w:r>
      <w:r w:rsidRPr="52F164E3">
        <w:rPr>
          <w:rFonts w:ascii="Arial" w:eastAsia="Times New Roman" w:hAnsi="Arial" w:cs="Arial"/>
          <w:sz w:val="24"/>
          <w:szCs w:val="24"/>
        </w:rPr>
        <w:t xml:space="preserve"> published </w:t>
      </w:r>
      <w:r w:rsidRPr="52F164E3" w:rsidR="002C7AD7">
        <w:rPr>
          <w:rFonts w:ascii="Arial" w:eastAsia="Times New Roman" w:hAnsi="Arial" w:cs="Arial"/>
          <w:sz w:val="24"/>
          <w:szCs w:val="24"/>
        </w:rPr>
        <w:t xml:space="preserve">the notice of proposed rulemaking </w:t>
      </w:r>
      <w:r w:rsidRPr="52F164E3">
        <w:rPr>
          <w:rFonts w:ascii="Arial" w:eastAsia="Times New Roman" w:hAnsi="Arial" w:cs="Arial"/>
          <w:sz w:val="24"/>
          <w:szCs w:val="24"/>
        </w:rPr>
        <w:t xml:space="preserve">on </w:t>
      </w:r>
      <w:r w:rsidRPr="52F164E3" w:rsidR="000B3C31">
        <w:rPr>
          <w:rFonts w:ascii="Arial" w:eastAsia="Times New Roman" w:hAnsi="Arial" w:cs="Arial"/>
          <w:sz w:val="24"/>
          <w:szCs w:val="24"/>
        </w:rPr>
        <w:t xml:space="preserve">December 7, </w:t>
      </w:r>
      <w:r w:rsidRPr="52F164E3" w:rsidR="00135903">
        <w:rPr>
          <w:rFonts w:ascii="Arial" w:eastAsia="Times New Roman" w:hAnsi="Arial" w:cs="Arial"/>
          <w:sz w:val="24"/>
          <w:szCs w:val="24"/>
        </w:rPr>
        <w:t xml:space="preserve">2023 </w:t>
      </w:r>
      <w:r w:rsidRPr="52F164E3">
        <w:rPr>
          <w:rFonts w:ascii="Arial" w:eastAsia="Times New Roman" w:hAnsi="Arial" w:cs="Arial"/>
          <w:sz w:val="24"/>
          <w:szCs w:val="24"/>
        </w:rPr>
        <w:t>[</w:t>
      </w:r>
      <w:r w:rsidRPr="52F164E3" w:rsidR="23A3C7A1">
        <w:rPr>
          <w:rFonts w:ascii="Arial" w:eastAsia="Times New Roman" w:hAnsi="Arial" w:cs="Arial"/>
          <w:sz w:val="24"/>
          <w:szCs w:val="24"/>
        </w:rPr>
        <w:t>88</w:t>
      </w:r>
      <w:r w:rsidRPr="52F164E3" w:rsidR="00135903">
        <w:rPr>
          <w:rFonts w:ascii="Arial" w:eastAsia="Times New Roman" w:hAnsi="Arial" w:cs="Arial"/>
          <w:sz w:val="24"/>
          <w:szCs w:val="24"/>
        </w:rPr>
        <w:t xml:space="preserve"> FR </w:t>
      </w:r>
      <w:r w:rsidRPr="52F164E3" w:rsidR="23A3C7A1">
        <w:rPr>
          <w:rFonts w:ascii="Arial" w:eastAsia="Times New Roman" w:hAnsi="Arial" w:cs="Arial"/>
          <w:sz w:val="24"/>
          <w:szCs w:val="24"/>
        </w:rPr>
        <w:t>85137</w:t>
      </w:r>
      <w:r w:rsidRPr="52F164E3">
        <w:rPr>
          <w:rFonts w:ascii="Arial" w:eastAsia="Times New Roman" w:hAnsi="Arial" w:cs="Arial"/>
          <w:sz w:val="24"/>
          <w:szCs w:val="24"/>
        </w:rPr>
        <w:t xml:space="preserve">]. That </w:t>
      </w:r>
      <w:r w:rsidRPr="52F164E3" w:rsidR="00882876">
        <w:rPr>
          <w:rFonts w:ascii="Arial" w:eastAsia="Times New Roman" w:hAnsi="Arial" w:cs="Arial"/>
          <w:sz w:val="24"/>
          <w:szCs w:val="24"/>
        </w:rPr>
        <w:t>NPRM</w:t>
      </w:r>
      <w:r w:rsidRPr="52F164E3">
        <w:rPr>
          <w:rFonts w:ascii="Arial" w:eastAsia="Times New Roman" w:hAnsi="Arial" w:cs="Arial"/>
          <w:sz w:val="24"/>
          <w:szCs w:val="24"/>
        </w:rPr>
        <w:t xml:space="preserve"> </w:t>
      </w:r>
      <w:r w:rsidRPr="52F164E3" w:rsidR="00381CA3">
        <w:rPr>
          <w:rFonts w:ascii="Arial" w:eastAsia="Times New Roman" w:hAnsi="Arial" w:cs="Arial"/>
          <w:sz w:val="24"/>
          <w:szCs w:val="24"/>
        </w:rPr>
        <w:t xml:space="preserve">sought </w:t>
      </w:r>
      <w:r w:rsidRPr="52F164E3">
        <w:rPr>
          <w:rFonts w:ascii="Arial" w:eastAsia="Times New Roman" w:hAnsi="Arial" w:cs="Arial"/>
          <w:sz w:val="24"/>
          <w:szCs w:val="24"/>
        </w:rPr>
        <w:t xml:space="preserve">public comment on the revisions to this information collection associated with that </w:t>
      </w:r>
      <w:r w:rsidRPr="52F164E3" w:rsidR="00D102FD">
        <w:rPr>
          <w:rFonts w:ascii="Arial" w:eastAsia="Times New Roman" w:hAnsi="Arial" w:cs="Arial"/>
          <w:sz w:val="24"/>
          <w:szCs w:val="24"/>
        </w:rPr>
        <w:t xml:space="preserve">proposed </w:t>
      </w:r>
      <w:r w:rsidRPr="52F164E3">
        <w:rPr>
          <w:rFonts w:ascii="Arial" w:eastAsia="Times New Roman" w:hAnsi="Arial" w:cs="Arial"/>
          <w:sz w:val="24"/>
          <w:szCs w:val="24"/>
        </w:rPr>
        <w:t xml:space="preserve">rule. The information collection was submitted to the Office of Management and Budget for review </w:t>
      </w:r>
      <w:r w:rsidRPr="52F164E3" w:rsidR="002C220C">
        <w:rPr>
          <w:rFonts w:ascii="Arial" w:eastAsia="Times New Roman" w:hAnsi="Arial" w:cs="Arial"/>
          <w:sz w:val="24"/>
          <w:szCs w:val="24"/>
        </w:rPr>
        <w:t xml:space="preserve">during the pendency of the NPRM’s comment period. </w:t>
      </w:r>
      <w:bookmarkEnd w:id="1"/>
      <w:bookmarkEnd w:id="2"/>
    </w:p>
    <w:p w:rsidR="002379D3" w:rsidP="000A5A44" w14:paraId="6DB996AD" w14:textId="77777777">
      <w:pPr>
        <w:shd w:val="clear" w:color="auto" w:fill="FFFFFF" w:themeFill="background1"/>
        <w:spacing w:after="0" w:line="240" w:lineRule="auto"/>
        <w:rPr>
          <w:rFonts w:ascii="Arial" w:eastAsia="Times New Roman" w:hAnsi="Arial" w:cs="Arial"/>
          <w:sz w:val="24"/>
          <w:szCs w:val="24"/>
        </w:rPr>
      </w:pPr>
    </w:p>
    <w:p w:rsidR="002379D3" w:rsidP="000A5A44" w14:paraId="7A32AF9A" w14:textId="4A66E9F2">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Wh</w:t>
      </w:r>
      <w:r w:rsidRPr="52F164E3" w:rsidR="000E573F">
        <w:rPr>
          <w:rFonts w:ascii="Arial" w:eastAsia="Times New Roman" w:hAnsi="Arial" w:cs="Arial"/>
          <w:sz w:val="24"/>
          <w:szCs w:val="24"/>
        </w:rPr>
        <w:t xml:space="preserve">ile the FAA received comments </w:t>
      </w:r>
      <w:r w:rsidRPr="52F164E3" w:rsidR="003D610E">
        <w:rPr>
          <w:rFonts w:ascii="Arial" w:eastAsia="Times New Roman" w:hAnsi="Arial" w:cs="Arial"/>
          <w:sz w:val="24"/>
          <w:szCs w:val="24"/>
        </w:rPr>
        <w:t xml:space="preserve">regarding the costs of the proposed rule, the FAA did not receive comments specific to the </w:t>
      </w:r>
      <w:r w:rsidRPr="52F164E3" w:rsidR="00F2301A">
        <w:rPr>
          <w:rFonts w:ascii="Arial" w:eastAsia="Times New Roman" w:hAnsi="Arial" w:cs="Arial"/>
          <w:sz w:val="24"/>
          <w:szCs w:val="24"/>
        </w:rPr>
        <w:t xml:space="preserve">time burden estimates </w:t>
      </w:r>
      <w:r w:rsidRPr="52F164E3" w:rsidR="00C762FF">
        <w:rPr>
          <w:rFonts w:ascii="Arial" w:eastAsia="Times New Roman" w:hAnsi="Arial" w:cs="Arial"/>
          <w:sz w:val="24"/>
          <w:szCs w:val="24"/>
        </w:rPr>
        <w:t xml:space="preserve">for those foreign repair stations that would </w:t>
      </w:r>
      <w:r w:rsidRPr="52F164E3" w:rsidR="00C447AF">
        <w:rPr>
          <w:rFonts w:ascii="Arial" w:eastAsia="Times New Roman" w:hAnsi="Arial" w:cs="Arial"/>
          <w:sz w:val="24"/>
          <w:szCs w:val="24"/>
        </w:rPr>
        <w:t>be required to implement a drug and alcohol testing program acceptable to the Administrator.</w:t>
      </w:r>
    </w:p>
    <w:p w:rsidR="00C447AF" w:rsidP="000A5A44" w14:paraId="126ED726" w14:textId="77777777">
      <w:pPr>
        <w:shd w:val="clear" w:color="auto" w:fill="FFFFFF" w:themeFill="background1"/>
        <w:spacing w:after="0" w:line="240" w:lineRule="auto"/>
        <w:rPr>
          <w:rFonts w:ascii="Arial" w:eastAsia="Times New Roman" w:hAnsi="Arial" w:cs="Arial"/>
          <w:sz w:val="24"/>
          <w:szCs w:val="24"/>
        </w:rPr>
      </w:pPr>
    </w:p>
    <w:p w:rsidR="00C447AF" w:rsidP="52F164E3" w14:paraId="7E580957" w14:textId="2F8E80FC">
      <w:pPr>
        <w:shd w:val="clear" w:color="auto" w:fill="FFFFFF" w:themeFill="background1"/>
        <w:spacing w:after="0" w:line="240" w:lineRule="auto"/>
        <w:rPr>
          <w:rFonts w:ascii="Arial" w:eastAsia="Times New Roman" w:hAnsi="Arial" w:cs="Arial"/>
          <w:b/>
          <w:bCs/>
          <w:sz w:val="24"/>
          <w:szCs w:val="24"/>
        </w:rPr>
      </w:pPr>
      <w:r w:rsidRPr="52F164E3">
        <w:rPr>
          <w:rFonts w:ascii="Arial" w:eastAsia="Times New Roman" w:hAnsi="Arial" w:cs="Arial"/>
          <w:sz w:val="24"/>
          <w:szCs w:val="24"/>
        </w:rPr>
        <w:t xml:space="preserve">As noted previously, however, the </w:t>
      </w:r>
      <w:r w:rsidRPr="52F164E3" w:rsidR="00D80B1E">
        <w:rPr>
          <w:rFonts w:ascii="Arial" w:eastAsia="Times New Roman" w:hAnsi="Arial" w:cs="Arial"/>
          <w:sz w:val="24"/>
          <w:szCs w:val="24"/>
        </w:rPr>
        <w:t>final rule</w:t>
      </w:r>
      <w:r w:rsidRPr="52F164E3" w:rsidR="00E562FD">
        <w:rPr>
          <w:rFonts w:ascii="Arial" w:eastAsia="Times New Roman" w:hAnsi="Arial" w:cs="Arial"/>
          <w:sz w:val="24"/>
          <w:szCs w:val="24"/>
        </w:rPr>
        <w:t xml:space="preserve"> </w:t>
      </w:r>
      <w:r w:rsidRPr="52F164E3" w:rsidR="00AB1FA9">
        <w:rPr>
          <w:rFonts w:ascii="Arial" w:eastAsia="Times New Roman" w:hAnsi="Arial" w:cs="Arial"/>
          <w:sz w:val="24"/>
          <w:szCs w:val="24"/>
        </w:rPr>
        <w:t>also establishes a process for foreign governments, on behalf of certificated repair stations within their territories, and individual foreign repair stations subject to the rule to obtain the Administrator’s recognition of a country</w:t>
      </w:r>
      <w:r w:rsidRPr="52F164E3" w:rsidR="00D80B1E">
        <w:rPr>
          <w:rFonts w:ascii="Arial" w:eastAsia="Times New Roman" w:hAnsi="Arial" w:cs="Arial"/>
          <w:sz w:val="24"/>
          <w:szCs w:val="24"/>
        </w:rPr>
        <w:t>’s</w:t>
      </w:r>
      <w:r w:rsidRPr="52F164E3" w:rsidR="00AB1FA9">
        <w:rPr>
          <w:rFonts w:ascii="Arial" w:eastAsia="Times New Roman" w:hAnsi="Arial" w:cs="Arial"/>
          <w:sz w:val="24"/>
          <w:szCs w:val="24"/>
        </w:rPr>
        <w:t xml:space="preserve"> or foreign repair station’s existing requirements or testing program(s) promulgated under the laws of the country as a compatible alternative that contains minimum elements of 14 CFR part 120.</w:t>
      </w:r>
      <w:r w:rsidRPr="52F164E3" w:rsidR="000246BC">
        <w:rPr>
          <w:rFonts w:ascii="Arial" w:eastAsia="Times New Roman" w:hAnsi="Arial" w:cs="Arial"/>
          <w:sz w:val="24"/>
          <w:szCs w:val="24"/>
        </w:rPr>
        <w:t xml:space="preserve"> The FAA believes this pathway will be significantly less burdensome as a single governmental entity may seek recognition on behalf of </w:t>
      </w:r>
      <w:r w:rsidRPr="52F164E3" w:rsidR="000246BC">
        <w:rPr>
          <w:rFonts w:ascii="Arial" w:eastAsia="Times New Roman" w:hAnsi="Arial" w:cs="Arial"/>
          <w:sz w:val="24"/>
          <w:szCs w:val="24"/>
        </w:rPr>
        <w:t>all of</w:t>
      </w:r>
      <w:r w:rsidRPr="52F164E3" w:rsidR="000246BC">
        <w:rPr>
          <w:rFonts w:ascii="Arial" w:eastAsia="Times New Roman" w:hAnsi="Arial" w:cs="Arial"/>
          <w:sz w:val="24"/>
          <w:szCs w:val="24"/>
        </w:rPr>
        <w:t xml:space="preserve"> the certificated repair stations in its territory. </w:t>
      </w:r>
      <w:r w:rsidRPr="52F164E3" w:rsidR="00670328">
        <w:rPr>
          <w:rFonts w:ascii="Arial" w:eastAsia="Times New Roman" w:hAnsi="Arial" w:cs="Arial"/>
          <w:sz w:val="24"/>
          <w:szCs w:val="24"/>
        </w:rPr>
        <w:t xml:space="preserve">The FAA has provided </w:t>
      </w:r>
      <w:r w:rsidRPr="52F164E3" w:rsidR="00036A87">
        <w:rPr>
          <w:rFonts w:ascii="Arial" w:eastAsia="Times New Roman" w:hAnsi="Arial" w:cs="Arial"/>
          <w:sz w:val="24"/>
          <w:szCs w:val="24"/>
        </w:rPr>
        <w:t xml:space="preserve">calculations for this </w:t>
      </w:r>
      <w:r w:rsidRPr="52F164E3" w:rsidR="00342366">
        <w:rPr>
          <w:rFonts w:ascii="Arial" w:eastAsia="Times New Roman" w:hAnsi="Arial" w:cs="Arial"/>
          <w:sz w:val="24"/>
          <w:szCs w:val="24"/>
        </w:rPr>
        <w:t xml:space="preserve">recognition process as an alternative in </w:t>
      </w:r>
      <w:r w:rsidRPr="52F164E3" w:rsidR="00F57401">
        <w:rPr>
          <w:rFonts w:ascii="Arial" w:eastAsia="Times New Roman" w:hAnsi="Arial" w:cs="Arial"/>
          <w:sz w:val="24"/>
          <w:szCs w:val="24"/>
        </w:rPr>
        <w:t>question 12 of this supporting statement.</w:t>
      </w:r>
    </w:p>
    <w:p w:rsidR="00EC0727" w:rsidRPr="00CC2F5E" w:rsidP="001C598F" w14:paraId="266C4E44" w14:textId="77777777">
      <w:pPr>
        <w:spacing w:after="0" w:line="240" w:lineRule="auto"/>
        <w:rPr>
          <w:rFonts w:ascii="Arial" w:eastAsia="Times New Roman" w:hAnsi="Arial" w:cs="Arial"/>
          <w:b/>
          <w:sz w:val="24"/>
          <w:szCs w:val="24"/>
        </w:rPr>
      </w:pPr>
    </w:p>
    <w:p w:rsidR="00C64707" w:rsidRPr="00CC2F5E" w:rsidP="00C64707" w14:paraId="42B99DD6"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9. Explain any decisions to provide payments or gifts to respondents, other than remuneration of contractors or grantees.</w:t>
      </w:r>
    </w:p>
    <w:p w:rsidR="0029087C" w:rsidRPr="00CC2F5E" w:rsidP="0029087C" w14:paraId="65E8FB2C" w14:textId="49F09DB9">
      <w:pPr>
        <w:rPr>
          <w:rFonts w:ascii="Arial" w:eastAsia="Times New Roman" w:hAnsi="Arial" w:cs="Arial"/>
          <w:sz w:val="24"/>
          <w:szCs w:val="24"/>
        </w:rPr>
      </w:pPr>
      <w:r w:rsidRPr="00CC2F5E">
        <w:rPr>
          <w:rFonts w:ascii="Arial" w:eastAsia="Times New Roman" w:hAnsi="Arial" w:cs="Arial"/>
          <w:sz w:val="24"/>
          <w:szCs w:val="24"/>
        </w:rPr>
        <w:br/>
        <w:t>No payments or gifts are provided</w:t>
      </w:r>
      <w:r w:rsidRPr="00CC2F5E" w:rsidR="004E1537">
        <w:rPr>
          <w:rFonts w:ascii="Arial" w:eastAsia="Times New Roman" w:hAnsi="Arial" w:cs="Arial"/>
          <w:sz w:val="24"/>
          <w:szCs w:val="24"/>
        </w:rPr>
        <w:t xml:space="preserve"> to respondents</w:t>
      </w:r>
      <w:r w:rsidRPr="00CC2F5E">
        <w:rPr>
          <w:rFonts w:ascii="Arial" w:eastAsia="Times New Roman" w:hAnsi="Arial" w:cs="Arial"/>
          <w:sz w:val="24"/>
          <w:szCs w:val="24"/>
        </w:rPr>
        <w:t>.</w:t>
      </w:r>
    </w:p>
    <w:p w:rsidR="00C64707" w:rsidRPr="00CC2F5E" w:rsidP="00C64707" w14:paraId="35F8BE6C" w14:textId="77777777">
      <w:pPr>
        <w:shd w:val="clear" w:color="auto" w:fill="FFFFFF"/>
        <w:spacing w:after="0" w:line="240" w:lineRule="auto"/>
        <w:rPr>
          <w:rFonts w:ascii="Arial" w:eastAsia="Times New Roman" w:hAnsi="Arial" w:cs="Arial"/>
          <w:sz w:val="24"/>
          <w:szCs w:val="24"/>
        </w:rPr>
      </w:pPr>
    </w:p>
    <w:p w:rsidR="00C64707" w:rsidRPr="00CC2F5E" w:rsidP="00C64707" w14:paraId="22ADFD3E"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CC2F5E" w:rsidP="00C64707" w14:paraId="07D8FC5C" w14:textId="069A80E2">
      <w:pPr>
        <w:shd w:val="clear" w:color="auto" w:fill="FFFFFF"/>
        <w:spacing w:after="0" w:line="240" w:lineRule="auto"/>
        <w:rPr>
          <w:rFonts w:ascii="Arial" w:eastAsia="Times New Roman" w:hAnsi="Arial" w:cs="Arial"/>
          <w:sz w:val="24"/>
          <w:szCs w:val="24"/>
        </w:rPr>
      </w:pPr>
    </w:p>
    <w:p w:rsidR="001D7598" w:rsidRPr="00CC2F5E" w:rsidP="001D7598" w14:paraId="2A55F7D1" w14:textId="31F453F8">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w:t>
      </w:r>
      <w:r w:rsidRPr="00CC2F5E" w:rsidR="00E476B1">
        <w:rPr>
          <w:rFonts w:ascii="Arial" w:eastAsia="Times New Roman" w:hAnsi="Arial" w:cs="Arial"/>
          <w:sz w:val="24"/>
          <w:szCs w:val="24"/>
        </w:rPr>
        <w:t>drug and alcohol</w:t>
      </w:r>
      <w:r w:rsidRPr="00CC2F5E">
        <w:rPr>
          <w:rFonts w:ascii="Arial" w:eastAsia="Times New Roman" w:hAnsi="Arial" w:cs="Arial"/>
          <w:sz w:val="24"/>
          <w:szCs w:val="24"/>
        </w:rPr>
        <w:t xml:space="preserve"> testing programs are replete with confidentiality protections for safety-sensitive workers who are tested, at every stage of testing, from random selection for testing through collection and processing of urine </w:t>
      </w:r>
      <w:r w:rsidRPr="00CC2F5E" w:rsidR="000F6830">
        <w:rPr>
          <w:rFonts w:ascii="Arial" w:eastAsia="Times New Roman" w:hAnsi="Arial" w:cs="Arial"/>
          <w:sz w:val="24"/>
          <w:szCs w:val="24"/>
        </w:rPr>
        <w:t>specimen</w:t>
      </w:r>
      <w:r w:rsidRPr="00CC2F5E" w:rsidR="00395DD8">
        <w:rPr>
          <w:rFonts w:ascii="Arial" w:eastAsia="Times New Roman" w:hAnsi="Arial" w:cs="Arial"/>
          <w:sz w:val="24"/>
          <w:szCs w:val="24"/>
        </w:rPr>
        <w:t xml:space="preserve">s </w:t>
      </w:r>
      <w:r w:rsidRPr="00CC2F5E">
        <w:rPr>
          <w:rFonts w:ascii="Arial" w:eastAsia="Times New Roman" w:hAnsi="Arial" w:cs="Arial"/>
          <w:sz w:val="24"/>
          <w:szCs w:val="24"/>
        </w:rPr>
        <w:t>or breath samples, to handling, communication, and storage of the results. These protections are specified throughout the</w:t>
      </w:r>
      <w:r w:rsidRPr="00CC2F5E" w:rsidR="00D13A97">
        <w:rPr>
          <w:rFonts w:ascii="Arial" w:eastAsia="Times New Roman" w:hAnsi="Arial" w:cs="Arial"/>
          <w:sz w:val="24"/>
          <w:szCs w:val="24"/>
        </w:rPr>
        <w:t xml:space="preserve"> </w:t>
      </w:r>
      <w:r w:rsidRPr="00CC2F5E">
        <w:rPr>
          <w:rFonts w:ascii="Arial" w:eastAsia="Times New Roman" w:hAnsi="Arial" w:cs="Arial"/>
          <w:sz w:val="24"/>
          <w:szCs w:val="24"/>
        </w:rPr>
        <w:t xml:space="preserve">pertinent </w:t>
      </w:r>
      <w:r w:rsidRPr="00CC2F5E" w:rsidR="00941243">
        <w:rPr>
          <w:rFonts w:ascii="Arial" w:eastAsia="Times New Roman" w:hAnsi="Arial" w:cs="Arial"/>
          <w:sz w:val="24"/>
          <w:szCs w:val="24"/>
        </w:rPr>
        <w:t xml:space="preserve">testing </w:t>
      </w:r>
      <w:r w:rsidRPr="00CC2F5E">
        <w:rPr>
          <w:rFonts w:ascii="Arial" w:eastAsia="Times New Roman" w:hAnsi="Arial" w:cs="Arial"/>
          <w:sz w:val="24"/>
          <w:szCs w:val="24"/>
        </w:rPr>
        <w:t>regulations</w:t>
      </w:r>
      <w:r w:rsidRPr="00CC2F5E" w:rsidR="00BA7100">
        <w:rPr>
          <w:rFonts w:ascii="Arial" w:eastAsia="Times New Roman" w:hAnsi="Arial" w:cs="Arial"/>
          <w:sz w:val="24"/>
          <w:szCs w:val="24"/>
        </w:rPr>
        <w:t xml:space="preserve">, which are 49 CFR part 40 and </w:t>
      </w:r>
      <w:r w:rsidRPr="00CC2F5E">
        <w:rPr>
          <w:rFonts w:ascii="Arial" w:eastAsia="Times New Roman" w:hAnsi="Arial" w:cs="Arial"/>
          <w:sz w:val="24"/>
          <w:szCs w:val="24"/>
        </w:rPr>
        <w:t xml:space="preserve">14 CFR </w:t>
      </w:r>
      <w:r w:rsidRPr="00CC2F5E" w:rsidR="005C0F14">
        <w:rPr>
          <w:rFonts w:ascii="Arial" w:eastAsia="Times New Roman" w:hAnsi="Arial" w:cs="Arial"/>
          <w:sz w:val="24"/>
          <w:szCs w:val="24"/>
        </w:rPr>
        <w:t>p</w:t>
      </w:r>
      <w:r w:rsidRPr="00CC2F5E">
        <w:rPr>
          <w:rFonts w:ascii="Arial" w:eastAsia="Times New Roman" w:hAnsi="Arial" w:cs="Arial"/>
          <w:sz w:val="24"/>
          <w:szCs w:val="24"/>
        </w:rPr>
        <w:t>art 12</w:t>
      </w:r>
      <w:r w:rsidRPr="00CC2F5E" w:rsidR="00486923">
        <w:rPr>
          <w:rFonts w:ascii="Arial" w:eastAsia="Times New Roman" w:hAnsi="Arial" w:cs="Arial"/>
          <w:sz w:val="24"/>
          <w:szCs w:val="24"/>
        </w:rPr>
        <w:t>0</w:t>
      </w:r>
      <w:r w:rsidRPr="00CC2F5E">
        <w:rPr>
          <w:rFonts w:ascii="Arial" w:eastAsia="Times New Roman" w:hAnsi="Arial" w:cs="Arial"/>
          <w:sz w:val="24"/>
          <w:szCs w:val="24"/>
        </w:rPr>
        <w:t xml:space="preserve">. Enforcement of these protections is a major responsibility of the FAA Drug Abatement </w:t>
      </w:r>
      <w:r w:rsidRPr="00CC2F5E" w:rsidR="00D869B0">
        <w:rPr>
          <w:rFonts w:ascii="Arial" w:eastAsia="Times New Roman" w:hAnsi="Arial" w:cs="Arial"/>
          <w:sz w:val="24"/>
          <w:szCs w:val="24"/>
        </w:rPr>
        <w:t xml:space="preserve">Division </w:t>
      </w:r>
      <w:r w:rsidRPr="00CC2F5E">
        <w:rPr>
          <w:rFonts w:ascii="Arial" w:eastAsia="Times New Roman" w:hAnsi="Arial" w:cs="Arial"/>
          <w:sz w:val="24"/>
          <w:szCs w:val="24"/>
        </w:rPr>
        <w:t>and the Department of Transportation</w:t>
      </w:r>
      <w:r w:rsidRPr="00CC2F5E" w:rsidR="00D869B0">
        <w:rPr>
          <w:rFonts w:ascii="Arial" w:eastAsia="Times New Roman" w:hAnsi="Arial" w:cs="Arial"/>
          <w:sz w:val="24"/>
          <w:szCs w:val="24"/>
        </w:rPr>
        <w:t>’s</w:t>
      </w:r>
      <w:r w:rsidRPr="00CC2F5E">
        <w:rPr>
          <w:rFonts w:ascii="Arial" w:eastAsia="Times New Roman" w:hAnsi="Arial" w:cs="Arial"/>
          <w:sz w:val="24"/>
          <w:szCs w:val="24"/>
        </w:rPr>
        <w:t xml:space="preserve"> Office of Drug and Alcohol Policy and Compliance.</w:t>
      </w:r>
    </w:p>
    <w:p w:rsidR="001D7598" w:rsidRPr="00CC2F5E" w:rsidP="001D7598" w14:paraId="3F10CEB7" w14:textId="77777777">
      <w:pPr>
        <w:spacing w:after="0" w:line="240" w:lineRule="auto"/>
        <w:rPr>
          <w:rFonts w:ascii="Arial" w:eastAsia="Times New Roman" w:hAnsi="Arial" w:cs="Arial"/>
          <w:sz w:val="24"/>
          <w:szCs w:val="24"/>
        </w:rPr>
      </w:pPr>
    </w:p>
    <w:p w:rsidR="001D7598" w:rsidRPr="00CC2F5E" w:rsidP="00A84C14" w14:paraId="02D70865" w14:textId="41079CB9">
      <w:pPr>
        <w:spacing w:after="0" w:line="240" w:lineRule="auto"/>
        <w:rPr>
          <w:rFonts w:ascii="Arial" w:eastAsia="Times New Roman" w:hAnsi="Arial" w:cs="Arial"/>
          <w:sz w:val="24"/>
          <w:szCs w:val="24"/>
        </w:rPr>
      </w:pPr>
      <w:r w:rsidRPr="52F164E3">
        <w:rPr>
          <w:rFonts w:ascii="Arial" w:eastAsia="Times New Roman" w:hAnsi="Arial" w:cs="Arial"/>
          <w:sz w:val="24"/>
          <w:szCs w:val="24"/>
        </w:rPr>
        <w:t xml:space="preserve">As explained above, the statutory authority for these assurances of confidentiality is contained in </w:t>
      </w:r>
      <w:r w:rsidRPr="52F164E3" w:rsidR="00D869B0">
        <w:rPr>
          <w:rFonts w:ascii="Arial" w:eastAsia="Times New Roman" w:hAnsi="Arial" w:cs="Arial"/>
          <w:sz w:val="24"/>
          <w:szCs w:val="24"/>
        </w:rPr>
        <w:t>t</w:t>
      </w:r>
      <w:r w:rsidRPr="52F164E3">
        <w:rPr>
          <w:rFonts w:ascii="Arial" w:eastAsia="Times New Roman" w:hAnsi="Arial" w:cs="Arial"/>
          <w:sz w:val="24"/>
          <w:szCs w:val="24"/>
        </w:rPr>
        <w:t>he FAA’s authority to issue rules regarding aviation safety (Title 49 USC).  Subtitle VII, Section 106 describes the authority of the FAA Administrator. Subtitle VII, Section 45102, charges the FAA with prescribing regulations to establish programs for drug and alcohol testing of employees performing safety-sensitive functions for air carriers.</w:t>
      </w:r>
      <w:r w:rsidRPr="52F164E3" w:rsidR="0063482D">
        <w:rPr>
          <w:rFonts w:ascii="Arial" w:eastAsia="Times New Roman" w:hAnsi="Arial" w:cs="Arial"/>
          <w:sz w:val="24"/>
          <w:szCs w:val="24"/>
        </w:rPr>
        <w:t xml:space="preserve"> </w:t>
      </w:r>
    </w:p>
    <w:p w:rsidR="001D7598" w:rsidP="00C64707" w14:paraId="0E69A9DD" w14:textId="240356CE">
      <w:pPr>
        <w:shd w:val="clear" w:color="auto" w:fill="FFFFFF"/>
        <w:spacing w:after="0" w:line="240" w:lineRule="auto"/>
        <w:rPr>
          <w:rFonts w:ascii="Arial" w:eastAsia="Times New Roman" w:hAnsi="Arial" w:cs="Arial"/>
          <w:sz w:val="24"/>
          <w:szCs w:val="24"/>
        </w:rPr>
      </w:pPr>
    </w:p>
    <w:p w:rsidR="00EC0727" w:rsidRPr="00CC2F5E" w:rsidP="00C64707" w14:paraId="2F25D6FB" w14:textId="77777777">
      <w:pPr>
        <w:shd w:val="clear" w:color="auto" w:fill="FFFFFF"/>
        <w:spacing w:after="0" w:line="240" w:lineRule="auto"/>
        <w:rPr>
          <w:rFonts w:ascii="Arial" w:eastAsia="Times New Roman" w:hAnsi="Arial" w:cs="Arial"/>
          <w:sz w:val="24"/>
          <w:szCs w:val="24"/>
        </w:rPr>
      </w:pPr>
    </w:p>
    <w:p w:rsidR="00C64707" w:rsidRPr="00CC2F5E" w:rsidP="00C64707" w14:paraId="06A64C59"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CC2F5E" w:rsidP="00C64707" w14:paraId="34CB9A45" w14:textId="77777777">
      <w:pPr>
        <w:shd w:val="clear" w:color="auto" w:fill="FFFFFF"/>
        <w:spacing w:after="0" w:line="240" w:lineRule="auto"/>
        <w:rPr>
          <w:rFonts w:ascii="Arial" w:eastAsia="Times New Roman" w:hAnsi="Arial" w:cs="Arial"/>
          <w:sz w:val="24"/>
          <w:szCs w:val="24"/>
        </w:rPr>
      </w:pPr>
    </w:p>
    <w:p w:rsidR="00194B3A" w:rsidRPr="00CC2F5E" w:rsidP="00194B3A" w14:paraId="01EA1BCB" w14:textId="584CE48B">
      <w:pPr>
        <w:spacing w:after="0" w:line="240" w:lineRule="auto"/>
        <w:rPr>
          <w:rFonts w:ascii="Arial" w:eastAsia="Times New Roman" w:hAnsi="Arial" w:cs="Arial"/>
          <w:sz w:val="24"/>
          <w:szCs w:val="24"/>
        </w:rPr>
      </w:pPr>
      <w:r w:rsidRPr="0D7050F3">
        <w:rPr>
          <w:rFonts w:ascii="Arial" w:eastAsia="Times New Roman" w:hAnsi="Arial" w:cs="Arial"/>
          <w:sz w:val="24"/>
          <w:szCs w:val="24"/>
        </w:rPr>
        <w:t>There are no questions of a sensitive nature.</w:t>
      </w:r>
    </w:p>
    <w:p w:rsidR="00194B3A" w:rsidP="00C64707" w14:paraId="0D38DC3E" w14:textId="59B53339">
      <w:pPr>
        <w:shd w:val="clear" w:color="auto" w:fill="FFFFFF"/>
        <w:spacing w:after="0" w:line="240" w:lineRule="auto"/>
        <w:rPr>
          <w:rFonts w:ascii="Arial" w:eastAsia="Times New Roman" w:hAnsi="Arial" w:cs="Arial"/>
          <w:sz w:val="24"/>
          <w:szCs w:val="24"/>
        </w:rPr>
      </w:pPr>
    </w:p>
    <w:p w:rsidR="00EC0727" w:rsidRPr="00CC2F5E" w:rsidP="00C64707" w14:paraId="177AFBF5" w14:textId="77777777">
      <w:pPr>
        <w:shd w:val="clear" w:color="auto" w:fill="FFFFFF"/>
        <w:spacing w:after="0" w:line="240" w:lineRule="auto"/>
        <w:rPr>
          <w:rFonts w:ascii="Arial" w:eastAsia="Times New Roman" w:hAnsi="Arial" w:cs="Arial"/>
          <w:sz w:val="24"/>
          <w:szCs w:val="24"/>
        </w:rPr>
      </w:pPr>
    </w:p>
    <w:p w:rsidR="00122687" w:rsidP="52F164E3" w14:paraId="3CDD155E" w14:textId="41B89409">
      <w:pPr>
        <w:shd w:val="clear" w:color="auto" w:fill="FFFFFF" w:themeFill="background1"/>
        <w:spacing w:after="0" w:line="240" w:lineRule="auto"/>
        <w:rPr>
          <w:rFonts w:ascii="Arial" w:eastAsia="Times New Roman" w:hAnsi="Arial" w:cs="Arial"/>
          <w:b/>
          <w:bCs/>
          <w:sz w:val="24"/>
          <w:szCs w:val="24"/>
        </w:rPr>
      </w:pPr>
      <w:r w:rsidRPr="52F164E3">
        <w:rPr>
          <w:rFonts w:ascii="Arial" w:eastAsia="Times New Roman" w:hAnsi="Arial" w:cs="Arial"/>
          <w:b/>
          <w:bCs/>
          <w:sz w:val="24"/>
          <w:szCs w:val="24"/>
        </w:rPr>
        <w:t>12. Provide estimates of the hour burden of the collection of information.</w:t>
      </w:r>
    </w:p>
    <w:p w:rsidR="0063482D" w:rsidP="00C64707" w14:paraId="6113E2CD" w14:textId="5D1E6131">
      <w:pPr>
        <w:shd w:val="clear" w:color="auto" w:fill="FFFFFF"/>
        <w:spacing w:after="0" w:line="240" w:lineRule="auto"/>
        <w:rPr>
          <w:rFonts w:ascii="Arial" w:eastAsia="Times New Roman" w:hAnsi="Arial" w:cs="Arial"/>
          <w:b/>
          <w:bCs/>
          <w:sz w:val="24"/>
          <w:szCs w:val="24"/>
        </w:rPr>
      </w:pPr>
    </w:p>
    <w:p w:rsidR="0010759B" w:rsidP="63EAB113" w14:paraId="249A259B" w14:textId="30B83FE2">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The</w:t>
      </w:r>
      <w:r w:rsidRPr="52F164E3" w:rsidR="00843BDB">
        <w:rPr>
          <w:rFonts w:ascii="Arial" w:eastAsia="Times New Roman" w:hAnsi="Arial" w:cs="Arial"/>
          <w:sz w:val="24"/>
          <w:szCs w:val="24"/>
        </w:rPr>
        <w:t xml:space="preserve"> </w:t>
      </w:r>
      <w:r w:rsidRPr="52F164E3" w:rsidR="00532779">
        <w:rPr>
          <w:rFonts w:ascii="Arial" w:eastAsia="Times New Roman" w:hAnsi="Arial" w:cs="Arial"/>
          <w:sz w:val="24"/>
          <w:szCs w:val="24"/>
        </w:rPr>
        <w:t>analysis</w:t>
      </w:r>
      <w:r w:rsidRPr="52F164E3" w:rsidR="007D6D22">
        <w:rPr>
          <w:rFonts w:ascii="Arial" w:eastAsia="Times New Roman" w:hAnsi="Arial" w:cs="Arial"/>
          <w:sz w:val="24"/>
          <w:szCs w:val="24"/>
        </w:rPr>
        <w:t xml:space="preserve"> </w:t>
      </w:r>
      <w:r w:rsidRPr="52F164E3" w:rsidR="00F57320">
        <w:rPr>
          <w:rFonts w:ascii="Arial" w:eastAsia="Times New Roman" w:hAnsi="Arial" w:cs="Arial"/>
          <w:sz w:val="24"/>
          <w:szCs w:val="24"/>
        </w:rPr>
        <w:t>in this section</w:t>
      </w:r>
      <w:r w:rsidRPr="52F164E3" w:rsidR="007D6D22">
        <w:rPr>
          <w:rFonts w:ascii="Arial" w:eastAsia="Times New Roman" w:hAnsi="Arial" w:cs="Arial"/>
          <w:sz w:val="24"/>
          <w:szCs w:val="24"/>
        </w:rPr>
        <w:t xml:space="preserve"> </w:t>
      </w:r>
      <w:r w:rsidRPr="52F164E3" w:rsidR="009B6D65">
        <w:rPr>
          <w:rFonts w:ascii="Arial" w:eastAsia="Times New Roman" w:hAnsi="Arial" w:cs="Arial"/>
          <w:sz w:val="24"/>
          <w:szCs w:val="24"/>
        </w:rPr>
        <w:t>include</w:t>
      </w:r>
      <w:r w:rsidRPr="52F164E3" w:rsidR="00F57320">
        <w:rPr>
          <w:rFonts w:ascii="Arial" w:eastAsia="Times New Roman" w:hAnsi="Arial" w:cs="Arial"/>
          <w:sz w:val="24"/>
          <w:szCs w:val="24"/>
        </w:rPr>
        <w:t>s</w:t>
      </w:r>
      <w:r w:rsidRPr="52F164E3" w:rsidR="007D6D22">
        <w:rPr>
          <w:rFonts w:ascii="Arial" w:eastAsia="Times New Roman" w:hAnsi="Arial" w:cs="Arial"/>
          <w:sz w:val="24"/>
          <w:szCs w:val="24"/>
        </w:rPr>
        <w:t xml:space="preserve"> the </w:t>
      </w:r>
      <w:r w:rsidRPr="52F164E3" w:rsidR="009B6D65">
        <w:rPr>
          <w:rFonts w:ascii="Arial" w:eastAsia="Times New Roman" w:hAnsi="Arial" w:cs="Arial"/>
          <w:sz w:val="24"/>
          <w:szCs w:val="24"/>
        </w:rPr>
        <w:t>annual hour and cost burden</w:t>
      </w:r>
      <w:r w:rsidRPr="52F164E3" w:rsidR="00532779">
        <w:rPr>
          <w:rFonts w:ascii="Arial" w:eastAsia="Times New Roman" w:hAnsi="Arial" w:cs="Arial"/>
          <w:sz w:val="24"/>
          <w:szCs w:val="24"/>
        </w:rPr>
        <w:t xml:space="preserve"> </w:t>
      </w:r>
      <w:r w:rsidRPr="52F164E3" w:rsidR="009A333A">
        <w:rPr>
          <w:rFonts w:ascii="Arial" w:eastAsia="Times New Roman" w:hAnsi="Arial" w:cs="Arial"/>
          <w:sz w:val="24"/>
          <w:szCs w:val="24"/>
        </w:rPr>
        <w:t>of foreign repair stations</w:t>
      </w:r>
      <w:r w:rsidRPr="52F164E3" w:rsidR="0020170A">
        <w:rPr>
          <w:rFonts w:ascii="Arial" w:eastAsia="Times New Roman" w:hAnsi="Arial" w:cs="Arial"/>
          <w:sz w:val="24"/>
          <w:szCs w:val="24"/>
        </w:rPr>
        <w:t xml:space="preserve"> based on </w:t>
      </w:r>
      <w:r w:rsidRPr="52F164E3" w:rsidR="002357B1">
        <w:rPr>
          <w:rFonts w:ascii="Arial" w:eastAsia="Times New Roman" w:hAnsi="Arial" w:cs="Arial"/>
          <w:sz w:val="24"/>
          <w:szCs w:val="24"/>
        </w:rPr>
        <w:t xml:space="preserve">two cost cases: a </w:t>
      </w:r>
      <w:r w:rsidRPr="52F164E3" w:rsidR="00111C6B">
        <w:rPr>
          <w:rFonts w:ascii="Arial" w:eastAsia="Times New Roman" w:hAnsi="Arial" w:cs="Arial"/>
          <w:sz w:val="24"/>
          <w:szCs w:val="24"/>
        </w:rPr>
        <w:t>high</w:t>
      </w:r>
      <w:r w:rsidRPr="52F164E3" w:rsidR="002357B1">
        <w:rPr>
          <w:rFonts w:ascii="Arial" w:eastAsia="Times New Roman" w:hAnsi="Arial" w:cs="Arial"/>
          <w:sz w:val="24"/>
          <w:szCs w:val="24"/>
        </w:rPr>
        <w:t>-cost</w:t>
      </w:r>
      <w:r w:rsidRPr="52F164E3" w:rsidR="00111C6B">
        <w:rPr>
          <w:rFonts w:ascii="Arial" w:eastAsia="Times New Roman" w:hAnsi="Arial" w:cs="Arial"/>
          <w:sz w:val="24"/>
          <w:szCs w:val="24"/>
        </w:rPr>
        <w:t xml:space="preserve"> and low</w:t>
      </w:r>
      <w:r w:rsidRPr="52F164E3" w:rsidR="002357B1">
        <w:rPr>
          <w:rFonts w:ascii="Arial" w:eastAsia="Times New Roman" w:hAnsi="Arial" w:cs="Arial"/>
          <w:sz w:val="24"/>
          <w:szCs w:val="24"/>
        </w:rPr>
        <w:t>-cost case.</w:t>
      </w:r>
      <w:r w:rsidRPr="52F164E3" w:rsidR="008D1719">
        <w:rPr>
          <w:rFonts w:ascii="Arial" w:eastAsia="Times New Roman" w:hAnsi="Arial" w:cs="Arial"/>
          <w:sz w:val="24"/>
          <w:szCs w:val="24"/>
        </w:rPr>
        <w:t xml:space="preserve"> </w:t>
      </w:r>
      <w:r w:rsidRPr="52F164E3" w:rsidR="006A28C2">
        <w:rPr>
          <w:rFonts w:ascii="Arial" w:eastAsia="Times New Roman" w:hAnsi="Arial" w:cs="Arial"/>
          <w:sz w:val="24"/>
          <w:szCs w:val="24"/>
        </w:rPr>
        <w:t>In its analysis</w:t>
      </w:r>
      <w:r w:rsidRPr="52F164E3" w:rsidR="003F52E6">
        <w:rPr>
          <w:rFonts w:ascii="Arial" w:eastAsia="Times New Roman" w:hAnsi="Arial" w:cs="Arial"/>
          <w:sz w:val="24"/>
          <w:szCs w:val="24"/>
        </w:rPr>
        <w:t xml:space="preserve"> of the final rule</w:t>
      </w:r>
      <w:r w:rsidRPr="52F164E3" w:rsidR="006A28C2">
        <w:rPr>
          <w:rFonts w:ascii="Arial" w:eastAsia="Times New Roman" w:hAnsi="Arial" w:cs="Arial"/>
          <w:sz w:val="24"/>
          <w:szCs w:val="24"/>
        </w:rPr>
        <w:t xml:space="preserve">, the FAA </w:t>
      </w:r>
      <w:r w:rsidRPr="52F164E3" w:rsidR="00223427">
        <w:rPr>
          <w:rFonts w:ascii="Arial" w:eastAsia="Times New Roman" w:hAnsi="Arial" w:cs="Arial"/>
          <w:sz w:val="24"/>
          <w:szCs w:val="24"/>
        </w:rPr>
        <w:t xml:space="preserve">created these two cases because the final rule will allow </w:t>
      </w:r>
      <w:r w:rsidRPr="52F164E3" w:rsidR="002F10DC">
        <w:rPr>
          <w:rFonts w:ascii="Arial" w:eastAsia="Times New Roman" w:hAnsi="Arial" w:cs="Arial"/>
          <w:sz w:val="24"/>
          <w:szCs w:val="24"/>
        </w:rPr>
        <w:t xml:space="preserve">countries to comply with the alternative </w:t>
      </w:r>
      <w:r w:rsidRPr="52F164E3" w:rsidR="00306F4F">
        <w:rPr>
          <w:rFonts w:ascii="Arial" w:eastAsia="Times New Roman" w:hAnsi="Arial" w:cs="Arial"/>
          <w:sz w:val="24"/>
          <w:szCs w:val="24"/>
        </w:rPr>
        <w:t>means</w:t>
      </w:r>
      <w:r w:rsidRPr="52F164E3" w:rsidR="002F10DC">
        <w:rPr>
          <w:rFonts w:ascii="Arial" w:eastAsia="Times New Roman" w:hAnsi="Arial" w:cs="Arial"/>
          <w:sz w:val="24"/>
          <w:szCs w:val="24"/>
        </w:rPr>
        <w:t xml:space="preserve"> of compliance</w:t>
      </w:r>
      <w:r w:rsidRPr="52F164E3" w:rsidR="003F52E6">
        <w:rPr>
          <w:rFonts w:ascii="Arial" w:eastAsia="Times New Roman" w:hAnsi="Arial" w:cs="Arial"/>
          <w:sz w:val="24"/>
          <w:szCs w:val="24"/>
        </w:rPr>
        <w:t xml:space="preserve"> in the final </w:t>
      </w:r>
      <w:r w:rsidRPr="52F164E3" w:rsidR="002F10DC">
        <w:rPr>
          <w:rFonts w:ascii="Arial" w:eastAsia="Times New Roman" w:hAnsi="Arial" w:cs="Arial"/>
          <w:sz w:val="24"/>
          <w:szCs w:val="24"/>
        </w:rPr>
        <w:t xml:space="preserve">rule by </w:t>
      </w:r>
      <w:r w:rsidRPr="52F164E3" w:rsidR="003F52E6">
        <w:rPr>
          <w:rFonts w:ascii="Arial" w:eastAsia="Times New Roman" w:hAnsi="Arial" w:cs="Arial"/>
          <w:sz w:val="24"/>
          <w:szCs w:val="24"/>
        </w:rPr>
        <w:t>submitting</w:t>
      </w:r>
      <w:r w:rsidRPr="52F164E3" w:rsidR="002F10DC">
        <w:rPr>
          <w:rFonts w:ascii="Arial" w:eastAsia="Times New Roman" w:hAnsi="Arial" w:cs="Arial"/>
          <w:sz w:val="24"/>
          <w:szCs w:val="24"/>
        </w:rPr>
        <w:t xml:space="preserve"> a request for </w:t>
      </w:r>
      <w:r w:rsidRPr="52F164E3" w:rsidR="00912CE3">
        <w:rPr>
          <w:rFonts w:ascii="Arial" w:eastAsia="Times New Roman" w:hAnsi="Arial" w:cs="Arial"/>
          <w:sz w:val="24"/>
          <w:szCs w:val="24"/>
        </w:rPr>
        <w:t>recognition</w:t>
      </w:r>
      <w:r w:rsidRPr="52F164E3" w:rsidR="00DF1C12">
        <w:rPr>
          <w:rFonts w:ascii="Arial" w:eastAsia="Times New Roman" w:hAnsi="Arial" w:cs="Arial"/>
          <w:sz w:val="24"/>
          <w:szCs w:val="24"/>
        </w:rPr>
        <w:t xml:space="preserve"> in accordance with </w:t>
      </w:r>
      <w:r w:rsidRPr="52F164E3" w:rsidR="00E55B2D">
        <w:rPr>
          <w:rFonts w:ascii="Arial" w:eastAsia="Times New Roman" w:hAnsi="Arial" w:cs="Arial"/>
          <w:sz w:val="24"/>
          <w:szCs w:val="24"/>
        </w:rPr>
        <w:t>section 120.10 of the final rule</w:t>
      </w:r>
      <w:r w:rsidRPr="52F164E3" w:rsidR="002F10DC">
        <w:rPr>
          <w:rFonts w:ascii="Arial" w:eastAsia="Times New Roman" w:hAnsi="Arial" w:cs="Arial"/>
          <w:sz w:val="24"/>
          <w:szCs w:val="24"/>
        </w:rPr>
        <w:t>.</w:t>
      </w:r>
      <w:r w:rsidRPr="52F164E3" w:rsidR="006A28C2">
        <w:rPr>
          <w:rFonts w:ascii="Arial" w:eastAsia="Times New Roman" w:hAnsi="Arial" w:cs="Arial"/>
          <w:sz w:val="24"/>
          <w:szCs w:val="24"/>
        </w:rPr>
        <w:t xml:space="preserve"> </w:t>
      </w:r>
      <w:r w:rsidRPr="52F164E3" w:rsidR="000D3218">
        <w:rPr>
          <w:rFonts w:ascii="Arial" w:eastAsia="Times New Roman" w:hAnsi="Arial" w:cs="Arial"/>
          <w:sz w:val="24"/>
          <w:szCs w:val="24"/>
        </w:rPr>
        <w:t>The</w:t>
      </w:r>
      <w:r w:rsidRPr="52F164E3" w:rsidR="00322502">
        <w:rPr>
          <w:rFonts w:ascii="Arial" w:eastAsia="Times New Roman" w:hAnsi="Arial" w:cs="Arial"/>
          <w:sz w:val="24"/>
          <w:szCs w:val="24"/>
        </w:rPr>
        <w:t xml:space="preserve"> low-cost case as</w:t>
      </w:r>
      <w:r w:rsidRPr="52F164E3" w:rsidR="000D3218">
        <w:rPr>
          <w:rFonts w:ascii="Arial" w:eastAsia="Times New Roman" w:hAnsi="Arial" w:cs="Arial"/>
          <w:sz w:val="24"/>
          <w:szCs w:val="24"/>
        </w:rPr>
        <w:t>sumes that</w:t>
      </w:r>
      <w:r w:rsidRPr="52F164E3" w:rsidR="00322502">
        <w:rPr>
          <w:rFonts w:ascii="Arial" w:eastAsia="Times New Roman" w:hAnsi="Arial" w:cs="Arial"/>
          <w:sz w:val="24"/>
          <w:szCs w:val="24"/>
        </w:rPr>
        <w:t xml:space="preserve"> all</w:t>
      </w:r>
      <w:r w:rsidRPr="52F164E3" w:rsidR="00F17DD1">
        <w:rPr>
          <w:rFonts w:ascii="Arial" w:eastAsia="Times New Roman" w:hAnsi="Arial" w:cs="Arial"/>
          <w:sz w:val="24"/>
          <w:szCs w:val="24"/>
        </w:rPr>
        <w:t xml:space="preserve"> countries </w:t>
      </w:r>
      <w:r w:rsidRPr="52F164E3" w:rsidR="00B15E1F">
        <w:rPr>
          <w:rFonts w:ascii="Arial" w:eastAsia="Times New Roman" w:hAnsi="Arial" w:cs="Arial"/>
          <w:sz w:val="24"/>
          <w:szCs w:val="24"/>
        </w:rPr>
        <w:t>will</w:t>
      </w:r>
      <w:r w:rsidRPr="52F164E3" w:rsidR="00F17DD1">
        <w:rPr>
          <w:rFonts w:ascii="Arial" w:eastAsia="Times New Roman" w:hAnsi="Arial" w:cs="Arial"/>
          <w:sz w:val="24"/>
          <w:szCs w:val="24"/>
        </w:rPr>
        <w:t xml:space="preserve"> submit a request </w:t>
      </w:r>
      <w:r w:rsidRPr="52F164E3" w:rsidR="000A311B">
        <w:rPr>
          <w:rFonts w:ascii="Arial" w:eastAsia="Times New Roman" w:hAnsi="Arial" w:cs="Arial"/>
          <w:sz w:val="24"/>
          <w:szCs w:val="24"/>
        </w:rPr>
        <w:t>through this pathway.</w:t>
      </w:r>
      <w:r w:rsidRPr="52F164E3">
        <w:rPr>
          <w:rFonts w:ascii="Arial" w:eastAsia="Times New Roman" w:hAnsi="Arial" w:cs="Arial"/>
          <w:sz w:val="24"/>
          <w:szCs w:val="24"/>
        </w:rPr>
        <w:t xml:space="preserve"> In the low-cost case, </w:t>
      </w:r>
      <w:r w:rsidRPr="52F164E3" w:rsidR="003A1769">
        <w:rPr>
          <w:rFonts w:ascii="Arial" w:eastAsia="Times New Roman" w:hAnsi="Arial" w:cs="Arial"/>
          <w:sz w:val="24"/>
          <w:szCs w:val="24"/>
        </w:rPr>
        <w:t>the information</w:t>
      </w:r>
      <w:r w:rsidRPr="52F164E3" w:rsidR="0050290C">
        <w:rPr>
          <w:rFonts w:ascii="Arial" w:eastAsia="Times New Roman" w:hAnsi="Arial" w:cs="Arial"/>
          <w:sz w:val="24"/>
          <w:szCs w:val="24"/>
        </w:rPr>
        <w:t xml:space="preserve"> collection</w:t>
      </w:r>
      <w:r w:rsidRPr="52F164E3" w:rsidR="003A1769">
        <w:rPr>
          <w:rFonts w:ascii="Arial" w:eastAsia="Times New Roman" w:hAnsi="Arial" w:cs="Arial"/>
          <w:sz w:val="24"/>
          <w:szCs w:val="24"/>
        </w:rPr>
        <w:t xml:space="preserve"> will include </w:t>
      </w:r>
      <w:r w:rsidRPr="52F164E3" w:rsidR="00AE6F89">
        <w:rPr>
          <w:rFonts w:ascii="Arial" w:eastAsia="Times New Roman" w:hAnsi="Arial" w:cs="Arial"/>
          <w:sz w:val="24"/>
          <w:szCs w:val="24"/>
        </w:rPr>
        <w:t xml:space="preserve">time </w:t>
      </w:r>
      <w:r w:rsidRPr="52F164E3" w:rsidR="007D3444">
        <w:rPr>
          <w:rFonts w:ascii="Arial" w:eastAsia="Times New Roman" w:hAnsi="Arial" w:cs="Arial"/>
          <w:sz w:val="24"/>
          <w:szCs w:val="24"/>
        </w:rPr>
        <w:t xml:space="preserve">for the industry </w:t>
      </w:r>
      <w:r w:rsidRPr="52F164E3" w:rsidR="00AE6F89">
        <w:rPr>
          <w:rFonts w:ascii="Arial" w:eastAsia="Times New Roman" w:hAnsi="Arial" w:cs="Arial"/>
          <w:sz w:val="24"/>
          <w:szCs w:val="24"/>
        </w:rPr>
        <w:t xml:space="preserve">to </w:t>
      </w:r>
      <w:r w:rsidRPr="52F164E3" w:rsidR="00FF4AC3">
        <w:rPr>
          <w:rFonts w:ascii="Arial" w:eastAsia="Times New Roman" w:hAnsi="Arial" w:cs="Arial"/>
          <w:sz w:val="24"/>
          <w:szCs w:val="24"/>
        </w:rPr>
        <w:t xml:space="preserve">collect </w:t>
      </w:r>
      <w:r w:rsidRPr="52F164E3" w:rsidR="007D3444">
        <w:rPr>
          <w:rFonts w:ascii="Arial" w:eastAsia="Times New Roman" w:hAnsi="Arial" w:cs="Arial"/>
          <w:sz w:val="24"/>
          <w:szCs w:val="24"/>
        </w:rPr>
        <w:t>the necessary documentation to submit their request.</w:t>
      </w:r>
      <w:r w:rsidRPr="52F164E3" w:rsidR="00F17DD1">
        <w:rPr>
          <w:rFonts w:ascii="Arial" w:eastAsia="Times New Roman" w:hAnsi="Arial" w:cs="Arial"/>
          <w:sz w:val="24"/>
          <w:szCs w:val="24"/>
        </w:rPr>
        <w:t xml:space="preserve"> </w:t>
      </w:r>
      <w:r w:rsidRPr="52F164E3" w:rsidR="0050290C">
        <w:rPr>
          <w:rFonts w:ascii="Arial" w:eastAsia="Times New Roman" w:hAnsi="Arial" w:cs="Arial"/>
          <w:sz w:val="24"/>
          <w:szCs w:val="24"/>
        </w:rPr>
        <w:t xml:space="preserve">The impact of this information collection on the </w:t>
      </w:r>
      <w:r w:rsidRPr="52F164E3" w:rsidR="007D3444">
        <w:rPr>
          <w:rFonts w:ascii="Arial" w:eastAsia="Times New Roman" w:hAnsi="Arial" w:cs="Arial"/>
          <w:sz w:val="24"/>
          <w:szCs w:val="24"/>
        </w:rPr>
        <w:t>FAA</w:t>
      </w:r>
      <w:r w:rsidRPr="52F164E3" w:rsidR="0050290C">
        <w:rPr>
          <w:rFonts w:ascii="Arial" w:eastAsia="Times New Roman" w:hAnsi="Arial" w:cs="Arial"/>
          <w:sz w:val="24"/>
          <w:szCs w:val="24"/>
        </w:rPr>
        <w:t xml:space="preserve"> will be the time to review the submitted request.</w:t>
      </w:r>
    </w:p>
    <w:p w:rsidR="0010759B" w:rsidP="63EAB113" w14:paraId="54F98A32" w14:textId="77777777">
      <w:pPr>
        <w:shd w:val="clear" w:color="auto" w:fill="FFFFFF" w:themeFill="background1"/>
        <w:spacing w:after="0" w:line="240" w:lineRule="auto"/>
        <w:rPr>
          <w:rFonts w:ascii="Arial" w:eastAsia="Times New Roman" w:hAnsi="Arial" w:cs="Arial"/>
          <w:sz w:val="24"/>
          <w:szCs w:val="24"/>
        </w:rPr>
      </w:pPr>
    </w:p>
    <w:p w:rsidR="00D445AF" w:rsidP="63EAB113" w14:paraId="06811C09" w14:textId="3CAC94C8">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For the purposes</w:t>
      </w:r>
      <w:r w:rsidRPr="52F164E3" w:rsidR="008D1719">
        <w:rPr>
          <w:rFonts w:ascii="Arial" w:eastAsia="Times New Roman" w:hAnsi="Arial" w:cs="Arial"/>
          <w:sz w:val="24"/>
          <w:szCs w:val="24"/>
        </w:rPr>
        <w:t xml:space="preserve"> </w:t>
      </w:r>
      <w:r w:rsidRPr="52F164E3" w:rsidR="004C57DF">
        <w:rPr>
          <w:rFonts w:ascii="Arial" w:eastAsia="Times New Roman" w:hAnsi="Arial" w:cs="Arial"/>
          <w:sz w:val="24"/>
          <w:szCs w:val="24"/>
        </w:rPr>
        <w:t>of the Supporting Statement</w:t>
      </w:r>
      <w:r w:rsidRPr="52F164E3" w:rsidR="002428BE">
        <w:rPr>
          <w:rFonts w:ascii="Arial" w:eastAsia="Times New Roman" w:hAnsi="Arial" w:cs="Arial"/>
          <w:sz w:val="24"/>
          <w:szCs w:val="24"/>
        </w:rPr>
        <w:t xml:space="preserve"> and the PRA analysis</w:t>
      </w:r>
      <w:r w:rsidRPr="52F164E3" w:rsidR="00A632C0">
        <w:rPr>
          <w:rFonts w:ascii="Arial" w:eastAsia="Times New Roman" w:hAnsi="Arial" w:cs="Arial"/>
          <w:sz w:val="24"/>
          <w:szCs w:val="24"/>
        </w:rPr>
        <w:t>, the high</w:t>
      </w:r>
      <w:r w:rsidRPr="52F164E3" w:rsidR="00560B1D">
        <w:rPr>
          <w:rFonts w:ascii="Arial" w:eastAsia="Times New Roman" w:hAnsi="Arial" w:cs="Arial"/>
          <w:sz w:val="24"/>
          <w:szCs w:val="24"/>
        </w:rPr>
        <w:t>-</w:t>
      </w:r>
      <w:r w:rsidRPr="52F164E3" w:rsidR="00A632C0">
        <w:rPr>
          <w:rFonts w:ascii="Arial" w:eastAsia="Times New Roman" w:hAnsi="Arial" w:cs="Arial"/>
          <w:sz w:val="24"/>
          <w:szCs w:val="24"/>
        </w:rPr>
        <w:t>cost case</w:t>
      </w:r>
      <w:r w:rsidRPr="52F164E3" w:rsidR="009F6A5B">
        <w:rPr>
          <w:rFonts w:ascii="Arial" w:eastAsia="Times New Roman" w:hAnsi="Arial" w:cs="Arial"/>
          <w:sz w:val="24"/>
          <w:szCs w:val="24"/>
        </w:rPr>
        <w:t xml:space="preserve"> is the main ana</w:t>
      </w:r>
      <w:r w:rsidRPr="52F164E3" w:rsidR="005402EB">
        <w:rPr>
          <w:rFonts w:ascii="Arial" w:eastAsia="Times New Roman" w:hAnsi="Arial" w:cs="Arial"/>
          <w:sz w:val="24"/>
          <w:szCs w:val="24"/>
        </w:rPr>
        <w:t>lysis (</w:t>
      </w:r>
      <w:r w:rsidRPr="52F164E3" w:rsidR="00A632C0">
        <w:rPr>
          <w:rFonts w:ascii="Arial" w:eastAsia="Times New Roman" w:hAnsi="Arial" w:cs="Arial"/>
          <w:sz w:val="24"/>
          <w:szCs w:val="24"/>
        </w:rPr>
        <w:t xml:space="preserve">assumes all foreign repair stations </w:t>
      </w:r>
      <w:r w:rsidRPr="52F164E3" w:rsidR="00552437">
        <w:rPr>
          <w:rFonts w:ascii="Arial" w:eastAsia="Times New Roman" w:hAnsi="Arial" w:cs="Arial"/>
          <w:sz w:val="24"/>
          <w:szCs w:val="24"/>
        </w:rPr>
        <w:t xml:space="preserve">will develop and implement </w:t>
      </w:r>
      <w:r w:rsidRPr="52F164E3" w:rsidR="00255D57">
        <w:rPr>
          <w:rFonts w:ascii="Arial" w:eastAsia="Times New Roman" w:hAnsi="Arial" w:cs="Arial"/>
          <w:sz w:val="24"/>
          <w:szCs w:val="24"/>
        </w:rPr>
        <w:t>a</w:t>
      </w:r>
      <w:r w:rsidRPr="52F164E3">
        <w:rPr>
          <w:rFonts w:ascii="Arial" w:eastAsia="Times New Roman" w:hAnsi="Arial" w:cs="Arial"/>
          <w:sz w:val="24"/>
          <w:szCs w:val="24"/>
        </w:rPr>
        <w:t xml:space="preserve"> drug and alcohol program </w:t>
      </w:r>
      <w:r w:rsidRPr="52F164E3" w:rsidR="001C4397">
        <w:rPr>
          <w:rFonts w:ascii="Arial" w:eastAsia="Times New Roman" w:hAnsi="Arial" w:cs="Arial"/>
          <w:sz w:val="24"/>
          <w:szCs w:val="24"/>
        </w:rPr>
        <w:t>that complies with the final rule</w:t>
      </w:r>
      <w:r w:rsidRPr="52F164E3" w:rsidR="003E117C">
        <w:rPr>
          <w:rFonts w:ascii="Arial" w:eastAsia="Times New Roman" w:hAnsi="Arial" w:cs="Arial"/>
          <w:sz w:val="24"/>
          <w:szCs w:val="24"/>
        </w:rPr>
        <w:t xml:space="preserve"> in lieu of </w:t>
      </w:r>
      <w:r w:rsidRPr="52F164E3" w:rsidR="008865FF">
        <w:rPr>
          <w:rFonts w:ascii="Arial" w:eastAsia="Times New Roman" w:hAnsi="Arial" w:cs="Arial"/>
          <w:sz w:val="24"/>
          <w:szCs w:val="24"/>
        </w:rPr>
        <w:t>requesting recognition</w:t>
      </w:r>
      <w:r w:rsidRPr="52F164E3" w:rsidR="005402EB">
        <w:rPr>
          <w:rFonts w:ascii="Arial" w:eastAsia="Times New Roman" w:hAnsi="Arial" w:cs="Arial"/>
          <w:sz w:val="24"/>
          <w:szCs w:val="24"/>
        </w:rPr>
        <w:t>)</w:t>
      </w:r>
      <w:r w:rsidRPr="52F164E3" w:rsidR="000E0111">
        <w:rPr>
          <w:rFonts w:ascii="Arial" w:eastAsia="Times New Roman" w:hAnsi="Arial" w:cs="Arial"/>
          <w:sz w:val="24"/>
          <w:szCs w:val="24"/>
        </w:rPr>
        <w:t xml:space="preserve">. </w:t>
      </w:r>
      <w:r w:rsidRPr="52F164E3" w:rsidR="00F44BA2">
        <w:rPr>
          <w:rFonts w:ascii="Arial" w:eastAsia="Times New Roman" w:hAnsi="Arial" w:cs="Arial"/>
          <w:sz w:val="24"/>
          <w:szCs w:val="24"/>
        </w:rPr>
        <w:t>In addition</w:t>
      </w:r>
      <w:r w:rsidRPr="52F164E3" w:rsidR="000E0111">
        <w:rPr>
          <w:rFonts w:ascii="Arial" w:eastAsia="Times New Roman" w:hAnsi="Arial" w:cs="Arial"/>
          <w:sz w:val="24"/>
          <w:szCs w:val="24"/>
        </w:rPr>
        <w:t>, the FAA provides the analysis for the low</w:t>
      </w:r>
      <w:r w:rsidRPr="52F164E3" w:rsidR="00DC71E0">
        <w:rPr>
          <w:rFonts w:ascii="Arial" w:eastAsia="Times New Roman" w:hAnsi="Arial" w:cs="Arial"/>
          <w:sz w:val="24"/>
          <w:szCs w:val="24"/>
        </w:rPr>
        <w:t xml:space="preserve">-cost case. </w:t>
      </w:r>
      <w:r w:rsidRPr="52F164E3" w:rsidR="009A51DF">
        <w:rPr>
          <w:rFonts w:ascii="Arial" w:eastAsia="Times New Roman" w:hAnsi="Arial" w:cs="Arial"/>
          <w:sz w:val="24"/>
          <w:szCs w:val="24"/>
        </w:rPr>
        <w:t xml:space="preserve">In each section, </w:t>
      </w:r>
      <w:r w:rsidRPr="52F164E3" w:rsidR="00B30F78">
        <w:rPr>
          <w:rFonts w:ascii="Arial" w:eastAsia="Times New Roman" w:hAnsi="Arial" w:cs="Arial"/>
          <w:sz w:val="24"/>
          <w:szCs w:val="24"/>
        </w:rPr>
        <w:t>the</w:t>
      </w:r>
      <w:r w:rsidRPr="52F164E3" w:rsidR="009A51DF">
        <w:rPr>
          <w:rFonts w:ascii="Arial" w:eastAsia="Times New Roman" w:hAnsi="Arial" w:cs="Arial"/>
          <w:sz w:val="24"/>
          <w:szCs w:val="24"/>
        </w:rPr>
        <w:t xml:space="preserve"> </w:t>
      </w:r>
      <w:r w:rsidRPr="52F164E3" w:rsidR="00BB01EE">
        <w:rPr>
          <w:rFonts w:ascii="Arial" w:eastAsia="Times New Roman" w:hAnsi="Arial" w:cs="Arial"/>
          <w:sz w:val="24"/>
          <w:szCs w:val="24"/>
        </w:rPr>
        <w:t xml:space="preserve">FAA first presents the </w:t>
      </w:r>
      <w:r w:rsidRPr="52F164E3" w:rsidR="009A51DF">
        <w:rPr>
          <w:rFonts w:ascii="Arial" w:eastAsia="Times New Roman" w:hAnsi="Arial" w:cs="Arial"/>
          <w:sz w:val="24"/>
          <w:szCs w:val="24"/>
        </w:rPr>
        <w:t xml:space="preserve">high-cost case </w:t>
      </w:r>
      <w:r w:rsidRPr="52F164E3" w:rsidR="00BB01EE">
        <w:rPr>
          <w:rFonts w:ascii="Arial" w:eastAsia="Times New Roman" w:hAnsi="Arial" w:cs="Arial"/>
          <w:sz w:val="24"/>
          <w:szCs w:val="24"/>
        </w:rPr>
        <w:t>foll</w:t>
      </w:r>
      <w:r w:rsidRPr="52F164E3" w:rsidR="007F2F9E">
        <w:rPr>
          <w:rFonts w:ascii="Arial" w:eastAsia="Times New Roman" w:hAnsi="Arial" w:cs="Arial"/>
          <w:sz w:val="24"/>
          <w:szCs w:val="24"/>
        </w:rPr>
        <w:t>owed by the low-cost case.</w:t>
      </w:r>
      <w:r w:rsidRPr="52F164E3" w:rsidR="00B11AAA">
        <w:rPr>
          <w:rFonts w:ascii="Arial" w:eastAsia="Times New Roman" w:hAnsi="Arial" w:cs="Arial"/>
          <w:sz w:val="24"/>
          <w:szCs w:val="24"/>
        </w:rPr>
        <w:t xml:space="preserve"> The low-cost case is not an additional cost to the </w:t>
      </w:r>
      <w:r w:rsidRPr="52F164E3" w:rsidR="00377B9D">
        <w:rPr>
          <w:rFonts w:ascii="Arial" w:eastAsia="Times New Roman" w:hAnsi="Arial" w:cs="Arial"/>
          <w:sz w:val="24"/>
          <w:szCs w:val="24"/>
        </w:rPr>
        <w:t xml:space="preserve">main </w:t>
      </w:r>
      <w:r w:rsidRPr="52F164E3" w:rsidR="00E8246A">
        <w:rPr>
          <w:rFonts w:ascii="Arial" w:eastAsia="Times New Roman" w:hAnsi="Arial" w:cs="Arial"/>
          <w:sz w:val="24"/>
          <w:szCs w:val="24"/>
        </w:rPr>
        <w:t xml:space="preserve">analysis. It is a separate </w:t>
      </w:r>
      <w:r w:rsidRPr="52F164E3" w:rsidR="005D2A6C">
        <w:rPr>
          <w:rFonts w:ascii="Arial" w:eastAsia="Times New Roman" w:hAnsi="Arial" w:cs="Arial"/>
          <w:sz w:val="24"/>
          <w:szCs w:val="24"/>
        </w:rPr>
        <w:t xml:space="preserve">cost </w:t>
      </w:r>
      <w:r w:rsidRPr="52F164E3" w:rsidR="00BE7623">
        <w:rPr>
          <w:rFonts w:ascii="Arial" w:eastAsia="Times New Roman" w:hAnsi="Arial" w:cs="Arial"/>
          <w:sz w:val="24"/>
          <w:szCs w:val="24"/>
        </w:rPr>
        <w:t>because</w:t>
      </w:r>
      <w:r w:rsidRPr="52F164E3" w:rsidR="003F1D44">
        <w:rPr>
          <w:rFonts w:ascii="Arial" w:eastAsia="Times New Roman" w:hAnsi="Arial" w:cs="Arial"/>
          <w:sz w:val="24"/>
          <w:szCs w:val="24"/>
        </w:rPr>
        <w:t xml:space="preserve"> </w:t>
      </w:r>
      <w:r w:rsidRPr="52F164E3" w:rsidR="00622EB7">
        <w:rPr>
          <w:rFonts w:ascii="Arial" w:eastAsia="Times New Roman" w:hAnsi="Arial" w:cs="Arial"/>
          <w:sz w:val="24"/>
          <w:szCs w:val="24"/>
        </w:rPr>
        <w:t xml:space="preserve">it is </w:t>
      </w:r>
      <w:r w:rsidRPr="52F164E3" w:rsidR="00F24A5D">
        <w:rPr>
          <w:rFonts w:ascii="Arial" w:eastAsia="Times New Roman" w:hAnsi="Arial" w:cs="Arial"/>
          <w:sz w:val="24"/>
          <w:szCs w:val="24"/>
        </w:rPr>
        <w:t>uncertain</w:t>
      </w:r>
      <w:r w:rsidRPr="52F164E3" w:rsidR="001631C0">
        <w:rPr>
          <w:rFonts w:ascii="Arial" w:eastAsia="Times New Roman" w:hAnsi="Arial" w:cs="Arial"/>
          <w:sz w:val="24"/>
          <w:szCs w:val="24"/>
        </w:rPr>
        <w:t xml:space="preserve"> how many </w:t>
      </w:r>
      <w:r w:rsidRPr="52F164E3" w:rsidR="000D1C18">
        <w:rPr>
          <w:rFonts w:ascii="Arial" w:eastAsia="Times New Roman" w:hAnsi="Arial" w:cs="Arial"/>
          <w:sz w:val="24"/>
          <w:szCs w:val="24"/>
        </w:rPr>
        <w:t xml:space="preserve">countries would </w:t>
      </w:r>
      <w:r w:rsidRPr="52F164E3" w:rsidR="00BE7623">
        <w:rPr>
          <w:rFonts w:ascii="Arial" w:eastAsia="Times New Roman" w:hAnsi="Arial" w:cs="Arial"/>
          <w:sz w:val="24"/>
          <w:szCs w:val="24"/>
        </w:rPr>
        <w:t>choose</w:t>
      </w:r>
      <w:r w:rsidRPr="52F164E3" w:rsidR="000D1C18">
        <w:rPr>
          <w:rFonts w:ascii="Arial" w:eastAsia="Times New Roman" w:hAnsi="Arial" w:cs="Arial"/>
          <w:sz w:val="24"/>
          <w:szCs w:val="24"/>
        </w:rPr>
        <w:t xml:space="preserve"> </w:t>
      </w:r>
      <w:r w:rsidRPr="52F164E3" w:rsidR="00F418E9">
        <w:rPr>
          <w:rFonts w:ascii="Arial" w:eastAsia="Times New Roman" w:hAnsi="Arial" w:cs="Arial"/>
          <w:sz w:val="24"/>
          <w:szCs w:val="24"/>
        </w:rPr>
        <w:t xml:space="preserve">to request recognition of their requirements or program. </w:t>
      </w:r>
      <w:r w:rsidRPr="52F164E3" w:rsidR="000D1C18">
        <w:rPr>
          <w:rFonts w:ascii="Arial" w:eastAsia="Times New Roman" w:hAnsi="Arial" w:cs="Arial"/>
          <w:sz w:val="24"/>
          <w:szCs w:val="24"/>
        </w:rPr>
        <w:t xml:space="preserve"> </w:t>
      </w:r>
    </w:p>
    <w:p w:rsidR="00D445AF" w:rsidP="63EAB113" w14:paraId="37E57CDE" w14:textId="77777777">
      <w:pPr>
        <w:shd w:val="clear" w:color="auto" w:fill="FFFFFF" w:themeFill="background1"/>
        <w:spacing w:after="0" w:line="240" w:lineRule="auto"/>
        <w:rPr>
          <w:rFonts w:ascii="Arial" w:eastAsia="Times New Roman" w:hAnsi="Arial" w:cs="Arial"/>
          <w:sz w:val="24"/>
          <w:szCs w:val="24"/>
        </w:rPr>
      </w:pPr>
    </w:p>
    <w:p w:rsidR="0063482D" w:rsidP="63EAB113" w14:paraId="71836B6A" w14:textId="0DDB7A0A">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 xml:space="preserve">The </w:t>
      </w:r>
      <w:r w:rsidRPr="52F164E3" w:rsidR="001C538D">
        <w:rPr>
          <w:rFonts w:ascii="Arial" w:eastAsia="Times New Roman" w:hAnsi="Arial" w:cs="Arial"/>
          <w:sz w:val="24"/>
          <w:szCs w:val="24"/>
        </w:rPr>
        <w:t xml:space="preserve">following analysis </w:t>
      </w:r>
      <w:r w:rsidRPr="52F164E3" w:rsidR="003D3E61">
        <w:rPr>
          <w:rFonts w:ascii="Arial" w:eastAsia="Times New Roman" w:hAnsi="Arial" w:cs="Arial"/>
          <w:sz w:val="24"/>
          <w:szCs w:val="24"/>
        </w:rPr>
        <w:t xml:space="preserve">first </w:t>
      </w:r>
      <w:r w:rsidRPr="52F164E3" w:rsidR="001C538D">
        <w:rPr>
          <w:rFonts w:ascii="Arial" w:eastAsia="Times New Roman" w:hAnsi="Arial" w:cs="Arial"/>
          <w:sz w:val="24"/>
          <w:szCs w:val="24"/>
        </w:rPr>
        <w:t xml:space="preserve">provides a </w:t>
      </w:r>
      <w:r w:rsidRPr="52F164E3" w:rsidR="003C50DB">
        <w:rPr>
          <w:rFonts w:ascii="Arial" w:eastAsia="Times New Roman" w:hAnsi="Arial" w:cs="Arial"/>
          <w:sz w:val="24"/>
          <w:szCs w:val="24"/>
        </w:rPr>
        <w:t>summary of the total burden associated with the collection of information</w:t>
      </w:r>
      <w:r w:rsidRPr="52F164E3" w:rsidR="003D3E61">
        <w:rPr>
          <w:rFonts w:ascii="Arial" w:eastAsia="Times New Roman" w:hAnsi="Arial" w:cs="Arial"/>
          <w:sz w:val="24"/>
          <w:szCs w:val="24"/>
        </w:rPr>
        <w:t>. That summary includes burdens attributed to</w:t>
      </w:r>
      <w:r w:rsidRPr="52F164E3">
        <w:rPr>
          <w:rFonts w:ascii="Arial" w:eastAsia="Times New Roman" w:hAnsi="Arial" w:cs="Arial"/>
          <w:sz w:val="24"/>
          <w:szCs w:val="24"/>
        </w:rPr>
        <w:t xml:space="preserve"> current</w:t>
      </w:r>
      <w:r w:rsidRPr="52F164E3" w:rsidR="3FDEBA54">
        <w:rPr>
          <w:rFonts w:ascii="Arial" w:eastAsia="Times New Roman" w:hAnsi="Arial" w:cs="Arial"/>
          <w:sz w:val="24"/>
          <w:szCs w:val="24"/>
        </w:rPr>
        <w:t>ly regulated employers</w:t>
      </w:r>
      <w:r w:rsidRPr="52F164E3">
        <w:rPr>
          <w:rFonts w:ascii="Arial" w:eastAsia="Times New Roman" w:hAnsi="Arial" w:cs="Arial"/>
          <w:sz w:val="24"/>
          <w:szCs w:val="24"/>
        </w:rPr>
        <w:t xml:space="preserve"> and the </w:t>
      </w:r>
      <w:r w:rsidRPr="52F164E3" w:rsidR="005E5613">
        <w:rPr>
          <w:rFonts w:ascii="Arial" w:eastAsia="Times New Roman" w:hAnsi="Arial" w:cs="Arial"/>
          <w:sz w:val="24"/>
          <w:szCs w:val="24"/>
        </w:rPr>
        <w:t>new</w:t>
      </w:r>
      <w:r w:rsidRPr="52F164E3">
        <w:rPr>
          <w:rFonts w:ascii="Arial" w:eastAsia="Times New Roman" w:hAnsi="Arial" w:cs="Arial"/>
          <w:sz w:val="24"/>
          <w:szCs w:val="24"/>
        </w:rPr>
        <w:t xml:space="preserve"> foreign repair stations added through the </w:t>
      </w:r>
      <w:r w:rsidRPr="52F164E3" w:rsidR="00EA0D09">
        <w:rPr>
          <w:rFonts w:ascii="Arial" w:eastAsia="Times New Roman" w:hAnsi="Arial" w:cs="Arial"/>
          <w:sz w:val="24"/>
          <w:szCs w:val="24"/>
        </w:rPr>
        <w:t xml:space="preserve">final </w:t>
      </w:r>
      <w:r w:rsidRPr="52F164E3">
        <w:rPr>
          <w:rFonts w:ascii="Arial" w:eastAsia="Times New Roman" w:hAnsi="Arial" w:cs="Arial"/>
          <w:sz w:val="24"/>
          <w:szCs w:val="24"/>
        </w:rPr>
        <w:t>rule</w:t>
      </w:r>
      <w:r w:rsidRPr="52F164E3" w:rsidR="00CE1D23">
        <w:rPr>
          <w:rFonts w:ascii="Arial" w:eastAsia="Times New Roman" w:hAnsi="Arial" w:cs="Arial"/>
          <w:sz w:val="24"/>
          <w:szCs w:val="24"/>
        </w:rPr>
        <w:t>.</w:t>
      </w:r>
      <w:r w:rsidRPr="52F164E3" w:rsidR="00A036D1">
        <w:rPr>
          <w:rFonts w:ascii="Arial" w:eastAsia="Times New Roman" w:hAnsi="Arial" w:cs="Arial"/>
          <w:sz w:val="24"/>
          <w:szCs w:val="24"/>
        </w:rPr>
        <w:t xml:space="preserve"> </w:t>
      </w:r>
      <w:r w:rsidRPr="52F164E3" w:rsidR="00EA5C68">
        <w:rPr>
          <w:rFonts w:ascii="Arial" w:eastAsia="Times New Roman" w:hAnsi="Arial" w:cs="Arial"/>
          <w:sz w:val="24"/>
          <w:szCs w:val="24"/>
        </w:rPr>
        <w:t>The analysis then</w:t>
      </w:r>
      <w:r w:rsidRPr="52F164E3" w:rsidR="005E5613">
        <w:rPr>
          <w:rFonts w:ascii="Arial" w:eastAsia="Times New Roman" w:hAnsi="Arial" w:cs="Arial"/>
          <w:sz w:val="24"/>
          <w:szCs w:val="24"/>
        </w:rPr>
        <w:t xml:space="preserve"> separately</w:t>
      </w:r>
      <w:r w:rsidRPr="52F164E3" w:rsidR="00E30B5A">
        <w:rPr>
          <w:rFonts w:ascii="Arial" w:eastAsia="Times New Roman" w:hAnsi="Arial" w:cs="Arial"/>
          <w:sz w:val="24"/>
          <w:szCs w:val="24"/>
        </w:rPr>
        <w:t xml:space="preserve"> </w:t>
      </w:r>
      <w:r w:rsidRPr="52F164E3" w:rsidR="000C3B47">
        <w:rPr>
          <w:rFonts w:ascii="Arial" w:eastAsia="Times New Roman" w:hAnsi="Arial" w:cs="Arial"/>
          <w:sz w:val="24"/>
          <w:szCs w:val="24"/>
        </w:rPr>
        <w:t>addresses the</w:t>
      </w:r>
      <w:r w:rsidRPr="52F164E3" w:rsidR="00E30B5A">
        <w:rPr>
          <w:rFonts w:ascii="Arial" w:eastAsia="Times New Roman" w:hAnsi="Arial" w:cs="Arial"/>
          <w:sz w:val="24"/>
          <w:szCs w:val="24"/>
        </w:rPr>
        <w:t xml:space="preserve"> </w:t>
      </w:r>
      <w:r w:rsidRPr="52F164E3" w:rsidR="003B5724">
        <w:rPr>
          <w:rFonts w:ascii="Arial" w:eastAsia="Times New Roman" w:hAnsi="Arial" w:cs="Arial"/>
          <w:sz w:val="24"/>
          <w:szCs w:val="24"/>
        </w:rPr>
        <w:t xml:space="preserve">burdens </w:t>
      </w:r>
      <w:r w:rsidRPr="52F164E3" w:rsidR="000C3B47">
        <w:rPr>
          <w:rFonts w:ascii="Arial" w:eastAsia="Times New Roman" w:hAnsi="Arial" w:cs="Arial"/>
          <w:sz w:val="24"/>
          <w:szCs w:val="24"/>
        </w:rPr>
        <w:t>attributed</w:t>
      </w:r>
      <w:r w:rsidRPr="52F164E3" w:rsidR="003B5724">
        <w:rPr>
          <w:rFonts w:ascii="Arial" w:eastAsia="Times New Roman" w:hAnsi="Arial" w:cs="Arial"/>
          <w:sz w:val="24"/>
          <w:szCs w:val="24"/>
        </w:rPr>
        <w:t xml:space="preserve"> </w:t>
      </w:r>
      <w:r w:rsidRPr="52F164E3" w:rsidR="000C3B47">
        <w:rPr>
          <w:rFonts w:ascii="Arial" w:eastAsia="Times New Roman" w:hAnsi="Arial" w:cs="Arial"/>
          <w:sz w:val="24"/>
          <w:szCs w:val="24"/>
        </w:rPr>
        <w:t>to</w:t>
      </w:r>
      <w:r w:rsidRPr="52F164E3" w:rsidR="003B5724">
        <w:rPr>
          <w:rFonts w:ascii="Arial" w:eastAsia="Times New Roman" w:hAnsi="Arial" w:cs="Arial"/>
          <w:sz w:val="24"/>
          <w:szCs w:val="24"/>
        </w:rPr>
        <w:t xml:space="preserve"> </w:t>
      </w:r>
      <w:r w:rsidRPr="52F164E3" w:rsidR="00131ED5">
        <w:rPr>
          <w:rFonts w:ascii="Arial" w:eastAsia="Times New Roman" w:hAnsi="Arial" w:cs="Arial"/>
          <w:sz w:val="24"/>
          <w:szCs w:val="24"/>
        </w:rPr>
        <w:t>currently regulated employers</w:t>
      </w:r>
      <w:r w:rsidRPr="52F164E3" w:rsidR="000C3B47">
        <w:rPr>
          <w:rFonts w:ascii="Arial" w:eastAsia="Times New Roman" w:hAnsi="Arial" w:cs="Arial"/>
          <w:sz w:val="24"/>
          <w:szCs w:val="24"/>
        </w:rPr>
        <w:t xml:space="preserve"> </w:t>
      </w:r>
      <w:r w:rsidRPr="52F164E3" w:rsidR="00A056E4">
        <w:rPr>
          <w:rFonts w:ascii="Arial" w:eastAsia="Times New Roman" w:hAnsi="Arial" w:cs="Arial"/>
          <w:sz w:val="24"/>
          <w:szCs w:val="24"/>
        </w:rPr>
        <w:t>before turning to</w:t>
      </w:r>
      <w:r w:rsidRPr="52F164E3" w:rsidR="00042453">
        <w:rPr>
          <w:rFonts w:ascii="Arial" w:eastAsia="Times New Roman" w:hAnsi="Arial" w:cs="Arial"/>
          <w:sz w:val="24"/>
          <w:szCs w:val="24"/>
        </w:rPr>
        <w:t xml:space="preserve"> the </w:t>
      </w:r>
      <w:r w:rsidRPr="52F164E3" w:rsidR="00A056E4">
        <w:rPr>
          <w:rFonts w:ascii="Arial" w:eastAsia="Times New Roman" w:hAnsi="Arial" w:cs="Arial"/>
          <w:sz w:val="24"/>
          <w:szCs w:val="24"/>
        </w:rPr>
        <w:t xml:space="preserve">burdens attributed to </w:t>
      </w:r>
      <w:r w:rsidRPr="52F164E3" w:rsidR="00042453">
        <w:rPr>
          <w:rFonts w:ascii="Arial" w:eastAsia="Times New Roman" w:hAnsi="Arial" w:cs="Arial"/>
          <w:sz w:val="24"/>
          <w:szCs w:val="24"/>
        </w:rPr>
        <w:t>foreign repair stations.</w:t>
      </w:r>
      <w:r w:rsidRPr="52F164E3" w:rsidR="00131ED5">
        <w:rPr>
          <w:rFonts w:ascii="Arial" w:eastAsia="Times New Roman" w:hAnsi="Arial" w:cs="Arial"/>
          <w:sz w:val="24"/>
          <w:szCs w:val="24"/>
        </w:rPr>
        <w:t xml:space="preserve"> </w:t>
      </w:r>
      <w:r w:rsidRPr="52F164E3" w:rsidR="00350983">
        <w:rPr>
          <w:rFonts w:ascii="Arial" w:eastAsia="Times New Roman" w:hAnsi="Arial" w:cs="Arial"/>
          <w:sz w:val="24"/>
          <w:szCs w:val="24"/>
        </w:rPr>
        <w:t xml:space="preserve">Under the </w:t>
      </w:r>
      <w:r w:rsidRPr="52F164E3" w:rsidR="00973686">
        <w:rPr>
          <w:rFonts w:ascii="Arial" w:eastAsia="Times New Roman" w:hAnsi="Arial" w:cs="Arial"/>
          <w:sz w:val="24"/>
          <w:szCs w:val="24"/>
        </w:rPr>
        <w:t xml:space="preserve">final </w:t>
      </w:r>
      <w:r w:rsidRPr="52F164E3" w:rsidR="00DD71AF">
        <w:rPr>
          <w:rFonts w:ascii="Arial" w:eastAsia="Times New Roman" w:hAnsi="Arial" w:cs="Arial"/>
          <w:sz w:val="24"/>
          <w:szCs w:val="24"/>
        </w:rPr>
        <w:t>rule,</w:t>
      </w:r>
      <w:r w:rsidRPr="52F164E3" w:rsidR="00A056E4">
        <w:rPr>
          <w:rFonts w:ascii="Arial" w:eastAsia="Times New Roman" w:hAnsi="Arial" w:cs="Arial"/>
          <w:sz w:val="24"/>
          <w:szCs w:val="24"/>
        </w:rPr>
        <w:t xml:space="preserve"> </w:t>
      </w:r>
      <w:r w:rsidRPr="52F164E3" w:rsidR="005E5613">
        <w:rPr>
          <w:rFonts w:ascii="Arial" w:eastAsia="Times New Roman" w:hAnsi="Arial" w:cs="Arial"/>
          <w:sz w:val="24"/>
          <w:szCs w:val="24"/>
        </w:rPr>
        <w:t xml:space="preserve">977 </w:t>
      </w:r>
      <w:r w:rsidRPr="52F164E3" w:rsidR="00A036D1">
        <w:rPr>
          <w:rFonts w:ascii="Arial" w:eastAsia="Times New Roman" w:hAnsi="Arial" w:cs="Arial"/>
          <w:sz w:val="24"/>
          <w:szCs w:val="24"/>
        </w:rPr>
        <w:t>foreign repair station</w:t>
      </w:r>
      <w:r w:rsidRPr="52F164E3" w:rsidR="005E5613">
        <w:rPr>
          <w:rFonts w:ascii="Arial" w:eastAsia="Times New Roman" w:hAnsi="Arial" w:cs="Arial"/>
          <w:sz w:val="24"/>
          <w:szCs w:val="24"/>
        </w:rPr>
        <w:t>s</w:t>
      </w:r>
      <w:r w:rsidRPr="52F164E3" w:rsidR="00A036D1">
        <w:rPr>
          <w:rFonts w:ascii="Arial" w:eastAsia="Times New Roman" w:hAnsi="Arial" w:cs="Arial"/>
          <w:sz w:val="24"/>
          <w:szCs w:val="24"/>
        </w:rPr>
        <w:t xml:space="preserve"> would devote resources to develop a drug and alcohol testing program to obtain a </w:t>
      </w:r>
      <w:r w:rsidRPr="52F164E3" w:rsidR="0052756B">
        <w:rPr>
          <w:rFonts w:ascii="Arial" w:eastAsia="Times New Roman" w:hAnsi="Arial" w:cs="Arial"/>
          <w:sz w:val="24"/>
          <w:szCs w:val="24"/>
        </w:rPr>
        <w:t>D</w:t>
      </w:r>
      <w:r w:rsidRPr="52F164E3" w:rsidR="00A036D1">
        <w:rPr>
          <w:rFonts w:ascii="Arial" w:eastAsia="Times New Roman" w:hAnsi="Arial" w:cs="Arial"/>
          <w:sz w:val="24"/>
          <w:szCs w:val="24"/>
        </w:rPr>
        <w:t xml:space="preserve">rug and Alcohol </w:t>
      </w:r>
      <w:r w:rsidRPr="52F164E3" w:rsidR="0052756B">
        <w:rPr>
          <w:rFonts w:ascii="Arial" w:eastAsia="Times New Roman" w:hAnsi="Arial" w:cs="Arial"/>
          <w:sz w:val="24"/>
          <w:szCs w:val="24"/>
        </w:rPr>
        <w:t>Testing</w:t>
      </w:r>
      <w:r w:rsidRPr="52F164E3" w:rsidR="00A036D1">
        <w:rPr>
          <w:rFonts w:ascii="Arial" w:eastAsia="Times New Roman" w:hAnsi="Arial" w:cs="Arial"/>
          <w:sz w:val="24"/>
          <w:szCs w:val="24"/>
        </w:rPr>
        <w:t xml:space="preserve"> Program Operations Specification through its Principal Maintenance Inspector in the FAA Flight Standards Service in accordance with </w:t>
      </w:r>
      <w:r w:rsidRPr="52F164E3" w:rsidR="00F12ED2">
        <w:rPr>
          <w:rFonts w:ascii="Arial" w:eastAsia="Times New Roman" w:hAnsi="Arial" w:cs="Arial"/>
          <w:sz w:val="24"/>
          <w:szCs w:val="24"/>
        </w:rPr>
        <w:t xml:space="preserve">14 CFR </w:t>
      </w:r>
      <w:r w:rsidRPr="52F164E3" w:rsidR="00A036D1">
        <w:rPr>
          <w:rFonts w:ascii="Arial" w:eastAsia="Times New Roman" w:hAnsi="Arial" w:cs="Arial"/>
          <w:sz w:val="24"/>
          <w:szCs w:val="24"/>
        </w:rPr>
        <w:t xml:space="preserve">120.117 and 120.225. </w:t>
      </w:r>
      <w:r w:rsidRPr="52F164E3" w:rsidR="00E00974">
        <w:rPr>
          <w:rFonts w:ascii="Arial" w:eastAsia="Times New Roman" w:hAnsi="Arial" w:cs="Arial"/>
          <w:sz w:val="24"/>
          <w:szCs w:val="24"/>
        </w:rPr>
        <w:t>These r</w:t>
      </w:r>
      <w:r w:rsidRPr="52F164E3" w:rsidR="00A036D1">
        <w:rPr>
          <w:rFonts w:ascii="Arial" w:eastAsia="Times New Roman" w:hAnsi="Arial" w:cs="Arial"/>
          <w:sz w:val="24"/>
          <w:szCs w:val="24"/>
        </w:rPr>
        <w:t>epair stations would also incur annual program maintenance: e.g., updates to the program; the space to conduct the testing; the random pool list; and the overall testing process.</w:t>
      </w:r>
    </w:p>
    <w:p w:rsidR="00122687" w:rsidRPr="00CC2F5E" w:rsidP="00C64707" w14:paraId="7DA12D7C" w14:textId="18FEC997">
      <w:pPr>
        <w:shd w:val="clear" w:color="auto" w:fill="FFFFFF"/>
        <w:spacing w:after="0" w:line="240" w:lineRule="auto"/>
        <w:rPr>
          <w:rFonts w:ascii="Arial" w:eastAsia="Times New Roman" w:hAnsi="Arial" w:cs="Arial"/>
          <w:b/>
          <w:bCs/>
          <w:sz w:val="24"/>
          <w:szCs w:val="24"/>
        </w:rPr>
      </w:pPr>
    </w:p>
    <w:p w:rsidR="005F6A97" w:rsidRPr="00CC2F5E" w:rsidP="63EAB113" w14:paraId="0188701D" w14:textId="4786562D">
      <w:pPr>
        <w:keepNext/>
        <w:shd w:val="clear" w:color="auto" w:fill="FFFFFF" w:themeFill="background1"/>
        <w:spacing w:after="0" w:line="240" w:lineRule="auto"/>
        <w:rPr>
          <w:rFonts w:ascii="Arial" w:eastAsia="Times New Roman" w:hAnsi="Arial" w:cs="Arial"/>
          <w:b/>
          <w:bCs/>
          <w:sz w:val="24"/>
          <w:szCs w:val="24"/>
        </w:rPr>
      </w:pPr>
      <w:r w:rsidRPr="63EAB113">
        <w:rPr>
          <w:rFonts w:ascii="Arial" w:eastAsia="Times New Roman" w:hAnsi="Arial" w:cs="Arial"/>
          <w:b/>
          <w:bCs/>
          <w:sz w:val="24"/>
          <w:szCs w:val="24"/>
        </w:rPr>
        <w:t>T</w:t>
      </w:r>
      <w:r w:rsidRPr="63EAB113" w:rsidR="00C21FD7">
        <w:rPr>
          <w:rFonts w:ascii="Arial" w:eastAsia="Times New Roman" w:hAnsi="Arial" w:cs="Arial"/>
          <w:b/>
          <w:bCs/>
          <w:sz w:val="24"/>
          <w:szCs w:val="24"/>
        </w:rPr>
        <w:t>otal</w:t>
      </w:r>
      <w:r w:rsidRPr="63EAB113">
        <w:rPr>
          <w:rFonts w:ascii="Arial" w:eastAsia="Times New Roman" w:hAnsi="Arial" w:cs="Arial"/>
          <w:b/>
          <w:bCs/>
          <w:sz w:val="24"/>
          <w:szCs w:val="24"/>
        </w:rPr>
        <w:t xml:space="preserve"> </w:t>
      </w:r>
      <w:r w:rsidRPr="63EAB113" w:rsidR="00C21FD7">
        <w:rPr>
          <w:rFonts w:ascii="Arial" w:eastAsia="Times New Roman" w:hAnsi="Arial" w:cs="Arial"/>
          <w:b/>
          <w:bCs/>
          <w:sz w:val="24"/>
          <w:szCs w:val="24"/>
        </w:rPr>
        <w:t>Burden</w:t>
      </w:r>
      <w:r w:rsidRPr="63EAB113">
        <w:rPr>
          <w:rFonts w:ascii="Arial" w:eastAsia="Times New Roman" w:hAnsi="Arial" w:cs="Arial"/>
          <w:b/>
          <w:bCs/>
          <w:sz w:val="24"/>
          <w:szCs w:val="24"/>
        </w:rPr>
        <w:t>:</w:t>
      </w:r>
    </w:p>
    <w:p w:rsidR="00122687" w:rsidRPr="00CC2F5E" w:rsidP="00C64707" w14:paraId="35B8040C" w14:textId="3002706E">
      <w:pPr>
        <w:shd w:val="clear" w:color="auto" w:fill="FFFFFF"/>
        <w:spacing w:after="0" w:line="240" w:lineRule="auto"/>
        <w:rPr>
          <w:rFonts w:ascii="Arial" w:eastAsia="Times New Roman" w:hAnsi="Arial" w:cs="Arial"/>
          <w:b/>
          <w:bCs/>
          <w:sz w:val="24"/>
          <w:szCs w:val="24"/>
        </w:rPr>
      </w:pPr>
    </w:p>
    <w:tbl>
      <w:tblPr>
        <w:tblStyle w:val="TableGrid"/>
        <w:tblW w:w="0" w:type="auto"/>
        <w:tblLayout w:type="fixed"/>
        <w:tblLook w:val="04A0"/>
      </w:tblPr>
      <w:tblGrid>
        <w:gridCol w:w="4045"/>
        <w:gridCol w:w="990"/>
        <w:gridCol w:w="1170"/>
        <w:gridCol w:w="1440"/>
        <w:gridCol w:w="1705"/>
      </w:tblGrid>
      <w:tr w14:paraId="1438A276" w14:textId="77777777" w:rsidTr="1955B311">
        <w:tblPrEx>
          <w:tblW w:w="0" w:type="auto"/>
          <w:tblLayout w:type="fixed"/>
          <w:tblLook w:val="04A0"/>
        </w:tblPrEx>
        <w:trPr>
          <w:trHeight w:val="300"/>
        </w:trPr>
        <w:tc>
          <w:tcPr>
            <w:tcW w:w="4045" w:type="dxa"/>
          </w:tcPr>
          <w:p w:rsidR="0088536E" w:rsidRPr="00CC2F5E" w:rsidP="00BE1A30" w14:paraId="025D87E3" w14:textId="77777777">
            <w:pPr>
              <w:rPr>
                <w:b/>
                <w:bCs/>
                <w:sz w:val="18"/>
                <w:szCs w:val="18"/>
              </w:rPr>
            </w:pPr>
            <w:bookmarkStart w:id="3" w:name="_Hlk161995626"/>
            <w:r w:rsidRPr="00CC2F5E">
              <w:rPr>
                <w:b/>
                <w:bCs/>
                <w:sz w:val="18"/>
                <w:szCs w:val="18"/>
              </w:rPr>
              <w:t>IC</w:t>
            </w:r>
          </w:p>
        </w:tc>
        <w:tc>
          <w:tcPr>
            <w:tcW w:w="990" w:type="dxa"/>
          </w:tcPr>
          <w:p w:rsidR="0088536E" w:rsidRPr="00CC2F5E" w:rsidP="00BE1A30" w14:paraId="5932D00D" w14:textId="77777777">
            <w:pPr>
              <w:rPr>
                <w:b/>
                <w:bCs/>
                <w:sz w:val="18"/>
                <w:szCs w:val="18"/>
              </w:rPr>
            </w:pPr>
            <w:r w:rsidRPr="00CC2F5E">
              <w:rPr>
                <w:b/>
                <w:bCs/>
                <w:sz w:val="18"/>
                <w:szCs w:val="18"/>
              </w:rPr>
              <w:t>Total Hours</w:t>
            </w:r>
          </w:p>
        </w:tc>
        <w:tc>
          <w:tcPr>
            <w:tcW w:w="1170" w:type="dxa"/>
          </w:tcPr>
          <w:p w:rsidR="0088536E" w:rsidRPr="00CC2F5E" w:rsidP="00BE1A30" w14:paraId="0D647299" w14:textId="77777777">
            <w:pPr>
              <w:rPr>
                <w:b/>
                <w:bCs/>
                <w:sz w:val="18"/>
                <w:szCs w:val="18"/>
              </w:rPr>
            </w:pPr>
            <w:r w:rsidRPr="00CC2F5E">
              <w:rPr>
                <w:b/>
                <w:bCs/>
                <w:sz w:val="18"/>
                <w:szCs w:val="18"/>
              </w:rPr>
              <w:t>Hours per Response</w:t>
            </w:r>
          </w:p>
        </w:tc>
        <w:tc>
          <w:tcPr>
            <w:tcW w:w="1440" w:type="dxa"/>
          </w:tcPr>
          <w:p w:rsidR="0088536E" w:rsidRPr="00CC2F5E" w:rsidP="00BE1A30" w14:paraId="618D02F7" w14:textId="77777777">
            <w:pPr>
              <w:rPr>
                <w:b/>
                <w:bCs/>
                <w:sz w:val="18"/>
                <w:szCs w:val="18"/>
              </w:rPr>
            </w:pPr>
            <w:r w:rsidRPr="00CC2F5E">
              <w:rPr>
                <w:b/>
                <w:bCs/>
                <w:sz w:val="18"/>
                <w:szCs w:val="18"/>
              </w:rPr>
              <w:t>Responses per Year</w:t>
            </w:r>
          </w:p>
        </w:tc>
        <w:tc>
          <w:tcPr>
            <w:tcW w:w="1705" w:type="dxa"/>
          </w:tcPr>
          <w:p w:rsidR="0088536E" w:rsidRPr="00CC2F5E" w:rsidP="00BE1A30" w14:paraId="79B79E16" w14:textId="1138E38E">
            <w:pPr>
              <w:rPr>
                <w:b/>
                <w:bCs/>
                <w:sz w:val="18"/>
                <w:szCs w:val="18"/>
              </w:rPr>
            </w:pPr>
            <w:r w:rsidRPr="00CC2F5E">
              <w:rPr>
                <w:b/>
                <w:bCs/>
                <w:sz w:val="18"/>
                <w:szCs w:val="18"/>
              </w:rPr>
              <w:t xml:space="preserve">$ </w:t>
            </w:r>
            <w:r w:rsidR="00781149">
              <w:rPr>
                <w:b/>
                <w:bCs/>
                <w:sz w:val="18"/>
                <w:szCs w:val="18"/>
              </w:rPr>
              <w:t xml:space="preserve">Yearly </w:t>
            </w:r>
            <w:r w:rsidRPr="00CC2F5E">
              <w:rPr>
                <w:b/>
                <w:bCs/>
                <w:sz w:val="18"/>
                <w:szCs w:val="18"/>
              </w:rPr>
              <w:t>Burden</w:t>
            </w:r>
          </w:p>
        </w:tc>
      </w:tr>
      <w:tr w14:paraId="62B493C0" w14:textId="77777777" w:rsidTr="1955B311">
        <w:tblPrEx>
          <w:tblW w:w="0" w:type="auto"/>
          <w:tblLayout w:type="fixed"/>
          <w:tblLook w:val="04A0"/>
        </w:tblPrEx>
        <w:trPr>
          <w:trHeight w:val="300"/>
        </w:trPr>
        <w:tc>
          <w:tcPr>
            <w:tcW w:w="4045" w:type="dxa"/>
          </w:tcPr>
          <w:p w:rsidR="004E373E" w:rsidRPr="00CC2F5E" w:rsidP="00BE1A30" w14:paraId="6BA8AFCF" w14:textId="21122744">
            <w:pPr>
              <w:rPr>
                <w:b/>
                <w:bCs/>
                <w:sz w:val="18"/>
                <w:szCs w:val="18"/>
              </w:rPr>
            </w:pPr>
            <w:r>
              <w:rPr>
                <w:b/>
                <w:bCs/>
                <w:sz w:val="18"/>
                <w:szCs w:val="18"/>
              </w:rPr>
              <w:t>Currently Regulated Employers</w:t>
            </w:r>
          </w:p>
        </w:tc>
        <w:tc>
          <w:tcPr>
            <w:tcW w:w="990" w:type="dxa"/>
          </w:tcPr>
          <w:p w:rsidR="004E373E" w:rsidRPr="00CC2F5E" w:rsidP="00BE1A30" w14:paraId="416D781C" w14:textId="77777777">
            <w:pPr>
              <w:rPr>
                <w:b/>
                <w:bCs/>
                <w:sz w:val="18"/>
                <w:szCs w:val="18"/>
              </w:rPr>
            </w:pPr>
          </w:p>
        </w:tc>
        <w:tc>
          <w:tcPr>
            <w:tcW w:w="1170" w:type="dxa"/>
          </w:tcPr>
          <w:p w:rsidR="004E373E" w:rsidRPr="00CC2F5E" w:rsidP="00BE1A30" w14:paraId="1FA590D5" w14:textId="77777777">
            <w:pPr>
              <w:rPr>
                <w:b/>
                <w:bCs/>
                <w:sz w:val="18"/>
                <w:szCs w:val="18"/>
              </w:rPr>
            </w:pPr>
          </w:p>
        </w:tc>
        <w:tc>
          <w:tcPr>
            <w:tcW w:w="1440" w:type="dxa"/>
          </w:tcPr>
          <w:p w:rsidR="004E373E" w:rsidRPr="00CC2F5E" w:rsidP="00BE1A30" w14:paraId="2DB1F9DF" w14:textId="77777777">
            <w:pPr>
              <w:rPr>
                <w:b/>
                <w:bCs/>
                <w:sz w:val="18"/>
                <w:szCs w:val="18"/>
              </w:rPr>
            </w:pPr>
          </w:p>
        </w:tc>
        <w:tc>
          <w:tcPr>
            <w:tcW w:w="1705" w:type="dxa"/>
          </w:tcPr>
          <w:p w:rsidR="004E373E" w:rsidRPr="00CC2F5E" w:rsidP="00BE1A30" w14:paraId="1FCBA639" w14:textId="77777777">
            <w:pPr>
              <w:rPr>
                <w:b/>
                <w:bCs/>
                <w:sz w:val="18"/>
                <w:szCs w:val="18"/>
              </w:rPr>
            </w:pPr>
          </w:p>
        </w:tc>
      </w:tr>
      <w:tr w14:paraId="73857156" w14:textId="77777777" w:rsidTr="1955B311">
        <w:tblPrEx>
          <w:tblW w:w="0" w:type="auto"/>
          <w:tblLayout w:type="fixed"/>
          <w:tblLook w:val="04A0"/>
        </w:tblPrEx>
        <w:trPr>
          <w:trHeight w:val="300"/>
        </w:trPr>
        <w:tc>
          <w:tcPr>
            <w:tcW w:w="4045" w:type="dxa"/>
          </w:tcPr>
          <w:p w:rsidR="0088536E" w:rsidRPr="00CC2F5E" w:rsidP="00BE1A30" w14:paraId="5BBD5511" w14:textId="77777777">
            <w:pPr>
              <w:rPr>
                <w:sz w:val="18"/>
                <w:szCs w:val="18"/>
              </w:rPr>
            </w:pPr>
            <w:r w:rsidRPr="00CC2F5E">
              <w:rPr>
                <w:sz w:val="18"/>
                <w:szCs w:val="18"/>
              </w:rPr>
              <w:t>Promulgate Policy</w:t>
            </w:r>
          </w:p>
        </w:tc>
        <w:tc>
          <w:tcPr>
            <w:tcW w:w="990" w:type="dxa"/>
          </w:tcPr>
          <w:p w:rsidR="0088536E" w:rsidRPr="00CC2F5E" w:rsidP="00BE1A30" w14:paraId="097562F7" w14:textId="77777777">
            <w:pPr>
              <w:rPr>
                <w:sz w:val="18"/>
                <w:szCs w:val="18"/>
              </w:rPr>
            </w:pPr>
            <w:r w:rsidRPr="00CC2F5E">
              <w:rPr>
                <w:sz w:val="18"/>
                <w:szCs w:val="18"/>
              </w:rPr>
              <w:t>6,656</w:t>
            </w:r>
          </w:p>
        </w:tc>
        <w:tc>
          <w:tcPr>
            <w:tcW w:w="1170" w:type="dxa"/>
          </w:tcPr>
          <w:p w:rsidR="0088536E" w:rsidRPr="00CC2F5E" w:rsidP="00BE1A30" w14:paraId="776265E2" w14:textId="77777777">
            <w:pPr>
              <w:rPr>
                <w:sz w:val="18"/>
                <w:szCs w:val="18"/>
              </w:rPr>
            </w:pPr>
            <w:r w:rsidRPr="00CC2F5E">
              <w:rPr>
                <w:sz w:val="18"/>
                <w:szCs w:val="18"/>
              </w:rPr>
              <w:t>16</w:t>
            </w:r>
          </w:p>
        </w:tc>
        <w:tc>
          <w:tcPr>
            <w:tcW w:w="1440" w:type="dxa"/>
          </w:tcPr>
          <w:p w:rsidR="0088536E" w:rsidRPr="00CC2F5E" w:rsidP="00BE1A30" w14:paraId="14EB8C3C" w14:textId="77777777">
            <w:pPr>
              <w:rPr>
                <w:sz w:val="18"/>
                <w:szCs w:val="18"/>
              </w:rPr>
            </w:pPr>
            <w:r w:rsidRPr="00CC2F5E">
              <w:rPr>
                <w:sz w:val="18"/>
                <w:szCs w:val="18"/>
              </w:rPr>
              <w:t>416</w:t>
            </w:r>
          </w:p>
        </w:tc>
        <w:tc>
          <w:tcPr>
            <w:tcW w:w="1705" w:type="dxa"/>
          </w:tcPr>
          <w:p w:rsidR="0088536E" w:rsidRPr="00CC2F5E" w:rsidP="00BE1A30" w14:paraId="2B6F9A76" w14:textId="77777777">
            <w:pPr>
              <w:rPr>
                <w:sz w:val="18"/>
                <w:szCs w:val="18"/>
              </w:rPr>
            </w:pPr>
          </w:p>
        </w:tc>
      </w:tr>
      <w:tr w14:paraId="51171822" w14:textId="77777777" w:rsidTr="1955B311">
        <w:tblPrEx>
          <w:tblW w:w="0" w:type="auto"/>
          <w:tblLayout w:type="fixed"/>
          <w:tblLook w:val="04A0"/>
        </w:tblPrEx>
        <w:trPr>
          <w:trHeight w:val="300"/>
        </w:trPr>
        <w:tc>
          <w:tcPr>
            <w:tcW w:w="4045" w:type="dxa"/>
          </w:tcPr>
          <w:p w:rsidR="0088536E" w:rsidRPr="00CC2F5E" w:rsidP="00BE1A30" w14:paraId="6159F397" w14:textId="77777777">
            <w:pPr>
              <w:rPr>
                <w:sz w:val="18"/>
                <w:szCs w:val="18"/>
              </w:rPr>
            </w:pPr>
            <w:r w:rsidRPr="00CC2F5E">
              <w:rPr>
                <w:sz w:val="18"/>
                <w:szCs w:val="18"/>
              </w:rPr>
              <w:t>Registration (new or amended)</w:t>
            </w:r>
          </w:p>
        </w:tc>
        <w:tc>
          <w:tcPr>
            <w:tcW w:w="990" w:type="dxa"/>
          </w:tcPr>
          <w:p w:rsidR="0088536E" w:rsidRPr="00CC2F5E" w:rsidP="00BE1A30" w14:paraId="52E2D1BA" w14:textId="77777777">
            <w:pPr>
              <w:rPr>
                <w:sz w:val="18"/>
                <w:szCs w:val="18"/>
              </w:rPr>
            </w:pPr>
            <w:r w:rsidRPr="00CC2F5E">
              <w:rPr>
                <w:sz w:val="18"/>
                <w:szCs w:val="18"/>
              </w:rPr>
              <w:t>904</w:t>
            </w:r>
          </w:p>
        </w:tc>
        <w:tc>
          <w:tcPr>
            <w:tcW w:w="1170" w:type="dxa"/>
          </w:tcPr>
          <w:p w:rsidR="0088536E" w:rsidRPr="00CC2F5E" w:rsidP="00BE1A30" w14:paraId="6294BFA9" w14:textId="77777777">
            <w:pPr>
              <w:rPr>
                <w:sz w:val="18"/>
                <w:szCs w:val="18"/>
              </w:rPr>
            </w:pPr>
            <w:r w:rsidRPr="00CC2F5E">
              <w:rPr>
                <w:sz w:val="18"/>
                <w:szCs w:val="18"/>
              </w:rPr>
              <w:t>1</w:t>
            </w:r>
          </w:p>
        </w:tc>
        <w:tc>
          <w:tcPr>
            <w:tcW w:w="1440" w:type="dxa"/>
          </w:tcPr>
          <w:p w:rsidR="0088536E" w:rsidRPr="00CC2F5E" w:rsidP="00BE1A30" w14:paraId="7F89903B" w14:textId="77777777">
            <w:pPr>
              <w:rPr>
                <w:sz w:val="18"/>
                <w:szCs w:val="18"/>
              </w:rPr>
            </w:pPr>
            <w:r w:rsidRPr="00CC2F5E">
              <w:rPr>
                <w:sz w:val="18"/>
                <w:szCs w:val="18"/>
              </w:rPr>
              <w:t>904</w:t>
            </w:r>
          </w:p>
        </w:tc>
        <w:tc>
          <w:tcPr>
            <w:tcW w:w="1705" w:type="dxa"/>
          </w:tcPr>
          <w:p w:rsidR="0088536E" w:rsidRPr="00CC2F5E" w:rsidP="00BE1A30" w14:paraId="5B6F1F78" w14:textId="77777777">
            <w:pPr>
              <w:rPr>
                <w:sz w:val="18"/>
                <w:szCs w:val="18"/>
              </w:rPr>
            </w:pPr>
          </w:p>
        </w:tc>
      </w:tr>
      <w:tr w14:paraId="1792EAAC" w14:textId="77777777" w:rsidTr="1955B311">
        <w:tblPrEx>
          <w:tblW w:w="0" w:type="auto"/>
          <w:tblLayout w:type="fixed"/>
          <w:tblLook w:val="04A0"/>
        </w:tblPrEx>
        <w:trPr>
          <w:trHeight w:val="300"/>
        </w:trPr>
        <w:tc>
          <w:tcPr>
            <w:tcW w:w="4045" w:type="dxa"/>
          </w:tcPr>
          <w:p w:rsidR="0088536E" w:rsidRPr="00CC2F5E" w:rsidP="00BE1A30" w14:paraId="7E05AC83" w14:textId="77777777">
            <w:pPr>
              <w:rPr>
                <w:sz w:val="18"/>
                <w:szCs w:val="18"/>
              </w:rPr>
            </w:pPr>
            <w:r w:rsidRPr="00CC2F5E">
              <w:rPr>
                <w:sz w:val="18"/>
                <w:szCs w:val="18"/>
              </w:rPr>
              <w:t>Supervisory Drug and Alcohol Training Documentation</w:t>
            </w:r>
          </w:p>
        </w:tc>
        <w:tc>
          <w:tcPr>
            <w:tcW w:w="990" w:type="dxa"/>
          </w:tcPr>
          <w:p w:rsidR="0088536E" w:rsidRPr="00CC2F5E" w:rsidP="00BE1A30" w14:paraId="3AB80777" w14:textId="77777777">
            <w:pPr>
              <w:rPr>
                <w:sz w:val="18"/>
                <w:szCs w:val="18"/>
              </w:rPr>
            </w:pPr>
            <w:r w:rsidRPr="00CC2F5E">
              <w:rPr>
                <w:sz w:val="18"/>
                <w:szCs w:val="18"/>
              </w:rPr>
              <w:t>1,677</w:t>
            </w:r>
          </w:p>
        </w:tc>
        <w:tc>
          <w:tcPr>
            <w:tcW w:w="1170" w:type="dxa"/>
          </w:tcPr>
          <w:p w:rsidR="0088536E" w:rsidRPr="00CC2F5E" w:rsidP="00BE1A30" w14:paraId="41032D08" w14:textId="77777777">
            <w:pPr>
              <w:rPr>
                <w:sz w:val="18"/>
                <w:szCs w:val="18"/>
              </w:rPr>
            </w:pPr>
            <w:r w:rsidRPr="00CC2F5E">
              <w:rPr>
                <w:sz w:val="18"/>
                <w:szCs w:val="18"/>
              </w:rPr>
              <w:t>.25</w:t>
            </w:r>
          </w:p>
        </w:tc>
        <w:tc>
          <w:tcPr>
            <w:tcW w:w="1440" w:type="dxa"/>
          </w:tcPr>
          <w:p w:rsidR="0088536E" w:rsidRPr="00CC2F5E" w:rsidP="00BE1A30" w14:paraId="31E36CB7" w14:textId="77777777">
            <w:pPr>
              <w:rPr>
                <w:sz w:val="18"/>
                <w:szCs w:val="18"/>
              </w:rPr>
            </w:pPr>
            <w:r w:rsidRPr="00CC2F5E">
              <w:rPr>
                <w:sz w:val="18"/>
                <w:szCs w:val="18"/>
              </w:rPr>
              <w:t>6,706</w:t>
            </w:r>
          </w:p>
        </w:tc>
        <w:tc>
          <w:tcPr>
            <w:tcW w:w="1705" w:type="dxa"/>
          </w:tcPr>
          <w:p w:rsidR="0088536E" w:rsidRPr="00CC2F5E" w:rsidP="00BE1A30" w14:paraId="7CCE7607" w14:textId="77777777">
            <w:pPr>
              <w:rPr>
                <w:sz w:val="18"/>
                <w:szCs w:val="18"/>
              </w:rPr>
            </w:pPr>
          </w:p>
        </w:tc>
      </w:tr>
      <w:tr w14:paraId="1D728AF7" w14:textId="77777777" w:rsidTr="1955B311">
        <w:tblPrEx>
          <w:tblW w:w="0" w:type="auto"/>
          <w:tblLayout w:type="fixed"/>
          <w:tblLook w:val="04A0"/>
        </w:tblPrEx>
        <w:trPr>
          <w:trHeight w:val="300"/>
        </w:trPr>
        <w:tc>
          <w:tcPr>
            <w:tcW w:w="4045" w:type="dxa"/>
          </w:tcPr>
          <w:p w:rsidR="0088536E" w:rsidRPr="00CC2F5E" w:rsidP="00BE1A30" w14:paraId="7A419356" w14:textId="77777777">
            <w:pPr>
              <w:rPr>
                <w:sz w:val="18"/>
                <w:szCs w:val="18"/>
              </w:rPr>
            </w:pPr>
            <w:r w:rsidRPr="00CC2F5E">
              <w:rPr>
                <w:sz w:val="18"/>
                <w:szCs w:val="18"/>
              </w:rPr>
              <w:t>Employee Training Documentation</w:t>
            </w:r>
          </w:p>
        </w:tc>
        <w:tc>
          <w:tcPr>
            <w:tcW w:w="990" w:type="dxa"/>
          </w:tcPr>
          <w:p w:rsidR="0088536E" w:rsidRPr="00CC2F5E" w:rsidP="00BE1A30" w14:paraId="40BE35B1" w14:textId="77777777">
            <w:pPr>
              <w:rPr>
                <w:sz w:val="18"/>
                <w:szCs w:val="18"/>
              </w:rPr>
            </w:pPr>
            <w:r w:rsidRPr="00CC2F5E">
              <w:rPr>
                <w:sz w:val="18"/>
                <w:szCs w:val="18"/>
              </w:rPr>
              <w:t>31,353</w:t>
            </w:r>
          </w:p>
        </w:tc>
        <w:tc>
          <w:tcPr>
            <w:tcW w:w="1170" w:type="dxa"/>
          </w:tcPr>
          <w:p w:rsidR="0088536E" w:rsidRPr="00CC2F5E" w:rsidP="00BE1A30" w14:paraId="5C1E8D0F" w14:textId="77777777">
            <w:pPr>
              <w:rPr>
                <w:sz w:val="18"/>
                <w:szCs w:val="18"/>
              </w:rPr>
            </w:pPr>
            <w:r w:rsidRPr="00CC2F5E">
              <w:rPr>
                <w:sz w:val="18"/>
                <w:szCs w:val="18"/>
              </w:rPr>
              <w:t>.25</w:t>
            </w:r>
          </w:p>
        </w:tc>
        <w:tc>
          <w:tcPr>
            <w:tcW w:w="1440" w:type="dxa"/>
          </w:tcPr>
          <w:p w:rsidR="0088536E" w:rsidRPr="00CC2F5E" w:rsidP="00BE1A30" w14:paraId="1B165669" w14:textId="77777777">
            <w:pPr>
              <w:rPr>
                <w:sz w:val="18"/>
                <w:szCs w:val="18"/>
              </w:rPr>
            </w:pPr>
            <w:r w:rsidRPr="00CC2F5E">
              <w:rPr>
                <w:sz w:val="18"/>
                <w:szCs w:val="18"/>
              </w:rPr>
              <w:t>125,411</w:t>
            </w:r>
          </w:p>
        </w:tc>
        <w:tc>
          <w:tcPr>
            <w:tcW w:w="1705" w:type="dxa"/>
          </w:tcPr>
          <w:p w:rsidR="0088536E" w:rsidRPr="00CC2F5E" w:rsidP="00BE1A30" w14:paraId="42FDCB71" w14:textId="77777777">
            <w:pPr>
              <w:rPr>
                <w:sz w:val="18"/>
                <w:szCs w:val="18"/>
              </w:rPr>
            </w:pPr>
          </w:p>
        </w:tc>
      </w:tr>
      <w:tr w14:paraId="1A3253D9" w14:textId="77777777" w:rsidTr="1955B311">
        <w:tblPrEx>
          <w:tblW w:w="0" w:type="auto"/>
          <w:tblLayout w:type="fixed"/>
          <w:tblLook w:val="04A0"/>
        </w:tblPrEx>
        <w:trPr>
          <w:trHeight w:val="300"/>
        </w:trPr>
        <w:tc>
          <w:tcPr>
            <w:tcW w:w="4045" w:type="dxa"/>
          </w:tcPr>
          <w:p w:rsidR="0088536E" w:rsidRPr="00CC2F5E" w:rsidP="00BE1A30" w14:paraId="4E49E232" w14:textId="2ED80A74">
            <w:pPr>
              <w:rPr>
                <w:sz w:val="18"/>
                <w:szCs w:val="18"/>
              </w:rPr>
            </w:pPr>
            <w:r w:rsidRPr="00CC2F5E">
              <w:rPr>
                <w:sz w:val="18"/>
                <w:szCs w:val="18"/>
              </w:rPr>
              <w:t>Reasonable Cause/Suspicion</w:t>
            </w:r>
            <w:r w:rsidR="002837D2">
              <w:rPr>
                <w:sz w:val="18"/>
                <w:szCs w:val="18"/>
              </w:rPr>
              <w:t xml:space="preserve"> Documentation</w:t>
            </w:r>
            <w:r w:rsidRPr="00CC2F5E">
              <w:rPr>
                <w:sz w:val="18"/>
                <w:szCs w:val="18"/>
              </w:rPr>
              <w:t xml:space="preserve"> for Drugs and Alcohol</w:t>
            </w:r>
          </w:p>
        </w:tc>
        <w:tc>
          <w:tcPr>
            <w:tcW w:w="990" w:type="dxa"/>
          </w:tcPr>
          <w:p w:rsidR="0088536E" w:rsidRPr="00CC2F5E" w:rsidP="00BE1A30" w14:paraId="03778869" w14:textId="77777777">
            <w:pPr>
              <w:rPr>
                <w:sz w:val="18"/>
                <w:szCs w:val="18"/>
              </w:rPr>
            </w:pPr>
            <w:r w:rsidRPr="00CC2F5E">
              <w:rPr>
                <w:sz w:val="18"/>
                <w:szCs w:val="18"/>
              </w:rPr>
              <w:t>1,034</w:t>
            </w:r>
          </w:p>
        </w:tc>
        <w:tc>
          <w:tcPr>
            <w:tcW w:w="1170" w:type="dxa"/>
          </w:tcPr>
          <w:p w:rsidR="0088536E" w:rsidRPr="00CC2F5E" w:rsidP="00BE1A30" w14:paraId="1BB8DB5F" w14:textId="77777777">
            <w:pPr>
              <w:rPr>
                <w:sz w:val="18"/>
                <w:szCs w:val="18"/>
              </w:rPr>
            </w:pPr>
            <w:r w:rsidRPr="00CC2F5E">
              <w:rPr>
                <w:sz w:val="18"/>
                <w:szCs w:val="18"/>
              </w:rPr>
              <w:t>2</w:t>
            </w:r>
          </w:p>
        </w:tc>
        <w:tc>
          <w:tcPr>
            <w:tcW w:w="1440" w:type="dxa"/>
          </w:tcPr>
          <w:p w:rsidR="0088536E" w:rsidRPr="00CC2F5E" w:rsidP="00BE1A30" w14:paraId="1DC479F8" w14:textId="77777777">
            <w:pPr>
              <w:rPr>
                <w:sz w:val="18"/>
                <w:szCs w:val="18"/>
              </w:rPr>
            </w:pPr>
            <w:r w:rsidRPr="00CC2F5E">
              <w:rPr>
                <w:sz w:val="18"/>
                <w:szCs w:val="18"/>
              </w:rPr>
              <w:t>517</w:t>
            </w:r>
          </w:p>
        </w:tc>
        <w:tc>
          <w:tcPr>
            <w:tcW w:w="1705" w:type="dxa"/>
          </w:tcPr>
          <w:p w:rsidR="0088536E" w:rsidRPr="00CC2F5E" w:rsidP="00BE1A30" w14:paraId="1587EA40" w14:textId="77777777">
            <w:pPr>
              <w:rPr>
                <w:sz w:val="18"/>
                <w:szCs w:val="18"/>
              </w:rPr>
            </w:pPr>
          </w:p>
        </w:tc>
      </w:tr>
      <w:tr w14:paraId="5A68F515" w14:textId="77777777" w:rsidTr="1955B311">
        <w:tblPrEx>
          <w:tblW w:w="0" w:type="auto"/>
          <w:tblLayout w:type="fixed"/>
          <w:tblLook w:val="04A0"/>
        </w:tblPrEx>
        <w:trPr>
          <w:trHeight w:val="300"/>
        </w:trPr>
        <w:tc>
          <w:tcPr>
            <w:tcW w:w="4045" w:type="dxa"/>
          </w:tcPr>
          <w:p w:rsidR="0088536E" w:rsidRPr="00CC2F5E" w:rsidP="00BE1A30" w14:paraId="17C760F5" w14:textId="77777777">
            <w:pPr>
              <w:rPr>
                <w:sz w:val="18"/>
                <w:szCs w:val="18"/>
              </w:rPr>
            </w:pPr>
            <w:r w:rsidRPr="00CC2F5E">
              <w:rPr>
                <w:sz w:val="18"/>
                <w:szCs w:val="18"/>
              </w:rPr>
              <w:t>Post-Accident Determination Documentation</w:t>
            </w:r>
          </w:p>
        </w:tc>
        <w:tc>
          <w:tcPr>
            <w:tcW w:w="990" w:type="dxa"/>
          </w:tcPr>
          <w:p w:rsidR="0088536E" w:rsidRPr="00CC2F5E" w:rsidP="00BE1A30" w14:paraId="56DF6886" w14:textId="77777777">
            <w:pPr>
              <w:rPr>
                <w:sz w:val="18"/>
                <w:szCs w:val="18"/>
              </w:rPr>
            </w:pPr>
            <w:r w:rsidRPr="00CC2F5E">
              <w:rPr>
                <w:sz w:val="18"/>
                <w:szCs w:val="18"/>
              </w:rPr>
              <w:t>1,668</w:t>
            </w:r>
          </w:p>
        </w:tc>
        <w:tc>
          <w:tcPr>
            <w:tcW w:w="1170" w:type="dxa"/>
          </w:tcPr>
          <w:p w:rsidR="0088536E" w:rsidRPr="00CC2F5E" w:rsidP="00BE1A30" w14:paraId="53B9CE7F" w14:textId="77777777">
            <w:pPr>
              <w:rPr>
                <w:sz w:val="18"/>
                <w:szCs w:val="18"/>
              </w:rPr>
            </w:pPr>
            <w:r w:rsidRPr="00CC2F5E">
              <w:rPr>
                <w:sz w:val="18"/>
                <w:szCs w:val="18"/>
              </w:rPr>
              <w:t>2</w:t>
            </w:r>
          </w:p>
        </w:tc>
        <w:tc>
          <w:tcPr>
            <w:tcW w:w="1440" w:type="dxa"/>
          </w:tcPr>
          <w:p w:rsidR="0088536E" w:rsidRPr="00CC2F5E" w:rsidP="00BE1A30" w14:paraId="1A33B49B" w14:textId="77777777">
            <w:pPr>
              <w:rPr>
                <w:sz w:val="18"/>
                <w:szCs w:val="18"/>
              </w:rPr>
            </w:pPr>
            <w:r w:rsidRPr="00CC2F5E">
              <w:rPr>
                <w:sz w:val="18"/>
                <w:szCs w:val="18"/>
              </w:rPr>
              <w:t>834</w:t>
            </w:r>
          </w:p>
        </w:tc>
        <w:tc>
          <w:tcPr>
            <w:tcW w:w="1705" w:type="dxa"/>
          </w:tcPr>
          <w:p w:rsidR="0088536E" w:rsidRPr="00CC2F5E" w:rsidP="00BE1A30" w14:paraId="4CA46950" w14:textId="77777777">
            <w:pPr>
              <w:rPr>
                <w:sz w:val="18"/>
                <w:szCs w:val="18"/>
              </w:rPr>
            </w:pPr>
          </w:p>
        </w:tc>
      </w:tr>
      <w:tr w14:paraId="7F6203BF" w14:textId="77777777" w:rsidTr="1955B311">
        <w:tblPrEx>
          <w:tblW w:w="0" w:type="auto"/>
          <w:tblLayout w:type="fixed"/>
          <w:tblLook w:val="04A0"/>
        </w:tblPrEx>
        <w:trPr>
          <w:trHeight w:val="300"/>
        </w:trPr>
        <w:tc>
          <w:tcPr>
            <w:tcW w:w="4045" w:type="dxa"/>
          </w:tcPr>
          <w:p w:rsidR="0088536E" w:rsidRPr="00CC2F5E" w:rsidP="00BE1A30" w14:paraId="078F0A5D" w14:textId="77777777">
            <w:pPr>
              <w:rPr>
                <w:sz w:val="18"/>
                <w:szCs w:val="18"/>
              </w:rPr>
            </w:pPr>
            <w:r w:rsidRPr="00CC2F5E">
              <w:rPr>
                <w:sz w:val="18"/>
                <w:szCs w:val="18"/>
              </w:rPr>
              <w:t>Voluntary Disclosures</w:t>
            </w:r>
          </w:p>
        </w:tc>
        <w:tc>
          <w:tcPr>
            <w:tcW w:w="990" w:type="dxa"/>
          </w:tcPr>
          <w:p w:rsidR="0088536E" w:rsidRPr="00CC2F5E" w:rsidP="00BE1A30" w14:paraId="158D3C33" w14:textId="77777777">
            <w:pPr>
              <w:rPr>
                <w:sz w:val="18"/>
                <w:szCs w:val="18"/>
              </w:rPr>
            </w:pPr>
            <w:r w:rsidRPr="00CC2F5E">
              <w:rPr>
                <w:sz w:val="18"/>
                <w:szCs w:val="18"/>
              </w:rPr>
              <w:t>7,760</w:t>
            </w:r>
          </w:p>
        </w:tc>
        <w:tc>
          <w:tcPr>
            <w:tcW w:w="1170" w:type="dxa"/>
          </w:tcPr>
          <w:p w:rsidR="0088536E" w:rsidRPr="00CC2F5E" w:rsidP="00BE1A30" w14:paraId="664B1CA8" w14:textId="77777777">
            <w:pPr>
              <w:rPr>
                <w:sz w:val="18"/>
                <w:szCs w:val="18"/>
              </w:rPr>
            </w:pPr>
            <w:r w:rsidRPr="00CC2F5E">
              <w:rPr>
                <w:sz w:val="18"/>
                <w:szCs w:val="18"/>
              </w:rPr>
              <w:t>40</w:t>
            </w:r>
          </w:p>
        </w:tc>
        <w:tc>
          <w:tcPr>
            <w:tcW w:w="1440" w:type="dxa"/>
          </w:tcPr>
          <w:p w:rsidR="0088536E" w:rsidRPr="00CC2F5E" w:rsidP="00BE1A30" w14:paraId="6A9758B5" w14:textId="77777777">
            <w:pPr>
              <w:rPr>
                <w:sz w:val="18"/>
                <w:szCs w:val="18"/>
              </w:rPr>
            </w:pPr>
            <w:r w:rsidRPr="00CC2F5E">
              <w:rPr>
                <w:sz w:val="18"/>
                <w:szCs w:val="18"/>
              </w:rPr>
              <w:t>194</w:t>
            </w:r>
          </w:p>
        </w:tc>
        <w:tc>
          <w:tcPr>
            <w:tcW w:w="1705" w:type="dxa"/>
          </w:tcPr>
          <w:p w:rsidR="0088536E" w:rsidRPr="00CC2F5E" w:rsidP="00BE1A30" w14:paraId="4B330560" w14:textId="77777777">
            <w:pPr>
              <w:rPr>
                <w:sz w:val="18"/>
                <w:szCs w:val="18"/>
              </w:rPr>
            </w:pPr>
          </w:p>
        </w:tc>
      </w:tr>
      <w:tr w14:paraId="53C36225" w14:textId="77777777" w:rsidTr="1955B311">
        <w:tblPrEx>
          <w:tblW w:w="0" w:type="auto"/>
          <w:tblLayout w:type="fixed"/>
          <w:tblLook w:val="04A0"/>
        </w:tblPrEx>
        <w:trPr>
          <w:trHeight w:val="300"/>
        </w:trPr>
        <w:tc>
          <w:tcPr>
            <w:tcW w:w="4045" w:type="dxa"/>
          </w:tcPr>
          <w:p w:rsidR="0088536E" w:rsidRPr="00CC2F5E" w:rsidP="00BE1A30" w14:paraId="6E36A85A" w14:textId="77777777">
            <w:pPr>
              <w:rPr>
                <w:sz w:val="18"/>
                <w:szCs w:val="18"/>
              </w:rPr>
            </w:pPr>
            <w:r w:rsidRPr="00CC2F5E">
              <w:rPr>
                <w:sz w:val="18"/>
                <w:szCs w:val="18"/>
              </w:rPr>
              <w:t>Emergency Maintenance Reports</w:t>
            </w:r>
          </w:p>
        </w:tc>
        <w:tc>
          <w:tcPr>
            <w:tcW w:w="990" w:type="dxa"/>
          </w:tcPr>
          <w:p w:rsidR="0088536E" w:rsidRPr="00CC2F5E" w:rsidP="00BE1A30" w14:paraId="41E5692D" w14:textId="77777777">
            <w:pPr>
              <w:rPr>
                <w:sz w:val="18"/>
                <w:szCs w:val="18"/>
              </w:rPr>
            </w:pPr>
            <w:r w:rsidRPr="00CC2F5E">
              <w:rPr>
                <w:sz w:val="18"/>
                <w:szCs w:val="18"/>
              </w:rPr>
              <w:t>21</w:t>
            </w:r>
          </w:p>
        </w:tc>
        <w:tc>
          <w:tcPr>
            <w:tcW w:w="1170" w:type="dxa"/>
          </w:tcPr>
          <w:p w:rsidR="0088536E" w:rsidRPr="00CC2F5E" w:rsidP="00BE1A30" w14:paraId="1900AD28" w14:textId="5CB548B1">
            <w:pPr>
              <w:rPr>
                <w:sz w:val="18"/>
                <w:szCs w:val="18"/>
              </w:rPr>
            </w:pPr>
            <w:r w:rsidRPr="00CC2F5E">
              <w:rPr>
                <w:sz w:val="18"/>
                <w:szCs w:val="18"/>
              </w:rPr>
              <w:t>1.25</w:t>
            </w:r>
          </w:p>
        </w:tc>
        <w:tc>
          <w:tcPr>
            <w:tcW w:w="1440" w:type="dxa"/>
          </w:tcPr>
          <w:p w:rsidR="0088536E" w:rsidRPr="00CC2F5E" w:rsidP="00BE1A30" w14:paraId="49FF87C9" w14:textId="38DBA0D1">
            <w:pPr>
              <w:rPr>
                <w:sz w:val="18"/>
                <w:szCs w:val="18"/>
              </w:rPr>
            </w:pPr>
            <w:r w:rsidRPr="00CC2F5E">
              <w:rPr>
                <w:sz w:val="18"/>
                <w:szCs w:val="18"/>
              </w:rPr>
              <w:t>17</w:t>
            </w:r>
          </w:p>
        </w:tc>
        <w:tc>
          <w:tcPr>
            <w:tcW w:w="1705" w:type="dxa"/>
          </w:tcPr>
          <w:p w:rsidR="0088536E" w:rsidRPr="00CC2F5E" w:rsidP="00BE1A30" w14:paraId="6B0902F5" w14:textId="77777777">
            <w:pPr>
              <w:rPr>
                <w:sz w:val="18"/>
                <w:szCs w:val="18"/>
              </w:rPr>
            </w:pPr>
          </w:p>
        </w:tc>
      </w:tr>
      <w:tr w14:paraId="1FEECD31" w14:textId="77777777" w:rsidTr="1955B311">
        <w:tblPrEx>
          <w:tblW w:w="0" w:type="auto"/>
          <w:tblLayout w:type="fixed"/>
          <w:tblLook w:val="04A0"/>
        </w:tblPrEx>
        <w:trPr>
          <w:trHeight w:val="300"/>
        </w:trPr>
        <w:tc>
          <w:tcPr>
            <w:tcW w:w="4045" w:type="dxa"/>
          </w:tcPr>
          <w:p w:rsidR="0088536E" w:rsidRPr="00CC2F5E" w:rsidP="00BE1A30" w14:paraId="09990A13" w14:textId="77777777">
            <w:pPr>
              <w:rPr>
                <w:sz w:val="18"/>
                <w:szCs w:val="18"/>
              </w:rPr>
            </w:pPr>
            <w:r w:rsidRPr="00CC2F5E">
              <w:rPr>
                <w:sz w:val="18"/>
                <w:szCs w:val="18"/>
              </w:rPr>
              <w:t>Scientifically Valid Random Testing Process</w:t>
            </w:r>
          </w:p>
        </w:tc>
        <w:tc>
          <w:tcPr>
            <w:tcW w:w="990" w:type="dxa"/>
          </w:tcPr>
          <w:p w:rsidR="0088536E" w:rsidRPr="00CC2F5E" w:rsidP="00BE1A30" w14:paraId="4F242C34" w14:textId="77777777">
            <w:pPr>
              <w:rPr>
                <w:sz w:val="18"/>
                <w:szCs w:val="18"/>
              </w:rPr>
            </w:pPr>
            <w:r w:rsidRPr="00CC2F5E">
              <w:rPr>
                <w:sz w:val="18"/>
                <w:szCs w:val="18"/>
              </w:rPr>
              <w:t>27,132</w:t>
            </w:r>
          </w:p>
        </w:tc>
        <w:tc>
          <w:tcPr>
            <w:tcW w:w="1170" w:type="dxa"/>
          </w:tcPr>
          <w:p w:rsidR="0088536E" w:rsidRPr="00CC2F5E" w:rsidP="00BE1A30" w14:paraId="39C0B4A9" w14:textId="77777777">
            <w:pPr>
              <w:rPr>
                <w:sz w:val="18"/>
                <w:szCs w:val="18"/>
              </w:rPr>
            </w:pPr>
            <w:r w:rsidRPr="00CC2F5E">
              <w:rPr>
                <w:sz w:val="18"/>
                <w:szCs w:val="18"/>
              </w:rPr>
              <w:t>1</w:t>
            </w:r>
          </w:p>
        </w:tc>
        <w:tc>
          <w:tcPr>
            <w:tcW w:w="1440" w:type="dxa"/>
          </w:tcPr>
          <w:p w:rsidR="0088536E" w:rsidRPr="00CC2F5E" w:rsidP="00BE1A30" w14:paraId="30DF9535" w14:textId="77777777">
            <w:pPr>
              <w:rPr>
                <w:sz w:val="18"/>
                <w:szCs w:val="18"/>
              </w:rPr>
            </w:pPr>
            <w:r w:rsidRPr="00CC2F5E">
              <w:rPr>
                <w:sz w:val="18"/>
                <w:szCs w:val="18"/>
              </w:rPr>
              <w:t>27,132</w:t>
            </w:r>
          </w:p>
        </w:tc>
        <w:tc>
          <w:tcPr>
            <w:tcW w:w="1705" w:type="dxa"/>
          </w:tcPr>
          <w:p w:rsidR="0088536E" w:rsidRPr="00CC2F5E" w:rsidP="00BE1A30" w14:paraId="0C6BD59E" w14:textId="77777777">
            <w:pPr>
              <w:rPr>
                <w:sz w:val="18"/>
                <w:szCs w:val="18"/>
              </w:rPr>
            </w:pPr>
          </w:p>
        </w:tc>
      </w:tr>
      <w:tr w14:paraId="1A474E72" w14:textId="77777777" w:rsidTr="1955B311">
        <w:tblPrEx>
          <w:tblW w:w="0" w:type="auto"/>
          <w:tblLayout w:type="fixed"/>
          <w:tblLook w:val="04A0"/>
        </w:tblPrEx>
        <w:trPr>
          <w:trHeight w:val="300"/>
        </w:trPr>
        <w:tc>
          <w:tcPr>
            <w:tcW w:w="4045" w:type="dxa"/>
          </w:tcPr>
          <w:p w:rsidR="0088536E" w:rsidRPr="00CC2F5E" w:rsidP="00BE1A30" w14:paraId="27428C85" w14:textId="77777777">
            <w:pPr>
              <w:rPr>
                <w:sz w:val="18"/>
                <w:szCs w:val="18"/>
              </w:rPr>
            </w:pPr>
            <w:r w:rsidRPr="00CC2F5E">
              <w:rPr>
                <w:sz w:val="18"/>
                <w:szCs w:val="18"/>
              </w:rPr>
              <w:t>Medical Review Officer (MRO) Contract Record Keeping Provision</w:t>
            </w:r>
          </w:p>
        </w:tc>
        <w:tc>
          <w:tcPr>
            <w:tcW w:w="990" w:type="dxa"/>
          </w:tcPr>
          <w:p w:rsidR="0088536E" w:rsidRPr="00CC2F5E" w:rsidP="00BE1A30" w14:paraId="3F159B3D" w14:textId="77777777">
            <w:pPr>
              <w:rPr>
                <w:sz w:val="18"/>
                <w:szCs w:val="18"/>
              </w:rPr>
            </w:pPr>
            <w:r w:rsidRPr="00CC2F5E">
              <w:rPr>
                <w:sz w:val="18"/>
                <w:szCs w:val="18"/>
              </w:rPr>
              <w:t>104</w:t>
            </w:r>
          </w:p>
        </w:tc>
        <w:tc>
          <w:tcPr>
            <w:tcW w:w="1170" w:type="dxa"/>
          </w:tcPr>
          <w:p w:rsidR="0088536E" w:rsidRPr="00CC2F5E" w:rsidP="00BE1A30" w14:paraId="3AF15398" w14:textId="77777777">
            <w:pPr>
              <w:rPr>
                <w:sz w:val="18"/>
                <w:szCs w:val="18"/>
              </w:rPr>
            </w:pPr>
            <w:r w:rsidRPr="00CC2F5E">
              <w:rPr>
                <w:sz w:val="18"/>
                <w:szCs w:val="18"/>
              </w:rPr>
              <w:t>.25</w:t>
            </w:r>
          </w:p>
        </w:tc>
        <w:tc>
          <w:tcPr>
            <w:tcW w:w="1440" w:type="dxa"/>
          </w:tcPr>
          <w:p w:rsidR="0088536E" w:rsidRPr="00CC2F5E" w:rsidP="00BE1A30" w14:paraId="5720BF4A" w14:textId="77777777">
            <w:pPr>
              <w:rPr>
                <w:sz w:val="18"/>
                <w:szCs w:val="18"/>
              </w:rPr>
            </w:pPr>
            <w:r w:rsidRPr="00CC2F5E">
              <w:rPr>
                <w:sz w:val="18"/>
                <w:szCs w:val="18"/>
              </w:rPr>
              <w:t>416</w:t>
            </w:r>
          </w:p>
        </w:tc>
        <w:tc>
          <w:tcPr>
            <w:tcW w:w="1705" w:type="dxa"/>
          </w:tcPr>
          <w:p w:rsidR="0088536E" w:rsidRPr="00CC2F5E" w:rsidP="00BE1A30" w14:paraId="1E576841" w14:textId="77777777">
            <w:pPr>
              <w:rPr>
                <w:sz w:val="18"/>
                <w:szCs w:val="18"/>
              </w:rPr>
            </w:pPr>
          </w:p>
        </w:tc>
      </w:tr>
      <w:tr w14:paraId="1E373797" w14:textId="77777777" w:rsidTr="1955B311">
        <w:tblPrEx>
          <w:tblW w:w="0" w:type="auto"/>
          <w:tblLayout w:type="fixed"/>
          <w:tblLook w:val="04A0"/>
        </w:tblPrEx>
        <w:trPr>
          <w:trHeight w:val="300"/>
        </w:trPr>
        <w:tc>
          <w:tcPr>
            <w:tcW w:w="4045" w:type="dxa"/>
          </w:tcPr>
          <w:p w:rsidR="0088536E" w:rsidRPr="00CC2F5E" w:rsidP="00BE1A30" w14:paraId="3C99342C" w14:textId="77777777">
            <w:pPr>
              <w:rPr>
                <w:sz w:val="18"/>
                <w:szCs w:val="18"/>
              </w:rPr>
            </w:pPr>
            <w:r w:rsidRPr="00CC2F5E">
              <w:rPr>
                <w:sz w:val="18"/>
                <w:szCs w:val="18"/>
              </w:rPr>
              <w:t>Refusal to Take Drug Test Report to FAA</w:t>
            </w:r>
          </w:p>
        </w:tc>
        <w:tc>
          <w:tcPr>
            <w:tcW w:w="990" w:type="dxa"/>
          </w:tcPr>
          <w:p w:rsidR="0088536E" w:rsidRPr="00CC2F5E" w:rsidP="00BE1A30" w14:paraId="5C733DC5" w14:textId="345B5E4A">
            <w:pPr>
              <w:rPr>
                <w:sz w:val="18"/>
                <w:szCs w:val="18"/>
              </w:rPr>
            </w:pPr>
            <w:r>
              <w:rPr>
                <w:sz w:val="18"/>
                <w:szCs w:val="18"/>
              </w:rPr>
              <w:t>23</w:t>
            </w:r>
          </w:p>
        </w:tc>
        <w:tc>
          <w:tcPr>
            <w:tcW w:w="1170" w:type="dxa"/>
          </w:tcPr>
          <w:p w:rsidR="0088536E" w:rsidRPr="00CC2F5E" w:rsidP="00BE1A30" w14:paraId="4C159AD6" w14:textId="287A9B16">
            <w:pPr>
              <w:rPr>
                <w:sz w:val="18"/>
                <w:szCs w:val="18"/>
              </w:rPr>
            </w:pPr>
            <w:r w:rsidRPr="00CC2F5E">
              <w:rPr>
                <w:sz w:val="18"/>
                <w:szCs w:val="18"/>
              </w:rPr>
              <w:t>.</w:t>
            </w:r>
            <w:r w:rsidR="0006765F">
              <w:rPr>
                <w:sz w:val="18"/>
                <w:szCs w:val="18"/>
              </w:rPr>
              <w:t>43</w:t>
            </w:r>
          </w:p>
        </w:tc>
        <w:tc>
          <w:tcPr>
            <w:tcW w:w="1440" w:type="dxa"/>
          </w:tcPr>
          <w:p w:rsidR="0088536E" w:rsidRPr="00CC2F5E" w:rsidP="00BE1A30" w14:paraId="73E1EFA3" w14:textId="029C65ED">
            <w:pPr>
              <w:rPr>
                <w:sz w:val="18"/>
                <w:szCs w:val="18"/>
              </w:rPr>
            </w:pPr>
            <w:r>
              <w:rPr>
                <w:sz w:val="18"/>
                <w:szCs w:val="18"/>
              </w:rPr>
              <w:t>53</w:t>
            </w:r>
          </w:p>
        </w:tc>
        <w:tc>
          <w:tcPr>
            <w:tcW w:w="1705" w:type="dxa"/>
          </w:tcPr>
          <w:p w:rsidR="0088536E" w:rsidRPr="00CC2F5E" w:rsidP="00BE1A30" w14:paraId="3DB32FA2" w14:textId="77777777">
            <w:pPr>
              <w:rPr>
                <w:sz w:val="18"/>
                <w:szCs w:val="18"/>
              </w:rPr>
            </w:pPr>
          </w:p>
        </w:tc>
      </w:tr>
      <w:tr w14:paraId="6062EC90" w14:textId="77777777" w:rsidTr="1955B311">
        <w:tblPrEx>
          <w:tblW w:w="0" w:type="auto"/>
          <w:tblLayout w:type="fixed"/>
          <w:tblLook w:val="04A0"/>
        </w:tblPrEx>
        <w:trPr>
          <w:trHeight w:val="300"/>
        </w:trPr>
        <w:tc>
          <w:tcPr>
            <w:tcW w:w="4045" w:type="dxa"/>
          </w:tcPr>
          <w:p w:rsidR="0088536E" w:rsidRPr="00CC2F5E" w:rsidP="00BE1A30" w14:paraId="475C583F" w14:textId="77777777">
            <w:pPr>
              <w:rPr>
                <w:sz w:val="18"/>
                <w:szCs w:val="18"/>
              </w:rPr>
            </w:pPr>
            <w:r w:rsidRPr="00CC2F5E">
              <w:rPr>
                <w:sz w:val="18"/>
                <w:szCs w:val="18"/>
              </w:rPr>
              <w:t>Positive Drug Test Report to FAA</w:t>
            </w:r>
          </w:p>
        </w:tc>
        <w:tc>
          <w:tcPr>
            <w:tcW w:w="990" w:type="dxa"/>
          </w:tcPr>
          <w:p w:rsidR="0088536E" w:rsidRPr="00CC2F5E" w:rsidP="00BE1A30" w14:paraId="3CB25229" w14:textId="77777777">
            <w:pPr>
              <w:rPr>
                <w:sz w:val="18"/>
                <w:szCs w:val="18"/>
              </w:rPr>
            </w:pPr>
            <w:r w:rsidRPr="00CC2F5E">
              <w:rPr>
                <w:sz w:val="18"/>
                <w:szCs w:val="18"/>
              </w:rPr>
              <w:t>48</w:t>
            </w:r>
          </w:p>
        </w:tc>
        <w:tc>
          <w:tcPr>
            <w:tcW w:w="1170" w:type="dxa"/>
          </w:tcPr>
          <w:p w:rsidR="0088536E" w:rsidRPr="00CC2F5E" w:rsidP="00BE1A30" w14:paraId="2006D09A" w14:textId="44FEF1CA">
            <w:pPr>
              <w:rPr>
                <w:sz w:val="18"/>
                <w:szCs w:val="18"/>
              </w:rPr>
            </w:pPr>
            <w:r w:rsidRPr="00CC2F5E">
              <w:rPr>
                <w:sz w:val="18"/>
                <w:szCs w:val="18"/>
              </w:rPr>
              <w:t>.</w:t>
            </w:r>
            <w:r w:rsidR="0006765F">
              <w:rPr>
                <w:sz w:val="18"/>
                <w:szCs w:val="18"/>
              </w:rPr>
              <w:t>33</w:t>
            </w:r>
          </w:p>
        </w:tc>
        <w:tc>
          <w:tcPr>
            <w:tcW w:w="1440" w:type="dxa"/>
          </w:tcPr>
          <w:p w:rsidR="0088536E" w:rsidRPr="00CC2F5E" w:rsidP="00BE1A30" w14:paraId="407D7864" w14:textId="038EB12C">
            <w:pPr>
              <w:rPr>
                <w:sz w:val="18"/>
                <w:szCs w:val="18"/>
              </w:rPr>
            </w:pPr>
            <w:r w:rsidRPr="00CC2F5E">
              <w:rPr>
                <w:sz w:val="18"/>
                <w:szCs w:val="18"/>
              </w:rPr>
              <w:t>1</w:t>
            </w:r>
            <w:r w:rsidR="0006765F">
              <w:rPr>
                <w:sz w:val="18"/>
                <w:szCs w:val="18"/>
              </w:rPr>
              <w:t>45</w:t>
            </w:r>
          </w:p>
        </w:tc>
        <w:tc>
          <w:tcPr>
            <w:tcW w:w="1705" w:type="dxa"/>
          </w:tcPr>
          <w:p w:rsidR="0088536E" w:rsidRPr="00CC2F5E" w:rsidP="00BE1A30" w14:paraId="28806301" w14:textId="77777777">
            <w:pPr>
              <w:rPr>
                <w:sz w:val="18"/>
                <w:szCs w:val="18"/>
              </w:rPr>
            </w:pPr>
          </w:p>
        </w:tc>
      </w:tr>
      <w:tr w14:paraId="16D8D665" w14:textId="77777777" w:rsidTr="1955B311">
        <w:tblPrEx>
          <w:tblW w:w="0" w:type="auto"/>
          <w:tblLayout w:type="fixed"/>
          <w:tblLook w:val="04A0"/>
        </w:tblPrEx>
        <w:trPr>
          <w:trHeight w:val="300"/>
        </w:trPr>
        <w:tc>
          <w:tcPr>
            <w:tcW w:w="4045" w:type="dxa"/>
          </w:tcPr>
          <w:p w:rsidR="0088536E" w:rsidRPr="00CC2F5E" w:rsidP="00BE1A30" w14:paraId="4E1A29ED" w14:textId="77777777">
            <w:pPr>
              <w:rPr>
                <w:sz w:val="18"/>
                <w:szCs w:val="18"/>
              </w:rPr>
            </w:pPr>
            <w:r w:rsidRPr="00CC2F5E">
              <w:rPr>
                <w:sz w:val="18"/>
                <w:szCs w:val="18"/>
              </w:rPr>
              <w:t>Refusal to Take Alcohol Test Report to FAA</w:t>
            </w:r>
          </w:p>
        </w:tc>
        <w:tc>
          <w:tcPr>
            <w:tcW w:w="990" w:type="dxa"/>
          </w:tcPr>
          <w:p w:rsidR="0088536E" w:rsidRPr="00CC2F5E" w:rsidP="00BE1A30" w14:paraId="5CC74C3A" w14:textId="61251453">
            <w:pPr>
              <w:rPr>
                <w:sz w:val="18"/>
                <w:szCs w:val="18"/>
              </w:rPr>
            </w:pPr>
            <w:r w:rsidRPr="00CC2F5E">
              <w:rPr>
                <w:sz w:val="18"/>
                <w:szCs w:val="18"/>
              </w:rPr>
              <w:t>4</w:t>
            </w:r>
          </w:p>
        </w:tc>
        <w:tc>
          <w:tcPr>
            <w:tcW w:w="1170" w:type="dxa"/>
          </w:tcPr>
          <w:p w:rsidR="0088536E" w:rsidRPr="00CC2F5E" w:rsidP="00BE1A30" w14:paraId="64C432D2" w14:textId="47EFBFB1">
            <w:pPr>
              <w:rPr>
                <w:sz w:val="18"/>
                <w:szCs w:val="18"/>
              </w:rPr>
            </w:pPr>
            <w:r w:rsidRPr="00CC2F5E">
              <w:rPr>
                <w:sz w:val="18"/>
                <w:szCs w:val="18"/>
              </w:rPr>
              <w:t>.5</w:t>
            </w:r>
          </w:p>
        </w:tc>
        <w:tc>
          <w:tcPr>
            <w:tcW w:w="1440" w:type="dxa"/>
          </w:tcPr>
          <w:p w:rsidR="0088536E" w:rsidRPr="00CC2F5E" w:rsidP="00BE1A30" w14:paraId="55DE95C1" w14:textId="1C6E4C8A">
            <w:pPr>
              <w:rPr>
                <w:sz w:val="18"/>
                <w:szCs w:val="18"/>
              </w:rPr>
            </w:pPr>
            <w:r w:rsidRPr="00CC2F5E">
              <w:rPr>
                <w:sz w:val="18"/>
                <w:szCs w:val="18"/>
              </w:rPr>
              <w:t>8</w:t>
            </w:r>
          </w:p>
        </w:tc>
        <w:tc>
          <w:tcPr>
            <w:tcW w:w="1705" w:type="dxa"/>
          </w:tcPr>
          <w:p w:rsidR="0088536E" w:rsidRPr="00CC2F5E" w:rsidP="00BE1A30" w14:paraId="5723E36E" w14:textId="77777777">
            <w:pPr>
              <w:rPr>
                <w:sz w:val="18"/>
                <w:szCs w:val="18"/>
              </w:rPr>
            </w:pPr>
          </w:p>
        </w:tc>
      </w:tr>
      <w:tr w14:paraId="5A46AC09" w14:textId="77777777" w:rsidTr="1955B311">
        <w:tblPrEx>
          <w:tblW w:w="0" w:type="auto"/>
          <w:tblLayout w:type="fixed"/>
          <w:tblLook w:val="04A0"/>
        </w:tblPrEx>
        <w:trPr>
          <w:trHeight w:val="300"/>
        </w:trPr>
        <w:tc>
          <w:tcPr>
            <w:tcW w:w="4045" w:type="dxa"/>
          </w:tcPr>
          <w:p w:rsidR="0088536E" w:rsidRPr="00CC2F5E" w:rsidP="00BE1A30" w14:paraId="17A59598" w14:textId="77777777">
            <w:pPr>
              <w:rPr>
                <w:sz w:val="18"/>
                <w:szCs w:val="18"/>
              </w:rPr>
            </w:pPr>
            <w:r w:rsidRPr="00CC2F5E">
              <w:rPr>
                <w:sz w:val="18"/>
                <w:szCs w:val="18"/>
              </w:rPr>
              <w:t>Positive Alcohol Test Report to FAA</w:t>
            </w:r>
          </w:p>
        </w:tc>
        <w:tc>
          <w:tcPr>
            <w:tcW w:w="990" w:type="dxa"/>
          </w:tcPr>
          <w:p w:rsidR="0088536E" w:rsidRPr="00CC2F5E" w:rsidP="00BE1A30" w14:paraId="4668A4D6" w14:textId="77777777">
            <w:pPr>
              <w:rPr>
                <w:sz w:val="18"/>
                <w:szCs w:val="18"/>
              </w:rPr>
            </w:pPr>
            <w:r w:rsidRPr="00CC2F5E">
              <w:rPr>
                <w:sz w:val="18"/>
                <w:szCs w:val="18"/>
              </w:rPr>
              <w:t>37</w:t>
            </w:r>
          </w:p>
        </w:tc>
        <w:tc>
          <w:tcPr>
            <w:tcW w:w="1170" w:type="dxa"/>
          </w:tcPr>
          <w:p w:rsidR="0088536E" w:rsidRPr="00CC2F5E" w:rsidP="00BE1A30" w14:paraId="37887D8F" w14:textId="142FA6D9">
            <w:pPr>
              <w:rPr>
                <w:sz w:val="18"/>
                <w:szCs w:val="18"/>
              </w:rPr>
            </w:pPr>
            <w:r w:rsidRPr="00CC2F5E">
              <w:rPr>
                <w:sz w:val="18"/>
                <w:szCs w:val="18"/>
              </w:rPr>
              <w:t>.</w:t>
            </w:r>
            <w:r w:rsidR="0006765F">
              <w:rPr>
                <w:sz w:val="18"/>
                <w:szCs w:val="18"/>
              </w:rPr>
              <w:t>3</w:t>
            </w:r>
          </w:p>
        </w:tc>
        <w:tc>
          <w:tcPr>
            <w:tcW w:w="1440" w:type="dxa"/>
          </w:tcPr>
          <w:p w:rsidR="0088536E" w:rsidRPr="00CC2F5E" w:rsidP="00BE1A30" w14:paraId="0A45AC4C" w14:textId="03209FB6">
            <w:pPr>
              <w:rPr>
                <w:sz w:val="18"/>
                <w:szCs w:val="18"/>
              </w:rPr>
            </w:pPr>
            <w:r w:rsidRPr="00CC2F5E">
              <w:rPr>
                <w:sz w:val="18"/>
                <w:szCs w:val="18"/>
              </w:rPr>
              <w:t>1</w:t>
            </w:r>
            <w:r w:rsidR="0006765F">
              <w:rPr>
                <w:sz w:val="18"/>
                <w:szCs w:val="18"/>
              </w:rPr>
              <w:t>23</w:t>
            </w:r>
          </w:p>
        </w:tc>
        <w:tc>
          <w:tcPr>
            <w:tcW w:w="1705" w:type="dxa"/>
          </w:tcPr>
          <w:p w:rsidR="0088536E" w:rsidRPr="00CC2F5E" w:rsidP="00BE1A30" w14:paraId="2DEF8ED1" w14:textId="77777777">
            <w:pPr>
              <w:rPr>
                <w:sz w:val="18"/>
                <w:szCs w:val="18"/>
              </w:rPr>
            </w:pPr>
          </w:p>
        </w:tc>
      </w:tr>
      <w:tr w14:paraId="440A5B60" w14:textId="77777777" w:rsidTr="1955B311">
        <w:tblPrEx>
          <w:tblW w:w="0" w:type="auto"/>
          <w:tblLayout w:type="fixed"/>
          <w:tblLook w:val="04A0"/>
        </w:tblPrEx>
        <w:trPr>
          <w:trHeight w:val="300"/>
        </w:trPr>
        <w:tc>
          <w:tcPr>
            <w:tcW w:w="4045" w:type="dxa"/>
          </w:tcPr>
          <w:p w:rsidR="0088536E" w:rsidRPr="00CC2F5E" w:rsidP="00BE1A30" w14:paraId="6442B361" w14:textId="77777777">
            <w:pPr>
              <w:rPr>
                <w:sz w:val="18"/>
                <w:szCs w:val="18"/>
              </w:rPr>
            </w:pPr>
            <w:r w:rsidRPr="00CC2F5E">
              <w:rPr>
                <w:sz w:val="18"/>
                <w:szCs w:val="18"/>
              </w:rPr>
              <w:t>Substance Abuse Professional (SAP) Return to Duty Letter for Part 67 Medical Certificate Holders</w:t>
            </w:r>
          </w:p>
        </w:tc>
        <w:tc>
          <w:tcPr>
            <w:tcW w:w="990" w:type="dxa"/>
          </w:tcPr>
          <w:p w:rsidR="0088536E" w:rsidRPr="00CC2F5E" w:rsidP="00BE1A30" w14:paraId="6DE86F78" w14:textId="77777777">
            <w:pPr>
              <w:rPr>
                <w:sz w:val="18"/>
                <w:szCs w:val="18"/>
              </w:rPr>
            </w:pPr>
            <w:r w:rsidRPr="00CC2F5E">
              <w:rPr>
                <w:sz w:val="18"/>
                <w:szCs w:val="18"/>
              </w:rPr>
              <w:t>21</w:t>
            </w:r>
          </w:p>
        </w:tc>
        <w:tc>
          <w:tcPr>
            <w:tcW w:w="1170" w:type="dxa"/>
          </w:tcPr>
          <w:p w:rsidR="0088536E" w:rsidRPr="00CC2F5E" w:rsidP="00BE1A30" w14:paraId="090949A1" w14:textId="77777777">
            <w:pPr>
              <w:rPr>
                <w:sz w:val="18"/>
                <w:szCs w:val="18"/>
              </w:rPr>
            </w:pPr>
            <w:r w:rsidRPr="00CC2F5E">
              <w:rPr>
                <w:sz w:val="18"/>
                <w:szCs w:val="18"/>
              </w:rPr>
              <w:t>.5</w:t>
            </w:r>
          </w:p>
        </w:tc>
        <w:tc>
          <w:tcPr>
            <w:tcW w:w="1440" w:type="dxa"/>
          </w:tcPr>
          <w:p w:rsidR="0088536E" w:rsidRPr="00CC2F5E" w:rsidP="00BE1A30" w14:paraId="445A62DB" w14:textId="77777777">
            <w:pPr>
              <w:rPr>
                <w:sz w:val="18"/>
                <w:szCs w:val="18"/>
              </w:rPr>
            </w:pPr>
            <w:r w:rsidRPr="00CC2F5E">
              <w:rPr>
                <w:sz w:val="18"/>
                <w:szCs w:val="18"/>
              </w:rPr>
              <w:t>42</w:t>
            </w:r>
          </w:p>
        </w:tc>
        <w:tc>
          <w:tcPr>
            <w:tcW w:w="1705" w:type="dxa"/>
          </w:tcPr>
          <w:p w:rsidR="0088536E" w:rsidRPr="00CC2F5E" w:rsidP="00BE1A30" w14:paraId="5A8F3C54" w14:textId="77777777">
            <w:pPr>
              <w:rPr>
                <w:sz w:val="18"/>
                <w:szCs w:val="18"/>
              </w:rPr>
            </w:pPr>
          </w:p>
        </w:tc>
      </w:tr>
      <w:tr w14:paraId="693F87DC" w14:textId="77777777" w:rsidTr="1955B311">
        <w:tblPrEx>
          <w:tblW w:w="0" w:type="auto"/>
          <w:tblLayout w:type="fixed"/>
          <w:tblLook w:val="04A0"/>
        </w:tblPrEx>
        <w:trPr>
          <w:trHeight w:val="300"/>
        </w:trPr>
        <w:tc>
          <w:tcPr>
            <w:tcW w:w="4045" w:type="dxa"/>
          </w:tcPr>
          <w:p w:rsidR="0088536E" w:rsidRPr="00CC2F5E" w:rsidP="00BE1A30" w14:paraId="5C604B30" w14:textId="7F8279A9">
            <w:pPr>
              <w:rPr>
                <w:b/>
                <w:bCs/>
                <w:sz w:val="18"/>
                <w:szCs w:val="18"/>
              </w:rPr>
            </w:pPr>
            <w:r>
              <w:rPr>
                <w:b/>
                <w:bCs/>
                <w:sz w:val="18"/>
                <w:szCs w:val="18"/>
              </w:rPr>
              <w:t>Currently Regulated Employers Total</w:t>
            </w:r>
            <w:r w:rsidRPr="00CC2F5E" w:rsidR="001014B4">
              <w:rPr>
                <w:b/>
                <w:bCs/>
                <w:sz w:val="18"/>
                <w:szCs w:val="18"/>
              </w:rPr>
              <w:t>:</w:t>
            </w:r>
          </w:p>
        </w:tc>
        <w:tc>
          <w:tcPr>
            <w:tcW w:w="990" w:type="dxa"/>
          </w:tcPr>
          <w:p w:rsidR="0088536E" w:rsidRPr="00614A4C" w:rsidP="00BE1A30" w14:paraId="75315E0E" w14:textId="42E74DC4">
            <w:pPr>
              <w:rPr>
                <w:b/>
                <w:bCs/>
                <w:sz w:val="18"/>
                <w:szCs w:val="18"/>
              </w:rPr>
            </w:pPr>
            <w:r w:rsidRPr="00614A4C">
              <w:rPr>
                <w:b/>
                <w:bCs/>
                <w:sz w:val="18"/>
                <w:szCs w:val="18"/>
              </w:rPr>
              <w:t>78,4</w:t>
            </w:r>
            <w:r w:rsidR="003B5DC2">
              <w:rPr>
                <w:b/>
                <w:bCs/>
                <w:sz w:val="18"/>
                <w:szCs w:val="18"/>
              </w:rPr>
              <w:t>42</w:t>
            </w:r>
          </w:p>
        </w:tc>
        <w:tc>
          <w:tcPr>
            <w:tcW w:w="1170" w:type="dxa"/>
          </w:tcPr>
          <w:p w:rsidR="0088536E" w:rsidRPr="00614A4C" w:rsidP="00BE1A30" w14:paraId="01F23554" w14:textId="77777777">
            <w:pPr>
              <w:rPr>
                <w:b/>
                <w:bCs/>
                <w:sz w:val="18"/>
                <w:szCs w:val="18"/>
              </w:rPr>
            </w:pPr>
          </w:p>
        </w:tc>
        <w:tc>
          <w:tcPr>
            <w:tcW w:w="1440" w:type="dxa"/>
          </w:tcPr>
          <w:p w:rsidR="0088536E" w:rsidRPr="00614A4C" w:rsidP="00BE1A30" w14:paraId="43F47CE8" w14:textId="325605D5">
            <w:pPr>
              <w:rPr>
                <w:b/>
                <w:bCs/>
                <w:sz w:val="18"/>
                <w:szCs w:val="18"/>
              </w:rPr>
            </w:pPr>
            <w:r w:rsidRPr="00614A4C">
              <w:rPr>
                <w:b/>
                <w:bCs/>
                <w:sz w:val="18"/>
                <w:szCs w:val="18"/>
              </w:rPr>
              <w:t>16</w:t>
            </w:r>
            <w:r w:rsidR="00092E72">
              <w:rPr>
                <w:b/>
                <w:bCs/>
                <w:sz w:val="18"/>
                <w:szCs w:val="18"/>
              </w:rPr>
              <w:t>2,918</w:t>
            </w:r>
          </w:p>
        </w:tc>
        <w:tc>
          <w:tcPr>
            <w:tcW w:w="1705" w:type="dxa"/>
          </w:tcPr>
          <w:p w:rsidR="0088536E" w:rsidRPr="00614A4C" w:rsidP="00BE1A30" w14:paraId="15689C44" w14:textId="21791478">
            <w:pPr>
              <w:rPr>
                <w:b/>
                <w:bCs/>
                <w:sz w:val="18"/>
                <w:szCs w:val="18"/>
              </w:rPr>
            </w:pPr>
            <w:r w:rsidRPr="52F164E3">
              <w:rPr>
                <w:b/>
                <w:bCs/>
                <w:sz w:val="18"/>
                <w:szCs w:val="18"/>
              </w:rPr>
              <w:t>$</w:t>
            </w:r>
            <w:r w:rsidRPr="52F164E3" w:rsidR="00F77A1D">
              <w:rPr>
                <w:b/>
                <w:bCs/>
                <w:sz w:val="18"/>
                <w:szCs w:val="18"/>
              </w:rPr>
              <w:t>2,</w:t>
            </w:r>
            <w:r w:rsidRPr="52F164E3" w:rsidR="436226E5">
              <w:rPr>
                <w:b/>
                <w:bCs/>
                <w:sz w:val="18"/>
                <w:szCs w:val="18"/>
              </w:rPr>
              <w:t>63</w:t>
            </w:r>
            <w:r w:rsidRPr="52F164E3" w:rsidR="24C7D673">
              <w:rPr>
                <w:b/>
                <w:bCs/>
                <w:sz w:val="18"/>
                <w:szCs w:val="18"/>
              </w:rPr>
              <w:t>3</w:t>
            </w:r>
            <w:r w:rsidRPr="52F164E3" w:rsidR="74880066">
              <w:rPr>
                <w:b/>
                <w:bCs/>
                <w:sz w:val="18"/>
                <w:szCs w:val="18"/>
              </w:rPr>
              <w:t>,</w:t>
            </w:r>
            <w:r w:rsidRPr="52F164E3" w:rsidR="358BC65C">
              <w:rPr>
                <w:b/>
                <w:bCs/>
                <w:sz w:val="18"/>
                <w:szCs w:val="18"/>
              </w:rPr>
              <w:t>298</w:t>
            </w:r>
          </w:p>
        </w:tc>
      </w:tr>
      <w:tr w14:paraId="070EA2BD" w14:textId="77777777" w:rsidTr="1955B311">
        <w:tblPrEx>
          <w:tblW w:w="0" w:type="auto"/>
          <w:tblLayout w:type="fixed"/>
          <w:tblLook w:val="04A0"/>
        </w:tblPrEx>
        <w:trPr>
          <w:trHeight w:val="300"/>
        </w:trPr>
        <w:tc>
          <w:tcPr>
            <w:tcW w:w="4045" w:type="dxa"/>
          </w:tcPr>
          <w:p w:rsidR="004E373E" w:rsidRPr="00CC2F5E" w:rsidP="00BE1A30" w14:paraId="20650578" w14:textId="77777777">
            <w:pPr>
              <w:rPr>
                <w:b/>
                <w:bCs/>
                <w:sz w:val="18"/>
                <w:szCs w:val="18"/>
              </w:rPr>
            </w:pPr>
          </w:p>
        </w:tc>
        <w:tc>
          <w:tcPr>
            <w:tcW w:w="990" w:type="dxa"/>
          </w:tcPr>
          <w:p w:rsidR="004E373E" w:rsidRPr="00CC2F5E" w:rsidP="00BE1A30" w14:paraId="5E8F97E5" w14:textId="77777777">
            <w:pPr>
              <w:rPr>
                <w:sz w:val="18"/>
                <w:szCs w:val="18"/>
              </w:rPr>
            </w:pPr>
          </w:p>
        </w:tc>
        <w:tc>
          <w:tcPr>
            <w:tcW w:w="1170" w:type="dxa"/>
          </w:tcPr>
          <w:p w:rsidR="004E373E" w:rsidRPr="00CC2F5E" w:rsidP="00BE1A30" w14:paraId="45C31B16" w14:textId="77777777">
            <w:pPr>
              <w:rPr>
                <w:sz w:val="18"/>
                <w:szCs w:val="18"/>
              </w:rPr>
            </w:pPr>
          </w:p>
        </w:tc>
        <w:tc>
          <w:tcPr>
            <w:tcW w:w="1440" w:type="dxa"/>
          </w:tcPr>
          <w:p w:rsidR="004E373E" w:rsidRPr="00CC2F5E" w:rsidP="00BE1A30" w14:paraId="68F2EE3C" w14:textId="77777777">
            <w:pPr>
              <w:rPr>
                <w:sz w:val="18"/>
                <w:szCs w:val="18"/>
              </w:rPr>
            </w:pPr>
          </w:p>
        </w:tc>
        <w:tc>
          <w:tcPr>
            <w:tcW w:w="1705" w:type="dxa"/>
          </w:tcPr>
          <w:p w:rsidR="004E373E" w:rsidP="00BE1A30" w14:paraId="4AAA6C6E" w14:textId="77777777">
            <w:pPr>
              <w:rPr>
                <w:sz w:val="18"/>
                <w:szCs w:val="18"/>
              </w:rPr>
            </w:pPr>
          </w:p>
        </w:tc>
      </w:tr>
      <w:tr w14:paraId="1351CC3D" w14:textId="77777777" w:rsidTr="1955B311">
        <w:tblPrEx>
          <w:tblW w:w="0" w:type="auto"/>
          <w:tblLayout w:type="fixed"/>
          <w:tblLook w:val="04A0"/>
        </w:tblPrEx>
        <w:trPr>
          <w:trHeight w:val="300"/>
        </w:trPr>
        <w:tc>
          <w:tcPr>
            <w:tcW w:w="4045" w:type="dxa"/>
          </w:tcPr>
          <w:p w:rsidR="004E373E" w:rsidRPr="00CC2F5E" w:rsidP="00BE1A30" w14:paraId="6C15E4EB" w14:textId="37C38243">
            <w:pPr>
              <w:rPr>
                <w:b/>
                <w:bCs/>
                <w:sz w:val="18"/>
                <w:szCs w:val="18"/>
              </w:rPr>
            </w:pPr>
            <w:r>
              <w:rPr>
                <w:b/>
                <w:bCs/>
                <w:sz w:val="18"/>
                <w:szCs w:val="18"/>
              </w:rPr>
              <w:t>Foreign Repair Stations</w:t>
            </w:r>
          </w:p>
        </w:tc>
        <w:tc>
          <w:tcPr>
            <w:tcW w:w="990" w:type="dxa"/>
          </w:tcPr>
          <w:p w:rsidR="004E373E" w:rsidRPr="00CC2F5E" w:rsidP="00BE1A30" w14:paraId="1EFBF7F2" w14:textId="77777777">
            <w:pPr>
              <w:rPr>
                <w:sz w:val="18"/>
                <w:szCs w:val="18"/>
              </w:rPr>
            </w:pPr>
          </w:p>
        </w:tc>
        <w:tc>
          <w:tcPr>
            <w:tcW w:w="1170" w:type="dxa"/>
          </w:tcPr>
          <w:p w:rsidR="004E373E" w:rsidRPr="00CC2F5E" w:rsidP="00BE1A30" w14:paraId="4363BA08" w14:textId="77777777">
            <w:pPr>
              <w:rPr>
                <w:sz w:val="18"/>
                <w:szCs w:val="18"/>
              </w:rPr>
            </w:pPr>
          </w:p>
        </w:tc>
        <w:tc>
          <w:tcPr>
            <w:tcW w:w="1440" w:type="dxa"/>
          </w:tcPr>
          <w:p w:rsidR="004E373E" w:rsidRPr="00CC2F5E" w:rsidP="00BE1A30" w14:paraId="63E4AACF" w14:textId="77777777">
            <w:pPr>
              <w:rPr>
                <w:sz w:val="18"/>
                <w:szCs w:val="18"/>
              </w:rPr>
            </w:pPr>
          </w:p>
        </w:tc>
        <w:tc>
          <w:tcPr>
            <w:tcW w:w="1705" w:type="dxa"/>
          </w:tcPr>
          <w:p w:rsidR="004E373E" w:rsidP="00BE1A30" w14:paraId="5679A23C" w14:textId="77777777">
            <w:pPr>
              <w:rPr>
                <w:sz w:val="18"/>
                <w:szCs w:val="18"/>
              </w:rPr>
            </w:pPr>
          </w:p>
        </w:tc>
      </w:tr>
      <w:tr w14:paraId="3AD2377E" w14:textId="77777777" w:rsidTr="1955B311">
        <w:tblPrEx>
          <w:tblW w:w="0" w:type="auto"/>
          <w:tblLayout w:type="fixed"/>
          <w:tblLook w:val="04A0"/>
        </w:tblPrEx>
        <w:trPr>
          <w:trHeight w:val="300"/>
        </w:trPr>
        <w:tc>
          <w:tcPr>
            <w:tcW w:w="4045" w:type="dxa"/>
          </w:tcPr>
          <w:p w:rsidR="004E373E" w:rsidRPr="00CA1AA0" w:rsidP="00BE1A30" w14:paraId="2B835656" w14:textId="67C45548">
            <w:pPr>
              <w:rPr>
                <w:sz w:val="18"/>
                <w:szCs w:val="18"/>
              </w:rPr>
            </w:pPr>
            <w:r w:rsidRPr="00CA1AA0">
              <w:rPr>
                <w:sz w:val="18"/>
                <w:szCs w:val="18"/>
              </w:rPr>
              <w:t xml:space="preserve">Foreign Repair Station </w:t>
            </w:r>
            <w:r w:rsidR="0052756B">
              <w:rPr>
                <w:sz w:val="18"/>
                <w:szCs w:val="18"/>
              </w:rPr>
              <w:t>D</w:t>
            </w:r>
            <w:r w:rsidRPr="00CA1AA0">
              <w:rPr>
                <w:sz w:val="18"/>
                <w:szCs w:val="18"/>
              </w:rPr>
              <w:t xml:space="preserve">rug and Alcohol </w:t>
            </w:r>
            <w:r w:rsidR="0052756B">
              <w:rPr>
                <w:sz w:val="18"/>
                <w:szCs w:val="18"/>
              </w:rPr>
              <w:t>Testing</w:t>
            </w:r>
            <w:r w:rsidRPr="00CA1AA0">
              <w:rPr>
                <w:sz w:val="18"/>
                <w:szCs w:val="18"/>
              </w:rPr>
              <w:t xml:space="preserve"> Program Operations Specification Development and Program Maintenance </w:t>
            </w:r>
          </w:p>
        </w:tc>
        <w:tc>
          <w:tcPr>
            <w:tcW w:w="990" w:type="dxa"/>
          </w:tcPr>
          <w:p w:rsidR="004E373E" w:rsidRPr="00CC2F5E" w:rsidP="00BE1A30" w14:paraId="6893F622" w14:textId="57D03AB3">
            <w:pPr>
              <w:rPr>
                <w:sz w:val="18"/>
                <w:szCs w:val="18"/>
              </w:rPr>
            </w:pPr>
            <w:r>
              <w:rPr>
                <w:sz w:val="18"/>
                <w:szCs w:val="18"/>
              </w:rPr>
              <w:t>15,95</w:t>
            </w:r>
            <w:r w:rsidR="00233868">
              <w:rPr>
                <w:sz w:val="18"/>
                <w:szCs w:val="18"/>
              </w:rPr>
              <w:t>8</w:t>
            </w:r>
          </w:p>
        </w:tc>
        <w:tc>
          <w:tcPr>
            <w:tcW w:w="1170" w:type="dxa"/>
          </w:tcPr>
          <w:p w:rsidR="004E373E" w:rsidRPr="00CC2F5E" w:rsidP="00BE1A30" w14:paraId="0F566ED7" w14:textId="5E562EB3">
            <w:pPr>
              <w:rPr>
                <w:sz w:val="18"/>
                <w:szCs w:val="18"/>
              </w:rPr>
            </w:pPr>
            <w:r>
              <w:rPr>
                <w:sz w:val="18"/>
                <w:szCs w:val="18"/>
              </w:rPr>
              <w:t>16.33</w:t>
            </w:r>
          </w:p>
        </w:tc>
        <w:tc>
          <w:tcPr>
            <w:tcW w:w="1440" w:type="dxa"/>
          </w:tcPr>
          <w:p w:rsidR="004E373E" w:rsidRPr="00CC2F5E" w:rsidP="00BE1A30" w14:paraId="01E6E495" w14:textId="4B0D76CA">
            <w:pPr>
              <w:rPr>
                <w:sz w:val="18"/>
                <w:szCs w:val="18"/>
              </w:rPr>
            </w:pPr>
            <w:r>
              <w:rPr>
                <w:sz w:val="18"/>
                <w:szCs w:val="18"/>
              </w:rPr>
              <w:t>977</w:t>
            </w:r>
          </w:p>
        </w:tc>
        <w:tc>
          <w:tcPr>
            <w:tcW w:w="1705" w:type="dxa"/>
          </w:tcPr>
          <w:p w:rsidR="004E373E" w:rsidP="00BE1A30" w14:paraId="11DBDDA1" w14:textId="679A9F60">
            <w:pPr>
              <w:rPr>
                <w:sz w:val="18"/>
                <w:szCs w:val="18"/>
              </w:rPr>
            </w:pPr>
            <w:r w:rsidRPr="52F164E3">
              <w:rPr>
                <w:sz w:val="18"/>
                <w:szCs w:val="18"/>
              </w:rPr>
              <w:t>$4</w:t>
            </w:r>
            <w:r w:rsidRPr="52F164E3" w:rsidR="6F40D09B">
              <w:rPr>
                <w:sz w:val="18"/>
                <w:szCs w:val="18"/>
              </w:rPr>
              <w:t>6</w:t>
            </w:r>
            <w:r w:rsidRPr="52F164E3">
              <w:rPr>
                <w:sz w:val="18"/>
                <w:szCs w:val="18"/>
              </w:rPr>
              <w:t>9,</w:t>
            </w:r>
            <w:r w:rsidRPr="52F164E3" w:rsidR="6F40D09B">
              <w:rPr>
                <w:sz w:val="18"/>
                <w:szCs w:val="18"/>
              </w:rPr>
              <w:t>634</w:t>
            </w:r>
          </w:p>
        </w:tc>
      </w:tr>
      <w:tr w14:paraId="54AB7133" w14:textId="77777777" w:rsidTr="1955B311">
        <w:tblPrEx>
          <w:tblW w:w="0" w:type="auto"/>
          <w:tblLayout w:type="fixed"/>
          <w:tblLook w:val="04A0"/>
        </w:tblPrEx>
        <w:trPr>
          <w:trHeight w:val="300"/>
        </w:trPr>
        <w:tc>
          <w:tcPr>
            <w:tcW w:w="4045" w:type="dxa"/>
          </w:tcPr>
          <w:p w:rsidR="004E373E" w:rsidRPr="00CA1AA0" w:rsidP="00BE1A30" w14:paraId="0725C5B4" w14:textId="62E19554">
            <w:pPr>
              <w:rPr>
                <w:sz w:val="18"/>
                <w:szCs w:val="18"/>
              </w:rPr>
            </w:pPr>
            <w:r w:rsidRPr="00CA1AA0">
              <w:rPr>
                <w:sz w:val="18"/>
                <w:szCs w:val="18"/>
              </w:rPr>
              <w:t>Foreign Repair Station Education and Training Records</w:t>
            </w:r>
          </w:p>
        </w:tc>
        <w:tc>
          <w:tcPr>
            <w:tcW w:w="990" w:type="dxa"/>
          </w:tcPr>
          <w:p w:rsidR="004E373E" w:rsidRPr="00CC2F5E" w:rsidP="00BE1A30" w14:paraId="4F1E5205" w14:textId="039C26D1">
            <w:pPr>
              <w:rPr>
                <w:sz w:val="18"/>
                <w:szCs w:val="18"/>
              </w:rPr>
            </w:pPr>
            <w:r w:rsidRPr="52F164E3">
              <w:rPr>
                <w:sz w:val="18"/>
                <w:szCs w:val="18"/>
              </w:rPr>
              <w:t>3</w:t>
            </w:r>
            <w:r w:rsidRPr="52F164E3" w:rsidR="20615DB9">
              <w:rPr>
                <w:sz w:val="18"/>
                <w:szCs w:val="18"/>
              </w:rPr>
              <w:t>9</w:t>
            </w:r>
            <w:r w:rsidRPr="52F164E3" w:rsidR="034820E6">
              <w:rPr>
                <w:sz w:val="18"/>
                <w:szCs w:val="18"/>
              </w:rPr>
              <w:t>,</w:t>
            </w:r>
            <w:r w:rsidRPr="52F164E3" w:rsidR="3BC8DEC9">
              <w:rPr>
                <w:sz w:val="18"/>
                <w:szCs w:val="18"/>
              </w:rPr>
              <w:t>989</w:t>
            </w:r>
          </w:p>
        </w:tc>
        <w:tc>
          <w:tcPr>
            <w:tcW w:w="1170" w:type="dxa"/>
          </w:tcPr>
          <w:p w:rsidR="004E373E" w:rsidRPr="00CC2F5E" w:rsidP="00BE1A30" w14:paraId="593D7C88" w14:textId="369425BD">
            <w:pPr>
              <w:rPr>
                <w:sz w:val="18"/>
                <w:szCs w:val="18"/>
              </w:rPr>
            </w:pPr>
            <w:r>
              <w:rPr>
                <w:sz w:val="18"/>
                <w:szCs w:val="18"/>
              </w:rPr>
              <w:t>0.25</w:t>
            </w:r>
          </w:p>
        </w:tc>
        <w:tc>
          <w:tcPr>
            <w:tcW w:w="1440" w:type="dxa"/>
          </w:tcPr>
          <w:p w:rsidR="004E373E" w:rsidRPr="00CC2F5E" w:rsidP="00BE1A30" w14:paraId="26DF4AC5" w14:textId="72B4A1E9">
            <w:pPr>
              <w:rPr>
                <w:sz w:val="18"/>
                <w:szCs w:val="18"/>
              </w:rPr>
            </w:pPr>
            <w:r w:rsidRPr="52F164E3">
              <w:rPr>
                <w:sz w:val="18"/>
                <w:szCs w:val="18"/>
              </w:rPr>
              <w:t>1</w:t>
            </w:r>
            <w:r w:rsidRPr="52F164E3" w:rsidR="2B364E62">
              <w:rPr>
                <w:sz w:val="18"/>
                <w:szCs w:val="18"/>
              </w:rPr>
              <w:t>59,</w:t>
            </w:r>
            <w:r w:rsidRPr="52F164E3" w:rsidR="465512BA">
              <w:rPr>
                <w:sz w:val="18"/>
                <w:szCs w:val="18"/>
              </w:rPr>
              <w:t>956</w:t>
            </w:r>
          </w:p>
        </w:tc>
        <w:tc>
          <w:tcPr>
            <w:tcW w:w="1705" w:type="dxa"/>
          </w:tcPr>
          <w:p w:rsidR="004E373E" w:rsidP="00BE1A30" w14:paraId="5F44277B" w14:textId="2A5C4E3E">
            <w:pPr>
              <w:rPr>
                <w:sz w:val="18"/>
                <w:szCs w:val="18"/>
              </w:rPr>
            </w:pPr>
            <w:r w:rsidRPr="52F164E3">
              <w:rPr>
                <w:sz w:val="18"/>
                <w:szCs w:val="18"/>
              </w:rPr>
              <w:t>$1,</w:t>
            </w:r>
            <w:r w:rsidRPr="52F164E3" w:rsidR="50ABBBBB">
              <w:rPr>
                <w:sz w:val="18"/>
                <w:szCs w:val="18"/>
              </w:rPr>
              <w:t>3</w:t>
            </w:r>
            <w:r w:rsidRPr="52F164E3" w:rsidR="4D414AD6">
              <w:rPr>
                <w:sz w:val="18"/>
                <w:szCs w:val="18"/>
              </w:rPr>
              <w:t>42</w:t>
            </w:r>
            <w:r w:rsidRPr="52F164E3" w:rsidR="20615DB9">
              <w:rPr>
                <w:sz w:val="18"/>
                <w:szCs w:val="18"/>
              </w:rPr>
              <w:t>,</w:t>
            </w:r>
            <w:r w:rsidRPr="52F164E3" w:rsidR="4D414AD6">
              <w:rPr>
                <w:sz w:val="18"/>
                <w:szCs w:val="18"/>
              </w:rPr>
              <w:t>428</w:t>
            </w:r>
          </w:p>
        </w:tc>
      </w:tr>
      <w:tr w14:paraId="4C241CE4" w14:textId="77777777" w:rsidTr="1955B311">
        <w:tblPrEx>
          <w:tblW w:w="0" w:type="auto"/>
          <w:tblLayout w:type="fixed"/>
          <w:tblLook w:val="04A0"/>
        </w:tblPrEx>
        <w:trPr>
          <w:trHeight w:val="300"/>
        </w:trPr>
        <w:tc>
          <w:tcPr>
            <w:tcW w:w="4045" w:type="dxa"/>
          </w:tcPr>
          <w:p w:rsidR="004E373E" w:rsidRPr="00CA1AA0" w:rsidP="00BE1A30" w14:paraId="1AD99358" w14:textId="21EE683C">
            <w:pPr>
              <w:rPr>
                <w:sz w:val="18"/>
                <w:szCs w:val="18"/>
              </w:rPr>
            </w:pPr>
            <w:r w:rsidRPr="00CA1AA0">
              <w:rPr>
                <w:sz w:val="18"/>
                <w:szCs w:val="18"/>
              </w:rPr>
              <w:t xml:space="preserve">Foreign Repair Station records related to the alcohol and drug collection process, test results, </w:t>
            </w:r>
            <w:r w:rsidRPr="00CA1AA0">
              <w:rPr>
                <w:sz w:val="18"/>
                <w:szCs w:val="18"/>
              </w:rPr>
              <w:t>refusal to test, employee dispute records, SAP reports, follow-up tests</w:t>
            </w:r>
          </w:p>
        </w:tc>
        <w:tc>
          <w:tcPr>
            <w:tcW w:w="990" w:type="dxa"/>
          </w:tcPr>
          <w:p w:rsidR="004E373E" w:rsidRPr="00CC2F5E" w:rsidP="00BE1A30" w14:paraId="27F653D0" w14:textId="07DD2CB2">
            <w:pPr>
              <w:rPr>
                <w:sz w:val="18"/>
                <w:szCs w:val="18"/>
              </w:rPr>
            </w:pPr>
            <w:r w:rsidRPr="52F164E3">
              <w:rPr>
                <w:sz w:val="18"/>
                <w:szCs w:val="18"/>
              </w:rPr>
              <w:t>2</w:t>
            </w:r>
            <w:r w:rsidRPr="52F164E3" w:rsidR="042DBC41">
              <w:rPr>
                <w:sz w:val="18"/>
                <w:szCs w:val="18"/>
              </w:rPr>
              <w:t>17</w:t>
            </w:r>
            <w:r w:rsidRPr="52F164E3">
              <w:rPr>
                <w:sz w:val="18"/>
                <w:szCs w:val="18"/>
              </w:rPr>
              <w:t>,5</w:t>
            </w:r>
            <w:r w:rsidRPr="52F164E3" w:rsidR="3A4CBF97">
              <w:rPr>
                <w:sz w:val="18"/>
                <w:szCs w:val="18"/>
              </w:rPr>
              <w:t>83</w:t>
            </w:r>
          </w:p>
        </w:tc>
        <w:tc>
          <w:tcPr>
            <w:tcW w:w="1170" w:type="dxa"/>
          </w:tcPr>
          <w:p w:rsidR="004E373E" w:rsidRPr="00CC2F5E" w:rsidP="00BE1A30" w14:paraId="2FFA18EC" w14:textId="7EAC94EC">
            <w:pPr>
              <w:rPr>
                <w:sz w:val="18"/>
                <w:szCs w:val="18"/>
              </w:rPr>
            </w:pPr>
            <w:r>
              <w:rPr>
                <w:sz w:val="18"/>
                <w:szCs w:val="18"/>
              </w:rPr>
              <w:t>5.00</w:t>
            </w:r>
          </w:p>
        </w:tc>
        <w:tc>
          <w:tcPr>
            <w:tcW w:w="1440" w:type="dxa"/>
          </w:tcPr>
          <w:p w:rsidR="004E373E" w:rsidRPr="00CC2F5E" w:rsidP="00BE1A30" w14:paraId="289ADEB7" w14:textId="079F6EEA">
            <w:pPr>
              <w:rPr>
                <w:sz w:val="18"/>
                <w:szCs w:val="18"/>
              </w:rPr>
            </w:pPr>
            <w:r w:rsidRPr="52F164E3">
              <w:rPr>
                <w:sz w:val="18"/>
                <w:szCs w:val="18"/>
              </w:rPr>
              <w:t>4</w:t>
            </w:r>
            <w:r w:rsidRPr="52F164E3" w:rsidR="43DCE933">
              <w:rPr>
                <w:sz w:val="18"/>
                <w:szCs w:val="18"/>
              </w:rPr>
              <w:t>3</w:t>
            </w:r>
            <w:r w:rsidRPr="52F164E3" w:rsidR="00ED03F4">
              <w:rPr>
                <w:sz w:val="18"/>
                <w:szCs w:val="18"/>
              </w:rPr>
              <w:t>,</w:t>
            </w:r>
            <w:r w:rsidRPr="52F164E3">
              <w:rPr>
                <w:sz w:val="18"/>
                <w:szCs w:val="18"/>
              </w:rPr>
              <w:t>517</w:t>
            </w:r>
          </w:p>
        </w:tc>
        <w:tc>
          <w:tcPr>
            <w:tcW w:w="1705" w:type="dxa"/>
          </w:tcPr>
          <w:p w:rsidR="004E373E" w:rsidP="00BE1A30" w14:paraId="585EE92C" w14:textId="51269DCA">
            <w:pPr>
              <w:rPr>
                <w:sz w:val="18"/>
                <w:szCs w:val="18"/>
              </w:rPr>
            </w:pPr>
            <w:r w:rsidRPr="52F164E3">
              <w:rPr>
                <w:sz w:val="18"/>
                <w:szCs w:val="18"/>
              </w:rPr>
              <w:t>$</w:t>
            </w:r>
            <w:r w:rsidRPr="52F164E3" w:rsidR="5F49112C">
              <w:rPr>
                <w:sz w:val="18"/>
                <w:szCs w:val="18"/>
              </w:rPr>
              <w:t>7</w:t>
            </w:r>
            <w:r w:rsidRPr="52F164E3">
              <w:rPr>
                <w:sz w:val="18"/>
                <w:szCs w:val="18"/>
              </w:rPr>
              <w:t>,</w:t>
            </w:r>
            <w:r w:rsidRPr="52F164E3" w:rsidR="1DFAA682">
              <w:rPr>
                <w:sz w:val="18"/>
                <w:szCs w:val="18"/>
              </w:rPr>
              <w:t>304</w:t>
            </w:r>
            <w:r w:rsidRPr="52F164E3" w:rsidR="5F49112C">
              <w:rPr>
                <w:sz w:val="18"/>
                <w:szCs w:val="18"/>
              </w:rPr>
              <w:t>,</w:t>
            </w:r>
            <w:r w:rsidRPr="52F164E3" w:rsidR="2DBEC0A7">
              <w:rPr>
                <w:sz w:val="18"/>
                <w:szCs w:val="18"/>
              </w:rPr>
              <w:t>273</w:t>
            </w:r>
          </w:p>
        </w:tc>
      </w:tr>
      <w:tr w14:paraId="6EE81B6E" w14:textId="77777777" w:rsidTr="1955B311">
        <w:tblPrEx>
          <w:tblW w:w="0" w:type="auto"/>
          <w:tblLayout w:type="fixed"/>
          <w:tblLook w:val="04A0"/>
        </w:tblPrEx>
        <w:trPr>
          <w:trHeight w:val="300"/>
        </w:trPr>
        <w:tc>
          <w:tcPr>
            <w:tcW w:w="4045" w:type="dxa"/>
          </w:tcPr>
          <w:p w:rsidR="004E373E" w:rsidRPr="004E373E" w:rsidP="00BE1A30" w14:paraId="7104B95B" w14:textId="4C9CC22C">
            <w:pPr>
              <w:rPr>
                <w:b/>
                <w:bCs/>
                <w:sz w:val="18"/>
                <w:szCs w:val="18"/>
                <w:u w:val="single"/>
              </w:rPr>
            </w:pPr>
            <w:r w:rsidRPr="004E373E">
              <w:rPr>
                <w:b/>
                <w:bCs/>
                <w:sz w:val="18"/>
                <w:szCs w:val="18"/>
                <w:u w:val="single"/>
              </w:rPr>
              <w:t>Foreign Repair Stations Total:</w:t>
            </w:r>
          </w:p>
        </w:tc>
        <w:tc>
          <w:tcPr>
            <w:tcW w:w="990" w:type="dxa"/>
          </w:tcPr>
          <w:p w:rsidR="004E373E" w:rsidRPr="00614A4C" w:rsidP="00BE1A30" w14:paraId="5D47D63D" w14:textId="4D80EEF2">
            <w:pPr>
              <w:rPr>
                <w:b/>
                <w:bCs/>
                <w:sz w:val="18"/>
                <w:szCs w:val="18"/>
              </w:rPr>
            </w:pPr>
            <w:r w:rsidRPr="52F164E3">
              <w:rPr>
                <w:b/>
                <w:bCs/>
                <w:sz w:val="18"/>
                <w:szCs w:val="18"/>
              </w:rPr>
              <w:t>273,530</w:t>
            </w:r>
          </w:p>
        </w:tc>
        <w:tc>
          <w:tcPr>
            <w:tcW w:w="1170" w:type="dxa"/>
          </w:tcPr>
          <w:p w:rsidR="004E373E" w:rsidRPr="00614A4C" w:rsidP="00BE1A30" w14:paraId="27F2B781" w14:textId="77777777">
            <w:pPr>
              <w:rPr>
                <w:b/>
                <w:bCs/>
                <w:sz w:val="18"/>
                <w:szCs w:val="18"/>
              </w:rPr>
            </w:pPr>
          </w:p>
        </w:tc>
        <w:tc>
          <w:tcPr>
            <w:tcW w:w="1440" w:type="dxa"/>
          </w:tcPr>
          <w:p w:rsidR="004E373E" w:rsidRPr="00614A4C" w:rsidP="00BE1A30" w14:paraId="2576A56F" w14:textId="1D29E41D">
            <w:pPr>
              <w:rPr>
                <w:b/>
                <w:bCs/>
                <w:sz w:val="18"/>
                <w:szCs w:val="18"/>
              </w:rPr>
            </w:pPr>
            <w:r w:rsidRPr="1955B311">
              <w:rPr>
                <w:b/>
                <w:bCs/>
                <w:sz w:val="18"/>
                <w:szCs w:val="18"/>
              </w:rPr>
              <w:t>2</w:t>
            </w:r>
            <w:r w:rsidRPr="1955B311" w:rsidR="14AF762E">
              <w:rPr>
                <w:b/>
                <w:bCs/>
                <w:sz w:val="18"/>
                <w:szCs w:val="18"/>
              </w:rPr>
              <w:t>04,</w:t>
            </w:r>
            <w:r w:rsidRPr="1955B311" w:rsidR="5D029FDC">
              <w:rPr>
                <w:b/>
                <w:bCs/>
                <w:sz w:val="18"/>
                <w:szCs w:val="18"/>
              </w:rPr>
              <w:t>4</w:t>
            </w:r>
            <w:r w:rsidRPr="1955B311" w:rsidR="7E31DAC9">
              <w:rPr>
                <w:b/>
                <w:bCs/>
                <w:sz w:val="18"/>
                <w:szCs w:val="18"/>
              </w:rPr>
              <w:t>50</w:t>
            </w:r>
          </w:p>
        </w:tc>
        <w:tc>
          <w:tcPr>
            <w:tcW w:w="1705" w:type="dxa"/>
          </w:tcPr>
          <w:p w:rsidR="004E373E" w:rsidRPr="00614A4C" w:rsidP="00BE1A30" w14:paraId="53B5576F" w14:textId="7CB79EE8">
            <w:pPr>
              <w:rPr>
                <w:b/>
                <w:bCs/>
                <w:sz w:val="18"/>
                <w:szCs w:val="18"/>
              </w:rPr>
            </w:pPr>
            <w:r w:rsidRPr="52F164E3">
              <w:rPr>
                <w:b/>
                <w:bCs/>
                <w:sz w:val="18"/>
                <w:szCs w:val="18"/>
              </w:rPr>
              <w:t>$</w:t>
            </w:r>
            <w:r w:rsidRPr="52F164E3" w:rsidR="5D029FDC">
              <w:rPr>
                <w:b/>
                <w:bCs/>
                <w:sz w:val="18"/>
                <w:szCs w:val="18"/>
              </w:rPr>
              <w:t>9</w:t>
            </w:r>
            <w:r w:rsidRPr="52F164E3">
              <w:rPr>
                <w:b/>
                <w:bCs/>
                <w:sz w:val="18"/>
                <w:szCs w:val="18"/>
              </w:rPr>
              <w:t>,</w:t>
            </w:r>
            <w:r w:rsidRPr="52F164E3" w:rsidR="5D029FDC">
              <w:rPr>
                <w:b/>
                <w:bCs/>
                <w:sz w:val="18"/>
                <w:szCs w:val="18"/>
              </w:rPr>
              <w:t>116</w:t>
            </w:r>
            <w:r w:rsidRPr="52F164E3" w:rsidR="20615DB9">
              <w:rPr>
                <w:b/>
                <w:bCs/>
                <w:sz w:val="18"/>
                <w:szCs w:val="18"/>
              </w:rPr>
              <w:t>,</w:t>
            </w:r>
            <w:r w:rsidRPr="52F164E3" w:rsidR="4C0DA2B0">
              <w:rPr>
                <w:b/>
                <w:bCs/>
                <w:sz w:val="18"/>
                <w:szCs w:val="18"/>
              </w:rPr>
              <w:t>335</w:t>
            </w:r>
          </w:p>
        </w:tc>
      </w:tr>
      <w:tr w14:paraId="50D0DC7C" w14:textId="77777777" w:rsidTr="1955B311">
        <w:tblPrEx>
          <w:tblW w:w="0" w:type="auto"/>
          <w:tblLayout w:type="fixed"/>
          <w:tblLook w:val="04A0"/>
        </w:tblPrEx>
        <w:trPr>
          <w:trHeight w:val="300"/>
        </w:trPr>
        <w:tc>
          <w:tcPr>
            <w:tcW w:w="4045" w:type="dxa"/>
          </w:tcPr>
          <w:p w:rsidR="004E373E" w:rsidP="00BE1A30" w14:paraId="566C631C" w14:textId="77777777">
            <w:pPr>
              <w:rPr>
                <w:sz w:val="18"/>
                <w:szCs w:val="18"/>
                <w:u w:val="single"/>
              </w:rPr>
            </w:pPr>
          </w:p>
        </w:tc>
        <w:tc>
          <w:tcPr>
            <w:tcW w:w="990" w:type="dxa"/>
          </w:tcPr>
          <w:p w:rsidR="004E373E" w:rsidRPr="00CC2F5E" w:rsidP="00BE1A30" w14:paraId="1722FED1" w14:textId="77777777">
            <w:pPr>
              <w:rPr>
                <w:sz w:val="18"/>
                <w:szCs w:val="18"/>
              </w:rPr>
            </w:pPr>
          </w:p>
        </w:tc>
        <w:tc>
          <w:tcPr>
            <w:tcW w:w="1170" w:type="dxa"/>
          </w:tcPr>
          <w:p w:rsidR="004E373E" w:rsidRPr="00CC2F5E" w:rsidP="00BE1A30" w14:paraId="34966301" w14:textId="77777777">
            <w:pPr>
              <w:rPr>
                <w:sz w:val="18"/>
                <w:szCs w:val="18"/>
              </w:rPr>
            </w:pPr>
          </w:p>
        </w:tc>
        <w:tc>
          <w:tcPr>
            <w:tcW w:w="1440" w:type="dxa"/>
          </w:tcPr>
          <w:p w:rsidR="004E373E" w:rsidRPr="00CC2F5E" w:rsidP="00BE1A30" w14:paraId="0860F75B" w14:textId="77777777">
            <w:pPr>
              <w:rPr>
                <w:sz w:val="18"/>
                <w:szCs w:val="18"/>
              </w:rPr>
            </w:pPr>
          </w:p>
        </w:tc>
        <w:tc>
          <w:tcPr>
            <w:tcW w:w="1705" w:type="dxa"/>
          </w:tcPr>
          <w:p w:rsidR="004E373E" w:rsidP="00BE1A30" w14:paraId="0AFE174F" w14:textId="77777777">
            <w:pPr>
              <w:rPr>
                <w:sz w:val="18"/>
                <w:szCs w:val="18"/>
              </w:rPr>
            </w:pPr>
          </w:p>
        </w:tc>
      </w:tr>
      <w:tr w14:paraId="05ADBBE0" w14:textId="77777777" w:rsidTr="1955B311">
        <w:tblPrEx>
          <w:tblW w:w="0" w:type="auto"/>
          <w:tblLayout w:type="fixed"/>
          <w:tblLook w:val="04A0"/>
        </w:tblPrEx>
        <w:trPr>
          <w:trHeight w:val="300"/>
        </w:trPr>
        <w:tc>
          <w:tcPr>
            <w:tcW w:w="4045" w:type="dxa"/>
          </w:tcPr>
          <w:p w:rsidR="004E373E" w:rsidRPr="004E373E" w:rsidP="00BE1A30" w14:paraId="3C73130C" w14:textId="2CB88629">
            <w:pPr>
              <w:rPr>
                <w:b/>
                <w:bCs/>
                <w:sz w:val="18"/>
                <w:szCs w:val="18"/>
                <w:u w:val="single"/>
              </w:rPr>
            </w:pPr>
            <w:r w:rsidRPr="004E373E">
              <w:rPr>
                <w:b/>
                <w:bCs/>
                <w:sz w:val="18"/>
                <w:szCs w:val="18"/>
                <w:u w:val="single"/>
              </w:rPr>
              <w:t>Total:</w:t>
            </w:r>
          </w:p>
        </w:tc>
        <w:tc>
          <w:tcPr>
            <w:tcW w:w="990" w:type="dxa"/>
          </w:tcPr>
          <w:p w:rsidR="004E373E" w:rsidRPr="00614A4C" w:rsidP="00BE1A30" w14:paraId="25AE7A05" w14:textId="6B79283D">
            <w:pPr>
              <w:rPr>
                <w:b/>
                <w:bCs/>
                <w:sz w:val="18"/>
                <w:szCs w:val="18"/>
              </w:rPr>
            </w:pPr>
            <w:r w:rsidRPr="52F164E3">
              <w:rPr>
                <w:b/>
                <w:bCs/>
                <w:sz w:val="18"/>
                <w:szCs w:val="18"/>
              </w:rPr>
              <w:t>351</w:t>
            </w:r>
            <w:r w:rsidRPr="52F164E3" w:rsidR="00ED03F4">
              <w:rPr>
                <w:b/>
                <w:bCs/>
                <w:sz w:val="18"/>
                <w:szCs w:val="18"/>
              </w:rPr>
              <w:t>,</w:t>
            </w:r>
            <w:r w:rsidRPr="52F164E3" w:rsidR="14403150">
              <w:rPr>
                <w:b/>
                <w:bCs/>
                <w:sz w:val="18"/>
                <w:szCs w:val="18"/>
              </w:rPr>
              <w:t>972</w:t>
            </w:r>
          </w:p>
        </w:tc>
        <w:tc>
          <w:tcPr>
            <w:tcW w:w="1170" w:type="dxa"/>
          </w:tcPr>
          <w:p w:rsidR="004E373E" w:rsidRPr="00614A4C" w:rsidP="00BE1A30" w14:paraId="318BD04F" w14:textId="77777777">
            <w:pPr>
              <w:rPr>
                <w:b/>
                <w:bCs/>
                <w:sz w:val="18"/>
                <w:szCs w:val="18"/>
              </w:rPr>
            </w:pPr>
          </w:p>
        </w:tc>
        <w:tc>
          <w:tcPr>
            <w:tcW w:w="1440" w:type="dxa"/>
          </w:tcPr>
          <w:p w:rsidR="004E373E" w:rsidRPr="00614A4C" w:rsidP="00BE1A30" w14:paraId="5BC32CE8" w14:textId="59E6DEF4">
            <w:pPr>
              <w:rPr>
                <w:b/>
                <w:bCs/>
                <w:sz w:val="18"/>
                <w:szCs w:val="18"/>
              </w:rPr>
            </w:pPr>
            <w:r w:rsidRPr="1955B311">
              <w:rPr>
                <w:b/>
                <w:bCs/>
                <w:sz w:val="18"/>
                <w:szCs w:val="18"/>
              </w:rPr>
              <w:t>367</w:t>
            </w:r>
            <w:r w:rsidRPr="1955B311" w:rsidR="7C5B7EFB">
              <w:rPr>
                <w:b/>
                <w:bCs/>
                <w:sz w:val="18"/>
                <w:szCs w:val="18"/>
              </w:rPr>
              <w:t>,</w:t>
            </w:r>
            <w:r w:rsidRPr="1955B311" w:rsidR="1845A098">
              <w:rPr>
                <w:b/>
                <w:bCs/>
                <w:sz w:val="18"/>
                <w:szCs w:val="18"/>
              </w:rPr>
              <w:t>36</w:t>
            </w:r>
            <w:r w:rsidRPr="1955B311" w:rsidR="014B72B8">
              <w:rPr>
                <w:b/>
                <w:bCs/>
                <w:sz w:val="18"/>
                <w:szCs w:val="18"/>
              </w:rPr>
              <w:t>8</w:t>
            </w:r>
          </w:p>
        </w:tc>
        <w:tc>
          <w:tcPr>
            <w:tcW w:w="1705" w:type="dxa"/>
          </w:tcPr>
          <w:p w:rsidR="004E373E" w:rsidRPr="00614A4C" w:rsidP="00BE1A30" w14:paraId="699EA1B0" w14:textId="0D8065C1">
            <w:pPr>
              <w:rPr>
                <w:b/>
                <w:bCs/>
                <w:sz w:val="18"/>
                <w:szCs w:val="18"/>
              </w:rPr>
            </w:pPr>
            <w:r w:rsidRPr="52F164E3">
              <w:rPr>
                <w:b/>
                <w:bCs/>
                <w:sz w:val="18"/>
                <w:szCs w:val="18"/>
              </w:rPr>
              <w:t>$1</w:t>
            </w:r>
            <w:r w:rsidRPr="52F164E3" w:rsidR="0AE56F30">
              <w:rPr>
                <w:b/>
                <w:bCs/>
                <w:sz w:val="18"/>
                <w:szCs w:val="18"/>
              </w:rPr>
              <w:t>1</w:t>
            </w:r>
            <w:r w:rsidRPr="52F164E3">
              <w:rPr>
                <w:b/>
                <w:bCs/>
                <w:sz w:val="18"/>
                <w:szCs w:val="18"/>
              </w:rPr>
              <w:t>,</w:t>
            </w:r>
            <w:r w:rsidRPr="52F164E3" w:rsidR="0AE56F30">
              <w:rPr>
                <w:b/>
                <w:bCs/>
                <w:sz w:val="18"/>
                <w:szCs w:val="18"/>
              </w:rPr>
              <w:t>749</w:t>
            </w:r>
            <w:r w:rsidRPr="52F164E3" w:rsidR="24E97786">
              <w:rPr>
                <w:b/>
                <w:bCs/>
                <w:sz w:val="18"/>
                <w:szCs w:val="18"/>
              </w:rPr>
              <w:t>,</w:t>
            </w:r>
            <w:r w:rsidRPr="52F164E3" w:rsidR="39DBDF1E">
              <w:rPr>
                <w:b/>
                <w:bCs/>
                <w:sz w:val="18"/>
                <w:szCs w:val="18"/>
              </w:rPr>
              <w:t>6</w:t>
            </w:r>
            <w:r w:rsidRPr="52F164E3" w:rsidR="26248C9A">
              <w:rPr>
                <w:b/>
                <w:bCs/>
                <w:sz w:val="18"/>
                <w:szCs w:val="18"/>
              </w:rPr>
              <w:t>33</w:t>
            </w:r>
          </w:p>
        </w:tc>
      </w:tr>
    </w:tbl>
    <w:bookmarkEnd w:id="3"/>
    <w:p w:rsidR="00233868" w:rsidP="00126632" w14:paraId="50808003" w14:textId="1E04576A">
      <w:pPr>
        <w:spacing w:after="0" w:line="240" w:lineRule="auto"/>
        <w:rPr>
          <w:sz w:val="18"/>
          <w:szCs w:val="18"/>
        </w:rPr>
      </w:pPr>
      <w:r w:rsidRPr="00233868">
        <w:rPr>
          <w:sz w:val="18"/>
          <w:szCs w:val="18"/>
        </w:rPr>
        <w:t>Note: These numbers are subject to rounding error. </w:t>
      </w:r>
    </w:p>
    <w:p w:rsidR="00281871" w:rsidP="00126632" w14:paraId="34B94340" w14:textId="0BC12598">
      <w:pPr>
        <w:spacing w:after="0" w:line="240" w:lineRule="auto"/>
        <w:rPr>
          <w:sz w:val="18"/>
          <w:szCs w:val="18"/>
        </w:rPr>
      </w:pPr>
      <w:r>
        <w:rPr>
          <w:sz w:val="18"/>
          <w:szCs w:val="18"/>
        </w:rPr>
        <w:t xml:space="preserve">Note: </w:t>
      </w:r>
      <w:r w:rsidR="00636546">
        <w:rPr>
          <w:sz w:val="18"/>
          <w:szCs w:val="18"/>
        </w:rPr>
        <w:t xml:space="preserve">For all </w:t>
      </w:r>
      <w:r w:rsidR="00203EEF">
        <w:rPr>
          <w:sz w:val="18"/>
          <w:szCs w:val="18"/>
        </w:rPr>
        <w:t>line items, except the development and program maintenance, t</w:t>
      </w:r>
      <w:r w:rsidRPr="00CC2F5E" w:rsidR="001014B4">
        <w:rPr>
          <w:sz w:val="18"/>
          <w:szCs w:val="18"/>
        </w:rPr>
        <w:t xml:space="preserve">he </w:t>
      </w:r>
      <w:r w:rsidR="00614A4C">
        <w:rPr>
          <w:sz w:val="18"/>
          <w:szCs w:val="18"/>
        </w:rPr>
        <w:t>FAA</w:t>
      </w:r>
      <w:r w:rsidRPr="00CC2F5E" w:rsidR="001014B4">
        <w:rPr>
          <w:sz w:val="18"/>
          <w:szCs w:val="18"/>
        </w:rPr>
        <w:t xml:space="preserve"> is using a wage rate of $</w:t>
      </w:r>
      <w:r w:rsidR="00F77A1D">
        <w:rPr>
          <w:sz w:val="18"/>
          <w:szCs w:val="18"/>
        </w:rPr>
        <w:t>3</w:t>
      </w:r>
      <w:r w:rsidR="009C6EF0">
        <w:rPr>
          <w:sz w:val="18"/>
          <w:szCs w:val="18"/>
        </w:rPr>
        <w:t>3</w:t>
      </w:r>
      <w:r w:rsidR="00F77A1D">
        <w:rPr>
          <w:sz w:val="18"/>
          <w:szCs w:val="18"/>
        </w:rPr>
        <w:t>.</w:t>
      </w:r>
      <w:r w:rsidR="009C6EF0">
        <w:rPr>
          <w:sz w:val="18"/>
          <w:szCs w:val="18"/>
        </w:rPr>
        <w:t>5</w:t>
      </w:r>
      <w:r w:rsidR="00F77A1D">
        <w:rPr>
          <w:sz w:val="18"/>
          <w:szCs w:val="18"/>
        </w:rPr>
        <w:t>7</w:t>
      </w:r>
      <w:r w:rsidRPr="00CC2F5E" w:rsidR="001014B4">
        <w:rPr>
          <w:sz w:val="18"/>
          <w:szCs w:val="18"/>
        </w:rPr>
        <w:t xml:space="preserve"> per hour for Designated Employe</w:t>
      </w:r>
      <w:r w:rsidR="002A18A8">
        <w:rPr>
          <w:sz w:val="18"/>
          <w:szCs w:val="18"/>
        </w:rPr>
        <w:t>r</w:t>
      </w:r>
      <w:r w:rsidRPr="00CC2F5E" w:rsidR="001014B4">
        <w:rPr>
          <w:sz w:val="18"/>
          <w:szCs w:val="18"/>
        </w:rPr>
        <w:t xml:space="preserve"> Representatives</w:t>
      </w:r>
      <w:r w:rsidRPr="00AC6656" w:rsidR="00CE1D23">
        <w:rPr>
          <w:sz w:val="18"/>
          <w:szCs w:val="18"/>
        </w:rPr>
        <w:t>.</w:t>
      </w:r>
      <w:r w:rsidRPr="00AC6656" w:rsidR="00614A4C">
        <w:rPr>
          <w:sz w:val="18"/>
          <w:szCs w:val="18"/>
        </w:rPr>
        <w:t xml:space="preserve"> Information and Records Clerks (SOC 43-4000) NAICS 481000 – Air Transportation, May 202</w:t>
      </w:r>
      <w:r w:rsidR="009C6EF0">
        <w:rPr>
          <w:sz w:val="18"/>
          <w:szCs w:val="18"/>
        </w:rPr>
        <w:t>2</w:t>
      </w:r>
      <w:r w:rsidRPr="00AC6656" w:rsidR="00614A4C">
        <w:rPr>
          <w:sz w:val="18"/>
          <w:szCs w:val="18"/>
        </w:rPr>
        <w:t xml:space="preserve">; Mean Hourly wage. </w:t>
      </w:r>
      <w:hyperlink r:id="rId6" w:history="1">
        <w:r w:rsidRPr="00656181" w:rsidR="009C6EF0">
          <w:rPr>
            <w:rStyle w:val="Hyperlink"/>
            <w:sz w:val="18"/>
            <w:szCs w:val="18"/>
          </w:rPr>
          <w:t>https://www.bls.gov/oes/2022/may/naics3_481000.htm#43-4000</w:t>
        </w:r>
      </w:hyperlink>
      <w:r w:rsidRPr="52F164E3">
        <w:rPr>
          <w:sz w:val="18"/>
          <w:szCs w:val="18"/>
        </w:rPr>
        <w:t xml:space="preserve">. The base wage rate is </w:t>
      </w:r>
      <w:r w:rsidRPr="52F164E3">
        <w:rPr>
          <w:sz w:val="18"/>
          <w:szCs w:val="18"/>
        </w:rPr>
        <w:t>$2</w:t>
      </w:r>
      <w:r w:rsidRPr="00AC6656" w:rsidR="009C6EF0">
        <w:rPr>
          <w:sz w:val="18"/>
          <w:szCs w:val="18"/>
        </w:rPr>
        <w:t>3.67</w:t>
      </w:r>
      <w:r w:rsidRPr="00AC6656" w:rsidR="00614A4C">
        <w:rPr>
          <w:sz w:val="18"/>
          <w:szCs w:val="18"/>
        </w:rPr>
        <w:t xml:space="preserve"> and the wage rate used includes fringe benefits at a rate of 4</w:t>
      </w:r>
      <w:r w:rsidRPr="00AC6656" w:rsidR="00F42BB6">
        <w:rPr>
          <w:sz w:val="18"/>
          <w:szCs w:val="18"/>
        </w:rPr>
        <w:t>2</w:t>
      </w:r>
      <w:r w:rsidR="00614A4C">
        <w:rPr>
          <w:sz w:val="18"/>
          <w:szCs w:val="18"/>
        </w:rPr>
        <w:t xml:space="preserve"> percent.</w:t>
      </w:r>
      <w:r w:rsidR="00203EEF">
        <w:rPr>
          <w:sz w:val="18"/>
          <w:szCs w:val="18"/>
        </w:rPr>
        <w:t xml:space="preserve"> </w:t>
      </w:r>
    </w:p>
    <w:p w:rsidR="00076F6A" w:rsidRPr="00CC2F5E" w:rsidP="00126632" w14:paraId="30E6E419" w14:textId="610C6E98">
      <w:pPr>
        <w:spacing w:after="0" w:line="240" w:lineRule="auto"/>
        <w:rPr>
          <w:sz w:val="18"/>
          <w:szCs w:val="18"/>
        </w:rPr>
      </w:pPr>
      <w:r>
        <w:rPr>
          <w:sz w:val="18"/>
          <w:szCs w:val="18"/>
        </w:rPr>
        <w:t xml:space="preserve">Note: </w:t>
      </w:r>
      <w:r w:rsidR="00455BF6">
        <w:rPr>
          <w:sz w:val="18"/>
          <w:szCs w:val="18"/>
        </w:rPr>
        <w:t>For the development and program maintenance the FAA is using a wage rate of</w:t>
      </w:r>
      <w:r w:rsidR="00F803C2">
        <w:rPr>
          <w:sz w:val="18"/>
          <w:szCs w:val="18"/>
        </w:rPr>
        <w:t xml:space="preserve"> </w:t>
      </w:r>
      <w:r w:rsidR="00E77DC5">
        <w:rPr>
          <w:sz w:val="18"/>
          <w:szCs w:val="18"/>
        </w:rPr>
        <w:t>$</w:t>
      </w:r>
      <w:r w:rsidR="00455BF6">
        <w:rPr>
          <w:sz w:val="18"/>
          <w:szCs w:val="18"/>
        </w:rPr>
        <w:t>29</w:t>
      </w:r>
      <w:r w:rsidR="00D0152E">
        <w:rPr>
          <w:sz w:val="18"/>
          <w:szCs w:val="18"/>
        </w:rPr>
        <w:t>.43</w:t>
      </w:r>
      <w:r w:rsidR="00DD1EA6">
        <w:rPr>
          <w:sz w:val="18"/>
          <w:szCs w:val="18"/>
        </w:rPr>
        <w:t xml:space="preserve"> per hour.</w:t>
      </w:r>
      <w:r w:rsidRPr="00AC6656" w:rsidR="00D57D49">
        <w:rPr>
          <w:sz w:val="18"/>
          <w:szCs w:val="18"/>
        </w:rPr>
        <w:t xml:space="preserve"> </w:t>
      </w:r>
      <w:r w:rsidRPr="00E03D7B" w:rsidR="00E03D7B">
        <w:rPr>
          <w:sz w:val="18"/>
          <w:szCs w:val="18"/>
        </w:rPr>
        <w:t>Office and Administrative Support Workers (SOC 43-91</w:t>
      </w:r>
      <w:r w:rsidR="00126ED8">
        <w:rPr>
          <w:sz w:val="18"/>
          <w:szCs w:val="18"/>
        </w:rPr>
        <w:t>9</w:t>
      </w:r>
      <w:r w:rsidRPr="00E03D7B" w:rsidR="00E03D7B">
        <w:rPr>
          <w:sz w:val="18"/>
          <w:szCs w:val="18"/>
        </w:rPr>
        <w:t>9)</w:t>
      </w:r>
      <w:r w:rsidRPr="00AC6656" w:rsidR="00D57D49">
        <w:rPr>
          <w:sz w:val="18"/>
          <w:szCs w:val="18"/>
        </w:rPr>
        <w:t xml:space="preserve"> NAICS 481000 – Air Transportation, May 202</w:t>
      </w:r>
      <w:r w:rsidR="009C6EF0">
        <w:rPr>
          <w:sz w:val="18"/>
          <w:szCs w:val="18"/>
        </w:rPr>
        <w:t>2</w:t>
      </w:r>
      <w:r w:rsidRPr="00AC6656" w:rsidR="00D57D49">
        <w:rPr>
          <w:sz w:val="18"/>
          <w:szCs w:val="18"/>
        </w:rPr>
        <w:t xml:space="preserve">; Mean Hourly wage. </w:t>
      </w:r>
      <w:hyperlink r:id="rId7" w:history="1">
        <w:r w:rsidRPr="00656181" w:rsidR="00E77DC5">
          <w:rPr>
            <w:rStyle w:val="Hyperlink"/>
            <w:sz w:val="18"/>
            <w:szCs w:val="18"/>
          </w:rPr>
          <w:t>https://www.bls.gov/oes/2022/may/oes439199.htm</w:t>
        </w:r>
      </w:hyperlink>
      <w:r w:rsidRPr="52F164E3">
        <w:rPr>
          <w:sz w:val="18"/>
          <w:szCs w:val="18"/>
        </w:rPr>
        <w:t xml:space="preserve">. The base wage rate is </w:t>
      </w:r>
      <w:r w:rsidRPr="52F164E3">
        <w:rPr>
          <w:sz w:val="18"/>
          <w:szCs w:val="18"/>
        </w:rPr>
        <w:t>$</w:t>
      </w:r>
      <w:r w:rsidRPr="00AC6656" w:rsidR="00D0152E">
        <w:rPr>
          <w:sz w:val="18"/>
          <w:szCs w:val="18"/>
        </w:rPr>
        <w:t>20.75</w:t>
      </w:r>
      <w:r w:rsidR="00D57D49">
        <w:rPr>
          <w:sz w:val="18"/>
          <w:szCs w:val="18"/>
        </w:rPr>
        <w:t xml:space="preserve"> and the wage rate used includes fringe benefits at a rate of 4</w:t>
      </w:r>
      <w:r w:rsidRPr="00AC6656" w:rsidR="00F42BB6">
        <w:rPr>
          <w:sz w:val="18"/>
          <w:szCs w:val="18"/>
        </w:rPr>
        <w:t>2</w:t>
      </w:r>
      <w:r w:rsidRPr="00AC6656" w:rsidR="00D57D49">
        <w:rPr>
          <w:sz w:val="18"/>
          <w:szCs w:val="18"/>
        </w:rPr>
        <w:t xml:space="preserve"> percent.</w:t>
      </w:r>
    </w:p>
    <w:p w:rsidR="00C64707" w:rsidRPr="00CC2F5E" w:rsidP="3249A3A0" w14:paraId="5965F16B" w14:textId="2A6A46A5">
      <w:pPr>
        <w:shd w:val="clear" w:color="auto" w:fill="FFFFFF" w:themeFill="background1"/>
        <w:spacing w:after="0" w:line="240" w:lineRule="auto"/>
        <w:rPr>
          <w:rFonts w:ascii="Arial" w:eastAsia="Times New Roman" w:hAnsi="Arial" w:cs="Arial"/>
          <w:b/>
          <w:bCs/>
          <w:sz w:val="24"/>
          <w:szCs w:val="24"/>
        </w:rPr>
      </w:pPr>
    </w:p>
    <w:p w:rsidR="00491C00" w:rsidP="3249A3A0" w14:paraId="311AE820" w14:textId="57109541">
      <w:pPr>
        <w:shd w:val="clear" w:color="auto" w:fill="FFFFFF" w:themeFill="background1"/>
        <w:spacing w:after="0" w:line="240" w:lineRule="auto"/>
        <w:rPr>
          <w:rFonts w:ascii="Arial" w:eastAsia="Times New Roman" w:hAnsi="Arial" w:cs="Arial"/>
          <w:b/>
          <w:bCs/>
          <w:sz w:val="24"/>
          <w:szCs w:val="24"/>
        </w:rPr>
      </w:pPr>
      <w:r w:rsidRPr="52F164E3">
        <w:rPr>
          <w:rFonts w:ascii="Arial" w:eastAsia="Times New Roman" w:hAnsi="Arial" w:cs="Arial"/>
          <w:b/>
          <w:bCs/>
          <w:sz w:val="24"/>
          <w:szCs w:val="24"/>
        </w:rPr>
        <w:t xml:space="preserve">Total Burden: </w:t>
      </w:r>
      <w:r w:rsidRPr="52F164E3" w:rsidR="15EABFE9">
        <w:rPr>
          <w:rFonts w:ascii="Arial" w:eastAsia="Times New Roman" w:hAnsi="Arial" w:cs="Arial"/>
          <w:b/>
          <w:bCs/>
          <w:sz w:val="24"/>
          <w:szCs w:val="24"/>
        </w:rPr>
        <w:t>Waiver Based on FAA Recognition</w:t>
      </w:r>
      <w:r w:rsidRPr="52F164E3" w:rsidR="004D0092">
        <w:rPr>
          <w:rFonts w:ascii="Arial" w:eastAsia="Times New Roman" w:hAnsi="Arial" w:cs="Arial"/>
          <w:b/>
          <w:bCs/>
          <w:sz w:val="24"/>
          <w:szCs w:val="24"/>
        </w:rPr>
        <w:t xml:space="preserve"> (Low-Cost Case)</w:t>
      </w:r>
    </w:p>
    <w:tbl>
      <w:tblPr>
        <w:tblStyle w:val="TableGrid"/>
        <w:tblW w:w="0" w:type="auto"/>
        <w:tblLook w:val="04A0"/>
      </w:tblPr>
      <w:tblGrid>
        <w:gridCol w:w="4225"/>
        <w:gridCol w:w="990"/>
        <w:gridCol w:w="990"/>
        <w:gridCol w:w="1275"/>
        <w:gridCol w:w="1870"/>
      </w:tblGrid>
      <w:tr w14:paraId="27C78CD6" w14:textId="77777777" w:rsidTr="52F164E3">
        <w:tblPrEx>
          <w:tblW w:w="0" w:type="auto"/>
          <w:tblLook w:val="04A0"/>
        </w:tblPrEx>
        <w:trPr>
          <w:trHeight w:val="300"/>
        </w:trPr>
        <w:tc>
          <w:tcPr>
            <w:tcW w:w="4225" w:type="dxa"/>
          </w:tcPr>
          <w:p w:rsidR="00491C00" w:rsidRPr="00CC2F5E" w14:paraId="3D510704" w14:textId="77777777">
            <w:pPr>
              <w:rPr>
                <w:b/>
                <w:bCs/>
                <w:sz w:val="18"/>
                <w:szCs w:val="18"/>
              </w:rPr>
            </w:pPr>
            <w:r w:rsidRPr="52F164E3">
              <w:rPr>
                <w:b/>
                <w:bCs/>
                <w:sz w:val="18"/>
                <w:szCs w:val="18"/>
              </w:rPr>
              <w:t>IC</w:t>
            </w:r>
          </w:p>
        </w:tc>
        <w:tc>
          <w:tcPr>
            <w:tcW w:w="990" w:type="dxa"/>
          </w:tcPr>
          <w:p w:rsidR="00491C00" w:rsidRPr="00CC2F5E" w14:paraId="6886FF7D" w14:textId="77777777">
            <w:pPr>
              <w:rPr>
                <w:b/>
                <w:bCs/>
                <w:sz w:val="18"/>
                <w:szCs w:val="18"/>
              </w:rPr>
            </w:pPr>
            <w:r w:rsidRPr="52F164E3">
              <w:rPr>
                <w:b/>
                <w:bCs/>
                <w:sz w:val="18"/>
                <w:szCs w:val="18"/>
              </w:rPr>
              <w:t>Total Hours</w:t>
            </w:r>
          </w:p>
        </w:tc>
        <w:tc>
          <w:tcPr>
            <w:tcW w:w="990" w:type="dxa"/>
          </w:tcPr>
          <w:p w:rsidR="00491C00" w:rsidRPr="00CC2F5E" w14:paraId="1E0452DA" w14:textId="77777777">
            <w:pPr>
              <w:rPr>
                <w:b/>
                <w:bCs/>
                <w:sz w:val="18"/>
                <w:szCs w:val="18"/>
              </w:rPr>
            </w:pPr>
            <w:r w:rsidRPr="52F164E3">
              <w:rPr>
                <w:b/>
                <w:bCs/>
                <w:sz w:val="18"/>
                <w:szCs w:val="18"/>
              </w:rPr>
              <w:t>Hours per Response</w:t>
            </w:r>
          </w:p>
        </w:tc>
        <w:tc>
          <w:tcPr>
            <w:tcW w:w="1275" w:type="dxa"/>
          </w:tcPr>
          <w:p w:rsidR="00491C00" w:rsidRPr="00CC2F5E" w14:paraId="26EB3303" w14:textId="77777777">
            <w:pPr>
              <w:rPr>
                <w:b/>
                <w:bCs/>
                <w:sz w:val="18"/>
                <w:szCs w:val="18"/>
              </w:rPr>
            </w:pPr>
            <w:r w:rsidRPr="52F164E3">
              <w:rPr>
                <w:b/>
                <w:bCs/>
                <w:sz w:val="18"/>
                <w:szCs w:val="18"/>
              </w:rPr>
              <w:t>Responses per Year</w:t>
            </w:r>
          </w:p>
        </w:tc>
        <w:tc>
          <w:tcPr>
            <w:tcW w:w="1870" w:type="dxa"/>
          </w:tcPr>
          <w:p w:rsidR="00491C00" w:rsidRPr="00CC2F5E" w14:paraId="2810CE50" w14:textId="77777777">
            <w:pPr>
              <w:rPr>
                <w:b/>
                <w:bCs/>
                <w:sz w:val="18"/>
                <w:szCs w:val="18"/>
              </w:rPr>
            </w:pPr>
            <w:r w:rsidRPr="52F164E3">
              <w:rPr>
                <w:b/>
                <w:bCs/>
                <w:sz w:val="18"/>
                <w:szCs w:val="18"/>
              </w:rPr>
              <w:t>$ Yearly Burden</w:t>
            </w:r>
          </w:p>
        </w:tc>
      </w:tr>
      <w:tr w14:paraId="6C233891" w14:textId="77777777" w:rsidTr="52F164E3">
        <w:tblPrEx>
          <w:tblW w:w="0" w:type="auto"/>
          <w:tblLook w:val="04A0"/>
        </w:tblPrEx>
        <w:trPr>
          <w:trHeight w:val="300"/>
        </w:trPr>
        <w:tc>
          <w:tcPr>
            <w:tcW w:w="4225" w:type="dxa"/>
          </w:tcPr>
          <w:p w:rsidR="00491C00" w:rsidRPr="00A21C75" w14:paraId="2D72A2F1" w14:textId="3AC20275">
            <w:pPr>
              <w:rPr>
                <w:sz w:val="18"/>
                <w:szCs w:val="18"/>
              </w:rPr>
            </w:pPr>
            <w:r w:rsidRPr="52F164E3">
              <w:rPr>
                <w:sz w:val="18"/>
                <w:szCs w:val="18"/>
              </w:rPr>
              <w:t>Submission of Request</w:t>
            </w:r>
          </w:p>
        </w:tc>
        <w:tc>
          <w:tcPr>
            <w:tcW w:w="990" w:type="dxa"/>
          </w:tcPr>
          <w:p w:rsidR="00491C00" w:rsidRPr="00CA0B26" w14:paraId="21E1D00B" w14:textId="1CB91B4B">
            <w:pPr>
              <w:rPr>
                <w:sz w:val="18"/>
                <w:szCs w:val="18"/>
              </w:rPr>
            </w:pPr>
            <w:r w:rsidRPr="52F164E3">
              <w:rPr>
                <w:sz w:val="18"/>
                <w:szCs w:val="18"/>
              </w:rPr>
              <w:t>660</w:t>
            </w:r>
          </w:p>
        </w:tc>
        <w:tc>
          <w:tcPr>
            <w:tcW w:w="990" w:type="dxa"/>
          </w:tcPr>
          <w:p w:rsidR="00491C00" w:rsidRPr="00CA0B26" w14:paraId="6EF6FD53" w14:textId="1013036F">
            <w:pPr>
              <w:rPr>
                <w:sz w:val="18"/>
                <w:szCs w:val="18"/>
              </w:rPr>
            </w:pPr>
            <w:r w:rsidRPr="52F164E3">
              <w:rPr>
                <w:sz w:val="18"/>
                <w:szCs w:val="18"/>
              </w:rPr>
              <w:t>20</w:t>
            </w:r>
          </w:p>
        </w:tc>
        <w:tc>
          <w:tcPr>
            <w:tcW w:w="1275" w:type="dxa"/>
          </w:tcPr>
          <w:p w:rsidR="00491C00" w:rsidRPr="00CA0B26" w14:paraId="1461565C" w14:textId="4DD45BF5">
            <w:pPr>
              <w:rPr>
                <w:sz w:val="18"/>
                <w:szCs w:val="18"/>
              </w:rPr>
            </w:pPr>
            <w:r w:rsidRPr="52F164E3">
              <w:rPr>
                <w:sz w:val="18"/>
                <w:szCs w:val="18"/>
              </w:rPr>
              <w:t>33</w:t>
            </w:r>
          </w:p>
        </w:tc>
        <w:tc>
          <w:tcPr>
            <w:tcW w:w="1870" w:type="dxa"/>
          </w:tcPr>
          <w:p w:rsidR="00491C00" w:rsidRPr="00CA0B26" w14:paraId="753ACEFA" w14:textId="066522C5">
            <w:pPr>
              <w:rPr>
                <w:sz w:val="18"/>
                <w:szCs w:val="18"/>
              </w:rPr>
            </w:pPr>
            <w:r w:rsidRPr="52F164E3">
              <w:rPr>
                <w:sz w:val="18"/>
                <w:szCs w:val="18"/>
              </w:rPr>
              <w:t>$43</w:t>
            </w:r>
            <w:r w:rsidRPr="52F164E3" w:rsidR="00CA0B26">
              <w:rPr>
                <w:sz w:val="18"/>
                <w:szCs w:val="18"/>
              </w:rPr>
              <w:t>,72</w:t>
            </w:r>
            <w:r w:rsidRPr="52F164E3" w:rsidR="500C3580">
              <w:rPr>
                <w:sz w:val="18"/>
                <w:szCs w:val="18"/>
              </w:rPr>
              <w:t>5</w:t>
            </w:r>
          </w:p>
        </w:tc>
      </w:tr>
    </w:tbl>
    <w:p w:rsidR="0094719C" w:rsidP="0094719C" w14:paraId="6BCE3E0A" w14:textId="77777777">
      <w:pPr>
        <w:spacing w:after="0" w:line="240" w:lineRule="auto"/>
        <w:rPr>
          <w:sz w:val="18"/>
          <w:szCs w:val="18"/>
        </w:rPr>
      </w:pPr>
      <w:r w:rsidRPr="52F164E3">
        <w:rPr>
          <w:sz w:val="18"/>
          <w:szCs w:val="18"/>
        </w:rPr>
        <w:t>Note: These numbers are subject to rounding error. </w:t>
      </w:r>
    </w:p>
    <w:p w:rsidR="002A2805" w:rsidP="0094719C" w14:paraId="661D4056" w14:textId="62CC3EA6">
      <w:pPr>
        <w:spacing w:after="0" w:line="240" w:lineRule="auto"/>
        <w:rPr>
          <w:sz w:val="18"/>
          <w:szCs w:val="18"/>
        </w:rPr>
      </w:pPr>
      <w:r w:rsidRPr="52F164E3">
        <w:rPr>
          <w:sz w:val="18"/>
          <w:szCs w:val="18"/>
        </w:rPr>
        <w:t xml:space="preserve">Note: The FAA is using two wage rates as the submission will require two employees to complete the submission. </w:t>
      </w:r>
    </w:p>
    <w:p w:rsidR="0094719C" w:rsidP="0094719C" w14:paraId="622EEC82" w14:textId="07D74FCA">
      <w:pPr>
        <w:spacing w:after="0" w:line="240" w:lineRule="auto"/>
        <w:rPr>
          <w:sz w:val="18"/>
          <w:szCs w:val="18"/>
        </w:rPr>
      </w:pPr>
      <w:r>
        <w:rPr>
          <w:sz w:val="18"/>
          <w:szCs w:val="18"/>
        </w:rPr>
        <w:t>Note: T</w:t>
      </w:r>
      <w:r w:rsidRPr="00CC2F5E">
        <w:rPr>
          <w:sz w:val="18"/>
          <w:szCs w:val="18"/>
        </w:rPr>
        <w:t xml:space="preserve">he </w:t>
      </w:r>
      <w:r>
        <w:rPr>
          <w:sz w:val="18"/>
          <w:szCs w:val="18"/>
        </w:rPr>
        <w:t>FAA</w:t>
      </w:r>
      <w:r w:rsidRPr="00CC2F5E">
        <w:rPr>
          <w:sz w:val="18"/>
          <w:szCs w:val="18"/>
        </w:rPr>
        <w:t xml:space="preserve"> is using a wage rate of $</w:t>
      </w:r>
      <w:r w:rsidR="003D6B33">
        <w:rPr>
          <w:sz w:val="18"/>
          <w:szCs w:val="18"/>
        </w:rPr>
        <w:t>59.53</w:t>
      </w:r>
      <w:r w:rsidRPr="00CC2F5E">
        <w:rPr>
          <w:sz w:val="18"/>
          <w:szCs w:val="18"/>
        </w:rPr>
        <w:t xml:space="preserve"> per hour for </w:t>
      </w:r>
      <w:r w:rsidR="00AF403D">
        <w:rPr>
          <w:sz w:val="18"/>
          <w:szCs w:val="18"/>
        </w:rPr>
        <w:t xml:space="preserve">the government program analyst that will be doing 15 hours of the 20 hours of </w:t>
      </w:r>
      <w:r w:rsidR="00C36E42">
        <w:rPr>
          <w:sz w:val="18"/>
          <w:szCs w:val="18"/>
        </w:rPr>
        <w:t>work</w:t>
      </w:r>
      <w:r w:rsidRPr="00AC6656">
        <w:rPr>
          <w:sz w:val="18"/>
          <w:szCs w:val="18"/>
        </w:rPr>
        <w:t xml:space="preserve">. </w:t>
      </w:r>
      <w:r w:rsidRPr="52F164E3" w:rsidR="00B545D3">
        <w:rPr>
          <w:sz w:val="18"/>
          <w:szCs w:val="18"/>
        </w:rPr>
        <w:t xml:space="preserve">FAA Technical Pay Band, I Band with Washington D.C. locality; effective Jan. 2022, minimum salary $90,877. The total loaded salary of $123,820 is divided by 2,080 hours to get the hourly wage.   </w:t>
      </w:r>
      <w:r w:rsidRPr="00B545D3" w:rsidR="00B545D3">
        <w:rPr>
          <w:sz w:val="18"/>
          <w:szCs w:val="18"/>
        </w:rPr>
        <w:t xml:space="preserve">     </w:t>
      </w:r>
      <w:hyperlink r:id="rId8" w:history="1">
        <w:r w:rsidRPr="00656181" w:rsidR="00B545D3">
          <w:rPr>
            <w:rStyle w:val="Hyperlink"/>
            <w:sz w:val="18"/>
            <w:szCs w:val="18"/>
          </w:rPr>
          <w:t>https://web.archive.org/web/20220402230925/https://www.faa.gov/sites/faa.gov/files/2022-02/core_salary_with_conversion.xlsx</w:t>
        </w:r>
      </w:hyperlink>
      <w:r w:rsidRPr="00B545D3" w:rsidR="00B545D3">
        <w:rPr>
          <w:sz w:val="18"/>
          <w:szCs w:val="18"/>
        </w:rPr>
        <w:t>.</w:t>
      </w:r>
    </w:p>
    <w:p w:rsidR="00B545D3" w:rsidP="00B545D3" w14:paraId="3C58DEC3" w14:textId="56846379">
      <w:pPr>
        <w:spacing w:after="0" w:line="240" w:lineRule="auto"/>
        <w:rPr>
          <w:sz w:val="18"/>
          <w:szCs w:val="18"/>
        </w:rPr>
      </w:pPr>
      <w:r>
        <w:rPr>
          <w:sz w:val="18"/>
          <w:szCs w:val="18"/>
        </w:rPr>
        <w:t>Note: T</w:t>
      </w:r>
      <w:r w:rsidRPr="00CC2F5E">
        <w:rPr>
          <w:sz w:val="18"/>
          <w:szCs w:val="18"/>
        </w:rPr>
        <w:t xml:space="preserve">he </w:t>
      </w:r>
      <w:r>
        <w:rPr>
          <w:sz w:val="18"/>
          <w:szCs w:val="18"/>
        </w:rPr>
        <w:t>FAA</w:t>
      </w:r>
      <w:r w:rsidRPr="00CC2F5E">
        <w:rPr>
          <w:sz w:val="18"/>
          <w:szCs w:val="18"/>
        </w:rPr>
        <w:t xml:space="preserve"> is using a wage rate of $</w:t>
      </w:r>
      <w:r>
        <w:rPr>
          <w:sz w:val="18"/>
          <w:szCs w:val="18"/>
        </w:rPr>
        <w:t>86.41</w:t>
      </w:r>
      <w:r w:rsidRPr="00CC2F5E">
        <w:rPr>
          <w:sz w:val="18"/>
          <w:szCs w:val="18"/>
        </w:rPr>
        <w:t xml:space="preserve"> per hour for </w:t>
      </w:r>
      <w:r>
        <w:rPr>
          <w:sz w:val="18"/>
          <w:szCs w:val="18"/>
        </w:rPr>
        <w:t xml:space="preserve">the government </w:t>
      </w:r>
      <w:r w:rsidR="00E409DA">
        <w:rPr>
          <w:sz w:val="18"/>
          <w:szCs w:val="18"/>
        </w:rPr>
        <w:t>manager</w:t>
      </w:r>
      <w:r>
        <w:rPr>
          <w:sz w:val="18"/>
          <w:szCs w:val="18"/>
        </w:rPr>
        <w:t xml:space="preserve"> that will be doing </w:t>
      </w:r>
      <w:r w:rsidR="00F8659A">
        <w:rPr>
          <w:sz w:val="18"/>
          <w:szCs w:val="18"/>
        </w:rPr>
        <w:t>5</w:t>
      </w:r>
      <w:r>
        <w:rPr>
          <w:sz w:val="18"/>
          <w:szCs w:val="18"/>
        </w:rPr>
        <w:t xml:space="preserve"> hours of the 20 hours of work</w:t>
      </w:r>
      <w:r w:rsidRPr="00AC6656">
        <w:rPr>
          <w:sz w:val="18"/>
          <w:szCs w:val="18"/>
        </w:rPr>
        <w:t xml:space="preserve">. </w:t>
      </w:r>
      <w:r w:rsidRPr="00B545D3">
        <w:rPr>
          <w:sz w:val="18"/>
          <w:szCs w:val="18"/>
        </w:rPr>
        <w:t xml:space="preserve">FAA Technical Pay Band, </w:t>
      </w:r>
      <w:r w:rsidRPr="00BD4822" w:rsidR="00BD4822">
        <w:rPr>
          <w:sz w:val="18"/>
          <w:szCs w:val="18"/>
        </w:rPr>
        <w:t>K</w:t>
      </w:r>
      <w:r w:rsidRPr="00B545D3">
        <w:rPr>
          <w:sz w:val="18"/>
          <w:szCs w:val="18"/>
        </w:rPr>
        <w:t xml:space="preserve"> Band with Washington D.C. locality; effective Jan. 2022, minimum salary $</w:t>
      </w:r>
      <w:r w:rsidRPr="00BD4822" w:rsidR="00BD4822">
        <w:rPr>
          <w:sz w:val="18"/>
          <w:szCs w:val="18"/>
        </w:rPr>
        <w:t>131,917.</w:t>
      </w:r>
      <w:r w:rsidRPr="00B545D3">
        <w:rPr>
          <w:sz w:val="18"/>
          <w:szCs w:val="18"/>
        </w:rPr>
        <w:t xml:space="preserve"> The total loaded salary of $</w:t>
      </w:r>
      <w:r w:rsidRPr="00BD4822" w:rsidR="00BD4822">
        <w:rPr>
          <w:sz w:val="18"/>
          <w:szCs w:val="18"/>
        </w:rPr>
        <w:t>179,737</w:t>
      </w:r>
      <w:r w:rsidRPr="00B545D3">
        <w:rPr>
          <w:sz w:val="18"/>
          <w:szCs w:val="18"/>
        </w:rPr>
        <w:t xml:space="preserve"> is divided by 2,080 hours to get the hourly wage.   </w:t>
      </w:r>
      <w:hyperlink r:id="rId8" w:history="1">
        <w:r w:rsidRPr="00656181" w:rsidR="0028212A">
          <w:rPr>
            <w:rStyle w:val="Hyperlink"/>
            <w:sz w:val="18"/>
            <w:szCs w:val="18"/>
          </w:rPr>
          <w:t>https://web.archive.org/web/20220402230925/https://www.faa.gov/sites/faa.gov/files/2022-02/core_salary_with_conversion.xlsx</w:t>
        </w:r>
      </w:hyperlink>
      <w:r w:rsidRPr="00BD4822" w:rsidR="00BD4822">
        <w:rPr>
          <w:sz w:val="18"/>
          <w:szCs w:val="18"/>
        </w:rPr>
        <w:t>.</w:t>
      </w:r>
    </w:p>
    <w:p w:rsidR="0028212A" w:rsidP="00B545D3" w14:paraId="711CD244" w14:textId="28132381">
      <w:pPr>
        <w:spacing w:after="0" w:line="240" w:lineRule="auto"/>
        <w:rPr>
          <w:sz w:val="18"/>
          <w:szCs w:val="18"/>
        </w:rPr>
      </w:pPr>
      <w:r w:rsidRPr="52F164E3">
        <w:rPr>
          <w:sz w:val="18"/>
          <w:szCs w:val="18"/>
        </w:rPr>
        <w:t>Note: The calculation of the yearly burden is as follows:</w:t>
      </w:r>
      <w:r w:rsidRPr="52F164E3" w:rsidR="00795D2A">
        <w:rPr>
          <w:sz w:val="18"/>
          <w:szCs w:val="18"/>
        </w:rPr>
        <w:t xml:space="preserve"> </w:t>
      </w:r>
      <w:r w:rsidRPr="52F164E3" w:rsidR="003C3E31">
        <w:rPr>
          <w:sz w:val="18"/>
          <w:szCs w:val="18"/>
        </w:rPr>
        <w:t>(</w:t>
      </w:r>
      <w:r w:rsidRPr="52F164E3" w:rsidR="004F3368">
        <w:rPr>
          <w:sz w:val="18"/>
          <w:szCs w:val="18"/>
        </w:rPr>
        <w:t>(15*</w:t>
      </w:r>
      <w:r w:rsidRPr="52F164E3" w:rsidR="00345707">
        <w:rPr>
          <w:sz w:val="18"/>
          <w:szCs w:val="18"/>
        </w:rPr>
        <w:t>59.53</w:t>
      </w:r>
      <w:r w:rsidRPr="52F164E3" w:rsidR="00D56464">
        <w:rPr>
          <w:sz w:val="18"/>
          <w:szCs w:val="18"/>
        </w:rPr>
        <w:t>) + (5*86.41</w:t>
      </w:r>
      <w:r w:rsidRPr="52F164E3" w:rsidR="00D56464">
        <w:rPr>
          <w:sz w:val="18"/>
          <w:szCs w:val="18"/>
        </w:rPr>
        <w:t>)</w:t>
      </w:r>
      <w:r w:rsidRPr="52F164E3" w:rsidR="003C3E31">
        <w:rPr>
          <w:sz w:val="18"/>
          <w:szCs w:val="18"/>
        </w:rPr>
        <w:t>)</w:t>
      </w:r>
      <w:r w:rsidRPr="52F164E3" w:rsidR="00847964">
        <w:rPr>
          <w:sz w:val="18"/>
          <w:szCs w:val="18"/>
        </w:rPr>
        <w:t>*</w:t>
      </w:r>
      <w:r w:rsidRPr="52F164E3" w:rsidR="00847964">
        <w:rPr>
          <w:sz w:val="18"/>
          <w:szCs w:val="18"/>
        </w:rPr>
        <w:t>3</w:t>
      </w:r>
      <w:r w:rsidRPr="52F164E3" w:rsidR="001C29D2">
        <w:rPr>
          <w:sz w:val="18"/>
          <w:szCs w:val="18"/>
        </w:rPr>
        <w:t>3</w:t>
      </w:r>
      <w:r w:rsidRPr="52F164E3" w:rsidR="00847964">
        <w:rPr>
          <w:sz w:val="18"/>
          <w:szCs w:val="18"/>
        </w:rPr>
        <w:t xml:space="preserve"> = </w:t>
      </w:r>
      <w:r w:rsidRPr="52F164E3" w:rsidR="00B354A5">
        <w:rPr>
          <w:sz w:val="18"/>
          <w:szCs w:val="18"/>
        </w:rPr>
        <w:t>$43,724</w:t>
      </w:r>
      <w:r w:rsidRPr="52F164E3" w:rsidR="00F8262E">
        <w:rPr>
          <w:sz w:val="18"/>
          <w:szCs w:val="18"/>
        </w:rPr>
        <w:t>.</w:t>
      </w:r>
    </w:p>
    <w:p w:rsidR="00B545D3" w:rsidP="0094719C" w14:paraId="14F5F3E0" w14:textId="77777777">
      <w:pPr>
        <w:spacing w:after="0" w:line="240" w:lineRule="auto"/>
        <w:rPr>
          <w:sz w:val="18"/>
          <w:szCs w:val="18"/>
        </w:rPr>
      </w:pPr>
    </w:p>
    <w:p w:rsidR="00491C00" w:rsidP="3249A3A0" w14:paraId="3FC7A0AD" w14:textId="77777777">
      <w:pPr>
        <w:shd w:val="clear" w:color="auto" w:fill="FFFFFF" w:themeFill="background1"/>
        <w:spacing w:after="0" w:line="240" w:lineRule="auto"/>
        <w:rPr>
          <w:rFonts w:ascii="Arial" w:eastAsia="Times New Roman" w:hAnsi="Arial" w:cs="Arial"/>
          <w:b/>
          <w:bCs/>
          <w:sz w:val="24"/>
          <w:szCs w:val="24"/>
        </w:rPr>
      </w:pPr>
    </w:p>
    <w:p w:rsidR="00491C00" w:rsidRPr="00CC2F5E" w:rsidP="3249A3A0" w14:paraId="08C900D4" w14:textId="77777777">
      <w:pPr>
        <w:shd w:val="clear" w:color="auto" w:fill="FFFFFF" w:themeFill="background1"/>
        <w:spacing w:after="0" w:line="240" w:lineRule="auto"/>
        <w:rPr>
          <w:rFonts w:ascii="Arial" w:eastAsia="Times New Roman" w:hAnsi="Arial" w:cs="Arial"/>
          <w:b/>
          <w:bCs/>
          <w:sz w:val="24"/>
          <w:szCs w:val="24"/>
        </w:rPr>
      </w:pPr>
    </w:p>
    <w:p w:rsidR="001D286C" w:rsidP="52F164E3" w14:paraId="20E2B87F" w14:textId="5420DF8A">
      <w:pPr>
        <w:shd w:val="clear" w:color="auto" w:fill="FFFFFF" w:themeFill="background1"/>
        <w:spacing w:before="100" w:beforeAutospacing="1" w:after="225"/>
        <w:contextualSpacing/>
        <w:rPr>
          <w:rFonts w:ascii="Arial" w:eastAsia="Times New Roman" w:hAnsi="Arial" w:cs="Arial"/>
          <w:b/>
          <w:bCs/>
          <w:sz w:val="24"/>
          <w:szCs w:val="24"/>
        </w:rPr>
      </w:pPr>
      <w:r w:rsidRPr="52F164E3">
        <w:rPr>
          <w:rFonts w:ascii="Arial" w:eastAsia="Times New Roman" w:hAnsi="Arial" w:cs="Arial"/>
          <w:b/>
          <w:bCs/>
          <w:sz w:val="24"/>
          <w:szCs w:val="24"/>
        </w:rPr>
        <w:t>Domestic</w:t>
      </w:r>
      <w:r w:rsidRPr="52F164E3" w:rsidR="00ED03F4">
        <w:rPr>
          <w:rFonts w:ascii="Arial" w:eastAsia="Times New Roman" w:hAnsi="Arial" w:cs="Arial"/>
          <w:b/>
          <w:bCs/>
          <w:sz w:val="24"/>
          <w:szCs w:val="24"/>
        </w:rPr>
        <w:t xml:space="preserve"> Regulated Employers</w:t>
      </w:r>
    </w:p>
    <w:p w:rsidR="00614A4C" w:rsidRPr="00CC2F5E" w:rsidP="00614A4C" w14:paraId="5BE50226" w14:textId="77777777">
      <w:pPr>
        <w:shd w:val="clear" w:color="auto" w:fill="FFFFFF"/>
        <w:spacing w:before="100" w:beforeAutospacing="1" w:after="225"/>
        <w:contextualSpacing/>
        <w:rPr>
          <w:rFonts w:ascii="Arial" w:eastAsia="Times New Roman" w:hAnsi="Arial" w:cs="Arial"/>
          <w:b/>
          <w:bCs/>
          <w:sz w:val="24"/>
          <w:szCs w:val="24"/>
        </w:rPr>
      </w:pPr>
    </w:p>
    <w:p w:rsidR="00444566" w:rsidRPr="00CC2F5E" w:rsidP="00444566" w14:paraId="66A94539" w14:textId="53E55B0C">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Promulgate Policy</w:t>
      </w:r>
    </w:p>
    <w:tbl>
      <w:tblPr>
        <w:tblW w:w="8810" w:type="dxa"/>
        <w:tblCellMar>
          <w:left w:w="0" w:type="dxa"/>
          <w:right w:w="0" w:type="dxa"/>
        </w:tblCellMar>
        <w:tblLook w:val="04A0"/>
      </w:tblPr>
      <w:tblGrid>
        <w:gridCol w:w="3410"/>
        <w:gridCol w:w="1800"/>
        <w:gridCol w:w="2025"/>
        <w:gridCol w:w="1575"/>
      </w:tblGrid>
      <w:tr w14:paraId="2B1A4EB2"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06D19A0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320F2E8D"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0B79A48D"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44566" w:rsidRPr="00CC2F5E" w:rsidP="00F7533D" w14:paraId="54AA7A15" w14:textId="77777777">
            <w:pPr>
              <w:rPr>
                <w:rFonts w:ascii="Arial" w:hAnsi="Arial" w:cs="Arial"/>
                <w:b/>
                <w:bCs/>
                <w:sz w:val="24"/>
                <w:szCs w:val="24"/>
              </w:rPr>
            </w:pPr>
            <w:r w:rsidRPr="00CC2F5E">
              <w:rPr>
                <w:rFonts w:ascii="Arial" w:hAnsi="Arial" w:cs="Arial"/>
                <w:b/>
                <w:bCs/>
                <w:sz w:val="24"/>
                <w:szCs w:val="24"/>
              </w:rPr>
              <w:t>Disclosure</w:t>
            </w:r>
          </w:p>
        </w:tc>
      </w:tr>
      <w:tr w14:paraId="7955D58F"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B49DF0D"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4BFECE23"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0936FB72" w14:textId="16664E90">
            <w:pPr>
              <w:rPr>
                <w:rFonts w:ascii="Arial" w:hAnsi="Arial" w:cs="Arial"/>
                <w:sz w:val="24"/>
                <w:szCs w:val="24"/>
              </w:rPr>
            </w:pPr>
            <w:r w:rsidRPr="00CC2F5E">
              <w:rPr>
                <w:rFonts w:ascii="Arial" w:hAnsi="Arial" w:cs="Arial"/>
                <w:sz w:val="24"/>
                <w:szCs w:val="24"/>
              </w:rPr>
              <w:t>416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1D58F904" w14:textId="77777777">
            <w:pPr>
              <w:rPr>
                <w:rFonts w:ascii="Arial" w:hAnsi="Arial" w:cs="Arial"/>
                <w:sz w:val="24"/>
                <w:szCs w:val="24"/>
              </w:rPr>
            </w:pPr>
          </w:p>
        </w:tc>
      </w:tr>
      <w:tr w14:paraId="70DE29B7"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6CEEB73F"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1CF8E619"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13A00A74" w14:textId="2C739415">
            <w:pPr>
              <w:rPr>
                <w:rFonts w:ascii="Arial" w:hAnsi="Arial" w:cs="Arial"/>
                <w:sz w:val="24"/>
                <w:szCs w:val="24"/>
              </w:rPr>
            </w:pPr>
            <w:r w:rsidRPr="00CC2F5E">
              <w:rPr>
                <w:rFonts w:ascii="Arial" w:hAnsi="Arial" w:cs="Arial"/>
                <w:sz w:val="24"/>
                <w:szCs w:val="24"/>
              </w:rPr>
              <w:t>1</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7DBDAE8C" w14:textId="77777777">
            <w:pPr>
              <w:rPr>
                <w:rFonts w:ascii="Arial" w:hAnsi="Arial" w:cs="Arial"/>
                <w:sz w:val="24"/>
                <w:szCs w:val="24"/>
              </w:rPr>
            </w:pPr>
          </w:p>
        </w:tc>
      </w:tr>
      <w:tr w14:paraId="42BEABA2"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15F3513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2803919"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7C1B46CD" w14:textId="3746A3E0">
            <w:pPr>
              <w:rPr>
                <w:rFonts w:ascii="Arial" w:hAnsi="Arial" w:cs="Arial"/>
                <w:sz w:val="24"/>
                <w:szCs w:val="24"/>
              </w:rPr>
            </w:pPr>
            <w:r w:rsidRPr="00CC2F5E">
              <w:rPr>
                <w:rFonts w:ascii="Arial" w:hAnsi="Arial" w:cs="Arial"/>
                <w:sz w:val="24"/>
                <w:szCs w:val="24"/>
              </w:rPr>
              <w:t>16.0</w:t>
            </w:r>
            <w:r w:rsidRPr="00CC2F5E" w:rsidR="00556640">
              <w:rPr>
                <w:rFonts w:ascii="Arial" w:hAnsi="Arial" w:cs="Arial"/>
                <w:sz w:val="24"/>
                <w:szCs w:val="24"/>
              </w:rPr>
              <w:t xml:space="preserve"> hours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3D7814B1" w14:textId="77777777">
            <w:pPr>
              <w:rPr>
                <w:rFonts w:ascii="Arial" w:hAnsi="Arial" w:cs="Arial"/>
                <w:sz w:val="24"/>
                <w:szCs w:val="24"/>
              </w:rPr>
            </w:pPr>
          </w:p>
        </w:tc>
      </w:tr>
      <w:tr w14:paraId="24CE7CFB"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7CB3DD2"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B0F5E35"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579DE494" w14:textId="6DE0A594">
            <w:pPr>
              <w:rPr>
                <w:rFonts w:ascii="Arial" w:hAnsi="Arial" w:cs="Arial"/>
                <w:sz w:val="24"/>
                <w:szCs w:val="24"/>
              </w:rPr>
            </w:pPr>
            <w:r w:rsidRPr="00CC2F5E">
              <w:rPr>
                <w:rFonts w:ascii="Arial" w:hAnsi="Arial" w:cs="Arial"/>
                <w:sz w:val="24"/>
                <w:szCs w:val="24"/>
              </w:rPr>
              <w:t>416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5F56ECFD" w14:textId="77777777">
            <w:pPr>
              <w:rPr>
                <w:rFonts w:ascii="Arial" w:hAnsi="Arial" w:cs="Arial"/>
                <w:sz w:val="24"/>
                <w:szCs w:val="24"/>
              </w:rPr>
            </w:pPr>
          </w:p>
        </w:tc>
      </w:tr>
      <w:tr w14:paraId="34118E3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4566" w:rsidRPr="00CC2F5E" w:rsidP="00F7533D" w14:paraId="209D5F36"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505A4CAB"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4566" w:rsidRPr="00CC2F5E" w:rsidP="00F7533D" w14:paraId="333C22D9" w14:textId="5E3D129A">
            <w:pPr>
              <w:rPr>
                <w:rFonts w:ascii="Arial" w:hAnsi="Arial" w:cs="Arial"/>
                <w:sz w:val="24"/>
                <w:szCs w:val="24"/>
              </w:rPr>
            </w:pPr>
            <w:r w:rsidRPr="00CC2F5E">
              <w:rPr>
                <w:rFonts w:ascii="Arial" w:hAnsi="Arial" w:cs="Arial"/>
                <w:sz w:val="24"/>
                <w:szCs w:val="24"/>
              </w:rPr>
              <w:t>6,656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444566" w:rsidRPr="00CC2F5E" w:rsidP="00F7533D" w14:paraId="2511B9CC" w14:textId="77777777">
            <w:pPr>
              <w:rPr>
                <w:rFonts w:ascii="Arial" w:hAnsi="Arial" w:cs="Arial"/>
                <w:sz w:val="24"/>
                <w:szCs w:val="24"/>
              </w:rPr>
            </w:pPr>
          </w:p>
        </w:tc>
      </w:tr>
    </w:tbl>
    <w:p w:rsidR="00444566" w:rsidRPr="00CC2F5E" w:rsidP="00DB47B7" w14:paraId="475B7367" w14:textId="3F91D641">
      <w:pPr>
        <w:rPr>
          <w:rFonts w:ascii="Arial" w:eastAsia="Times New Roman" w:hAnsi="Arial" w:cs="Arial"/>
          <w:sz w:val="24"/>
          <w:szCs w:val="24"/>
        </w:rPr>
      </w:pPr>
      <w:r w:rsidRPr="00CC2F5E">
        <w:rPr>
          <w:rFonts w:ascii="Arial" w:eastAsia="Times New Roman" w:hAnsi="Arial" w:cs="Arial"/>
          <w:sz w:val="24"/>
          <w:szCs w:val="24"/>
          <w:u w:val="single"/>
        </w:rPr>
        <w:t>Explanation</w:t>
      </w:r>
      <w:r w:rsidRPr="00CC2F5E">
        <w:rPr>
          <w:rFonts w:ascii="Arial" w:eastAsia="Times New Roman" w:hAnsi="Arial" w:cs="Arial"/>
          <w:sz w:val="24"/>
          <w:szCs w:val="24"/>
        </w:rPr>
        <w:t xml:space="preserve">:  </w:t>
      </w:r>
      <w:r w:rsidRPr="00CC2F5E" w:rsidR="001A6E62">
        <w:rPr>
          <w:rFonts w:ascii="Arial" w:eastAsia="Times New Roman" w:hAnsi="Arial" w:cs="Arial"/>
          <w:sz w:val="24"/>
          <w:szCs w:val="24"/>
        </w:rPr>
        <w:t>Each respondent must promulgate a policy on the misuse of alcohol and drug use in the workplace. The policy must include the elements identified under 14 CFR §§ 120.115(a</w:t>
      </w:r>
      <w:r w:rsidRPr="77FD7588" w:rsidR="00B10D79">
        <w:rPr>
          <w:rFonts w:ascii="Arial" w:eastAsia="Times New Roman" w:hAnsi="Arial" w:cs="Arial"/>
          <w:sz w:val="24"/>
          <w:szCs w:val="24"/>
        </w:rPr>
        <w:t>)(</w:t>
      </w:r>
      <w:r w:rsidRPr="00CC2F5E" w:rsidR="001A6E62">
        <w:rPr>
          <w:rFonts w:ascii="Arial" w:eastAsia="Times New Roman" w:hAnsi="Arial" w:cs="Arial"/>
          <w:sz w:val="24"/>
          <w:szCs w:val="24"/>
        </w:rPr>
        <w:t xml:space="preserve">2) and 120.223(a). The </w:t>
      </w:r>
      <w:r w:rsidRPr="00CC2F5E" w:rsidR="00891B49">
        <w:rPr>
          <w:rFonts w:ascii="Arial" w:eastAsia="Times New Roman" w:hAnsi="Arial" w:cs="Arial"/>
          <w:sz w:val="24"/>
          <w:szCs w:val="24"/>
        </w:rPr>
        <w:t>Designated Employer Representative (</w:t>
      </w:r>
      <w:r w:rsidRPr="00CC2F5E" w:rsidR="001A6E62">
        <w:rPr>
          <w:rFonts w:ascii="Arial" w:eastAsia="Times New Roman" w:hAnsi="Arial" w:cs="Arial"/>
          <w:sz w:val="24"/>
          <w:szCs w:val="24"/>
        </w:rPr>
        <w:t>DER</w:t>
      </w:r>
      <w:r w:rsidRPr="00CC2F5E" w:rsidR="00891B49">
        <w:rPr>
          <w:rFonts w:ascii="Arial" w:eastAsia="Times New Roman" w:hAnsi="Arial" w:cs="Arial"/>
          <w:sz w:val="24"/>
          <w:szCs w:val="24"/>
        </w:rPr>
        <w:t>)</w:t>
      </w:r>
      <w:r w:rsidRPr="00CC2F5E" w:rsidR="001A6E62">
        <w:rPr>
          <w:rFonts w:ascii="Arial" w:eastAsia="Times New Roman" w:hAnsi="Arial" w:cs="Arial"/>
          <w:sz w:val="24"/>
          <w:szCs w:val="24"/>
        </w:rPr>
        <w:t xml:space="preserve"> must develop the policy during the start of operations and provide written notice to each safety-sensitive employee. To calculate the number of respondents</w:t>
      </w:r>
      <w:r w:rsidRPr="00CC2F5E" w:rsidR="00DB47B7">
        <w:rPr>
          <w:rFonts w:ascii="Arial" w:eastAsia="Times New Roman" w:hAnsi="Arial" w:cs="Arial"/>
          <w:sz w:val="24"/>
          <w:szCs w:val="24"/>
        </w:rPr>
        <w:t xml:space="preserve"> that were required to promulgate a new policy</w:t>
      </w:r>
      <w:r w:rsidRPr="00CC2F5E" w:rsidR="001A6E62">
        <w:rPr>
          <w:rFonts w:ascii="Arial" w:eastAsia="Times New Roman" w:hAnsi="Arial" w:cs="Arial"/>
          <w:sz w:val="24"/>
          <w:szCs w:val="24"/>
        </w:rPr>
        <w:t xml:space="preserve">, </w:t>
      </w:r>
      <w:r w:rsidRPr="00CC2F5E" w:rsidR="001A6E62">
        <w:rPr>
          <w:rFonts w:ascii="Arial" w:hAnsi="Arial" w:cs="Arial"/>
          <w:sz w:val="24"/>
          <w:szCs w:val="24"/>
        </w:rPr>
        <w:t xml:space="preserve">the Drug Abatement Division </w:t>
      </w:r>
      <w:r w:rsidRPr="00CC2F5E" w:rsidR="004F4041">
        <w:rPr>
          <w:rFonts w:ascii="Arial" w:hAnsi="Arial" w:cs="Arial"/>
          <w:sz w:val="24"/>
          <w:szCs w:val="24"/>
        </w:rPr>
        <w:t xml:space="preserve">compared the 2018 MIS reporting with the 2019 MIS reporting to find the number of new operators. </w:t>
      </w:r>
      <w:r w:rsidRPr="00CC2F5E" w:rsidR="001A6E62">
        <w:rPr>
          <w:rFonts w:ascii="Arial" w:hAnsi="Arial" w:cs="Arial"/>
          <w:sz w:val="24"/>
          <w:szCs w:val="24"/>
        </w:rPr>
        <w:t xml:space="preserve">Based on the time it takes the DER for each </w:t>
      </w:r>
      <w:r w:rsidRPr="00CC2F5E" w:rsidR="00DB47B7">
        <w:rPr>
          <w:rFonts w:ascii="Arial" w:hAnsi="Arial" w:cs="Arial"/>
          <w:sz w:val="24"/>
          <w:szCs w:val="24"/>
        </w:rPr>
        <w:t>respondent to develop a policy, the Drug Aba</w:t>
      </w:r>
      <w:r w:rsidRPr="00CC2F5E" w:rsidR="001A6E62">
        <w:rPr>
          <w:rFonts w:ascii="Arial" w:hAnsi="Arial" w:cs="Arial"/>
          <w:sz w:val="24"/>
          <w:szCs w:val="24"/>
        </w:rPr>
        <w:t xml:space="preserve">tement Division determined it would take the DER </w:t>
      </w:r>
      <w:r w:rsidRPr="00CC2F5E" w:rsidR="00DB47B7">
        <w:rPr>
          <w:rFonts w:ascii="Arial" w:hAnsi="Arial" w:cs="Arial"/>
          <w:sz w:val="24"/>
          <w:szCs w:val="24"/>
        </w:rPr>
        <w:t>16.0</w:t>
      </w:r>
      <w:r w:rsidRPr="00CC2F5E" w:rsidR="001A6E62">
        <w:rPr>
          <w:rFonts w:ascii="Arial" w:hAnsi="Arial" w:cs="Arial"/>
          <w:sz w:val="24"/>
          <w:szCs w:val="24"/>
        </w:rPr>
        <w:t xml:space="preserve"> hours</w:t>
      </w:r>
      <w:r w:rsidRPr="00CC2F5E" w:rsidR="00AE6B34">
        <w:rPr>
          <w:rFonts w:ascii="Arial" w:eastAsia="Times New Roman" w:hAnsi="Arial" w:cs="Arial"/>
          <w:sz w:val="24"/>
          <w:szCs w:val="24"/>
        </w:rPr>
        <w:t>.</w:t>
      </w:r>
    </w:p>
    <w:p w:rsidR="00AE6B34" w:rsidRPr="00CC2F5E" w:rsidP="00C64707" w14:paraId="156610FE" w14:textId="07A68DD5">
      <w:pPr>
        <w:shd w:val="clear" w:color="auto" w:fill="FFFFFF"/>
        <w:spacing w:after="0" w:line="240" w:lineRule="auto"/>
        <w:rPr>
          <w:rFonts w:ascii="Arial" w:eastAsia="Times New Roman" w:hAnsi="Arial" w:cs="Arial"/>
          <w:sz w:val="24"/>
          <w:szCs w:val="24"/>
        </w:rPr>
      </w:pPr>
    </w:p>
    <w:p w:rsidR="00C506CB" w:rsidRPr="00CC2F5E" w:rsidP="00C506CB" w14:paraId="04C561E1" w14:textId="3494921E">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Registration (new</w:t>
      </w:r>
      <w:r w:rsidRPr="00CC2F5E" w:rsidR="00DB47B7">
        <w:rPr>
          <w:rFonts w:ascii="Arial" w:hAnsi="Arial" w:cs="Arial"/>
          <w:b/>
          <w:bCs/>
          <w:sz w:val="24"/>
          <w:szCs w:val="24"/>
        </w:rPr>
        <w:t xml:space="preserve"> or amended</w:t>
      </w:r>
      <w:r w:rsidRPr="00CC2F5E">
        <w:rPr>
          <w:rFonts w:ascii="Arial" w:hAnsi="Arial" w:cs="Arial"/>
          <w:b/>
          <w:bCs/>
          <w:sz w:val="24"/>
          <w:szCs w:val="24"/>
        </w:rPr>
        <w:t>)</w:t>
      </w:r>
    </w:p>
    <w:tbl>
      <w:tblPr>
        <w:tblW w:w="8810" w:type="dxa"/>
        <w:tblCellMar>
          <w:left w:w="0" w:type="dxa"/>
          <w:right w:w="0" w:type="dxa"/>
        </w:tblCellMar>
        <w:tblLook w:val="04A0"/>
      </w:tblPr>
      <w:tblGrid>
        <w:gridCol w:w="3410"/>
        <w:gridCol w:w="1800"/>
        <w:gridCol w:w="2025"/>
        <w:gridCol w:w="1575"/>
      </w:tblGrid>
      <w:tr w14:paraId="4CE416C1"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34895B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32A42318"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DE31E34"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CC2F5E" w:rsidP="00F7533D" w14:paraId="6D0AA836" w14:textId="77777777">
            <w:pPr>
              <w:rPr>
                <w:rFonts w:ascii="Arial" w:hAnsi="Arial" w:cs="Arial"/>
                <w:b/>
                <w:bCs/>
                <w:sz w:val="24"/>
                <w:szCs w:val="24"/>
              </w:rPr>
            </w:pPr>
            <w:r w:rsidRPr="00CC2F5E">
              <w:rPr>
                <w:rFonts w:ascii="Arial" w:hAnsi="Arial" w:cs="Arial"/>
                <w:b/>
                <w:bCs/>
                <w:sz w:val="24"/>
                <w:szCs w:val="24"/>
              </w:rPr>
              <w:t>Disclosure</w:t>
            </w:r>
          </w:p>
        </w:tc>
      </w:tr>
      <w:tr w14:paraId="5B93B17A"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549BCC2"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8DB45BA" w14:textId="67FF9741">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6F0ED5F2"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27329BE7" w14:textId="77777777">
            <w:pPr>
              <w:rPr>
                <w:rFonts w:ascii="Arial" w:hAnsi="Arial" w:cs="Arial"/>
                <w:sz w:val="24"/>
                <w:szCs w:val="24"/>
              </w:rPr>
            </w:pPr>
          </w:p>
        </w:tc>
      </w:tr>
      <w:tr w14:paraId="338B352E"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4C0C76E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15395C40" w14:textId="3A2E0178">
            <w:pPr>
              <w:rPr>
                <w:rFonts w:ascii="Arial" w:hAnsi="Arial" w:cs="Arial"/>
                <w:sz w:val="24"/>
                <w:szCs w:val="24"/>
              </w:rPr>
            </w:pPr>
            <w:r w:rsidRPr="00CC2F5E">
              <w:rPr>
                <w:rFonts w:ascii="Arial" w:hAnsi="Arial" w:cs="Arial"/>
                <w:sz w:val="24"/>
                <w:szCs w:val="24"/>
              </w:rPr>
              <w:t>1</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494B3CD"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67C2B449" w14:textId="77777777">
            <w:pPr>
              <w:rPr>
                <w:rFonts w:ascii="Arial" w:hAnsi="Arial" w:cs="Arial"/>
                <w:sz w:val="24"/>
                <w:szCs w:val="24"/>
              </w:rPr>
            </w:pPr>
          </w:p>
        </w:tc>
      </w:tr>
      <w:tr w14:paraId="662338A9"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E83E55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DF3A3A" w14:paraId="25018329" w14:textId="100473BC">
            <w:pPr>
              <w:rPr>
                <w:rFonts w:ascii="Arial" w:hAnsi="Arial" w:cs="Arial"/>
                <w:sz w:val="24"/>
                <w:szCs w:val="24"/>
              </w:rPr>
            </w:pPr>
            <w:r w:rsidRPr="00CC2F5E">
              <w:rPr>
                <w:rFonts w:ascii="Arial" w:hAnsi="Arial" w:cs="Arial"/>
                <w:sz w:val="24"/>
                <w:szCs w:val="24"/>
              </w:rPr>
              <w:t>1.00</w:t>
            </w:r>
            <w:r w:rsidRPr="00CC2F5E" w:rsidR="00717E62">
              <w:rPr>
                <w:rFonts w:ascii="Arial" w:hAnsi="Arial" w:cs="Arial"/>
                <w:sz w:val="24"/>
                <w:szCs w:val="24"/>
              </w:rPr>
              <w:t xml:space="preserve"> hour</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61185D9"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2948BA63" w14:textId="77777777">
            <w:pPr>
              <w:rPr>
                <w:rFonts w:ascii="Arial" w:hAnsi="Arial" w:cs="Arial"/>
                <w:sz w:val="24"/>
                <w:szCs w:val="24"/>
              </w:rPr>
            </w:pPr>
          </w:p>
        </w:tc>
      </w:tr>
      <w:tr w14:paraId="45E1B00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0419D4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203BD6F5" w14:textId="535A7560">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2B23BF6"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AB326BA" w14:textId="77777777">
            <w:pPr>
              <w:rPr>
                <w:rFonts w:ascii="Arial" w:hAnsi="Arial" w:cs="Arial"/>
                <w:sz w:val="24"/>
                <w:szCs w:val="24"/>
              </w:rPr>
            </w:pPr>
          </w:p>
        </w:tc>
      </w:tr>
      <w:tr w14:paraId="3017EBD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7E2A92CB"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24E73ED" w14:textId="5055B8C5">
            <w:pPr>
              <w:rPr>
                <w:rFonts w:ascii="Arial" w:hAnsi="Arial" w:cs="Arial"/>
                <w:sz w:val="24"/>
                <w:szCs w:val="24"/>
              </w:rPr>
            </w:pPr>
            <w:r w:rsidRPr="00CC2F5E">
              <w:rPr>
                <w:rFonts w:ascii="Arial" w:hAnsi="Arial" w:cs="Arial"/>
                <w:sz w:val="24"/>
                <w:szCs w:val="24"/>
              </w:rPr>
              <w:t>904</w:t>
            </w: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6C22071" w14:textId="77777777">
            <w:pPr>
              <w:rPr>
                <w:rFonts w:ascii="Arial" w:hAnsi="Arial" w:cs="Arial"/>
                <w:sz w:val="24"/>
                <w:szCs w:val="24"/>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063649E" w14:textId="77777777">
            <w:pPr>
              <w:rPr>
                <w:rFonts w:ascii="Arial" w:hAnsi="Arial" w:cs="Arial"/>
                <w:sz w:val="24"/>
                <w:szCs w:val="24"/>
              </w:rPr>
            </w:pPr>
          </w:p>
        </w:tc>
      </w:tr>
    </w:tbl>
    <w:p w:rsidR="00115B29" w:rsidRPr="00CC2F5E" w:rsidP="00115B29" w14:paraId="3D77DB8A" w14:textId="47D3942F">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DB47B7">
        <w:rPr>
          <w:rFonts w:ascii="Arial" w:hAnsi="Arial" w:cs="Arial"/>
          <w:sz w:val="24"/>
          <w:szCs w:val="24"/>
        </w:rPr>
        <w:t xml:space="preserve">Each respondent that conducts testing must register the Drug and Alcohol Testing Program and update the information as changes occur. To calculate the number of respondents, the Drug Abatement Division used the number of new and amended registrations processed during </w:t>
      </w:r>
      <w:r w:rsidRPr="52F164E3" w:rsidR="00654D8E">
        <w:rPr>
          <w:rFonts w:ascii="Arial" w:hAnsi="Arial" w:cs="Arial"/>
          <w:sz w:val="24"/>
          <w:szCs w:val="24"/>
        </w:rPr>
        <w:t>the per</w:t>
      </w:r>
      <w:r w:rsidRPr="52F164E3">
        <w:rPr>
          <w:rFonts w:ascii="Arial" w:hAnsi="Arial" w:cs="Arial"/>
          <w:sz w:val="24"/>
          <w:szCs w:val="24"/>
        </w:rPr>
        <w:t>iod of March 31, 2019</w:t>
      </w:r>
      <w:r w:rsidRPr="52F164E3" w:rsidR="00E1604C">
        <w:rPr>
          <w:rFonts w:ascii="Arial" w:hAnsi="Arial" w:cs="Arial"/>
          <w:sz w:val="24"/>
          <w:szCs w:val="24"/>
        </w:rPr>
        <w:t>,</w:t>
      </w:r>
      <w:r w:rsidRPr="52F164E3">
        <w:rPr>
          <w:rFonts w:ascii="Arial" w:hAnsi="Arial" w:cs="Arial"/>
          <w:sz w:val="24"/>
          <w:szCs w:val="24"/>
        </w:rPr>
        <w:t xml:space="preserve"> through March 31, 2020.  Based on the time it takes a DER </w:t>
      </w:r>
      <w:r w:rsidRPr="52F164E3" w:rsidR="00DB47B7">
        <w:rPr>
          <w:rFonts w:ascii="Arial" w:hAnsi="Arial" w:cs="Arial"/>
          <w:sz w:val="24"/>
          <w:szCs w:val="24"/>
        </w:rPr>
        <w:t xml:space="preserve">for each respondent </w:t>
      </w:r>
      <w:r w:rsidRPr="52F164E3">
        <w:rPr>
          <w:rFonts w:ascii="Arial" w:hAnsi="Arial" w:cs="Arial"/>
          <w:sz w:val="24"/>
          <w:szCs w:val="24"/>
        </w:rPr>
        <w:t xml:space="preserve">to </w:t>
      </w:r>
      <w:r w:rsidRPr="52F164E3" w:rsidR="00654D8E">
        <w:rPr>
          <w:rFonts w:ascii="Arial" w:hAnsi="Arial" w:cs="Arial"/>
          <w:sz w:val="24"/>
          <w:szCs w:val="24"/>
        </w:rPr>
        <w:t xml:space="preserve">prepare the information and notify the Drug Abatement Division, it was estimated it would take </w:t>
      </w:r>
      <w:r w:rsidRPr="52F164E3" w:rsidR="00DB47B7">
        <w:rPr>
          <w:rFonts w:ascii="Arial" w:hAnsi="Arial" w:cs="Arial"/>
          <w:sz w:val="24"/>
          <w:szCs w:val="24"/>
        </w:rPr>
        <w:t>the</w:t>
      </w:r>
      <w:r w:rsidRPr="52F164E3" w:rsidR="00654D8E">
        <w:rPr>
          <w:rFonts w:ascii="Arial" w:hAnsi="Arial" w:cs="Arial"/>
          <w:sz w:val="24"/>
          <w:szCs w:val="24"/>
        </w:rPr>
        <w:t xml:space="preserve"> DER 1.0 hour</w:t>
      </w:r>
      <w:r w:rsidRPr="52F164E3" w:rsidR="00970E7D">
        <w:rPr>
          <w:rFonts w:ascii="Arial" w:hAnsi="Arial" w:cs="Arial"/>
          <w:sz w:val="24"/>
          <w:szCs w:val="24"/>
        </w:rPr>
        <w:t>.</w:t>
      </w:r>
    </w:p>
    <w:p w:rsidR="00C506CB" w:rsidRPr="00CC2F5E" w:rsidP="00C64707" w14:paraId="1C555894" w14:textId="1A671189">
      <w:pPr>
        <w:shd w:val="clear" w:color="auto" w:fill="FFFFFF"/>
        <w:spacing w:after="0" w:line="240" w:lineRule="auto"/>
        <w:rPr>
          <w:rFonts w:ascii="Arial" w:eastAsia="Times New Roman" w:hAnsi="Arial" w:cs="Arial"/>
          <w:sz w:val="24"/>
          <w:szCs w:val="24"/>
        </w:rPr>
      </w:pPr>
    </w:p>
    <w:p w:rsidR="00C506CB" w:rsidRPr="00CC2F5E" w:rsidP="00C506CB" w14:paraId="01D4093D" w14:textId="6E3E6AEB">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Supervisory Drug an</w:t>
      </w:r>
      <w:r w:rsidRPr="00CC2F5E" w:rsidR="00CA30AA">
        <w:rPr>
          <w:rFonts w:ascii="Arial" w:hAnsi="Arial" w:cs="Arial"/>
          <w:b/>
          <w:bCs/>
          <w:sz w:val="24"/>
          <w:szCs w:val="24"/>
        </w:rPr>
        <w:t>d Alcohol Training Documentation</w:t>
      </w:r>
    </w:p>
    <w:tbl>
      <w:tblPr>
        <w:tblW w:w="8810" w:type="dxa"/>
        <w:tblCellMar>
          <w:left w:w="0" w:type="dxa"/>
          <w:right w:w="0" w:type="dxa"/>
        </w:tblCellMar>
        <w:tblLook w:val="04A0"/>
      </w:tblPr>
      <w:tblGrid>
        <w:gridCol w:w="3410"/>
        <w:gridCol w:w="1800"/>
        <w:gridCol w:w="2010"/>
        <w:gridCol w:w="1590"/>
      </w:tblGrid>
      <w:tr w14:paraId="103C0026"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3E731BD0"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0FECC4F"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9F0EA10" w14:textId="77777777">
            <w:pPr>
              <w:rPr>
                <w:rFonts w:ascii="Arial" w:hAnsi="Arial" w:cs="Arial"/>
                <w:b/>
                <w:bCs/>
                <w:sz w:val="24"/>
                <w:szCs w:val="24"/>
              </w:rPr>
            </w:pPr>
            <w:r w:rsidRPr="00CC2F5E">
              <w:rPr>
                <w:rFonts w:ascii="Arial" w:hAnsi="Arial" w:cs="Arial"/>
                <w:b/>
                <w:bCs/>
                <w:sz w:val="24"/>
                <w:szCs w:val="24"/>
              </w:rPr>
              <w:t>Recordkeeping</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6CB" w:rsidRPr="00CC2F5E" w:rsidP="00F7533D" w14:paraId="1A5028DA" w14:textId="77777777">
            <w:pPr>
              <w:rPr>
                <w:rFonts w:ascii="Arial" w:hAnsi="Arial" w:cs="Arial"/>
                <w:b/>
                <w:bCs/>
                <w:sz w:val="24"/>
                <w:szCs w:val="24"/>
              </w:rPr>
            </w:pPr>
            <w:r w:rsidRPr="00CC2F5E">
              <w:rPr>
                <w:rFonts w:ascii="Arial" w:hAnsi="Arial" w:cs="Arial"/>
                <w:b/>
                <w:bCs/>
                <w:sz w:val="24"/>
                <w:szCs w:val="24"/>
              </w:rPr>
              <w:t>Disclosure</w:t>
            </w:r>
          </w:p>
        </w:tc>
      </w:tr>
      <w:tr w14:paraId="7EEFAE6D"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68DE7A2F"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A0248BF"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4ADA1E7" w14:textId="039E2FB1">
            <w:pPr>
              <w:rPr>
                <w:rFonts w:ascii="Arial" w:hAnsi="Arial" w:cs="Arial"/>
                <w:sz w:val="24"/>
                <w:szCs w:val="24"/>
              </w:rPr>
            </w:pPr>
            <w:r w:rsidRPr="00CC2F5E">
              <w:rPr>
                <w:rFonts w:ascii="Arial" w:hAnsi="Arial" w:cs="Arial"/>
                <w:sz w:val="24"/>
                <w:szCs w:val="24"/>
              </w:rPr>
              <w:t>6,70</w:t>
            </w:r>
            <w:r w:rsidRPr="00CC2F5E" w:rsidR="00FA4B94">
              <w:rPr>
                <w:rFonts w:ascii="Arial" w:hAnsi="Arial" w:cs="Arial"/>
                <w:sz w:val="24"/>
                <w:szCs w:val="24"/>
              </w:rPr>
              <w:t>6</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1428DE95" w14:textId="77777777">
            <w:pPr>
              <w:rPr>
                <w:rFonts w:ascii="Arial" w:hAnsi="Arial" w:cs="Arial"/>
                <w:sz w:val="24"/>
                <w:szCs w:val="24"/>
              </w:rPr>
            </w:pPr>
          </w:p>
        </w:tc>
      </w:tr>
      <w:tr w14:paraId="5EC8B1AC"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4C03838F"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3DDAD772"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F8809BB" w14:textId="6EA877F3">
            <w:pPr>
              <w:rPr>
                <w:rFonts w:ascii="Arial" w:hAnsi="Arial" w:cs="Arial"/>
                <w:sz w:val="24"/>
                <w:szCs w:val="24"/>
              </w:rPr>
            </w:pPr>
            <w:r w:rsidRPr="00CC2F5E">
              <w:rPr>
                <w:rFonts w:ascii="Arial" w:hAnsi="Arial" w:cs="Arial"/>
                <w:sz w:val="24"/>
                <w:szCs w:val="24"/>
              </w:rPr>
              <w:t>1</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0EA1230" w14:textId="77777777">
            <w:pPr>
              <w:rPr>
                <w:rFonts w:ascii="Arial" w:hAnsi="Arial" w:cs="Arial"/>
                <w:sz w:val="24"/>
                <w:szCs w:val="24"/>
              </w:rPr>
            </w:pPr>
          </w:p>
        </w:tc>
      </w:tr>
      <w:tr w14:paraId="24970804"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455059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CC4B0EC"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0C42E9F" w14:textId="0E4937A6">
            <w:pPr>
              <w:rPr>
                <w:rFonts w:ascii="Arial" w:hAnsi="Arial" w:cs="Arial"/>
                <w:sz w:val="24"/>
                <w:szCs w:val="24"/>
              </w:rPr>
            </w:pPr>
            <w:r w:rsidRPr="00CC2F5E">
              <w:rPr>
                <w:rFonts w:ascii="Arial" w:hAnsi="Arial" w:cs="Arial"/>
                <w:sz w:val="24"/>
                <w:szCs w:val="24"/>
              </w:rPr>
              <w:t>0.25</w:t>
            </w:r>
            <w:r w:rsidRPr="00CC2F5E" w:rsidR="00717E62">
              <w:rPr>
                <w:rFonts w:ascii="Arial" w:hAnsi="Arial" w:cs="Arial"/>
                <w:sz w:val="24"/>
                <w:szCs w:val="24"/>
              </w:rPr>
              <w:t xml:space="preserve"> hours</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013D37EC" w14:textId="77777777">
            <w:pPr>
              <w:rPr>
                <w:rFonts w:ascii="Arial" w:hAnsi="Arial" w:cs="Arial"/>
                <w:sz w:val="24"/>
                <w:szCs w:val="24"/>
              </w:rPr>
            </w:pPr>
          </w:p>
        </w:tc>
      </w:tr>
      <w:tr w14:paraId="2449082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511B580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210CFC8B"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0A412330" w14:textId="66984FC6">
            <w:pPr>
              <w:rPr>
                <w:rFonts w:ascii="Arial" w:hAnsi="Arial" w:cs="Arial"/>
                <w:sz w:val="24"/>
                <w:szCs w:val="24"/>
              </w:rPr>
            </w:pPr>
            <w:r w:rsidRPr="00CC2F5E">
              <w:rPr>
                <w:rFonts w:ascii="Arial" w:hAnsi="Arial" w:cs="Arial"/>
                <w:sz w:val="24"/>
                <w:szCs w:val="24"/>
              </w:rPr>
              <w:t>6,70</w:t>
            </w:r>
            <w:r w:rsidRPr="00CC2F5E" w:rsidR="00FA4B94">
              <w:rPr>
                <w:rFonts w:ascii="Arial" w:hAnsi="Arial" w:cs="Arial"/>
                <w:sz w:val="24"/>
                <w:szCs w:val="24"/>
              </w:rPr>
              <w:t>6</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FEF8EDF" w14:textId="77777777">
            <w:pPr>
              <w:rPr>
                <w:rFonts w:ascii="Arial" w:hAnsi="Arial" w:cs="Arial"/>
                <w:sz w:val="24"/>
                <w:szCs w:val="24"/>
              </w:rPr>
            </w:pPr>
          </w:p>
        </w:tc>
      </w:tr>
      <w:tr w14:paraId="295EC739"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506CB" w:rsidRPr="00CC2F5E" w:rsidP="00F7533D" w14:paraId="20CBC0A1"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43A993E4" w14:textId="77777777">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506CB" w:rsidRPr="00CC2F5E" w:rsidP="00F7533D" w14:paraId="5B9B5C88" w14:textId="7C393ACA">
            <w:pPr>
              <w:rPr>
                <w:rFonts w:ascii="Arial" w:hAnsi="Arial" w:cs="Arial"/>
                <w:sz w:val="24"/>
                <w:szCs w:val="24"/>
              </w:rPr>
            </w:pPr>
            <w:r w:rsidRPr="00CC2F5E">
              <w:rPr>
                <w:rFonts w:ascii="Arial" w:hAnsi="Arial" w:cs="Arial"/>
                <w:sz w:val="24"/>
                <w:szCs w:val="24"/>
              </w:rPr>
              <w:t>1,67</w:t>
            </w:r>
            <w:r w:rsidRPr="00CC2F5E" w:rsidR="00FA4B94">
              <w:rPr>
                <w:rFonts w:ascii="Arial" w:hAnsi="Arial" w:cs="Arial"/>
                <w:sz w:val="24"/>
                <w:szCs w:val="24"/>
              </w:rPr>
              <w:t>7</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506CB" w:rsidRPr="00CC2F5E" w:rsidP="00F7533D" w14:paraId="7239AAEA" w14:textId="77777777">
            <w:pPr>
              <w:rPr>
                <w:rFonts w:ascii="Arial" w:hAnsi="Arial" w:cs="Arial"/>
                <w:sz w:val="24"/>
                <w:szCs w:val="24"/>
              </w:rPr>
            </w:pPr>
          </w:p>
        </w:tc>
      </w:tr>
    </w:tbl>
    <w:p w:rsidR="00115B29" w:rsidRPr="00CC2F5E" w:rsidP="00115B29" w14:paraId="7A957D03" w14:textId="237C962A">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w:t>
      </w:r>
      <w:r w:rsidRPr="52F164E3" w:rsidR="00AE6B34">
        <w:rPr>
          <w:rFonts w:ascii="Arial" w:hAnsi="Arial" w:cs="Arial"/>
          <w:sz w:val="24"/>
          <w:szCs w:val="24"/>
        </w:rPr>
        <w:t xml:space="preserve">  Each </w:t>
      </w:r>
      <w:r w:rsidRPr="52F164E3" w:rsidR="00892C74">
        <w:rPr>
          <w:rFonts w:ascii="Arial" w:hAnsi="Arial" w:cs="Arial"/>
          <w:sz w:val="24"/>
          <w:szCs w:val="24"/>
        </w:rPr>
        <w:t>respondent</w:t>
      </w:r>
      <w:r w:rsidRPr="52F164E3" w:rsidR="00AE6B34">
        <w:rPr>
          <w:rFonts w:ascii="Arial" w:hAnsi="Arial" w:cs="Arial"/>
          <w:sz w:val="24"/>
          <w:szCs w:val="24"/>
        </w:rPr>
        <w:t xml:space="preserve"> must conduct initial supervisory training for drug and alcohol, and recurrent supervisor</w:t>
      </w:r>
      <w:r w:rsidRPr="52F164E3" w:rsidR="00556640">
        <w:rPr>
          <w:rFonts w:ascii="Arial" w:hAnsi="Arial" w:cs="Arial"/>
          <w:sz w:val="24"/>
          <w:szCs w:val="24"/>
        </w:rPr>
        <w:t>y</w:t>
      </w:r>
      <w:r w:rsidRPr="52F164E3" w:rsidR="00AE6B34">
        <w:rPr>
          <w:rFonts w:ascii="Arial" w:hAnsi="Arial" w:cs="Arial"/>
          <w:sz w:val="24"/>
          <w:szCs w:val="24"/>
        </w:rPr>
        <w:t xml:space="preserve"> training for drug testing.  </w:t>
      </w:r>
      <w:r w:rsidRPr="52F164E3" w:rsidR="00892C74">
        <w:rPr>
          <w:rFonts w:ascii="Arial" w:hAnsi="Arial" w:cs="Arial"/>
          <w:sz w:val="24"/>
          <w:szCs w:val="24"/>
        </w:rPr>
        <w:t xml:space="preserve">The respondent must document </w:t>
      </w:r>
      <w:r w:rsidRPr="52F164E3" w:rsidR="00E06C95">
        <w:rPr>
          <w:rFonts w:ascii="Arial" w:hAnsi="Arial" w:cs="Arial"/>
          <w:sz w:val="24"/>
          <w:szCs w:val="24"/>
        </w:rPr>
        <w:t xml:space="preserve">training provided to supervisors </w:t>
      </w:r>
      <w:r w:rsidRPr="52F164E3" w:rsidR="00892C74">
        <w:rPr>
          <w:rFonts w:ascii="Arial" w:hAnsi="Arial" w:cs="Arial"/>
          <w:sz w:val="24"/>
          <w:szCs w:val="24"/>
        </w:rPr>
        <w:t xml:space="preserve">and maintain the information for a period of </w:t>
      </w:r>
      <w:r w:rsidRPr="52F164E3" w:rsidR="00E06C95">
        <w:rPr>
          <w:rFonts w:ascii="Arial" w:hAnsi="Arial" w:cs="Arial"/>
          <w:sz w:val="24"/>
          <w:szCs w:val="24"/>
        </w:rPr>
        <w:t xml:space="preserve">2 years. To calculate the </w:t>
      </w:r>
      <w:r w:rsidRPr="52F164E3" w:rsidR="00892C74">
        <w:rPr>
          <w:rFonts w:ascii="Arial" w:hAnsi="Arial" w:cs="Arial"/>
          <w:sz w:val="24"/>
          <w:szCs w:val="24"/>
        </w:rPr>
        <w:t xml:space="preserve">number of respondents, </w:t>
      </w:r>
      <w:r w:rsidRPr="52F164E3" w:rsidR="00E06C95">
        <w:rPr>
          <w:rFonts w:ascii="Arial" w:hAnsi="Arial" w:cs="Arial"/>
          <w:sz w:val="24"/>
          <w:szCs w:val="24"/>
        </w:rPr>
        <w:t xml:space="preserve">the Drug Abatement Division </w:t>
      </w:r>
      <w:r w:rsidRPr="52F164E3">
        <w:rPr>
          <w:rFonts w:ascii="Arial" w:hAnsi="Arial" w:cs="Arial"/>
          <w:sz w:val="24"/>
          <w:szCs w:val="24"/>
        </w:rPr>
        <w:t xml:space="preserve">used the number of </w:t>
      </w:r>
      <w:r w:rsidRPr="52F164E3" w:rsidR="00E3095E">
        <w:rPr>
          <w:rFonts w:ascii="Arial" w:hAnsi="Arial" w:cs="Arial"/>
          <w:sz w:val="24"/>
          <w:szCs w:val="24"/>
        </w:rPr>
        <w:t xml:space="preserve">active </w:t>
      </w:r>
      <w:r w:rsidRPr="52F164E3" w:rsidR="00892C74">
        <w:rPr>
          <w:rFonts w:ascii="Arial" w:hAnsi="Arial" w:cs="Arial"/>
          <w:sz w:val="24"/>
          <w:szCs w:val="24"/>
        </w:rPr>
        <w:t xml:space="preserve">programs </w:t>
      </w:r>
      <w:r w:rsidRPr="52F164E3" w:rsidR="00E3095E">
        <w:rPr>
          <w:rFonts w:ascii="Arial" w:hAnsi="Arial" w:cs="Arial"/>
          <w:sz w:val="24"/>
          <w:szCs w:val="24"/>
        </w:rPr>
        <w:t>between March 31, 2019</w:t>
      </w:r>
      <w:r w:rsidRPr="52F164E3" w:rsidR="00300A57">
        <w:rPr>
          <w:rFonts w:ascii="Arial" w:hAnsi="Arial" w:cs="Arial"/>
          <w:sz w:val="24"/>
          <w:szCs w:val="24"/>
        </w:rPr>
        <w:t>,</w:t>
      </w:r>
      <w:r w:rsidRPr="52F164E3" w:rsidR="00E3095E">
        <w:rPr>
          <w:rFonts w:ascii="Arial" w:hAnsi="Arial" w:cs="Arial"/>
          <w:sz w:val="24"/>
          <w:szCs w:val="24"/>
        </w:rPr>
        <w:t xml:space="preserve"> </w:t>
      </w:r>
      <w:r w:rsidRPr="52F164E3" w:rsidR="00A84C14">
        <w:rPr>
          <w:rFonts w:ascii="Arial" w:hAnsi="Arial" w:cs="Arial"/>
          <w:sz w:val="24"/>
          <w:szCs w:val="24"/>
        </w:rPr>
        <w:t>and</w:t>
      </w:r>
      <w:r w:rsidRPr="52F164E3" w:rsidR="00E3095E">
        <w:rPr>
          <w:rFonts w:ascii="Arial" w:hAnsi="Arial" w:cs="Arial"/>
          <w:sz w:val="24"/>
          <w:szCs w:val="24"/>
        </w:rPr>
        <w:t xml:space="preserve"> March 31, 2020</w:t>
      </w:r>
      <w:r w:rsidRPr="52F164E3">
        <w:rPr>
          <w:rFonts w:ascii="Arial" w:hAnsi="Arial" w:cs="Arial"/>
          <w:sz w:val="24"/>
          <w:szCs w:val="24"/>
        </w:rPr>
        <w:t xml:space="preserve">.  Based </w:t>
      </w:r>
      <w:r w:rsidRPr="52F164E3" w:rsidR="00803FA2">
        <w:rPr>
          <w:rFonts w:ascii="Arial" w:hAnsi="Arial" w:cs="Arial"/>
          <w:sz w:val="24"/>
          <w:szCs w:val="24"/>
        </w:rPr>
        <w:t xml:space="preserve">on the </w:t>
      </w:r>
      <w:r w:rsidRPr="52F164E3" w:rsidR="00725A6A">
        <w:rPr>
          <w:rFonts w:ascii="Arial" w:hAnsi="Arial" w:cs="Arial"/>
          <w:sz w:val="24"/>
          <w:szCs w:val="24"/>
        </w:rPr>
        <w:t>time it takes t</w:t>
      </w:r>
      <w:r w:rsidRPr="52F164E3" w:rsidR="00E3095E">
        <w:rPr>
          <w:rFonts w:ascii="Arial" w:hAnsi="Arial" w:cs="Arial"/>
          <w:sz w:val="24"/>
          <w:szCs w:val="24"/>
        </w:rPr>
        <w:t xml:space="preserve">he DER for each </w:t>
      </w:r>
      <w:r w:rsidRPr="52F164E3" w:rsidR="00892C74">
        <w:rPr>
          <w:rFonts w:ascii="Arial" w:hAnsi="Arial" w:cs="Arial"/>
          <w:sz w:val="24"/>
          <w:szCs w:val="24"/>
        </w:rPr>
        <w:t>respondent</w:t>
      </w:r>
      <w:r w:rsidRPr="52F164E3" w:rsidR="00E3095E">
        <w:rPr>
          <w:rFonts w:ascii="Arial" w:hAnsi="Arial" w:cs="Arial"/>
          <w:sz w:val="24"/>
          <w:szCs w:val="24"/>
        </w:rPr>
        <w:t xml:space="preserve"> t</w:t>
      </w:r>
      <w:r w:rsidRPr="52F164E3" w:rsidR="00725A6A">
        <w:rPr>
          <w:rFonts w:ascii="Arial" w:hAnsi="Arial" w:cs="Arial"/>
          <w:sz w:val="24"/>
          <w:szCs w:val="24"/>
        </w:rPr>
        <w:t xml:space="preserve">o collect the </w:t>
      </w:r>
      <w:r w:rsidRPr="52F164E3" w:rsidR="00803FA2">
        <w:rPr>
          <w:rFonts w:ascii="Arial" w:hAnsi="Arial" w:cs="Arial"/>
          <w:sz w:val="24"/>
          <w:szCs w:val="24"/>
        </w:rPr>
        <w:t>information</w:t>
      </w:r>
      <w:r w:rsidRPr="52F164E3" w:rsidR="00E3095E">
        <w:rPr>
          <w:rFonts w:ascii="Arial" w:hAnsi="Arial" w:cs="Arial"/>
          <w:sz w:val="24"/>
          <w:szCs w:val="24"/>
        </w:rPr>
        <w:t xml:space="preserve"> </w:t>
      </w:r>
      <w:r w:rsidRPr="52F164E3" w:rsidR="007A5925">
        <w:rPr>
          <w:rFonts w:ascii="Arial" w:hAnsi="Arial" w:cs="Arial"/>
          <w:sz w:val="24"/>
          <w:szCs w:val="24"/>
        </w:rPr>
        <w:t>and maintain it</w:t>
      </w:r>
      <w:r w:rsidRPr="52F164E3" w:rsidR="00E3095E">
        <w:rPr>
          <w:rFonts w:ascii="Arial" w:hAnsi="Arial" w:cs="Arial"/>
          <w:sz w:val="24"/>
          <w:szCs w:val="24"/>
        </w:rPr>
        <w:t xml:space="preserve">, </w:t>
      </w:r>
      <w:r w:rsidRPr="52F164E3" w:rsidR="007A5925">
        <w:rPr>
          <w:rFonts w:ascii="Arial" w:hAnsi="Arial" w:cs="Arial"/>
          <w:sz w:val="24"/>
          <w:szCs w:val="24"/>
        </w:rPr>
        <w:t xml:space="preserve">the Drug Abatement Division determined it would take the </w:t>
      </w:r>
      <w:r w:rsidRPr="52F164E3" w:rsidR="00E3095E">
        <w:rPr>
          <w:rFonts w:ascii="Arial" w:hAnsi="Arial" w:cs="Arial"/>
          <w:sz w:val="24"/>
          <w:szCs w:val="24"/>
        </w:rPr>
        <w:t>DER</w:t>
      </w:r>
      <w:r w:rsidRPr="52F164E3" w:rsidR="007A5925">
        <w:rPr>
          <w:rFonts w:ascii="Arial" w:hAnsi="Arial" w:cs="Arial"/>
          <w:sz w:val="24"/>
          <w:szCs w:val="24"/>
        </w:rPr>
        <w:t xml:space="preserve"> </w:t>
      </w:r>
      <w:r w:rsidRPr="52F164E3" w:rsidR="00256A29">
        <w:rPr>
          <w:rFonts w:ascii="Arial" w:hAnsi="Arial" w:cs="Arial"/>
          <w:sz w:val="24"/>
          <w:szCs w:val="24"/>
        </w:rPr>
        <w:t xml:space="preserve">0.25 </w:t>
      </w:r>
      <w:r w:rsidRPr="52F164E3">
        <w:rPr>
          <w:rFonts w:ascii="Arial" w:hAnsi="Arial" w:cs="Arial"/>
          <w:sz w:val="24"/>
          <w:szCs w:val="24"/>
        </w:rPr>
        <w:t>hour</w:t>
      </w:r>
      <w:r w:rsidRPr="52F164E3" w:rsidR="006F3D50">
        <w:rPr>
          <w:rFonts w:ascii="Arial" w:hAnsi="Arial" w:cs="Arial"/>
          <w:sz w:val="24"/>
          <w:szCs w:val="24"/>
        </w:rPr>
        <w:t>s</w:t>
      </w:r>
      <w:r w:rsidRPr="52F164E3">
        <w:rPr>
          <w:rFonts w:ascii="Arial" w:hAnsi="Arial" w:cs="Arial"/>
          <w:sz w:val="24"/>
          <w:szCs w:val="24"/>
        </w:rPr>
        <w:t xml:space="preserve"> of t</w:t>
      </w:r>
      <w:r w:rsidRPr="52F164E3" w:rsidR="00556640">
        <w:rPr>
          <w:rFonts w:ascii="Arial" w:hAnsi="Arial" w:cs="Arial"/>
          <w:sz w:val="24"/>
          <w:szCs w:val="24"/>
        </w:rPr>
        <w:t>ime.</w:t>
      </w:r>
    </w:p>
    <w:p w:rsidR="006A4579" w:rsidRPr="00CC2F5E" w:rsidP="00C64707" w14:paraId="450B001D" w14:textId="022792E2">
      <w:pPr>
        <w:shd w:val="clear" w:color="auto" w:fill="FFFFFF"/>
        <w:spacing w:after="0" w:line="240" w:lineRule="auto"/>
        <w:rPr>
          <w:rFonts w:ascii="Arial" w:eastAsia="Times New Roman" w:hAnsi="Arial" w:cs="Arial"/>
          <w:sz w:val="24"/>
          <w:szCs w:val="24"/>
        </w:rPr>
      </w:pPr>
    </w:p>
    <w:p w:rsidR="007C7FAA" w:rsidRPr="00CC2F5E" w:rsidP="007C7FAA" w14:paraId="754CF2DF" w14:textId="7A9A7099">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Employee Training Documentation</w:t>
      </w:r>
    </w:p>
    <w:tbl>
      <w:tblPr>
        <w:tblW w:w="8810" w:type="dxa"/>
        <w:tblCellMar>
          <w:left w:w="0" w:type="dxa"/>
          <w:right w:w="0" w:type="dxa"/>
        </w:tblCellMar>
        <w:tblLook w:val="04A0"/>
      </w:tblPr>
      <w:tblGrid>
        <w:gridCol w:w="3410"/>
        <w:gridCol w:w="1800"/>
        <w:gridCol w:w="2055"/>
        <w:gridCol w:w="1545"/>
      </w:tblGrid>
      <w:tr w14:paraId="31D7E74D"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240E595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558609B0"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122E8FCA"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CC2F5E" w:rsidP="00F7533D" w14:paraId="1F4EEC9C" w14:textId="77777777">
            <w:pPr>
              <w:rPr>
                <w:rFonts w:ascii="Arial" w:hAnsi="Arial" w:cs="Arial"/>
                <w:b/>
                <w:bCs/>
                <w:sz w:val="24"/>
                <w:szCs w:val="24"/>
              </w:rPr>
            </w:pPr>
            <w:r w:rsidRPr="00CC2F5E">
              <w:rPr>
                <w:rFonts w:ascii="Arial" w:hAnsi="Arial" w:cs="Arial"/>
                <w:b/>
                <w:bCs/>
                <w:sz w:val="24"/>
                <w:szCs w:val="24"/>
              </w:rPr>
              <w:t>Disclosure</w:t>
            </w:r>
          </w:p>
        </w:tc>
      </w:tr>
      <w:tr w14:paraId="02493226"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2D14B84"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24AD8EC"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C70CAFF" w14:textId="7313BBAB">
            <w:pPr>
              <w:rPr>
                <w:rFonts w:ascii="Arial" w:hAnsi="Arial" w:cs="Arial"/>
                <w:sz w:val="24"/>
                <w:szCs w:val="24"/>
              </w:rPr>
            </w:pPr>
            <w:r w:rsidRPr="00CC2F5E">
              <w:rPr>
                <w:rFonts w:ascii="Arial" w:hAnsi="Arial" w:cs="Arial"/>
                <w:sz w:val="24"/>
                <w:szCs w:val="24"/>
              </w:rPr>
              <w:t>125,</w:t>
            </w:r>
            <w:r w:rsidRPr="00CC2F5E" w:rsidR="00FA4B94">
              <w:rPr>
                <w:rFonts w:ascii="Arial" w:hAnsi="Arial" w:cs="Arial"/>
                <w:sz w:val="24"/>
                <w:szCs w:val="24"/>
              </w:rPr>
              <w:t>411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E287CD1" w14:textId="77777777">
            <w:pPr>
              <w:rPr>
                <w:rFonts w:ascii="Arial" w:hAnsi="Arial" w:cs="Arial"/>
                <w:sz w:val="24"/>
                <w:szCs w:val="24"/>
              </w:rPr>
            </w:pPr>
          </w:p>
        </w:tc>
      </w:tr>
      <w:tr w14:paraId="73CBE7E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D159593"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01803F7"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445D0A39" w14:textId="096D4106">
            <w:pPr>
              <w:rPr>
                <w:rFonts w:ascii="Arial" w:hAnsi="Arial" w:cs="Arial"/>
                <w:sz w:val="24"/>
                <w:szCs w:val="24"/>
              </w:rPr>
            </w:pPr>
            <w:r w:rsidRPr="00CC2F5E">
              <w:rPr>
                <w:rFonts w:ascii="Arial" w:hAnsi="Arial" w:cs="Arial"/>
                <w:sz w:val="24"/>
                <w:szCs w:val="24"/>
              </w:rPr>
              <w:t>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05E1156" w14:textId="77777777">
            <w:pPr>
              <w:rPr>
                <w:rFonts w:ascii="Arial" w:hAnsi="Arial" w:cs="Arial"/>
                <w:sz w:val="24"/>
                <w:szCs w:val="24"/>
              </w:rPr>
            </w:pPr>
          </w:p>
        </w:tc>
      </w:tr>
      <w:tr w14:paraId="7E4E3C40"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08C9D0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D71D99B"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3B60013" w14:textId="646C280D">
            <w:pPr>
              <w:rPr>
                <w:rFonts w:ascii="Arial" w:hAnsi="Arial" w:cs="Arial"/>
                <w:sz w:val="24"/>
                <w:szCs w:val="24"/>
              </w:rPr>
            </w:pPr>
            <w:r w:rsidRPr="00CC2F5E">
              <w:rPr>
                <w:rFonts w:ascii="Arial" w:hAnsi="Arial" w:cs="Arial"/>
                <w:sz w:val="24"/>
                <w:szCs w:val="24"/>
              </w:rPr>
              <w:t>0.25</w:t>
            </w:r>
            <w:r w:rsidRPr="00CC2F5E" w:rsidR="00717E62">
              <w:rPr>
                <w:rFonts w:ascii="Arial" w:hAnsi="Arial" w:cs="Arial"/>
                <w:sz w:val="24"/>
                <w:szCs w:val="24"/>
              </w:rPr>
              <w:t xml:space="preserve"> hours</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82DC0E8" w14:textId="77777777">
            <w:pPr>
              <w:rPr>
                <w:rFonts w:ascii="Arial" w:hAnsi="Arial" w:cs="Arial"/>
                <w:sz w:val="24"/>
                <w:szCs w:val="24"/>
              </w:rPr>
            </w:pPr>
          </w:p>
        </w:tc>
      </w:tr>
      <w:tr w14:paraId="632A1A23"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1A6A5764"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CA75FC8"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C126E4C" w14:textId="571394CB">
            <w:pPr>
              <w:rPr>
                <w:rFonts w:ascii="Arial" w:hAnsi="Arial" w:cs="Arial"/>
                <w:sz w:val="24"/>
                <w:szCs w:val="24"/>
              </w:rPr>
            </w:pPr>
            <w:r w:rsidRPr="00CC2F5E">
              <w:rPr>
                <w:rFonts w:ascii="Arial" w:hAnsi="Arial" w:cs="Arial"/>
                <w:sz w:val="24"/>
                <w:szCs w:val="24"/>
              </w:rPr>
              <w:t>125,</w:t>
            </w:r>
            <w:r w:rsidRPr="00CC2F5E" w:rsidR="00FA4B94">
              <w:rPr>
                <w:rFonts w:ascii="Arial" w:hAnsi="Arial" w:cs="Arial"/>
                <w:sz w:val="24"/>
                <w:szCs w:val="24"/>
              </w:rPr>
              <w:t>411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A1E3027" w14:textId="77777777">
            <w:pPr>
              <w:rPr>
                <w:rFonts w:ascii="Arial" w:hAnsi="Arial" w:cs="Arial"/>
                <w:sz w:val="24"/>
                <w:szCs w:val="24"/>
              </w:rPr>
            </w:pPr>
          </w:p>
        </w:tc>
      </w:tr>
      <w:tr w14:paraId="09C457A1"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6139A5FA"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BA14BEC"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5EA9059" w14:textId="25400B63">
            <w:pPr>
              <w:rPr>
                <w:rFonts w:ascii="Arial" w:hAnsi="Arial" w:cs="Arial"/>
                <w:sz w:val="24"/>
                <w:szCs w:val="24"/>
              </w:rPr>
            </w:pPr>
            <w:r w:rsidRPr="00CC2F5E">
              <w:rPr>
                <w:rFonts w:ascii="Arial" w:hAnsi="Arial" w:cs="Arial"/>
                <w:sz w:val="24"/>
                <w:szCs w:val="24"/>
              </w:rPr>
              <w:t>31,3</w:t>
            </w:r>
            <w:r w:rsidRPr="00CC2F5E" w:rsidR="00FA4B94">
              <w:rPr>
                <w:rFonts w:ascii="Arial" w:hAnsi="Arial" w:cs="Arial"/>
                <w:sz w:val="24"/>
                <w:szCs w:val="24"/>
              </w:rPr>
              <w:t>53</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2B08AA9" w14:textId="77777777">
            <w:pPr>
              <w:rPr>
                <w:rFonts w:ascii="Arial" w:hAnsi="Arial" w:cs="Arial"/>
                <w:sz w:val="24"/>
                <w:szCs w:val="24"/>
              </w:rPr>
            </w:pPr>
          </w:p>
        </w:tc>
      </w:tr>
    </w:tbl>
    <w:p w:rsidR="00803FA2" w:rsidRPr="00CC2F5E" w:rsidP="00803FA2" w14:paraId="51848911" w14:textId="7F5925BE">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E06C95">
        <w:rPr>
          <w:rFonts w:ascii="Arial" w:hAnsi="Arial" w:cs="Arial"/>
          <w:sz w:val="24"/>
          <w:szCs w:val="24"/>
        </w:rPr>
        <w:t xml:space="preserve">Each </w:t>
      </w:r>
      <w:r w:rsidRPr="52F164E3" w:rsidR="00892C74">
        <w:rPr>
          <w:rFonts w:ascii="Arial" w:hAnsi="Arial" w:cs="Arial"/>
          <w:sz w:val="24"/>
          <w:szCs w:val="24"/>
        </w:rPr>
        <w:t>respondent</w:t>
      </w:r>
      <w:r w:rsidRPr="52F164E3" w:rsidR="00E06C95">
        <w:rPr>
          <w:rFonts w:ascii="Arial" w:hAnsi="Arial" w:cs="Arial"/>
          <w:sz w:val="24"/>
          <w:szCs w:val="24"/>
        </w:rPr>
        <w:t xml:space="preserve"> must conduct initial drug and alcohol training for each new safety-sensitive employee. Documentation of the alcohol misuse training must be maintained by the DER for a period of 2 years. To calculate the </w:t>
      </w:r>
      <w:r w:rsidRPr="52F164E3" w:rsidR="00892C74">
        <w:rPr>
          <w:rFonts w:ascii="Arial" w:hAnsi="Arial" w:cs="Arial"/>
          <w:sz w:val="24"/>
          <w:szCs w:val="24"/>
        </w:rPr>
        <w:t>number of respondents</w:t>
      </w:r>
      <w:r w:rsidRPr="52F164E3" w:rsidR="00836C01">
        <w:rPr>
          <w:rFonts w:ascii="Arial" w:hAnsi="Arial" w:cs="Arial"/>
          <w:sz w:val="24"/>
          <w:szCs w:val="24"/>
        </w:rPr>
        <w:t>, the Drug Abatement D</w:t>
      </w:r>
      <w:r w:rsidRPr="52F164E3" w:rsidR="00E06C95">
        <w:rPr>
          <w:rFonts w:ascii="Arial" w:hAnsi="Arial" w:cs="Arial"/>
          <w:sz w:val="24"/>
          <w:szCs w:val="24"/>
        </w:rPr>
        <w:t>ivision</w:t>
      </w:r>
      <w:r w:rsidRPr="52F164E3">
        <w:rPr>
          <w:rFonts w:ascii="Arial" w:hAnsi="Arial" w:cs="Arial"/>
          <w:sz w:val="24"/>
          <w:szCs w:val="24"/>
        </w:rPr>
        <w:t xml:space="preserve"> used the number </w:t>
      </w:r>
      <w:r w:rsidRPr="52F164E3" w:rsidR="007A5925">
        <w:rPr>
          <w:rFonts w:ascii="Arial" w:hAnsi="Arial" w:cs="Arial"/>
          <w:sz w:val="24"/>
          <w:szCs w:val="24"/>
        </w:rPr>
        <w:t xml:space="preserve">of negative pre-employment drug tests reported in the 2019 MIS reporting data to determine that each respondent </w:t>
      </w:r>
      <w:r w:rsidRPr="52F164E3" w:rsidR="00836C01">
        <w:rPr>
          <w:rFonts w:ascii="Arial" w:hAnsi="Arial" w:cs="Arial"/>
          <w:sz w:val="24"/>
          <w:szCs w:val="24"/>
        </w:rPr>
        <w:t xml:space="preserve">that was hired for or transferred into </w:t>
      </w:r>
      <w:r w:rsidRPr="52F164E3" w:rsidR="00556640">
        <w:rPr>
          <w:rFonts w:ascii="Arial" w:hAnsi="Arial" w:cs="Arial"/>
          <w:sz w:val="24"/>
          <w:szCs w:val="24"/>
        </w:rPr>
        <w:t xml:space="preserve">a </w:t>
      </w:r>
      <w:r w:rsidRPr="52F164E3" w:rsidR="00836C01">
        <w:rPr>
          <w:rFonts w:ascii="Arial" w:hAnsi="Arial" w:cs="Arial"/>
          <w:sz w:val="24"/>
          <w:szCs w:val="24"/>
        </w:rPr>
        <w:t>safety-sensitive position</w:t>
      </w:r>
      <w:r w:rsidRPr="52F164E3" w:rsidR="00892C74">
        <w:rPr>
          <w:rFonts w:ascii="Arial" w:hAnsi="Arial" w:cs="Arial"/>
          <w:sz w:val="24"/>
          <w:szCs w:val="24"/>
        </w:rPr>
        <w:t xml:space="preserve"> and provided initial training</w:t>
      </w:r>
      <w:r w:rsidRPr="52F164E3" w:rsidR="00836C01">
        <w:rPr>
          <w:rFonts w:ascii="Arial" w:hAnsi="Arial" w:cs="Arial"/>
          <w:sz w:val="24"/>
          <w:szCs w:val="24"/>
        </w:rPr>
        <w:t xml:space="preserve"> from January 1, 2019</w:t>
      </w:r>
      <w:r w:rsidRPr="52F164E3" w:rsidR="00A1266F">
        <w:rPr>
          <w:rFonts w:ascii="Arial" w:hAnsi="Arial" w:cs="Arial"/>
          <w:sz w:val="24"/>
          <w:szCs w:val="24"/>
        </w:rPr>
        <w:t>,</w:t>
      </w:r>
      <w:r w:rsidRPr="52F164E3" w:rsidR="00836C01">
        <w:rPr>
          <w:rFonts w:ascii="Arial" w:hAnsi="Arial" w:cs="Arial"/>
          <w:sz w:val="24"/>
          <w:szCs w:val="24"/>
        </w:rPr>
        <w:t xml:space="preserve"> and December 31</w:t>
      </w:r>
      <w:r w:rsidRPr="52F164E3" w:rsidR="000258A6">
        <w:rPr>
          <w:rFonts w:ascii="Arial" w:hAnsi="Arial" w:cs="Arial"/>
          <w:sz w:val="24"/>
          <w:szCs w:val="24"/>
        </w:rPr>
        <w:t xml:space="preserve">, 2019. </w:t>
      </w:r>
      <w:r w:rsidRPr="52F164E3" w:rsidR="007A5925">
        <w:rPr>
          <w:rFonts w:ascii="Arial" w:hAnsi="Arial" w:cs="Arial"/>
          <w:sz w:val="24"/>
          <w:szCs w:val="24"/>
        </w:rPr>
        <w:t xml:space="preserve">Based on the time it takes the DER to </w:t>
      </w:r>
      <w:r w:rsidRPr="52F164E3" w:rsidR="000258A6">
        <w:rPr>
          <w:rFonts w:ascii="Arial" w:hAnsi="Arial" w:cs="Arial"/>
          <w:sz w:val="24"/>
          <w:szCs w:val="24"/>
        </w:rPr>
        <w:t xml:space="preserve">document the initial training and maintain the records for each new hire, </w:t>
      </w:r>
      <w:r w:rsidRPr="52F164E3" w:rsidR="007A5925">
        <w:rPr>
          <w:rFonts w:ascii="Arial" w:hAnsi="Arial" w:cs="Arial"/>
          <w:sz w:val="24"/>
          <w:szCs w:val="24"/>
        </w:rPr>
        <w:t xml:space="preserve">the Drug Abatement Division determined it would take the DER </w:t>
      </w:r>
      <w:r w:rsidRPr="52F164E3" w:rsidR="00BA624F">
        <w:rPr>
          <w:rFonts w:ascii="Arial" w:hAnsi="Arial" w:cs="Arial"/>
          <w:sz w:val="24"/>
          <w:szCs w:val="24"/>
        </w:rPr>
        <w:t>0.25 hours</w:t>
      </w:r>
      <w:r w:rsidRPr="52F164E3" w:rsidR="007A5925">
        <w:rPr>
          <w:rFonts w:ascii="Arial" w:hAnsi="Arial" w:cs="Arial"/>
          <w:sz w:val="24"/>
          <w:szCs w:val="24"/>
        </w:rPr>
        <w:t>.</w:t>
      </w:r>
    </w:p>
    <w:p w:rsidR="007C7FAA" w:rsidRPr="00CC2F5E" w:rsidP="00C64707" w14:paraId="433AA35F" w14:textId="4C23436B">
      <w:pPr>
        <w:shd w:val="clear" w:color="auto" w:fill="FFFFFF"/>
        <w:spacing w:after="0" w:line="240" w:lineRule="auto"/>
        <w:rPr>
          <w:rFonts w:ascii="Arial" w:eastAsia="Times New Roman" w:hAnsi="Arial" w:cs="Arial"/>
          <w:sz w:val="24"/>
          <w:szCs w:val="24"/>
        </w:rPr>
      </w:pPr>
    </w:p>
    <w:p w:rsidR="00CA30AA" w:rsidRPr="00CC2F5E" w:rsidP="00CA30AA" w14:paraId="58FF32BA" w14:textId="77777777">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Reasonable Cause/Suspicion Documentation for Drugs and Alcohol</w:t>
      </w:r>
    </w:p>
    <w:tbl>
      <w:tblPr>
        <w:tblW w:w="8900" w:type="dxa"/>
        <w:tblCellMar>
          <w:left w:w="0" w:type="dxa"/>
          <w:right w:w="0" w:type="dxa"/>
        </w:tblCellMar>
        <w:tblLook w:val="04A0"/>
      </w:tblPr>
      <w:tblGrid>
        <w:gridCol w:w="3410"/>
        <w:gridCol w:w="1800"/>
        <w:gridCol w:w="2070"/>
        <w:gridCol w:w="1620"/>
      </w:tblGrid>
      <w:tr w14:paraId="2437B14D"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5149F611"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D71C49E" w14:textId="77777777">
            <w:pPr>
              <w:rPr>
                <w:rFonts w:ascii="Arial" w:hAnsi="Arial" w:cs="Arial"/>
                <w:b/>
                <w:bCs/>
                <w:sz w:val="24"/>
                <w:szCs w:val="24"/>
              </w:rPr>
            </w:pPr>
            <w:r w:rsidRPr="00CC2F5E">
              <w:rPr>
                <w:rFonts w:ascii="Arial" w:hAnsi="Arial" w:cs="Arial"/>
                <w:b/>
                <w:bCs/>
                <w:sz w:val="24"/>
                <w:szCs w:val="24"/>
              </w:rPr>
              <w:t>Reporting</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30909E17" w14:textId="77777777">
            <w:pPr>
              <w:rPr>
                <w:rFonts w:ascii="Arial" w:hAnsi="Arial" w:cs="Arial"/>
                <w:b/>
                <w:bCs/>
                <w:sz w:val="24"/>
                <w:szCs w:val="24"/>
              </w:rPr>
            </w:pPr>
            <w:r w:rsidRPr="00CC2F5E">
              <w:rPr>
                <w:rFonts w:ascii="Arial" w:hAnsi="Arial" w:cs="Arial"/>
                <w:b/>
                <w:bCs/>
                <w:sz w:val="24"/>
                <w:szCs w:val="24"/>
              </w:rPr>
              <w:t>Recordkeeping</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30AA" w:rsidRPr="00CC2F5E" w:rsidP="00115B29" w14:paraId="370DB724" w14:textId="77777777">
            <w:pPr>
              <w:rPr>
                <w:rFonts w:ascii="Arial" w:hAnsi="Arial" w:cs="Arial"/>
                <w:b/>
                <w:bCs/>
                <w:sz w:val="24"/>
                <w:szCs w:val="24"/>
              </w:rPr>
            </w:pPr>
            <w:r w:rsidRPr="00CC2F5E">
              <w:rPr>
                <w:rFonts w:ascii="Arial" w:hAnsi="Arial" w:cs="Arial"/>
                <w:b/>
                <w:bCs/>
                <w:sz w:val="24"/>
                <w:szCs w:val="24"/>
              </w:rPr>
              <w:t>Disclosure</w:t>
            </w:r>
          </w:p>
        </w:tc>
      </w:tr>
      <w:tr w14:paraId="54459952"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799ACEB"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2D8B73F6"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9EC6DDF" w14:textId="25018E10">
            <w:pPr>
              <w:rPr>
                <w:rFonts w:ascii="Arial" w:hAnsi="Arial" w:cs="Arial"/>
                <w:sz w:val="24"/>
                <w:szCs w:val="24"/>
              </w:rPr>
            </w:pPr>
            <w:r w:rsidRPr="00CC2F5E">
              <w:rPr>
                <w:rFonts w:ascii="Arial" w:hAnsi="Arial" w:cs="Arial"/>
                <w:sz w:val="24"/>
                <w:szCs w:val="24"/>
              </w:rPr>
              <w:t>51</w:t>
            </w:r>
            <w:r w:rsidRPr="00CC2F5E" w:rsidR="00FA4B94">
              <w:rPr>
                <w:rFonts w:ascii="Arial" w:hAnsi="Arial" w:cs="Arial"/>
                <w:sz w:val="24"/>
                <w:szCs w:val="24"/>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5E3FE51E" w14:textId="77777777">
            <w:pPr>
              <w:rPr>
                <w:rFonts w:ascii="Arial" w:hAnsi="Arial" w:cs="Arial"/>
                <w:sz w:val="24"/>
                <w:szCs w:val="24"/>
              </w:rPr>
            </w:pPr>
          </w:p>
        </w:tc>
      </w:tr>
      <w:tr w14:paraId="616FA184"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D17CE7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65574486"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FECBE77" w14:textId="5A429CF7">
            <w:pPr>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1853C9C1" w14:textId="77777777">
            <w:pPr>
              <w:rPr>
                <w:rFonts w:ascii="Arial" w:hAnsi="Arial" w:cs="Arial"/>
                <w:sz w:val="24"/>
                <w:szCs w:val="24"/>
              </w:rPr>
            </w:pPr>
          </w:p>
        </w:tc>
      </w:tr>
      <w:tr w14:paraId="2BD781A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2942BD5"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9624CEA"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2B2D923D" w14:textId="6E1DB7AD">
            <w:pPr>
              <w:rPr>
                <w:rFonts w:ascii="Arial" w:hAnsi="Arial" w:cs="Arial"/>
                <w:sz w:val="24"/>
                <w:szCs w:val="24"/>
              </w:rPr>
            </w:pPr>
            <w:r w:rsidRPr="00CC2F5E">
              <w:rPr>
                <w:rFonts w:ascii="Arial" w:hAnsi="Arial" w:cs="Arial"/>
                <w:sz w:val="24"/>
                <w:szCs w:val="24"/>
              </w:rPr>
              <w:t>2.00</w:t>
            </w:r>
            <w:r w:rsidRPr="00CC2F5E" w:rsidR="00717E62">
              <w:rPr>
                <w:rFonts w:ascii="Arial" w:hAnsi="Arial" w:cs="Arial"/>
                <w:sz w:val="24"/>
                <w:szCs w:val="24"/>
              </w:rPr>
              <w:t xml:space="preserve"> hour</w:t>
            </w:r>
            <w:r w:rsidRPr="00CC2F5E" w:rsidR="006F3D50">
              <w:rPr>
                <w:rFonts w:ascii="Arial" w:hAnsi="Arial" w:cs="Arial"/>
                <w:sz w:val="24"/>
                <w:szCs w:val="24"/>
              </w:rPr>
              <w: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0E4FF0DA" w14:textId="77777777">
            <w:pPr>
              <w:rPr>
                <w:rFonts w:ascii="Arial" w:hAnsi="Arial" w:cs="Arial"/>
                <w:sz w:val="24"/>
                <w:szCs w:val="24"/>
              </w:rPr>
            </w:pPr>
          </w:p>
        </w:tc>
      </w:tr>
      <w:tr w14:paraId="3017E086"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059504AA"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40E094F2"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02BEE1AF" w14:textId="47B3BF06">
            <w:pPr>
              <w:rPr>
                <w:rFonts w:ascii="Arial" w:hAnsi="Arial" w:cs="Arial"/>
                <w:sz w:val="24"/>
                <w:szCs w:val="24"/>
              </w:rPr>
            </w:pPr>
            <w:r w:rsidRPr="00CC2F5E">
              <w:rPr>
                <w:rFonts w:ascii="Arial" w:hAnsi="Arial" w:cs="Arial"/>
                <w:sz w:val="24"/>
                <w:szCs w:val="24"/>
              </w:rPr>
              <w:t>51</w:t>
            </w:r>
            <w:r w:rsidRPr="00CC2F5E" w:rsidR="00FA4B94">
              <w:rPr>
                <w:rFonts w:ascii="Arial" w:hAnsi="Arial" w:cs="Arial"/>
                <w:sz w:val="24"/>
                <w:szCs w:val="24"/>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6FE49AE9" w14:textId="77777777">
            <w:pPr>
              <w:rPr>
                <w:rFonts w:ascii="Arial" w:hAnsi="Arial" w:cs="Arial"/>
                <w:sz w:val="24"/>
                <w:szCs w:val="24"/>
              </w:rPr>
            </w:pPr>
          </w:p>
        </w:tc>
      </w:tr>
      <w:tr w14:paraId="7336B1F6"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A30AA" w:rsidRPr="00CC2F5E" w:rsidP="00115B29" w14:paraId="1F0D333F"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5873C510" w14:textId="77777777">
            <w:pPr>
              <w:rPr>
                <w:rFonts w:ascii="Arial" w:hAnsi="Arial" w:cs="Arial"/>
                <w:sz w:val="24"/>
                <w:szCs w:val="24"/>
              </w:rPr>
            </w:pP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A30AA" w:rsidRPr="00CC2F5E" w:rsidP="00115B29" w14:paraId="6C5BD419" w14:textId="55B42065">
            <w:pPr>
              <w:rPr>
                <w:rFonts w:ascii="Arial" w:hAnsi="Arial" w:cs="Arial"/>
                <w:sz w:val="24"/>
                <w:szCs w:val="24"/>
              </w:rPr>
            </w:pPr>
            <w:r w:rsidRPr="00CC2F5E">
              <w:rPr>
                <w:rFonts w:ascii="Arial" w:hAnsi="Arial" w:cs="Arial"/>
                <w:sz w:val="24"/>
                <w:szCs w:val="24"/>
              </w:rPr>
              <w:t>1,03</w:t>
            </w:r>
            <w:r w:rsidRPr="00CC2F5E" w:rsidR="00FA4B94">
              <w:rPr>
                <w:rFonts w:ascii="Arial" w:hAnsi="Arial" w:cs="Arial"/>
                <w:sz w:val="24"/>
                <w:szCs w:val="24"/>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A30AA" w:rsidRPr="00CC2F5E" w:rsidP="00115B29" w14:paraId="19E4A265" w14:textId="77777777">
            <w:pPr>
              <w:rPr>
                <w:rFonts w:ascii="Arial" w:hAnsi="Arial" w:cs="Arial"/>
                <w:sz w:val="24"/>
                <w:szCs w:val="24"/>
              </w:rPr>
            </w:pPr>
          </w:p>
        </w:tc>
      </w:tr>
    </w:tbl>
    <w:p w:rsidR="00803FA2" w:rsidRPr="00CC2F5E" w:rsidP="00803FA2" w14:paraId="11D7B8E6" w14:textId="720B1620">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836C01">
        <w:rPr>
          <w:rFonts w:ascii="Arial" w:hAnsi="Arial" w:cs="Arial"/>
          <w:sz w:val="24"/>
          <w:szCs w:val="24"/>
        </w:rPr>
        <w:t xml:space="preserve">Each </w:t>
      </w:r>
      <w:r w:rsidRPr="52F164E3" w:rsidR="00892C74">
        <w:rPr>
          <w:rFonts w:ascii="Arial" w:hAnsi="Arial" w:cs="Arial"/>
          <w:sz w:val="24"/>
          <w:szCs w:val="24"/>
        </w:rPr>
        <w:t xml:space="preserve">respondent must ensure that the trained supervisor </w:t>
      </w:r>
      <w:r w:rsidRPr="52F164E3" w:rsidR="00836C01">
        <w:rPr>
          <w:rFonts w:ascii="Arial" w:hAnsi="Arial" w:cs="Arial"/>
          <w:sz w:val="24"/>
          <w:szCs w:val="24"/>
        </w:rPr>
        <w:t>that determines reasonable cause/suspicion testing document</w:t>
      </w:r>
      <w:r w:rsidRPr="52F164E3" w:rsidR="00892C74">
        <w:rPr>
          <w:rFonts w:ascii="Arial" w:hAnsi="Arial" w:cs="Arial"/>
          <w:sz w:val="24"/>
          <w:szCs w:val="24"/>
        </w:rPr>
        <w:t>s</w:t>
      </w:r>
      <w:r w:rsidRPr="52F164E3" w:rsidR="00836C01">
        <w:rPr>
          <w:rFonts w:ascii="Arial" w:hAnsi="Arial" w:cs="Arial"/>
          <w:sz w:val="24"/>
          <w:szCs w:val="24"/>
        </w:rPr>
        <w:t xml:space="preserve"> the observations and determination.  The DER must maintain the documentation for a period of 2 years. To calculate the </w:t>
      </w:r>
      <w:r w:rsidRPr="52F164E3" w:rsidR="00892C74">
        <w:rPr>
          <w:rFonts w:ascii="Arial" w:hAnsi="Arial" w:cs="Arial"/>
          <w:sz w:val="24"/>
          <w:szCs w:val="24"/>
        </w:rPr>
        <w:t xml:space="preserve">number of respondents, </w:t>
      </w:r>
      <w:r w:rsidRPr="52F164E3" w:rsidR="00836C01">
        <w:rPr>
          <w:rFonts w:ascii="Arial" w:hAnsi="Arial" w:cs="Arial"/>
          <w:sz w:val="24"/>
          <w:szCs w:val="24"/>
        </w:rPr>
        <w:t xml:space="preserve">the Drug Abatement Division </w:t>
      </w:r>
      <w:r w:rsidRPr="52F164E3">
        <w:rPr>
          <w:rFonts w:ascii="Arial" w:hAnsi="Arial" w:cs="Arial"/>
          <w:sz w:val="24"/>
          <w:szCs w:val="24"/>
        </w:rPr>
        <w:t>used the number of</w:t>
      </w:r>
      <w:r w:rsidRPr="52F164E3" w:rsidR="00BA624F">
        <w:rPr>
          <w:rFonts w:ascii="Arial" w:hAnsi="Arial" w:cs="Arial"/>
          <w:sz w:val="24"/>
          <w:szCs w:val="24"/>
        </w:rPr>
        <w:t xml:space="preserve"> </w:t>
      </w:r>
      <w:r w:rsidRPr="52F164E3" w:rsidR="007A5925">
        <w:rPr>
          <w:rFonts w:ascii="Arial" w:hAnsi="Arial" w:cs="Arial"/>
          <w:sz w:val="24"/>
          <w:szCs w:val="24"/>
        </w:rPr>
        <w:t>reasonable cause/suspicion tests reported in the 2019 MIS reporting data</w:t>
      </w:r>
      <w:r w:rsidRPr="52F164E3" w:rsidR="00892C74">
        <w:rPr>
          <w:rFonts w:ascii="Arial" w:hAnsi="Arial" w:cs="Arial"/>
          <w:sz w:val="24"/>
          <w:szCs w:val="24"/>
        </w:rPr>
        <w:t xml:space="preserve"> to determine how many times a DER obtained the information from a supervisor and maintained it from </w:t>
      </w:r>
      <w:r w:rsidRPr="52F164E3" w:rsidR="007A5925">
        <w:rPr>
          <w:rFonts w:ascii="Arial" w:hAnsi="Arial" w:cs="Arial"/>
          <w:sz w:val="24"/>
          <w:szCs w:val="24"/>
        </w:rPr>
        <w:t>January 1, 2019</w:t>
      </w:r>
      <w:r w:rsidRPr="52F164E3" w:rsidR="00300A57">
        <w:rPr>
          <w:rFonts w:ascii="Arial" w:hAnsi="Arial" w:cs="Arial"/>
          <w:sz w:val="24"/>
          <w:szCs w:val="24"/>
        </w:rPr>
        <w:t>,</w:t>
      </w:r>
      <w:r w:rsidRPr="52F164E3" w:rsidR="007A5925">
        <w:rPr>
          <w:rFonts w:ascii="Arial" w:hAnsi="Arial" w:cs="Arial"/>
          <w:sz w:val="24"/>
          <w:szCs w:val="24"/>
        </w:rPr>
        <w:t xml:space="preserve"> through December 31, 2019. Based on the time it takes </w:t>
      </w:r>
      <w:r w:rsidRPr="52F164E3" w:rsidR="00836C01">
        <w:rPr>
          <w:rFonts w:ascii="Arial" w:hAnsi="Arial" w:cs="Arial"/>
          <w:sz w:val="24"/>
          <w:szCs w:val="24"/>
        </w:rPr>
        <w:t xml:space="preserve">the DER to obtain the documentation from the supervisor and maintain the records, </w:t>
      </w:r>
      <w:r w:rsidRPr="52F164E3" w:rsidR="007A5925">
        <w:rPr>
          <w:rFonts w:ascii="Arial" w:hAnsi="Arial" w:cs="Arial"/>
          <w:sz w:val="24"/>
          <w:szCs w:val="24"/>
        </w:rPr>
        <w:t>the Drug Abatement Division determined it would take the DER 2.0 hours of time.</w:t>
      </w:r>
    </w:p>
    <w:p w:rsidR="00CA30AA" w:rsidRPr="00CC2F5E" w:rsidP="00C64707" w14:paraId="2191F9A3" w14:textId="7822A9B1">
      <w:pPr>
        <w:shd w:val="clear" w:color="auto" w:fill="FFFFFF"/>
        <w:spacing w:after="0" w:line="240" w:lineRule="auto"/>
        <w:rPr>
          <w:rFonts w:ascii="Arial" w:eastAsia="Times New Roman" w:hAnsi="Arial" w:cs="Arial"/>
          <w:sz w:val="24"/>
          <w:szCs w:val="24"/>
        </w:rPr>
      </w:pPr>
    </w:p>
    <w:p w:rsidR="007C7FAA" w:rsidRPr="00CC2F5E" w:rsidP="007C7FAA" w14:paraId="73A03022" w14:textId="54884CE6">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Post-Accident Determination Do</w:t>
      </w:r>
      <w:r w:rsidRPr="00CC2F5E" w:rsidR="000E0306">
        <w:rPr>
          <w:rFonts w:ascii="Arial" w:hAnsi="Arial" w:cs="Arial"/>
          <w:b/>
          <w:bCs/>
          <w:sz w:val="24"/>
          <w:szCs w:val="24"/>
        </w:rPr>
        <w:t>c</w:t>
      </w:r>
      <w:r w:rsidRPr="00CC2F5E">
        <w:rPr>
          <w:rFonts w:ascii="Arial" w:hAnsi="Arial" w:cs="Arial"/>
          <w:b/>
          <w:bCs/>
          <w:sz w:val="24"/>
          <w:szCs w:val="24"/>
        </w:rPr>
        <w:t>umentation</w:t>
      </w:r>
    </w:p>
    <w:tbl>
      <w:tblPr>
        <w:tblW w:w="8810" w:type="dxa"/>
        <w:tblCellMar>
          <w:left w:w="0" w:type="dxa"/>
          <w:right w:w="0" w:type="dxa"/>
        </w:tblCellMar>
        <w:tblLook w:val="04A0"/>
      </w:tblPr>
      <w:tblGrid>
        <w:gridCol w:w="3410"/>
        <w:gridCol w:w="1800"/>
        <w:gridCol w:w="2010"/>
        <w:gridCol w:w="1590"/>
      </w:tblGrid>
      <w:tr w14:paraId="0D1A1C7D" w14:textId="77777777" w:rsidTr="71959E35">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63637D2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AC594FD"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565BC6A" w:rsidP="1A9E43F9" w14:paraId="0E606EAB" w14:textId="630D467E">
            <w:pPr>
              <w:rPr>
                <w:rFonts w:ascii="Arial" w:hAnsi="Arial" w:cs="Arial"/>
                <w:b/>
                <w:bCs/>
                <w:sz w:val="24"/>
                <w:szCs w:val="24"/>
              </w:rPr>
            </w:pPr>
          </w:p>
          <w:p w:rsidR="007C7FAA" w:rsidRPr="00CC2F5E" w:rsidP="00F7533D" w14:paraId="08F19ADC" w14:textId="4408DC50">
            <w:pPr>
              <w:rPr>
                <w:rFonts w:ascii="Arial" w:hAnsi="Arial" w:cs="Arial"/>
                <w:b/>
                <w:bCs/>
                <w:sz w:val="24"/>
                <w:szCs w:val="24"/>
              </w:rPr>
            </w:pPr>
            <w:r w:rsidRPr="7C6CE830">
              <w:rPr>
                <w:rFonts w:ascii="Arial" w:hAnsi="Arial" w:cs="Arial"/>
                <w:b/>
                <w:bCs/>
                <w:sz w:val="24"/>
                <w:szCs w:val="24"/>
              </w:rPr>
              <w:t>Recordkeepin</w:t>
            </w:r>
            <w:r w:rsidRPr="7C6CE830" w:rsidR="2EA1E84A">
              <w:rPr>
                <w:rFonts w:ascii="Arial" w:hAnsi="Arial" w:cs="Arial"/>
                <w:b/>
                <w:bCs/>
                <w:sz w:val="24"/>
                <w:szCs w:val="24"/>
              </w:rPr>
              <w:t>g</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C7FAA" w:rsidRPr="00CC2F5E" w:rsidP="00F7533D" w14:paraId="37CEA198" w14:textId="77777777">
            <w:pPr>
              <w:rPr>
                <w:rFonts w:ascii="Arial" w:hAnsi="Arial" w:cs="Arial"/>
                <w:b/>
                <w:bCs/>
                <w:sz w:val="24"/>
                <w:szCs w:val="24"/>
              </w:rPr>
            </w:pPr>
            <w:r w:rsidRPr="00CC2F5E">
              <w:rPr>
                <w:rFonts w:ascii="Arial" w:hAnsi="Arial" w:cs="Arial"/>
                <w:b/>
                <w:bCs/>
                <w:sz w:val="24"/>
                <w:szCs w:val="24"/>
              </w:rPr>
              <w:t>Disclosure</w:t>
            </w:r>
          </w:p>
        </w:tc>
      </w:tr>
      <w:tr w14:paraId="796B4FDA" w14:textId="77777777" w:rsidTr="71959E35">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3DC399D6"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13F189F3" w14:textId="0BE8CC8C">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3445F5A3" w14:textId="4F22DE55">
            <w:pPr>
              <w:rPr>
                <w:rFonts w:ascii="Arial" w:hAnsi="Arial" w:cs="Arial"/>
                <w:sz w:val="24"/>
                <w:szCs w:val="24"/>
              </w:rPr>
            </w:pPr>
            <w:r w:rsidRPr="00CC2F5E">
              <w:rPr>
                <w:rFonts w:ascii="Arial" w:hAnsi="Arial" w:cs="Arial"/>
                <w:sz w:val="24"/>
                <w:szCs w:val="24"/>
              </w:rPr>
              <w:t>834</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7AED3731" w14:textId="77777777">
            <w:pPr>
              <w:rPr>
                <w:rFonts w:ascii="Arial" w:hAnsi="Arial" w:cs="Arial"/>
                <w:sz w:val="24"/>
                <w:szCs w:val="24"/>
              </w:rPr>
            </w:pPr>
          </w:p>
        </w:tc>
      </w:tr>
      <w:tr w14:paraId="6B80B66E"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24E3648B"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4294F632" w14:textId="30F2004D">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67B5C3DD" w14:textId="07B84F61">
            <w:pPr>
              <w:rPr>
                <w:rFonts w:ascii="Arial" w:hAnsi="Arial" w:cs="Arial"/>
                <w:sz w:val="24"/>
                <w:szCs w:val="24"/>
              </w:rPr>
            </w:pPr>
            <w:r w:rsidRPr="00CC2F5E">
              <w:rPr>
                <w:rFonts w:ascii="Arial" w:hAnsi="Arial" w:cs="Arial"/>
                <w:sz w:val="24"/>
                <w:szCs w:val="24"/>
              </w:rPr>
              <w:t>1</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4327DE1C" w14:textId="77777777">
            <w:pPr>
              <w:rPr>
                <w:rFonts w:ascii="Arial" w:hAnsi="Arial" w:cs="Arial"/>
                <w:sz w:val="24"/>
                <w:szCs w:val="24"/>
              </w:rPr>
            </w:pPr>
          </w:p>
        </w:tc>
      </w:tr>
      <w:tr w14:paraId="5A22B177"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43E3872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0AC3EFDB" w14:textId="5A2DE50D">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19D5697F" w14:textId="20C1A906">
            <w:pPr>
              <w:rPr>
                <w:rFonts w:ascii="Arial" w:hAnsi="Arial" w:cs="Arial"/>
                <w:sz w:val="24"/>
                <w:szCs w:val="24"/>
              </w:rPr>
            </w:pPr>
            <w:r w:rsidRPr="00CC2F5E">
              <w:rPr>
                <w:rFonts w:ascii="Arial" w:hAnsi="Arial" w:cs="Arial"/>
                <w:sz w:val="24"/>
                <w:szCs w:val="24"/>
              </w:rPr>
              <w:t>2.00 hours</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2B3CE4CF" w14:textId="77777777">
            <w:pPr>
              <w:rPr>
                <w:rFonts w:ascii="Arial" w:hAnsi="Arial" w:cs="Arial"/>
                <w:sz w:val="24"/>
                <w:szCs w:val="24"/>
              </w:rPr>
            </w:pPr>
          </w:p>
        </w:tc>
      </w:tr>
      <w:tr w14:paraId="1562702D"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FFEFB04"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3F0D205" w14:textId="180A08C3">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78B5F689" w14:textId="0BC3A502">
            <w:pPr>
              <w:rPr>
                <w:rFonts w:ascii="Arial" w:hAnsi="Arial" w:cs="Arial"/>
                <w:sz w:val="24"/>
                <w:szCs w:val="24"/>
              </w:rPr>
            </w:pPr>
            <w:r w:rsidRPr="00CC2F5E">
              <w:rPr>
                <w:rFonts w:ascii="Arial" w:hAnsi="Arial" w:cs="Arial"/>
                <w:sz w:val="24"/>
                <w:szCs w:val="24"/>
              </w:rPr>
              <w:t>834</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77BFD52F" w14:textId="77777777">
            <w:pPr>
              <w:rPr>
                <w:rFonts w:ascii="Arial" w:hAnsi="Arial" w:cs="Arial"/>
                <w:sz w:val="24"/>
                <w:szCs w:val="24"/>
              </w:rPr>
            </w:pPr>
          </w:p>
        </w:tc>
      </w:tr>
      <w:tr w14:paraId="28339906" w14:textId="77777777" w:rsidTr="71959E35">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C7FAA" w:rsidRPr="00CC2F5E" w:rsidP="00F7533D" w14:paraId="7C762AD0"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C555DCE" w14:textId="35132989">
            <w:pPr>
              <w:rPr>
                <w:rFonts w:ascii="Arial" w:hAnsi="Arial" w:cs="Arial"/>
                <w:sz w:val="24"/>
                <w:szCs w:val="24"/>
              </w:rPr>
            </w:pP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C7FAA" w:rsidRPr="00CC2F5E" w:rsidP="00F7533D" w14:paraId="51FC8592" w14:textId="21D96F64">
            <w:pPr>
              <w:rPr>
                <w:rFonts w:ascii="Arial" w:hAnsi="Arial" w:cs="Arial"/>
                <w:sz w:val="24"/>
                <w:szCs w:val="24"/>
              </w:rPr>
            </w:pPr>
            <w:r w:rsidRPr="00CC2F5E">
              <w:rPr>
                <w:rFonts w:ascii="Arial" w:hAnsi="Arial" w:cs="Arial"/>
                <w:sz w:val="24"/>
                <w:szCs w:val="24"/>
              </w:rPr>
              <w:t>1,668</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7C7FAA" w:rsidRPr="00CC2F5E" w:rsidP="00F7533D" w14:paraId="5F9D14CB" w14:textId="77777777">
            <w:pPr>
              <w:rPr>
                <w:rFonts w:ascii="Arial" w:hAnsi="Arial" w:cs="Arial"/>
                <w:sz w:val="24"/>
                <w:szCs w:val="24"/>
              </w:rPr>
            </w:pPr>
          </w:p>
        </w:tc>
      </w:tr>
    </w:tbl>
    <w:p w:rsidR="00640AEE" w:rsidRPr="00CC2F5E" w:rsidP="00256A29" w14:paraId="40E462B6" w14:textId="307672CD">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892C74">
        <w:rPr>
          <w:rFonts w:ascii="Arial" w:hAnsi="Arial" w:cs="Arial"/>
          <w:sz w:val="24"/>
          <w:szCs w:val="24"/>
        </w:rPr>
        <w:t xml:space="preserve">Each respondent must document </w:t>
      </w:r>
      <w:r w:rsidRPr="52F164E3">
        <w:rPr>
          <w:rFonts w:ascii="Arial" w:hAnsi="Arial" w:cs="Arial"/>
          <w:sz w:val="24"/>
          <w:szCs w:val="24"/>
        </w:rPr>
        <w:t>decisions on post-accident testing</w:t>
      </w:r>
      <w:r w:rsidRPr="52F164E3" w:rsidR="00892C74">
        <w:rPr>
          <w:rFonts w:ascii="Arial" w:hAnsi="Arial" w:cs="Arial"/>
          <w:sz w:val="24"/>
          <w:szCs w:val="24"/>
        </w:rPr>
        <w:t xml:space="preserve"> and maintain them for </w:t>
      </w:r>
      <w:r w:rsidRPr="52F164E3">
        <w:rPr>
          <w:rFonts w:ascii="Arial" w:hAnsi="Arial" w:cs="Arial"/>
          <w:sz w:val="24"/>
          <w:szCs w:val="24"/>
        </w:rPr>
        <w:t xml:space="preserve">2 years. To calculate the </w:t>
      </w:r>
      <w:r w:rsidRPr="52F164E3" w:rsidR="00892C74">
        <w:rPr>
          <w:rFonts w:ascii="Arial" w:hAnsi="Arial" w:cs="Arial"/>
          <w:sz w:val="24"/>
          <w:szCs w:val="24"/>
        </w:rPr>
        <w:t xml:space="preserve">number of respondents, </w:t>
      </w:r>
      <w:r w:rsidRPr="52F164E3">
        <w:rPr>
          <w:rFonts w:ascii="Arial" w:hAnsi="Arial" w:cs="Arial"/>
          <w:sz w:val="24"/>
          <w:szCs w:val="24"/>
        </w:rPr>
        <w:t>the Drug Abatement Division used the number of post-accident</w:t>
      </w:r>
      <w:r w:rsidRPr="52F164E3" w:rsidR="000258A6">
        <w:rPr>
          <w:rFonts w:ascii="Arial" w:hAnsi="Arial" w:cs="Arial"/>
          <w:sz w:val="24"/>
          <w:szCs w:val="24"/>
        </w:rPr>
        <w:t xml:space="preserve"> tests reported in the 2019 MIS reporting data to determine how many times a</w:t>
      </w:r>
      <w:r w:rsidRPr="52F164E3" w:rsidR="00892C74">
        <w:rPr>
          <w:rFonts w:ascii="Arial" w:hAnsi="Arial" w:cs="Arial"/>
          <w:sz w:val="24"/>
          <w:szCs w:val="24"/>
        </w:rPr>
        <w:t xml:space="preserve"> DER collected and maintained documentation</w:t>
      </w:r>
      <w:r w:rsidRPr="52F164E3" w:rsidR="000258A6">
        <w:rPr>
          <w:rFonts w:ascii="Arial" w:hAnsi="Arial" w:cs="Arial"/>
          <w:sz w:val="24"/>
          <w:szCs w:val="24"/>
        </w:rPr>
        <w:t xml:space="preserve"> between Januar</w:t>
      </w:r>
      <w:r w:rsidRPr="52F164E3" w:rsidR="00892C74">
        <w:rPr>
          <w:rFonts w:ascii="Arial" w:hAnsi="Arial" w:cs="Arial"/>
          <w:sz w:val="24"/>
          <w:szCs w:val="24"/>
        </w:rPr>
        <w:t>y 1, 2019</w:t>
      </w:r>
      <w:r w:rsidRPr="52F164E3" w:rsidR="00300A57">
        <w:rPr>
          <w:rFonts w:ascii="Arial" w:hAnsi="Arial" w:cs="Arial"/>
          <w:sz w:val="24"/>
          <w:szCs w:val="24"/>
        </w:rPr>
        <w:t>,</w:t>
      </w:r>
      <w:r w:rsidRPr="52F164E3" w:rsidR="00892C74">
        <w:rPr>
          <w:rFonts w:ascii="Arial" w:hAnsi="Arial" w:cs="Arial"/>
          <w:sz w:val="24"/>
          <w:szCs w:val="24"/>
        </w:rPr>
        <w:t xml:space="preserve"> and December 31, 2019</w:t>
      </w:r>
      <w:r w:rsidRPr="52F164E3">
        <w:rPr>
          <w:rFonts w:ascii="Arial" w:hAnsi="Arial" w:cs="Arial"/>
          <w:sz w:val="24"/>
          <w:szCs w:val="24"/>
        </w:rPr>
        <w:t xml:space="preserve">. Based on the time it takes the </w:t>
      </w:r>
      <w:r w:rsidRPr="52F164E3" w:rsidR="000258A6">
        <w:rPr>
          <w:rFonts w:ascii="Arial" w:hAnsi="Arial" w:cs="Arial"/>
          <w:sz w:val="24"/>
          <w:szCs w:val="24"/>
        </w:rPr>
        <w:t>DER to</w:t>
      </w:r>
      <w:r w:rsidRPr="52F164E3" w:rsidR="00892C74">
        <w:rPr>
          <w:rFonts w:ascii="Arial" w:hAnsi="Arial" w:cs="Arial"/>
          <w:sz w:val="24"/>
          <w:szCs w:val="24"/>
        </w:rPr>
        <w:t xml:space="preserve"> obtain the documentation and maintain the </w:t>
      </w:r>
      <w:r w:rsidRPr="52F164E3" w:rsidR="000258A6">
        <w:rPr>
          <w:rFonts w:ascii="Arial" w:hAnsi="Arial" w:cs="Arial"/>
          <w:sz w:val="24"/>
          <w:szCs w:val="24"/>
        </w:rPr>
        <w:t>records, the Drug Abatement Division determined it</w:t>
      </w:r>
      <w:r w:rsidRPr="52F164E3" w:rsidR="00156E02">
        <w:rPr>
          <w:rFonts w:ascii="Arial" w:hAnsi="Arial" w:cs="Arial"/>
          <w:sz w:val="24"/>
          <w:szCs w:val="24"/>
        </w:rPr>
        <w:t xml:space="preserve"> would take the DER 2.0 hours.</w:t>
      </w:r>
    </w:p>
    <w:p w:rsidR="00CA30AA" w:rsidRPr="00CC2F5E" w:rsidP="00C64707" w14:paraId="528EFD26" w14:textId="77777777">
      <w:pPr>
        <w:shd w:val="clear" w:color="auto" w:fill="FFFFFF"/>
        <w:spacing w:after="0" w:line="240" w:lineRule="auto"/>
        <w:rPr>
          <w:rFonts w:ascii="Arial" w:eastAsia="Times New Roman" w:hAnsi="Arial" w:cs="Arial"/>
          <w:sz w:val="24"/>
          <w:szCs w:val="24"/>
        </w:rPr>
      </w:pPr>
    </w:p>
    <w:p w:rsidR="000E0306" w:rsidRPr="00CC2F5E" w:rsidP="000E0306" w14:paraId="4C7BEA9A" w14:textId="02E7CD0D">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Voluntary Disclosures</w:t>
      </w:r>
    </w:p>
    <w:tbl>
      <w:tblPr>
        <w:tblW w:w="8810" w:type="dxa"/>
        <w:tblCellMar>
          <w:left w:w="0" w:type="dxa"/>
          <w:right w:w="0" w:type="dxa"/>
        </w:tblCellMar>
        <w:tblLook w:val="04A0"/>
      </w:tblPr>
      <w:tblGrid>
        <w:gridCol w:w="3410"/>
        <w:gridCol w:w="1800"/>
        <w:gridCol w:w="2055"/>
        <w:gridCol w:w="1545"/>
      </w:tblGrid>
      <w:tr w14:paraId="7663F983"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48E3FB1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6D24D029"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852AC2E"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56A44125" w14:textId="77777777">
            <w:pPr>
              <w:rPr>
                <w:rFonts w:ascii="Arial" w:hAnsi="Arial" w:cs="Arial"/>
                <w:b/>
                <w:bCs/>
                <w:sz w:val="24"/>
                <w:szCs w:val="24"/>
              </w:rPr>
            </w:pPr>
            <w:r w:rsidRPr="00CC2F5E">
              <w:rPr>
                <w:rFonts w:ascii="Arial" w:hAnsi="Arial" w:cs="Arial"/>
                <w:b/>
                <w:bCs/>
                <w:sz w:val="24"/>
                <w:szCs w:val="24"/>
              </w:rPr>
              <w:t>Disclosure</w:t>
            </w:r>
          </w:p>
        </w:tc>
      </w:tr>
      <w:tr w14:paraId="196517B4"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46804F5"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55931A45" w14:textId="3CA3A2CA">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763BF3B"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18ABFF12" w14:textId="643B897D">
            <w:pPr>
              <w:rPr>
                <w:rFonts w:ascii="Arial" w:hAnsi="Arial" w:cs="Arial"/>
                <w:sz w:val="24"/>
                <w:szCs w:val="24"/>
              </w:rPr>
            </w:pPr>
            <w:r w:rsidRPr="00CC2F5E">
              <w:rPr>
                <w:rFonts w:ascii="Arial" w:hAnsi="Arial" w:cs="Arial"/>
                <w:sz w:val="24"/>
                <w:szCs w:val="24"/>
              </w:rPr>
              <w:t>194</w:t>
            </w:r>
          </w:p>
        </w:tc>
      </w:tr>
      <w:tr w14:paraId="2587775F"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64B16C7"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9B5A796" w14:textId="6CA8F4A6">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8EAF06B"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18162B4A" w14:textId="0B47543D">
            <w:pPr>
              <w:rPr>
                <w:rFonts w:ascii="Arial" w:hAnsi="Arial" w:cs="Arial"/>
                <w:sz w:val="24"/>
                <w:szCs w:val="24"/>
              </w:rPr>
            </w:pPr>
            <w:r w:rsidRPr="00CC2F5E">
              <w:rPr>
                <w:rFonts w:ascii="Arial" w:hAnsi="Arial" w:cs="Arial"/>
                <w:sz w:val="24"/>
                <w:szCs w:val="24"/>
              </w:rPr>
              <w:t>1</w:t>
            </w:r>
          </w:p>
        </w:tc>
      </w:tr>
      <w:tr w14:paraId="6852EED4"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8FB47E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3B028BAA" w14:textId="28BE7945">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BB4C050"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842AD2" w14:paraId="1042A8D0" w14:textId="56A8C75C">
            <w:pPr>
              <w:rPr>
                <w:rFonts w:ascii="Arial" w:hAnsi="Arial" w:cs="Arial"/>
                <w:sz w:val="24"/>
                <w:szCs w:val="24"/>
              </w:rPr>
            </w:pPr>
            <w:r w:rsidRPr="00CC2F5E">
              <w:rPr>
                <w:rFonts w:ascii="Arial" w:hAnsi="Arial" w:cs="Arial"/>
                <w:sz w:val="24"/>
                <w:szCs w:val="24"/>
              </w:rPr>
              <w:t>40</w:t>
            </w:r>
            <w:r w:rsidRPr="00CC2F5E" w:rsidR="00970E7D">
              <w:rPr>
                <w:rFonts w:ascii="Arial" w:hAnsi="Arial" w:cs="Arial"/>
                <w:sz w:val="24"/>
                <w:szCs w:val="24"/>
              </w:rPr>
              <w:t>.0</w:t>
            </w:r>
            <w:r w:rsidRPr="00CC2F5E">
              <w:rPr>
                <w:rFonts w:ascii="Arial" w:hAnsi="Arial" w:cs="Arial"/>
                <w:sz w:val="24"/>
                <w:szCs w:val="24"/>
              </w:rPr>
              <w:t xml:space="preserve"> hours</w:t>
            </w:r>
          </w:p>
        </w:tc>
      </w:tr>
      <w:tr w14:paraId="501E5F88"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50A12EDB"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528F5A5B" w14:textId="2E3F1460">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08A23E2"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2E8F723D" w14:textId="443942A0">
            <w:pPr>
              <w:rPr>
                <w:rFonts w:ascii="Arial" w:hAnsi="Arial" w:cs="Arial"/>
                <w:sz w:val="24"/>
                <w:szCs w:val="24"/>
              </w:rPr>
            </w:pPr>
            <w:r w:rsidRPr="00CC2F5E">
              <w:rPr>
                <w:rFonts w:ascii="Arial" w:hAnsi="Arial" w:cs="Arial"/>
                <w:sz w:val="24"/>
                <w:szCs w:val="24"/>
              </w:rPr>
              <w:t>19</w:t>
            </w:r>
            <w:r w:rsidRPr="00CC2F5E" w:rsidR="000A09CE">
              <w:rPr>
                <w:rFonts w:ascii="Arial" w:hAnsi="Arial" w:cs="Arial"/>
                <w:sz w:val="24"/>
                <w:szCs w:val="24"/>
              </w:rPr>
              <w:t>4</w:t>
            </w:r>
          </w:p>
        </w:tc>
      </w:tr>
      <w:tr w14:paraId="18BEB4BB"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843C849"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B67773B" w14:textId="6A0761EC">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B55DCAF" w14:textId="77777777">
            <w:pPr>
              <w:rPr>
                <w:rFonts w:ascii="Arial" w:hAnsi="Arial" w:cs="Arial"/>
                <w:sz w:val="24"/>
                <w:szCs w:val="24"/>
              </w:rPr>
            </w:pP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8002600" w14:textId="63BDDBC0">
            <w:pPr>
              <w:rPr>
                <w:rFonts w:ascii="Arial" w:hAnsi="Arial" w:cs="Arial"/>
                <w:sz w:val="24"/>
                <w:szCs w:val="24"/>
              </w:rPr>
            </w:pPr>
            <w:r w:rsidRPr="00CC2F5E">
              <w:rPr>
                <w:rFonts w:ascii="Arial" w:hAnsi="Arial" w:cs="Arial"/>
                <w:sz w:val="24"/>
                <w:szCs w:val="24"/>
              </w:rPr>
              <w:t>7,7</w:t>
            </w:r>
            <w:r w:rsidRPr="00CC2F5E" w:rsidR="000A09CE">
              <w:rPr>
                <w:rFonts w:ascii="Arial" w:hAnsi="Arial" w:cs="Arial"/>
                <w:sz w:val="24"/>
                <w:szCs w:val="24"/>
              </w:rPr>
              <w:t>60</w:t>
            </w:r>
          </w:p>
        </w:tc>
      </w:tr>
    </w:tbl>
    <w:p w:rsidR="00217A6D" w:rsidRPr="00CC2F5E" w:rsidP="00217A6D" w14:paraId="1C85012E" w14:textId="33C31C97">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A476DF">
        <w:rPr>
          <w:rFonts w:ascii="Arial" w:hAnsi="Arial" w:cs="Arial"/>
          <w:sz w:val="24"/>
          <w:szCs w:val="24"/>
        </w:rPr>
        <w:t xml:space="preserve">Any respondent may submit a </w:t>
      </w:r>
      <w:r w:rsidRPr="52F164E3" w:rsidR="00007800">
        <w:rPr>
          <w:rFonts w:ascii="Arial" w:hAnsi="Arial" w:cs="Arial"/>
          <w:sz w:val="24"/>
          <w:szCs w:val="24"/>
        </w:rPr>
        <w:t>voluntary disclosure (in accordance with Advisory Circular 120-117) to report a</w:t>
      </w:r>
      <w:r w:rsidRPr="52F164E3" w:rsidR="00312922">
        <w:rPr>
          <w:rFonts w:ascii="Arial" w:hAnsi="Arial" w:cs="Arial"/>
          <w:sz w:val="24"/>
          <w:szCs w:val="24"/>
        </w:rPr>
        <w:t>ny</w:t>
      </w:r>
      <w:r w:rsidRPr="52F164E3" w:rsidR="00007800">
        <w:rPr>
          <w:rFonts w:ascii="Arial" w:hAnsi="Arial" w:cs="Arial"/>
          <w:sz w:val="24"/>
          <w:szCs w:val="24"/>
        </w:rPr>
        <w:t xml:space="preserve"> noncompliance issue</w:t>
      </w:r>
      <w:r w:rsidRPr="52F164E3" w:rsidR="00A476DF">
        <w:rPr>
          <w:rFonts w:ascii="Arial" w:hAnsi="Arial" w:cs="Arial"/>
          <w:sz w:val="24"/>
          <w:szCs w:val="24"/>
        </w:rPr>
        <w:t xml:space="preserve"> it discovers</w:t>
      </w:r>
      <w:r w:rsidRPr="52F164E3" w:rsidR="00007800">
        <w:rPr>
          <w:rFonts w:ascii="Arial" w:hAnsi="Arial" w:cs="Arial"/>
          <w:sz w:val="24"/>
          <w:szCs w:val="24"/>
        </w:rPr>
        <w:t>. T</w:t>
      </w:r>
      <w:r w:rsidRPr="52F164E3" w:rsidR="00A476DF">
        <w:rPr>
          <w:rFonts w:ascii="Arial" w:hAnsi="Arial" w:cs="Arial"/>
          <w:sz w:val="24"/>
          <w:szCs w:val="24"/>
        </w:rPr>
        <w:t>o calculate the number of respondents, the D</w:t>
      </w:r>
      <w:r w:rsidRPr="52F164E3" w:rsidR="00007800">
        <w:rPr>
          <w:rFonts w:ascii="Arial" w:hAnsi="Arial" w:cs="Arial"/>
          <w:sz w:val="24"/>
          <w:szCs w:val="24"/>
        </w:rPr>
        <w:t>rug Abatement Division</w:t>
      </w:r>
      <w:r w:rsidRPr="52F164E3" w:rsidR="00D57457">
        <w:rPr>
          <w:rFonts w:ascii="Arial" w:hAnsi="Arial" w:cs="Arial"/>
          <w:sz w:val="24"/>
          <w:szCs w:val="24"/>
        </w:rPr>
        <w:t xml:space="preserve"> used the number of disclosures</w:t>
      </w:r>
      <w:r w:rsidRPr="52F164E3" w:rsidR="000258A6">
        <w:rPr>
          <w:rFonts w:ascii="Arial" w:hAnsi="Arial" w:cs="Arial"/>
          <w:sz w:val="24"/>
          <w:szCs w:val="24"/>
        </w:rPr>
        <w:t xml:space="preserve"> reported during </w:t>
      </w:r>
      <w:r w:rsidRPr="52F164E3" w:rsidR="00D57457">
        <w:rPr>
          <w:rFonts w:ascii="Arial" w:hAnsi="Arial" w:cs="Arial"/>
          <w:sz w:val="24"/>
          <w:szCs w:val="24"/>
        </w:rPr>
        <w:t>the period March 31, 2019</w:t>
      </w:r>
      <w:r w:rsidRPr="52F164E3" w:rsidR="00300A57">
        <w:rPr>
          <w:rFonts w:ascii="Arial" w:hAnsi="Arial" w:cs="Arial"/>
          <w:sz w:val="24"/>
          <w:szCs w:val="24"/>
        </w:rPr>
        <w:t>,</w:t>
      </w:r>
      <w:r w:rsidRPr="52F164E3" w:rsidR="00D57457">
        <w:rPr>
          <w:rFonts w:ascii="Arial" w:hAnsi="Arial" w:cs="Arial"/>
          <w:sz w:val="24"/>
          <w:szCs w:val="24"/>
        </w:rPr>
        <w:t xml:space="preserve"> to March 31, 2020.  </w:t>
      </w:r>
      <w:r w:rsidRPr="52F164E3">
        <w:rPr>
          <w:rFonts w:ascii="Arial" w:hAnsi="Arial" w:cs="Arial"/>
          <w:sz w:val="24"/>
          <w:szCs w:val="24"/>
        </w:rPr>
        <w:t xml:space="preserve">Based on the time it takes the </w:t>
      </w:r>
      <w:r w:rsidRPr="52F164E3" w:rsidR="00007800">
        <w:rPr>
          <w:rFonts w:ascii="Arial" w:hAnsi="Arial" w:cs="Arial"/>
          <w:sz w:val="24"/>
          <w:szCs w:val="24"/>
        </w:rPr>
        <w:t xml:space="preserve">DER </w:t>
      </w:r>
      <w:r w:rsidRPr="52F164E3">
        <w:rPr>
          <w:rFonts w:ascii="Arial" w:hAnsi="Arial" w:cs="Arial"/>
          <w:sz w:val="24"/>
          <w:szCs w:val="24"/>
        </w:rPr>
        <w:t>to</w:t>
      </w:r>
      <w:r w:rsidRPr="52F164E3" w:rsidR="00A476DF">
        <w:rPr>
          <w:rFonts w:ascii="Arial" w:hAnsi="Arial" w:cs="Arial"/>
          <w:sz w:val="24"/>
          <w:szCs w:val="24"/>
        </w:rPr>
        <w:t xml:space="preserve"> identify the noncompliance, investigate the matter and collect the supporting evidence, </w:t>
      </w:r>
      <w:r w:rsidRPr="52F164E3" w:rsidR="00A476DF">
        <w:rPr>
          <w:rFonts w:ascii="Arial" w:hAnsi="Arial" w:cs="Arial"/>
          <w:sz w:val="24"/>
          <w:szCs w:val="24"/>
        </w:rPr>
        <w:t>establish</w:t>
      </w:r>
      <w:r w:rsidRPr="52F164E3" w:rsidR="00A476DF">
        <w:rPr>
          <w:rFonts w:ascii="Arial" w:hAnsi="Arial" w:cs="Arial"/>
          <w:sz w:val="24"/>
          <w:szCs w:val="24"/>
        </w:rPr>
        <w:t xml:space="preserve"> and document the comprehensive fix, notify the Drug Abatement Division and </w:t>
      </w:r>
      <w:r w:rsidRPr="52F164E3" w:rsidR="000258A6">
        <w:rPr>
          <w:rFonts w:ascii="Arial" w:hAnsi="Arial" w:cs="Arial"/>
          <w:sz w:val="24"/>
          <w:szCs w:val="24"/>
        </w:rPr>
        <w:t xml:space="preserve">provide any follow-up information, the Drug Abatement Division determined it would take the DER up to 40.0 hours. This is a significant change </w:t>
      </w:r>
      <w:r w:rsidRPr="52F164E3" w:rsidR="00007800">
        <w:rPr>
          <w:rFonts w:ascii="Arial" w:hAnsi="Arial" w:cs="Arial"/>
          <w:sz w:val="24"/>
          <w:szCs w:val="24"/>
        </w:rPr>
        <w:t xml:space="preserve">from the previous estimate of 9.0 hours </w:t>
      </w:r>
      <w:r w:rsidRPr="52F164E3" w:rsidR="000258A6">
        <w:rPr>
          <w:rFonts w:ascii="Arial" w:hAnsi="Arial" w:cs="Arial"/>
          <w:sz w:val="24"/>
          <w:szCs w:val="24"/>
        </w:rPr>
        <w:t xml:space="preserve">based on </w:t>
      </w:r>
      <w:r w:rsidRPr="52F164E3" w:rsidR="00007800">
        <w:rPr>
          <w:rFonts w:ascii="Arial" w:hAnsi="Arial" w:cs="Arial"/>
          <w:sz w:val="24"/>
          <w:szCs w:val="24"/>
        </w:rPr>
        <w:t xml:space="preserve">the DER’s necessity to determine </w:t>
      </w:r>
      <w:r w:rsidRPr="52F164E3" w:rsidR="000258A6">
        <w:rPr>
          <w:rFonts w:ascii="Arial" w:hAnsi="Arial" w:cs="Arial"/>
          <w:sz w:val="24"/>
          <w:szCs w:val="24"/>
        </w:rPr>
        <w:t xml:space="preserve">the root cause of the noncompliance, </w:t>
      </w:r>
      <w:r w:rsidRPr="52F164E3" w:rsidR="00007800">
        <w:rPr>
          <w:rFonts w:ascii="Arial" w:hAnsi="Arial" w:cs="Arial"/>
          <w:sz w:val="24"/>
          <w:szCs w:val="24"/>
        </w:rPr>
        <w:t xml:space="preserve">conduct a </w:t>
      </w:r>
      <w:r w:rsidRPr="52F164E3" w:rsidR="000258A6">
        <w:rPr>
          <w:rFonts w:ascii="Arial" w:hAnsi="Arial" w:cs="Arial"/>
          <w:sz w:val="24"/>
          <w:szCs w:val="24"/>
        </w:rPr>
        <w:t xml:space="preserve">risk </w:t>
      </w:r>
      <w:r w:rsidRPr="52F164E3" w:rsidR="000258A6">
        <w:rPr>
          <w:rFonts w:ascii="Arial" w:hAnsi="Arial" w:cs="Arial"/>
          <w:sz w:val="24"/>
          <w:szCs w:val="24"/>
        </w:rPr>
        <w:t>analysis</w:t>
      </w:r>
      <w:r w:rsidRPr="52F164E3" w:rsidR="000258A6">
        <w:rPr>
          <w:rFonts w:ascii="Arial" w:hAnsi="Arial" w:cs="Arial"/>
          <w:sz w:val="24"/>
          <w:szCs w:val="24"/>
        </w:rPr>
        <w:t xml:space="preserve"> and provid</w:t>
      </w:r>
      <w:r w:rsidRPr="52F164E3" w:rsidR="00007800">
        <w:rPr>
          <w:rFonts w:ascii="Arial" w:hAnsi="Arial" w:cs="Arial"/>
          <w:sz w:val="24"/>
          <w:szCs w:val="24"/>
        </w:rPr>
        <w:t>e</w:t>
      </w:r>
      <w:r w:rsidRPr="52F164E3" w:rsidR="000258A6">
        <w:rPr>
          <w:rFonts w:ascii="Arial" w:hAnsi="Arial" w:cs="Arial"/>
          <w:sz w:val="24"/>
          <w:szCs w:val="24"/>
        </w:rPr>
        <w:t xml:space="preserve"> sufficient corrective action as part of the FAA’s oversight and compliance program. The Drug Abatement </w:t>
      </w:r>
      <w:r w:rsidRPr="52F164E3" w:rsidR="005007B9">
        <w:rPr>
          <w:rFonts w:ascii="Arial" w:hAnsi="Arial" w:cs="Arial"/>
          <w:sz w:val="24"/>
          <w:szCs w:val="24"/>
        </w:rPr>
        <w:t>Division</w:t>
      </w:r>
      <w:r w:rsidRPr="52F164E3" w:rsidR="000258A6">
        <w:rPr>
          <w:rFonts w:ascii="Arial" w:hAnsi="Arial" w:cs="Arial"/>
          <w:sz w:val="24"/>
          <w:szCs w:val="24"/>
        </w:rPr>
        <w:t xml:space="preserve"> </w:t>
      </w:r>
      <w:r w:rsidRPr="52F164E3" w:rsidR="00A476DF">
        <w:rPr>
          <w:rFonts w:ascii="Arial" w:hAnsi="Arial" w:cs="Arial"/>
          <w:sz w:val="24"/>
          <w:szCs w:val="24"/>
        </w:rPr>
        <w:t xml:space="preserve">compared its own experience of investigating a noncompliance issue and determined a </w:t>
      </w:r>
      <w:r w:rsidRPr="52F164E3" w:rsidR="00A476DF">
        <w:rPr>
          <w:rFonts w:ascii="Arial" w:hAnsi="Arial" w:cs="Arial"/>
          <w:sz w:val="24"/>
          <w:szCs w:val="24"/>
        </w:rPr>
        <w:t>40.0 hour</w:t>
      </w:r>
      <w:r w:rsidRPr="52F164E3" w:rsidR="00A476DF">
        <w:rPr>
          <w:rFonts w:ascii="Arial" w:hAnsi="Arial" w:cs="Arial"/>
          <w:sz w:val="24"/>
          <w:szCs w:val="24"/>
        </w:rPr>
        <w:t xml:space="preserve"> estimate is more accurate.</w:t>
      </w:r>
    </w:p>
    <w:p w:rsidR="00CA30AA" w:rsidRPr="00CC2F5E" w:rsidP="00C64707" w14:paraId="6FF5B6A4" w14:textId="358B10C3">
      <w:pPr>
        <w:shd w:val="clear" w:color="auto" w:fill="FFFFFF"/>
        <w:spacing w:after="0" w:line="240" w:lineRule="auto"/>
        <w:rPr>
          <w:rFonts w:ascii="Arial" w:eastAsia="Times New Roman" w:hAnsi="Arial" w:cs="Arial"/>
          <w:sz w:val="24"/>
          <w:szCs w:val="24"/>
        </w:rPr>
      </w:pPr>
    </w:p>
    <w:p w:rsidR="000E0306" w:rsidRPr="00CC2F5E" w:rsidP="000E0306" w14:paraId="11B2238C" w14:textId="3E282D6D">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Emergency Maintenance Reports</w:t>
      </w:r>
    </w:p>
    <w:tbl>
      <w:tblPr>
        <w:tblW w:w="8900" w:type="dxa"/>
        <w:tblCellMar>
          <w:left w:w="0" w:type="dxa"/>
          <w:right w:w="0" w:type="dxa"/>
        </w:tblCellMar>
        <w:tblLook w:val="04A0"/>
      </w:tblPr>
      <w:tblGrid>
        <w:gridCol w:w="3410"/>
        <w:gridCol w:w="1800"/>
        <w:gridCol w:w="2010"/>
        <w:gridCol w:w="1680"/>
      </w:tblGrid>
      <w:tr w14:paraId="6E1555B1"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A0A71B3"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7DB8C793"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4CD53CE" w14:textId="77777777">
            <w:pPr>
              <w:rPr>
                <w:rFonts w:ascii="Arial" w:hAnsi="Arial" w:cs="Arial"/>
                <w:b/>
                <w:bCs/>
                <w:sz w:val="24"/>
                <w:szCs w:val="24"/>
              </w:rPr>
            </w:pPr>
            <w:r w:rsidRPr="00CC2F5E">
              <w:rPr>
                <w:rFonts w:ascii="Arial" w:hAnsi="Arial" w:cs="Arial"/>
                <w:b/>
                <w:bCs/>
                <w:sz w:val="24"/>
                <w:szCs w:val="24"/>
              </w:rPr>
              <w:t>Recordkeeping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4414D3FC" w14:textId="77777777">
            <w:pPr>
              <w:rPr>
                <w:rFonts w:ascii="Arial" w:hAnsi="Arial" w:cs="Arial"/>
                <w:b/>
                <w:bCs/>
                <w:sz w:val="24"/>
                <w:szCs w:val="24"/>
              </w:rPr>
            </w:pPr>
            <w:r w:rsidRPr="00CC2F5E">
              <w:rPr>
                <w:rFonts w:ascii="Arial" w:hAnsi="Arial" w:cs="Arial"/>
                <w:b/>
                <w:bCs/>
                <w:sz w:val="24"/>
                <w:szCs w:val="24"/>
              </w:rPr>
              <w:t>Disclosure</w:t>
            </w:r>
          </w:p>
        </w:tc>
      </w:tr>
      <w:tr w14:paraId="5B21A83F"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43855DC3"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E6AE26B" w14:textId="05A4369C">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57D283F" w14:textId="07CFBAB1">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7D7DB8A6" w14:textId="77777777">
            <w:pPr>
              <w:rPr>
                <w:rFonts w:ascii="Arial" w:hAnsi="Arial" w:cs="Arial"/>
                <w:sz w:val="24"/>
                <w:szCs w:val="24"/>
              </w:rPr>
            </w:pPr>
          </w:p>
        </w:tc>
      </w:tr>
      <w:tr w14:paraId="18024C67"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540611D"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1DA626A" w14:textId="1D77EEDE">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31FE3DEC" w14:textId="32ED7BD2">
            <w:pPr>
              <w:rPr>
                <w:rFonts w:ascii="Arial" w:hAnsi="Arial" w:cs="Arial"/>
                <w:sz w:val="24"/>
                <w:szCs w:val="24"/>
              </w:rPr>
            </w:pPr>
            <w:r w:rsidRPr="00CC2F5E">
              <w:rPr>
                <w:rFonts w:ascii="Arial" w:hAnsi="Arial" w:cs="Arial"/>
                <w:sz w:val="24"/>
                <w:szCs w:val="24"/>
              </w:rPr>
              <w:t>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019A502C" w14:textId="77777777">
            <w:pPr>
              <w:rPr>
                <w:rFonts w:ascii="Arial" w:hAnsi="Arial" w:cs="Arial"/>
                <w:sz w:val="24"/>
                <w:szCs w:val="24"/>
              </w:rPr>
            </w:pPr>
          </w:p>
        </w:tc>
      </w:tr>
      <w:tr w14:paraId="54E2481C"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B39C989"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2F56200" w14:textId="6D787372">
            <w:pPr>
              <w:rPr>
                <w:rFonts w:ascii="Arial" w:hAnsi="Arial" w:cs="Arial"/>
                <w:sz w:val="24"/>
                <w:szCs w:val="24"/>
              </w:rPr>
            </w:pPr>
            <w:r w:rsidRPr="00CC2F5E">
              <w:rPr>
                <w:rFonts w:ascii="Arial" w:hAnsi="Arial" w:cs="Arial"/>
                <w:sz w:val="24"/>
                <w:szCs w:val="24"/>
              </w:rPr>
              <w:t>1.0</w:t>
            </w:r>
            <w:r w:rsidRPr="00CC2F5E" w:rsidR="00DF3A3A">
              <w:rPr>
                <w:rFonts w:ascii="Arial" w:hAnsi="Arial" w:cs="Arial"/>
                <w:sz w:val="24"/>
                <w:szCs w:val="24"/>
              </w:rPr>
              <w:t>0 hour</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7ABD784B" w14:textId="7040F4AA">
            <w:pPr>
              <w:rPr>
                <w:rFonts w:ascii="Arial" w:hAnsi="Arial" w:cs="Arial"/>
                <w:sz w:val="24"/>
                <w:szCs w:val="24"/>
              </w:rPr>
            </w:pPr>
            <w:r w:rsidRPr="00CC2F5E">
              <w:rPr>
                <w:rFonts w:ascii="Arial" w:hAnsi="Arial" w:cs="Arial"/>
                <w:sz w:val="24"/>
                <w:szCs w:val="24"/>
              </w:rPr>
              <w:t>0.25 hour</w:t>
            </w:r>
            <w:r w:rsidRPr="00CC2F5E" w:rsidR="00125C81">
              <w:rPr>
                <w:rFonts w:ascii="Arial" w:hAnsi="Arial" w:cs="Arial"/>
                <w:sz w:val="24"/>
                <w:szCs w:val="24"/>
              </w:rPr>
              <w:t>s</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1BCD91E" w14:textId="77777777">
            <w:pPr>
              <w:rPr>
                <w:rFonts w:ascii="Arial" w:hAnsi="Arial" w:cs="Arial"/>
                <w:sz w:val="24"/>
                <w:szCs w:val="24"/>
              </w:rPr>
            </w:pPr>
          </w:p>
        </w:tc>
      </w:tr>
      <w:tr w14:paraId="2C69180C"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0E0306" w:rsidRPr="00CC2F5E" w:rsidP="00F7533D" w14:paraId="07F54FD0"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CC2F5E" w:rsidP="00F7533D" w14:paraId="690398C8" w14:textId="4739DEBC">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0E0306" w:rsidRPr="00CC2F5E" w:rsidP="00F7533D" w14:paraId="4A090FAA" w14:textId="1222A240">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1680" w:type="dxa"/>
            <w:tcBorders>
              <w:top w:val="nil"/>
              <w:left w:val="nil"/>
              <w:bottom w:val="single" w:sz="4" w:space="0" w:color="auto"/>
              <w:right w:val="single" w:sz="8" w:space="0" w:color="auto"/>
            </w:tcBorders>
            <w:tcMar>
              <w:top w:w="0" w:type="dxa"/>
              <w:left w:w="108" w:type="dxa"/>
              <w:bottom w:w="0" w:type="dxa"/>
              <w:right w:w="108" w:type="dxa"/>
            </w:tcMar>
          </w:tcPr>
          <w:p w:rsidR="000E0306" w:rsidRPr="00CC2F5E" w:rsidP="00F7533D" w14:paraId="58AAD2E2" w14:textId="77777777">
            <w:pPr>
              <w:rPr>
                <w:rFonts w:ascii="Arial" w:hAnsi="Arial" w:cs="Arial"/>
                <w:sz w:val="24"/>
                <w:szCs w:val="24"/>
              </w:rPr>
            </w:pPr>
          </w:p>
        </w:tc>
      </w:tr>
      <w:tr w14:paraId="08A7B678" w14:textId="77777777" w:rsidTr="00561F40">
        <w:tblPrEx>
          <w:tblW w:w="890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E0306" w:rsidRPr="00CC2F5E" w:rsidP="00F7533D" w14:paraId="56CC461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CC2F5E" w:rsidP="00F7533D" w14:paraId="75A905D7" w14:textId="55B71D75">
            <w:pPr>
              <w:rPr>
                <w:rFonts w:ascii="Arial" w:hAnsi="Arial" w:cs="Arial"/>
                <w:sz w:val="24"/>
                <w:szCs w:val="24"/>
              </w:rPr>
            </w:pPr>
            <w:r w:rsidRPr="00CC2F5E">
              <w:rPr>
                <w:rFonts w:ascii="Arial" w:hAnsi="Arial" w:cs="Arial"/>
                <w:sz w:val="24"/>
                <w:szCs w:val="24"/>
              </w:rPr>
              <w:t>1</w:t>
            </w:r>
            <w:r w:rsidRPr="00CC2F5E" w:rsidR="000A09CE">
              <w:rPr>
                <w:rFonts w:ascii="Arial" w:hAnsi="Arial" w:cs="Arial"/>
                <w:sz w:val="24"/>
                <w:szCs w:val="24"/>
              </w:rPr>
              <w:t>7</w:t>
            </w:r>
          </w:p>
        </w:tc>
        <w:tc>
          <w:tcPr>
            <w:tcW w:w="20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E0306" w:rsidRPr="00CC2F5E" w:rsidP="00F7533D" w14:paraId="7051F91F" w14:textId="3C4F1819">
            <w:pPr>
              <w:rPr>
                <w:rFonts w:ascii="Arial" w:hAnsi="Arial" w:cs="Arial"/>
                <w:sz w:val="24"/>
                <w:szCs w:val="24"/>
              </w:rPr>
            </w:pPr>
            <w:r w:rsidRPr="00CC2F5E">
              <w:rPr>
                <w:rFonts w:ascii="Arial" w:hAnsi="Arial" w:cs="Arial"/>
                <w:sz w:val="24"/>
                <w:szCs w:val="24"/>
              </w:rPr>
              <w:t>4</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E0306" w:rsidRPr="00CC2F5E" w:rsidP="00F7533D" w14:paraId="13CF0962" w14:textId="77777777">
            <w:pPr>
              <w:rPr>
                <w:rFonts w:ascii="Arial" w:hAnsi="Arial" w:cs="Arial"/>
                <w:sz w:val="24"/>
                <w:szCs w:val="24"/>
              </w:rPr>
            </w:pPr>
          </w:p>
        </w:tc>
      </w:tr>
    </w:tbl>
    <w:p w:rsidR="00EF2559" w:rsidRPr="00CC2F5E" w:rsidP="00EF2559" w14:paraId="7A554B83" w14:textId="72AA40BA">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A476DF">
        <w:rPr>
          <w:rFonts w:ascii="Arial" w:hAnsi="Arial" w:cs="Arial"/>
          <w:sz w:val="24"/>
          <w:szCs w:val="24"/>
        </w:rPr>
        <w:t>Each respondent that conducts</w:t>
      </w:r>
      <w:r w:rsidRPr="52F164E3" w:rsidR="00007800">
        <w:rPr>
          <w:rFonts w:ascii="Arial" w:hAnsi="Arial" w:cs="Arial"/>
          <w:sz w:val="24"/>
          <w:szCs w:val="24"/>
        </w:rPr>
        <w:t xml:space="preserve"> on-demand </w:t>
      </w:r>
      <w:r w:rsidRPr="52F164E3" w:rsidR="00A476DF">
        <w:rPr>
          <w:rFonts w:ascii="Arial" w:hAnsi="Arial" w:cs="Arial"/>
          <w:sz w:val="24"/>
          <w:szCs w:val="24"/>
        </w:rPr>
        <w:t xml:space="preserve">operations and requires emergency maintenance </w:t>
      </w:r>
      <w:r w:rsidRPr="52F164E3" w:rsidR="00007800">
        <w:rPr>
          <w:rFonts w:ascii="Arial" w:hAnsi="Arial" w:cs="Arial"/>
          <w:sz w:val="24"/>
          <w:szCs w:val="24"/>
        </w:rPr>
        <w:t>must provide written notification to the Drug Abatement Division and retain copies for</w:t>
      </w:r>
      <w:r w:rsidRPr="52F164E3" w:rsidR="00A476DF">
        <w:rPr>
          <w:rFonts w:ascii="Arial" w:hAnsi="Arial" w:cs="Arial"/>
          <w:sz w:val="24"/>
          <w:szCs w:val="24"/>
        </w:rPr>
        <w:t xml:space="preserve"> </w:t>
      </w:r>
      <w:r w:rsidRPr="52F164E3" w:rsidR="00007800">
        <w:rPr>
          <w:rFonts w:ascii="Arial" w:hAnsi="Arial" w:cs="Arial"/>
          <w:sz w:val="24"/>
          <w:szCs w:val="24"/>
        </w:rPr>
        <w:t>2 years. T</w:t>
      </w:r>
      <w:r w:rsidRPr="52F164E3" w:rsidR="002D67CD">
        <w:rPr>
          <w:rFonts w:ascii="Arial" w:hAnsi="Arial" w:cs="Arial"/>
          <w:sz w:val="24"/>
          <w:szCs w:val="24"/>
        </w:rPr>
        <w:t xml:space="preserve">o calculate </w:t>
      </w:r>
      <w:r w:rsidRPr="52F164E3" w:rsidR="00A476DF">
        <w:rPr>
          <w:rFonts w:ascii="Arial" w:hAnsi="Arial" w:cs="Arial"/>
          <w:sz w:val="24"/>
          <w:szCs w:val="24"/>
        </w:rPr>
        <w:t xml:space="preserve">the number of respondents, the </w:t>
      </w:r>
      <w:r w:rsidRPr="52F164E3" w:rsidR="00007800">
        <w:rPr>
          <w:rFonts w:ascii="Arial" w:hAnsi="Arial" w:cs="Arial"/>
          <w:sz w:val="24"/>
          <w:szCs w:val="24"/>
        </w:rPr>
        <w:t xml:space="preserve">Drug Abatement Division used </w:t>
      </w:r>
      <w:r w:rsidRPr="52F164E3" w:rsidR="00717E62">
        <w:rPr>
          <w:rFonts w:ascii="Arial" w:hAnsi="Arial" w:cs="Arial"/>
          <w:sz w:val="24"/>
          <w:szCs w:val="24"/>
        </w:rPr>
        <w:t xml:space="preserve">the number of </w:t>
      </w:r>
      <w:r w:rsidRPr="52F164E3" w:rsidR="002D67CD">
        <w:rPr>
          <w:rFonts w:ascii="Arial" w:hAnsi="Arial" w:cs="Arial"/>
          <w:sz w:val="24"/>
          <w:szCs w:val="24"/>
        </w:rPr>
        <w:t>emergency maintenance reports submitted</w:t>
      </w:r>
      <w:r w:rsidRPr="52F164E3">
        <w:rPr>
          <w:rFonts w:ascii="Arial" w:hAnsi="Arial" w:cs="Arial"/>
          <w:sz w:val="24"/>
          <w:szCs w:val="24"/>
        </w:rPr>
        <w:t xml:space="preserve"> </w:t>
      </w:r>
      <w:r w:rsidRPr="52F164E3" w:rsidR="005007B9">
        <w:rPr>
          <w:rFonts w:ascii="Arial" w:hAnsi="Arial" w:cs="Arial"/>
          <w:sz w:val="24"/>
          <w:szCs w:val="24"/>
        </w:rPr>
        <w:t>during</w:t>
      </w:r>
      <w:r w:rsidRPr="52F164E3">
        <w:rPr>
          <w:rFonts w:ascii="Arial" w:hAnsi="Arial" w:cs="Arial"/>
          <w:sz w:val="24"/>
          <w:szCs w:val="24"/>
        </w:rPr>
        <w:t xml:space="preserve"> the period of March 31, 2019</w:t>
      </w:r>
      <w:r w:rsidRPr="52F164E3" w:rsidR="00300A57">
        <w:rPr>
          <w:rFonts w:ascii="Arial" w:hAnsi="Arial" w:cs="Arial"/>
          <w:sz w:val="24"/>
          <w:szCs w:val="24"/>
        </w:rPr>
        <w:t>,</w:t>
      </w:r>
      <w:r w:rsidRPr="52F164E3">
        <w:rPr>
          <w:rFonts w:ascii="Arial" w:hAnsi="Arial" w:cs="Arial"/>
          <w:sz w:val="24"/>
          <w:szCs w:val="24"/>
        </w:rPr>
        <w:t xml:space="preserve"> through March 31, 2020. Based on the time it takes an employer to collect</w:t>
      </w:r>
      <w:r w:rsidRPr="52F164E3" w:rsidR="002D67CD">
        <w:rPr>
          <w:rFonts w:ascii="Arial" w:hAnsi="Arial" w:cs="Arial"/>
          <w:sz w:val="24"/>
          <w:szCs w:val="24"/>
        </w:rPr>
        <w:t xml:space="preserve"> and report the emergency maintenance information</w:t>
      </w:r>
      <w:r w:rsidRPr="52F164E3">
        <w:rPr>
          <w:rFonts w:ascii="Arial" w:hAnsi="Arial" w:cs="Arial"/>
          <w:sz w:val="24"/>
          <w:szCs w:val="24"/>
        </w:rPr>
        <w:t xml:space="preserve">, </w:t>
      </w:r>
      <w:r w:rsidRPr="52F164E3" w:rsidR="005007B9">
        <w:rPr>
          <w:rFonts w:ascii="Arial" w:hAnsi="Arial" w:cs="Arial"/>
          <w:sz w:val="24"/>
          <w:szCs w:val="24"/>
        </w:rPr>
        <w:t>the Drug Abatement Division estimated it would take the DER 1.0 hour</w:t>
      </w:r>
      <w:r w:rsidRPr="52F164E3">
        <w:rPr>
          <w:rFonts w:ascii="Arial" w:hAnsi="Arial" w:cs="Arial"/>
          <w:sz w:val="24"/>
          <w:szCs w:val="24"/>
        </w:rPr>
        <w:t>.</w:t>
      </w:r>
      <w:r w:rsidRPr="52F164E3" w:rsidR="002D67CD">
        <w:rPr>
          <w:rFonts w:ascii="Arial" w:hAnsi="Arial" w:cs="Arial"/>
          <w:sz w:val="24"/>
          <w:szCs w:val="24"/>
        </w:rPr>
        <w:t xml:space="preserve"> To maintain the record, the Drug Abatement Division estimated it would take the DER 0.25 hour</w:t>
      </w:r>
      <w:r w:rsidRPr="52F164E3" w:rsidR="00970E7D">
        <w:rPr>
          <w:rFonts w:ascii="Arial" w:hAnsi="Arial" w:cs="Arial"/>
          <w:sz w:val="24"/>
          <w:szCs w:val="24"/>
        </w:rPr>
        <w:t>s</w:t>
      </w:r>
      <w:r w:rsidRPr="52F164E3" w:rsidR="002D67CD">
        <w:rPr>
          <w:rFonts w:ascii="Arial" w:hAnsi="Arial" w:cs="Arial"/>
          <w:sz w:val="24"/>
          <w:szCs w:val="24"/>
        </w:rPr>
        <w:t>.</w:t>
      </w:r>
      <w:r w:rsidRPr="52F164E3" w:rsidR="0042237D">
        <w:rPr>
          <w:rFonts w:ascii="Arial" w:hAnsi="Arial" w:cs="Arial"/>
          <w:sz w:val="24"/>
          <w:szCs w:val="24"/>
        </w:rPr>
        <w:t xml:space="preserve">  </w:t>
      </w:r>
      <w:r w:rsidRPr="52F164E3">
        <w:rPr>
          <w:rFonts w:ascii="Arial" w:hAnsi="Arial" w:cs="Arial"/>
          <w:sz w:val="24"/>
          <w:szCs w:val="24"/>
        </w:rPr>
        <w:t xml:space="preserve">The 17 total respondents are reporting (1 hour) and recordkeeping (0.25 hours), for a total of 1.25 hours per response. </w:t>
      </w:r>
    </w:p>
    <w:p w:rsidR="00CA30AA" w:rsidRPr="00CC2F5E" w:rsidP="002B6509" w14:paraId="293616A4" w14:textId="77777777">
      <w:pPr>
        <w:shd w:val="clear" w:color="auto" w:fill="FFFFFF"/>
        <w:spacing w:before="100" w:beforeAutospacing="1" w:after="225"/>
        <w:contextualSpacing/>
        <w:rPr>
          <w:rFonts w:ascii="Arial" w:hAnsi="Arial" w:cs="Arial"/>
          <w:b/>
          <w:bCs/>
          <w:sz w:val="24"/>
          <w:szCs w:val="24"/>
        </w:rPr>
      </w:pPr>
    </w:p>
    <w:p w:rsidR="000E0306" w:rsidRPr="00CC2F5E" w:rsidP="000E0306" w14:paraId="3538DD71" w14:textId="2DA517BA">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Scientifically Valid Random Testing Process</w:t>
      </w:r>
    </w:p>
    <w:tbl>
      <w:tblPr>
        <w:tblW w:w="8810" w:type="dxa"/>
        <w:tblCellMar>
          <w:left w:w="0" w:type="dxa"/>
          <w:right w:w="0" w:type="dxa"/>
        </w:tblCellMar>
        <w:tblLook w:val="04A0"/>
      </w:tblPr>
      <w:tblGrid>
        <w:gridCol w:w="3410"/>
        <w:gridCol w:w="1800"/>
        <w:gridCol w:w="2055"/>
        <w:gridCol w:w="1545"/>
      </w:tblGrid>
      <w:tr w14:paraId="4E03E22B"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619405F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06B61E11"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13AC2847"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E0306" w:rsidRPr="00CC2F5E" w:rsidP="00F7533D" w14:paraId="4E91E4D0" w14:textId="77777777">
            <w:pPr>
              <w:rPr>
                <w:rFonts w:ascii="Arial" w:hAnsi="Arial" w:cs="Arial"/>
                <w:b/>
                <w:bCs/>
                <w:sz w:val="24"/>
                <w:szCs w:val="24"/>
              </w:rPr>
            </w:pPr>
            <w:r w:rsidRPr="00CC2F5E">
              <w:rPr>
                <w:rFonts w:ascii="Arial" w:hAnsi="Arial" w:cs="Arial"/>
                <w:b/>
                <w:bCs/>
                <w:sz w:val="24"/>
                <w:szCs w:val="24"/>
              </w:rPr>
              <w:t>Disclosure</w:t>
            </w:r>
          </w:p>
        </w:tc>
      </w:tr>
      <w:tr w14:paraId="6C527169"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060866F6"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B62AEF5"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63DE9A55" w14:textId="6CF1F1C9">
            <w:pPr>
              <w:rPr>
                <w:rFonts w:ascii="Arial" w:hAnsi="Arial" w:cs="Arial"/>
                <w:sz w:val="24"/>
                <w:szCs w:val="24"/>
              </w:rPr>
            </w:pPr>
            <w:r w:rsidRPr="00CC2F5E">
              <w:rPr>
                <w:rFonts w:ascii="Arial" w:hAnsi="Arial" w:cs="Arial"/>
                <w:sz w:val="24"/>
                <w:szCs w:val="24"/>
              </w:rPr>
              <w:t>6,7</w:t>
            </w:r>
            <w:r w:rsidRPr="00CC2F5E" w:rsidR="000A09CE">
              <w:rPr>
                <w:rFonts w:ascii="Arial" w:hAnsi="Arial" w:cs="Arial"/>
                <w:sz w:val="24"/>
                <w:szCs w:val="24"/>
              </w:rPr>
              <w:t>83</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6DD3AAF5" w14:textId="77777777">
            <w:pPr>
              <w:rPr>
                <w:rFonts w:ascii="Arial" w:hAnsi="Arial" w:cs="Arial"/>
                <w:sz w:val="24"/>
                <w:szCs w:val="24"/>
              </w:rPr>
            </w:pPr>
          </w:p>
        </w:tc>
      </w:tr>
      <w:tr w14:paraId="2E26D01E"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31D5C574"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7104B3CD"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453E6E" w14:paraId="5C72B64F" w14:textId="0FF6D40E">
            <w:pPr>
              <w:rPr>
                <w:rFonts w:ascii="Arial" w:hAnsi="Arial" w:cs="Arial"/>
                <w:sz w:val="24"/>
                <w:szCs w:val="24"/>
              </w:rPr>
            </w:pPr>
            <w:r w:rsidRPr="00CC2F5E">
              <w:rPr>
                <w:rFonts w:ascii="Arial" w:hAnsi="Arial" w:cs="Arial"/>
                <w:sz w:val="24"/>
                <w:szCs w:val="24"/>
              </w:rPr>
              <w:t>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37C8D1D6" w14:textId="77777777">
            <w:pPr>
              <w:rPr>
                <w:rFonts w:ascii="Arial" w:hAnsi="Arial" w:cs="Arial"/>
                <w:sz w:val="24"/>
                <w:szCs w:val="24"/>
              </w:rPr>
            </w:pPr>
          </w:p>
        </w:tc>
      </w:tr>
      <w:tr w14:paraId="33825A8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20ACC6B"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1350DD38"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2043779A" w14:textId="716E26C3">
            <w:pPr>
              <w:rPr>
                <w:rFonts w:ascii="Arial" w:hAnsi="Arial" w:cs="Arial"/>
                <w:sz w:val="24"/>
                <w:szCs w:val="24"/>
              </w:rPr>
            </w:pPr>
            <w:r w:rsidRPr="00CC2F5E">
              <w:rPr>
                <w:rFonts w:ascii="Arial" w:hAnsi="Arial" w:cs="Arial"/>
                <w:sz w:val="24"/>
                <w:szCs w:val="24"/>
              </w:rPr>
              <w:t xml:space="preserve">1.00 </w:t>
            </w:r>
            <w:r w:rsidRPr="00CC2F5E" w:rsidR="00717E62">
              <w:rPr>
                <w:rFonts w:ascii="Arial" w:hAnsi="Arial" w:cs="Arial"/>
                <w:sz w:val="24"/>
                <w:szCs w:val="24"/>
              </w:rPr>
              <w:t>hour</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75002A5" w14:textId="77777777">
            <w:pPr>
              <w:rPr>
                <w:rFonts w:ascii="Arial" w:hAnsi="Arial" w:cs="Arial"/>
                <w:sz w:val="24"/>
                <w:szCs w:val="24"/>
              </w:rPr>
            </w:pPr>
          </w:p>
        </w:tc>
      </w:tr>
      <w:tr w14:paraId="77F54541"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2AD76D5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258A9852"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E43426" w14:paraId="510242FA" w14:textId="18D59585">
            <w:pPr>
              <w:rPr>
                <w:rFonts w:ascii="Arial" w:hAnsi="Arial" w:cs="Arial"/>
                <w:sz w:val="24"/>
                <w:szCs w:val="24"/>
              </w:rPr>
            </w:pPr>
            <w:r w:rsidRPr="00CC2F5E">
              <w:rPr>
                <w:rFonts w:ascii="Arial" w:hAnsi="Arial" w:cs="Arial"/>
                <w:sz w:val="24"/>
                <w:szCs w:val="24"/>
              </w:rPr>
              <w:t>27,132</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5ED04BB5" w14:textId="77777777">
            <w:pPr>
              <w:rPr>
                <w:rFonts w:ascii="Arial" w:hAnsi="Arial" w:cs="Arial"/>
                <w:sz w:val="24"/>
                <w:szCs w:val="24"/>
              </w:rPr>
            </w:pPr>
          </w:p>
        </w:tc>
      </w:tr>
      <w:tr w14:paraId="5F0F751D"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E0306" w:rsidRPr="00CC2F5E" w:rsidP="00F7533D" w14:paraId="176EBB0A"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F7533D" w14:paraId="0E0A1BD1" w14:textId="77777777">
            <w:pPr>
              <w:rPr>
                <w:rFonts w:ascii="Arial" w:hAnsi="Arial" w:cs="Arial"/>
                <w:sz w:val="24"/>
                <w:szCs w:val="24"/>
              </w:rPr>
            </w:pP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E0306" w:rsidRPr="00CC2F5E" w:rsidP="007275E9" w14:paraId="34D9E8B5" w14:textId="54D5DF90">
            <w:pPr>
              <w:rPr>
                <w:rFonts w:ascii="Arial" w:hAnsi="Arial" w:cs="Arial"/>
                <w:sz w:val="24"/>
                <w:szCs w:val="24"/>
              </w:rPr>
            </w:pPr>
            <w:r w:rsidRPr="00CC2F5E">
              <w:rPr>
                <w:rFonts w:ascii="Arial" w:hAnsi="Arial" w:cs="Arial"/>
                <w:sz w:val="24"/>
                <w:szCs w:val="24"/>
              </w:rPr>
              <w:t>27,132</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0E0306" w:rsidRPr="00CC2F5E" w:rsidP="00F7533D" w14:paraId="26C1420B" w14:textId="77777777">
            <w:pPr>
              <w:rPr>
                <w:rFonts w:ascii="Arial" w:hAnsi="Arial" w:cs="Arial"/>
                <w:sz w:val="24"/>
                <w:szCs w:val="24"/>
              </w:rPr>
            </w:pPr>
          </w:p>
        </w:tc>
      </w:tr>
    </w:tbl>
    <w:p w:rsidR="00717E62" w:rsidRPr="00CC2F5E" w:rsidP="00717E62" w14:paraId="27617E25" w14:textId="574AFDD8">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2D67CD">
        <w:rPr>
          <w:rFonts w:ascii="Arial" w:hAnsi="Arial" w:cs="Arial"/>
          <w:sz w:val="24"/>
          <w:szCs w:val="24"/>
        </w:rPr>
        <w:t>Each respondent must conduct a random selection using a scientifically valid process throughout the calendar year and maintain each selection list for 2 years.  It is common for a respondent to conduct quarterly random selections</w:t>
      </w:r>
      <w:r w:rsidRPr="52F164E3" w:rsidR="009C4FCD">
        <w:rPr>
          <w:rFonts w:ascii="Arial" w:hAnsi="Arial" w:cs="Arial"/>
          <w:sz w:val="24"/>
          <w:szCs w:val="24"/>
        </w:rPr>
        <w:t>. To calculate the number of respondents, the Drug Abatement Division used the total number of active programs for January 1, 2019</w:t>
      </w:r>
      <w:r w:rsidRPr="52F164E3" w:rsidR="00300A57">
        <w:rPr>
          <w:rFonts w:ascii="Arial" w:hAnsi="Arial" w:cs="Arial"/>
          <w:sz w:val="24"/>
          <w:szCs w:val="24"/>
        </w:rPr>
        <w:t>,</w:t>
      </w:r>
      <w:r w:rsidRPr="52F164E3" w:rsidR="009C4FCD">
        <w:rPr>
          <w:rFonts w:ascii="Arial" w:hAnsi="Arial" w:cs="Arial"/>
          <w:sz w:val="24"/>
          <w:szCs w:val="24"/>
        </w:rPr>
        <w:t xml:space="preserve"> through December 31, </w:t>
      </w:r>
      <w:r w:rsidRPr="52F164E3" w:rsidR="00970E7D">
        <w:rPr>
          <w:rFonts w:ascii="Arial" w:hAnsi="Arial" w:cs="Arial"/>
          <w:sz w:val="24"/>
          <w:szCs w:val="24"/>
        </w:rPr>
        <w:t>2019</w:t>
      </w:r>
      <w:r w:rsidRPr="52F164E3" w:rsidR="001C598F">
        <w:rPr>
          <w:rFonts w:ascii="Arial" w:hAnsi="Arial" w:cs="Arial"/>
          <w:sz w:val="24"/>
          <w:szCs w:val="24"/>
        </w:rPr>
        <w:t xml:space="preserve">. </w:t>
      </w:r>
      <w:r w:rsidRPr="52F164E3" w:rsidR="009C4FCD">
        <w:rPr>
          <w:rFonts w:ascii="Arial" w:hAnsi="Arial" w:cs="Arial"/>
          <w:sz w:val="24"/>
          <w:szCs w:val="24"/>
        </w:rPr>
        <w:t xml:space="preserve">Based on the time it takes to conduct the random selection and maintain the selection list, the Drug Abatement Division estimated </w:t>
      </w:r>
      <w:r w:rsidRPr="52F164E3" w:rsidR="007275E9">
        <w:rPr>
          <w:rFonts w:ascii="Arial" w:hAnsi="Arial" w:cs="Arial"/>
          <w:sz w:val="24"/>
          <w:szCs w:val="24"/>
        </w:rPr>
        <w:t>it would take the DER 1.0 hour</w:t>
      </w:r>
      <w:r w:rsidRPr="52F164E3" w:rsidR="001C598F">
        <w:rPr>
          <w:rFonts w:ascii="Arial" w:hAnsi="Arial" w:cs="Arial"/>
          <w:sz w:val="24"/>
          <w:szCs w:val="24"/>
        </w:rPr>
        <w:t xml:space="preserve"> fo</w:t>
      </w:r>
      <w:r w:rsidRPr="52F164E3" w:rsidR="009C4FCD">
        <w:rPr>
          <w:rFonts w:ascii="Arial" w:hAnsi="Arial" w:cs="Arial"/>
          <w:sz w:val="24"/>
          <w:szCs w:val="24"/>
        </w:rPr>
        <w:t>r each selection.</w:t>
      </w:r>
    </w:p>
    <w:p w:rsidR="000E0306" w:rsidRPr="00CC2F5E" w:rsidP="00C64707" w14:paraId="3BCCD172" w14:textId="406C93E2">
      <w:pPr>
        <w:shd w:val="clear" w:color="auto" w:fill="FFFFFF"/>
        <w:spacing w:after="0" w:line="240" w:lineRule="auto"/>
        <w:rPr>
          <w:rFonts w:ascii="Arial" w:eastAsia="Times New Roman" w:hAnsi="Arial" w:cs="Arial"/>
          <w:sz w:val="24"/>
          <w:szCs w:val="24"/>
        </w:rPr>
      </w:pPr>
    </w:p>
    <w:p w:rsidR="0078236C" w:rsidRPr="00CC2F5E" w:rsidP="0078236C" w14:paraId="51C4F22D" w14:textId="0CE7308B">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M</w:t>
      </w:r>
      <w:r w:rsidRPr="00CC2F5E" w:rsidR="00453E6E">
        <w:rPr>
          <w:rFonts w:ascii="Arial" w:hAnsi="Arial" w:cs="Arial"/>
          <w:b/>
          <w:bCs/>
          <w:sz w:val="24"/>
          <w:szCs w:val="24"/>
        </w:rPr>
        <w:t>edical Review Officer (M</w:t>
      </w:r>
      <w:r w:rsidRPr="00CC2F5E">
        <w:rPr>
          <w:rFonts w:ascii="Arial" w:hAnsi="Arial" w:cs="Arial"/>
          <w:b/>
          <w:bCs/>
          <w:sz w:val="24"/>
          <w:szCs w:val="24"/>
        </w:rPr>
        <w:t>RO</w:t>
      </w:r>
      <w:r w:rsidRPr="00CC2F5E" w:rsidR="00453E6E">
        <w:rPr>
          <w:rFonts w:ascii="Arial" w:hAnsi="Arial" w:cs="Arial"/>
          <w:b/>
          <w:bCs/>
          <w:sz w:val="24"/>
          <w:szCs w:val="24"/>
        </w:rPr>
        <w:t>)</w:t>
      </w:r>
      <w:r w:rsidRPr="00CC2F5E">
        <w:rPr>
          <w:rFonts w:ascii="Arial" w:hAnsi="Arial" w:cs="Arial"/>
          <w:b/>
          <w:bCs/>
          <w:sz w:val="24"/>
          <w:szCs w:val="24"/>
        </w:rPr>
        <w:t xml:space="preserve"> </w:t>
      </w:r>
      <w:r w:rsidRPr="00CC2F5E" w:rsidR="002152DE">
        <w:rPr>
          <w:rFonts w:ascii="Arial" w:hAnsi="Arial" w:cs="Arial"/>
          <w:b/>
          <w:bCs/>
          <w:sz w:val="24"/>
          <w:szCs w:val="24"/>
        </w:rPr>
        <w:t xml:space="preserve">Contract Record Keeping </w:t>
      </w:r>
      <w:r w:rsidRPr="00CC2F5E">
        <w:rPr>
          <w:rFonts w:ascii="Arial" w:hAnsi="Arial" w:cs="Arial"/>
          <w:b/>
          <w:bCs/>
          <w:sz w:val="24"/>
          <w:szCs w:val="24"/>
        </w:rPr>
        <w:t>Provision</w:t>
      </w:r>
    </w:p>
    <w:tbl>
      <w:tblPr>
        <w:tblW w:w="8810" w:type="dxa"/>
        <w:tblCellMar>
          <w:left w:w="0" w:type="dxa"/>
          <w:right w:w="0" w:type="dxa"/>
        </w:tblCellMar>
        <w:tblLook w:val="04A0"/>
      </w:tblPr>
      <w:tblGrid>
        <w:gridCol w:w="3410"/>
        <w:gridCol w:w="1800"/>
        <w:gridCol w:w="2025"/>
        <w:gridCol w:w="1575"/>
      </w:tblGrid>
      <w:tr w14:paraId="5B437503" w14:textId="77777777" w:rsidTr="00561F40">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0B8B7A6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00E34A90" w14:textId="77777777">
            <w:pPr>
              <w:rPr>
                <w:rFonts w:ascii="Arial" w:hAnsi="Arial" w:cs="Arial"/>
                <w:b/>
                <w:bCs/>
                <w:sz w:val="24"/>
                <w:szCs w:val="24"/>
              </w:rPr>
            </w:pPr>
            <w:r w:rsidRPr="00CC2F5E">
              <w:rPr>
                <w:rFonts w:ascii="Arial" w:hAnsi="Arial" w:cs="Arial"/>
                <w:b/>
                <w:bCs/>
                <w:sz w:val="24"/>
                <w:szCs w:val="24"/>
              </w:rPr>
              <w:t>Reporting</w:t>
            </w:r>
          </w:p>
        </w:tc>
        <w:tc>
          <w:tcPr>
            <w:tcW w:w="20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2AB02FEF" w14:textId="77777777">
            <w:pPr>
              <w:rPr>
                <w:rFonts w:ascii="Arial" w:hAnsi="Arial" w:cs="Arial"/>
                <w:b/>
                <w:bCs/>
                <w:sz w:val="24"/>
                <w:szCs w:val="24"/>
              </w:rPr>
            </w:pPr>
            <w:r w:rsidRPr="00CC2F5E">
              <w:rPr>
                <w:rFonts w:ascii="Arial" w:hAnsi="Arial" w:cs="Arial"/>
                <w:b/>
                <w:bCs/>
                <w:sz w:val="24"/>
                <w:szCs w:val="24"/>
              </w:rPr>
              <w:t>Recordkeeping</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236C" w:rsidRPr="00CC2F5E" w:rsidP="00F7533D" w14:paraId="442BB174" w14:textId="77777777">
            <w:pPr>
              <w:rPr>
                <w:rFonts w:ascii="Arial" w:hAnsi="Arial" w:cs="Arial"/>
                <w:b/>
                <w:bCs/>
                <w:sz w:val="24"/>
                <w:szCs w:val="24"/>
              </w:rPr>
            </w:pPr>
            <w:r w:rsidRPr="00CC2F5E">
              <w:rPr>
                <w:rFonts w:ascii="Arial" w:hAnsi="Arial" w:cs="Arial"/>
                <w:b/>
                <w:bCs/>
                <w:sz w:val="24"/>
                <w:szCs w:val="24"/>
              </w:rPr>
              <w:t>Disclosure</w:t>
            </w:r>
          </w:p>
        </w:tc>
      </w:tr>
      <w:tr w14:paraId="6DEFDE7E" w14:textId="77777777" w:rsidTr="00561F40">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45ECC95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27F59D06"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433FBB" w14:paraId="1495B76A" w14:textId="200A446E">
            <w:pPr>
              <w:rPr>
                <w:rFonts w:ascii="Arial" w:hAnsi="Arial" w:cs="Arial"/>
                <w:sz w:val="24"/>
                <w:szCs w:val="24"/>
              </w:rPr>
            </w:pPr>
            <w:r w:rsidRPr="00CC2F5E">
              <w:rPr>
                <w:rFonts w:ascii="Arial" w:hAnsi="Arial" w:cs="Arial"/>
                <w:sz w:val="24"/>
                <w:szCs w:val="24"/>
              </w:rPr>
              <w:t>41</w:t>
            </w:r>
            <w:r w:rsidRPr="00CC2F5E" w:rsidR="000A09CE">
              <w:rPr>
                <w:rFonts w:ascii="Arial" w:hAnsi="Arial" w:cs="Arial"/>
                <w:sz w:val="24"/>
                <w:szCs w:val="24"/>
              </w:rPr>
              <w:t>6</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4EAA14E1" w14:textId="77777777">
            <w:pPr>
              <w:rPr>
                <w:rFonts w:ascii="Arial" w:hAnsi="Arial" w:cs="Arial"/>
                <w:sz w:val="24"/>
                <w:szCs w:val="24"/>
              </w:rPr>
            </w:pPr>
          </w:p>
        </w:tc>
      </w:tr>
      <w:tr w14:paraId="2EAAC917"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2637710D"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37F8BB24"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5C302F7D" w14:textId="4D07F07A">
            <w:pPr>
              <w:rPr>
                <w:rFonts w:ascii="Arial" w:hAnsi="Arial" w:cs="Arial"/>
                <w:sz w:val="24"/>
                <w:szCs w:val="24"/>
              </w:rPr>
            </w:pPr>
            <w:r w:rsidRPr="00CC2F5E">
              <w:rPr>
                <w:rFonts w:ascii="Arial" w:hAnsi="Arial" w:cs="Arial"/>
                <w:sz w:val="24"/>
                <w:szCs w:val="24"/>
              </w:rPr>
              <w:t>1</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3F9ABF54" w14:textId="77777777">
            <w:pPr>
              <w:rPr>
                <w:rFonts w:ascii="Arial" w:hAnsi="Arial" w:cs="Arial"/>
                <w:sz w:val="24"/>
                <w:szCs w:val="24"/>
              </w:rPr>
            </w:pPr>
          </w:p>
        </w:tc>
      </w:tr>
      <w:tr w14:paraId="08D8A612"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8236C" w:rsidRPr="00CC2F5E" w:rsidP="00F7533D" w14:paraId="68F14D72"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F7533D" w14:paraId="0C35034E" w14:textId="77777777">
            <w:pPr>
              <w:rPr>
                <w:rFonts w:ascii="Arial" w:hAnsi="Arial" w:cs="Arial"/>
                <w:sz w:val="24"/>
                <w:szCs w:val="24"/>
              </w:rPr>
            </w:pPr>
          </w:p>
        </w:tc>
        <w:tc>
          <w:tcPr>
            <w:tcW w:w="202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8236C" w:rsidRPr="00CC2F5E" w:rsidP="00433FBB" w14:paraId="68CC8899" w14:textId="01CF5B7D">
            <w:pPr>
              <w:rPr>
                <w:rFonts w:ascii="Arial" w:hAnsi="Arial" w:cs="Arial"/>
                <w:sz w:val="24"/>
                <w:szCs w:val="24"/>
              </w:rPr>
            </w:pPr>
            <w:r w:rsidRPr="00CC2F5E">
              <w:rPr>
                <w:rFonts w:ascii="Arial" w:hAnsi="Arial" w:cs="Arial"/>
                <w:sz w:val="24"/>
                <w:szCs w:val="24"/>
              </w:rPr>
              <w:t>0.25 hours</w:t>
            </w: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rsidR="0078236C" w:rsidRPr="00CC2F5E" w:rsidP="00F7533D" w14:paraId="09A13771" w14:textId="77777777">
            <w:pPr>
              <w:rPr>
                <w:rFonts w:ascii="Arial" w:hAnsi="Arial" w:cs="Arial"/>
                <w:sz w:val="24"/>
                <w:szCs w:val="24"/>
              </w:rPr>
            </w:pPr>
          </w:p>
        </w:tc>
      </w:tr>
      <w:tr w14:paraId="262A0415" w14:textId="77777777" w:rsidTr="00561F40">
        <w:tblPrEx>
          <w:tblW w:w="8810" w:type="dxa"/>
          <w:tblCellMar>
            <w:left w:w="0" w:type="dxa"/>
            <w:right w:w="0" w:type="dxa"/>
          </w:tblCellMar>
          <w:tblLook w:val="04A0"/>
        </w:tblPrEx>
        <w:trPr>
          <w:trHeight w:val="330"/>
        </w:trPr>
        <w:tc>
          <w:tcPr>
            <w:tcW w:w="34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78236C" w:rsidRPr="00CC2F5E" w:rsidP="00F7533D" w14:paraId="7A67C6F8"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CC2F5E" w:rsidP="00F7533D" w14:paraId="7A490E67" w14:textId="77777777">
            <w:pPr>
              <w:rPr>
                <w:rFonts w:ascii="Arial" w:hAnsi="Arial" w:cs="Arial"/>
                <w:sz w:val="24"/>
                <w:szCs w:val="24"/>
              </w:rPr>
            </w:pPr>
          </w:p>
        </w:tc>
        <w:tc>
          <w:tcPr>
            <w:tcW w:w="2025"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78236C" w:rsidRPr="00CC2F5E" w:rsidP="00433FBB" w14:paraId="5FBA7E6D" w14:textId="44EFFE56">
            <w:pPr>
              <w:rPr>
                <w:rFonts w:ascii="Arial" w:hAnsi="Arial" w:cs="Arial"/>
                <w:sz w:val="24"/>
                <w:szCs w:val="24"/>
              </w:rPr>
            </w:pPr>
            <w:r w:rsidRPr="00CC2F5E">
              <w:rPr>
                <w:rFonts w:ascii="Arial" w:hAnsi="Arial" w:cs="Arial"/>
                <w:sz w:val="24"/>
                <w:szCs w:val="24"/>
              </w:rPr>
              <w:t>41</w:t>
            </w:r>
            <w:r w:rsidRPr="00CC2F5E" w:rsidR="000A09CE">
              <w:rPr>
                <w:rFonts w:ascii="Arial" w:hAnsi="Arial" w:cs="Arial"/>
                <w:sz w:val="24"/>
                <w:szCs w:val="24"/>
              </w:rPr>
              <w:t>6</w:t>
            </w:r>
          </w:p>
        </w:tc>
        <w:tc>
          <w:tcPr>
            <w:tcW w:w="1575" w:type="dxa"/>
            <w:tcBorders>
              <w:top w:val="nil"/>
              <w:left w:val="nil"/>
              <w:bottom w:val="single" w:sz="4" w:space="0" w:color="auto"/>
              <w:right w:val="single" w:sz="8" w:space="0" w:color="auto"/>
            </w:tcBorders>
            <w:tcMar>
              <w:top w:w="0" w:type="dxa"/>
              <w:left w:w="108" w:type="dxa"/>
              <w:bottom w:w="0" w:type="dxa"/>
              <w:right w:w="108" w:type="dxa"/>
            </w:tcMar>
          </w:tcPr>
          <w:p w:rsidR="0078236C" w:rsidRPr="00CC2F5E" w:rsidP="00F7533D" w14:paraId="109102ED" w14:textId="77777777">
            <w:pPr>
              <w:rPr>
                <w:rFonts w:ascii="Arial" w:hAnsi="Arial" w:cs="Arial"/>
                <w:sz w:val="24"/>
                <w:szCs w:val="24"/>
              </w:rPr>
            </w:pPr>
          </w:p>
        </w:tc>
      </w:tr>
      <w:tr w14:paraId="5F2D1BFC" w14:textId="77777777" w:rsidTr="00561F40">
        <w:tblPrEx>
          <w:tblW w:w="8810" w:type="dxa"/>
          <w:tblCellMar>
            <w:left w:w="0" w:type="dxa"/>
            <w:right w:w="0" w:type="dxa"/>
          </w:tblCellMar>
          <w:tblLook w:val="04A0"/>
        </w:tblPrEx>
        <w:trPr>
          <w:trHeight w:val="330"/>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78236C" w:rsidRPr="00CC2F5E" w:rsidP="00F7533D" w14:paraId="34EB662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CC2F5E" w:rsidP="00F7533D" w14:paraId="45B9EB49" w14:textId="77777777">
            <w:pPr>
              <w:rPr>
                <w:rFonts w:ascii="Arial" w:hAnsi="Arial" w:cs="Arial"/>
                <w:sz w:val="24"/>
                <w:szCs w:val="24"/>
              </w:rPr>
            </w:pPr>
          </w:p>
        </w:tc>
        <w:tc>
          <w:tcPr>
            <w:tcW w:w="202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78236C" w:rsidRPr="00CC2F5E" w:rsidP="00433FBB" w14:paraId="08842D8F" w14:textId="45FD02EE">
            <w:pPr>
              <w:rPr>
                <w:rFonts w:ascii="Arial" w:hAnsi="Arial" w:cs="Arial"/>
                <w:sz w:val="24"/>
                <w:szCs w:val="24"/>
              </w:rPr>
            </w:pPr>
            <w:r w:rsidRPr="00CC2F5E">
              <w:rPr>
                <w:rFonts w:ascii="Arial" w:hAnsi="Arial" w:cs="Arial"/>
                <w:sz w:val="24"/>
                <w:szCs w:val="24"/>
              </w:rPr>
              <w:t>10</w:t>
            </w:r>
            <w:r w:rsidRPr="00CC2F5E" w:rsidR="000A09CE">
              <w:rPr>
                <w:rFonts w:ascii="Arial" w:hAnsi="Arial" w:cs="Arial"/>
                <w:sz w:val="24"/>
                <w:szCs w:val="24"/>
              </w:rPr>
              <w:t>4</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236C" w:rsidRPr="00CC2F5E" w:rsidP="00F7533D" w14:paraId="51D478DA" w14:textId="77777777">
            <w:pPr>
              <w:rPr>
                <w:rFonts w:ascii="Arial" w:hAnsi="Arial" w:cs="Arial"/>
                <w:sz w:val="24"/>
                <w:szCs w:val="24"/>
              </w:rPr>
            </w:pPr>
          </w:p>
        </w:tc>
      </w:tr>
    </w:tbl>
    <w:p w:rsidR="000E0306" w:rsidRPr="00CC2F5E" w:rsidP="00C64707" w14:paraId="542DFA15" w14:textId="0B093E4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u w:val="single"/>
        </w:rPr>
        <w:t>Explanation</w:t>
      </w:r>
      <w:r w:rsidRPr="00CC2F5E">
        <w:rPr>
          <w:rFonts w:ascii="Arial" w:eastAsia="Times New Roman" w:hAnsi="Arial" w:cs="Arial"/>
          <w:sz w:val="24"/>
          <w:szCs w:val="24"/>
        </w:rPr>
        <w:t>:  Each respondent must document a written contract with the Medical Review Officer (MRO)</w:t>
      </w:r>
      <w:r w:rsidRPr="00CC2F5E" w:rsidR="001A6E62">
        <w:rPr>
          <w:rFonts w:ascii="Arial" w:eastAsia="Times New Roman" w:hAnsi="Arial" w:cs="Arial"/>
          <w:sz w:val="24"/>
          <w:szCs w:val="24"/>
        </w:rPr>
        <w:t>, directly or through a consortium/third party administrator,</w:t>
      </w:r>
      <w:r w:rsidRPr="00CC2F5E">
        <w:rPr>
          <w:rFonts w:ascii="Arial" w:eastAsia="Times New Roman" w:hAnsi="Arial" w:cs="Arial"/>
          <w:sz w:val="24"/>
          <w:szCs w:val="24"/>
        </w:rPr>
        <w:t xml:space="preserve"> that ensures the MRO understands his or her responsibilities for recordkeeping under </w:t>
      </w:r>
      <w:r w:rsidRPr="00CC2F5E" w:rsidR="00433FBB">
        <w:rPr>
          <w:rFonts w:ascii="Arial" w:eastAsia="Times New Roman" w:hAnsi="Arial" w:cs="Arial"/>
          <w:sz w:val="24"/>
          <w:szCs w:val="24"/>
        </w:rPr>
        <w:t xml:space="preserve">14 CFR </w:t>
      </w:r>
      <w:r w:rsidRPr="00CC2F5E">
        <w:rPr>
          <w:rFonts w:ascii="Arial" w:eastAsia="Times New Roman" w:hAnsi="Arial" w:cs="Arial"/>
          <w:sz w:val="24"/>
          <w:szCs w:val="24"/>
        </w:rPr>
        <w:t xml:space="preserve">part 120 and 49 CFR part 40. </w:t>
      </w:r>
      <w:r w:rsidRPr="00CC2F5E" w:rsidR="009B7BCA">
        <w:rPr>
          <w:rFonts w:ascii="Arial" w:eastAsia="Times New Roman" w:hAnsi="Arial" w:cs="Arial"/>
          <w:sz w:val="24"/>
          <w:szCs w:val="24"/>
        </w:rPr>
        <w:t>To calculate the number of respondents</w:t>
      </w:r>
      <w:r w:rsidRPr="00CC2F5E" w:rsidR="00721D8F">
        <w:rPr>
          <w:rFonts w:ascii="Arial" w:eastAsia="Times New Roman" w:hAnsi="Arial" w:cs="Arial"/>
          <w:sz w:val="24"/>
          <w:szCs w:val="24"/>
        </w:rPr>
        <w:t xml:space="preserve">, the Drug Abatement Division used the number of new operators by comparing </w:t>
      </w:r>
      <w:r w:rsidRPr="00CC2F5E" w:rsidR="009B7BCA">
        <w:rPr>
          <w:rFonts w:ascii="Arial" w:hAnsi="Arial" w:cs="Arial"/>
          <w:sz w:val="24"/>
          <w:szCs w:val="24"/>
        </w:rPr>
        <w:t>the 2018 MIS reporting with the 2019 M</w:t>
      </w:r>
      <w:r w:rsidRPr="00CC2F5E" w:rsidR="00721D8F">
        <w:rPr>
          <w:rFonts w:ascii="Arial" w:hAnsi="Arial" w:cs="Arial"/>
          <w:sz w:val="24"/>
          <w:szCs w:val="24"/>
        </w:rPr>
        <w:t>IS reporting</w:t>
      </w:r>
      <w:r w:rsidRPr="00CC2F5E" w:rsidR="009B7BCA">
        <w:rPr>
          <w:rFonts w:ascii="Arial" w:hAnsi="Arial" w:cs="Arial"/>
          <w:sz w:val="24"/>
          <w:szCs w:val="24"/>
        </w:rPr>
        <w:t>.</w:t>
      </w:r>
      <w:r w:rsidRPr="00CC2F5E" w:rsidR="009B7BCA">
        <w:rPr>
          <w:rFonts w:ascii="Arial" w:eastAsia="Times New Roman" w:hAnsi="Arial" w:cs="Arial"/>
          <w:sz w:val="24"/>
          <w:szCs w:val="24"/>
        </w:rPr>
        <w:t xml:space="preserve"> </w:t>
      </w:r>
      <w:r w:rsidRPr="00CC2F5E">
        <w:rPr>
          <w:rFonts w:ascii="Arial" w:eastAsia="Times New Roman" w:hAnsi="Arial" w:cs="Arial"/>
          <w:sz w:val="24"/>
          <w:szCs w:val="24"/>
        </w:rPr>
        <w:t xml:space="preserve">Based on the time it takes the DER to document a contract with the MRO, the Drug Abatement Division </w:t>
      </w:r>
      <w:r w:rsidRPr="00CC2F5E" w:rsidR="00453E6E">
        <w:rPr>
          <w:rFonts w:ascii="Arial" w:eastAsia="Times New Roman" w:hAnsi="Arial" w:cs="Arial"/>
          <w:sz w:val="24"/>
          <w:szCs w:val="24"/>
        </w:rPr>
        <w:t>estimated a burden of</w:t>
      </w:r>
      <w:r w:rsidRPr="00CC2F5E" w:rsidR="00181540">
        <w:rPr>
          <w:rFonts w:ascii="Arial" w:eastAsia="Times New Roman" w:hAnsi="Arial" w:cs="Arial"/>
          <w:sz w:val="24"/>
          <w:szCs w:val="24"/>
        </w:rPr>
        <w:t xml:space="preserve"> </w:t>
      </w:r>
      <w:r w:rsidRPr="00CC2F5E" w:rsidR="00433FBB">
        <w:rPr>
          <w:rFonts w:ascii="Arial" w:eastAsia="Times New Roman" w:hAnsi="Arial" w:cs="Arial"/>
          <w:sz w:val="24"/>
          <w:szCs w:val="24"/>
        </w:rPr>
        <w:t>0.25 hours</w:t>
      </w:r>
      <w:r w:rsidRPr="00CC2F5E">
        <w:rPr>
          <w:rFonts w:ascii="Arial" w:eastAsia="Times New Roman" w:hAnsi="Arial" w:cs="Arial"/>
          <w:sz w:val="24"/>
          <w:szCs w:val="24"/>
        </w:rPr>
        <w:t xml:space="preserve">.  </w:t>
      </w:r>
    </w:p>
    <w:p w:rsidR="00BC631C" w:rsidP="00C64707" w14:paraId="7C0389A4" w14:textId="6420AF35">
      <w:pPr>
        <w:shd w:val="clear" w:color="auto" w:fill="FFFFFF"/>
        <w:spacing w:after="0" w:line="240" w:lineRule="auto"/>
        <w:rPr>
          <w:rFonts w:ascii="Arial" w:eastAsia="Times New Roman" w:hAnsi="Arial" w:cs="Arial"/>
          <w:sz w:val="24"/>
          <w:szCs w:val="24"/>
        </w:rPr>
      </w:pPr>
    </w:p>
    <w:p w:rsidR="00EC0727" w:rsidRPr="00CC2F5E" w:rsidP="00C64707" w14:paraId="54EE6FDA" w14:textId="77777777">
      <w:pPr>
        <w:shd w:val="clear" w:color="auto" w:fill="FFFFFF"/>
        <w:spacing w:after="0" w:line="240" w:lineRule="auto"/>
        <w:rPr>
          <w:rFonts w:ascii="Arial" w:eastAsia="Times New Roman" w:hAnsi="Arial" w:cs="Arial"/>
          <w:sz w:val="24"/>
          <w:szCs w:val="24"/>
        </w:rPr>
      </w:pPr>
    </w:p>
    <w:p w:rsidR="00C0447D" w:rsidRPr="00CC2F5E" w:rsidP="00C0447D" w14:paraId="0C1922C2" w14:textId="7ED1B7A3">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Refusal to Take Drug Test</w:t>
      </w:r>
      <w:r w:rsidRPr="00CC2F5E" w:rsidR="00F7533D">
        <w:rPr>
          <w:rFonts w:ascii="Arial" w:hAnsi="Arial" w:cs="Arial"/>
          <w:b/>
          <w:bCs/>
          <w:sz w:val="24"/>
          <w:szCs w:val="24"/>
        </w:rPr>
        <w:t xml:space="preserve"> Report to FAA</w:t>
      </w:r>
    </w:p>
    <w:tbl>
      <w:tblPr>
        <w:tblW w:w="8900" w:type="dxa"/>
        <w:tblCellMar>
          <w:left w:w="0" w:type="dxa"/>
          <w:right w:w="0" w:type="dxa"/>
        </w:tblCellMar>
        <w:tblLook w:val="04A0"/>
      </w:tblPr>
      <w:tblGrid>
        <w:gridCol w:w="3410"/>
        <w:gridCol w:w="1800"/>
        <w:gridCol w:w="2040"/>
        <w:gridCol w:w="1650"/>
      </w:tblGrid>
      <w:tr w14:paraId="552B8CAA" w14:textId="77777777" w:rsidTr="00561F40">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3B571CA8"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17F32B01" w14:textId="77777777">
            <w:pPr>
              <w:rPr>
                <w:rFonts w:ascii="Arial" w:hAnsi="Arial" w:cs="Arial"/>
                <w:b/>
                <w:bCs/>
                <w:sz w:val="24"/>
                <w:szCs w:val="24"/>
              </w:rPr>
            </w:pPr>
            <w:r w:rsidRPr="00CC2F5E">
              <w:rPr>
                <w:rFonts w:ascii="Arial" w:hAnsi="Arial" w:cs="Arial"/>
                <w:b/>
                <w:bCs/>
                <w:sz w:val="24"/>
                <w:szCs w:val="24"/>
              </w:rPr>
              <w:t>Reporting</w:t>
            </w:r>
          </w:p>
        </w:tc>
        <w:tc>
          <w:tcPr>
            <w:tcW w:w="20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66C59443" w14:textId="77777777">
            <w:pPr>
              <w:rPr>
                <w:rFonts w:ascii="Arial" w:hAnsi="Arial" w:cs="Arial"/>
                <w:b/>
                <w:bCs/>
                <w:sz w:val="24"/>
                <w:szCs w:val="24"/>
              </w:rPr>
            </w:pPr>
            <w:r w:rsidRPr="00CC2F5E">
              <w:rPr>
                <w:rFonts w:ascii="Arial" w:hAnsi="Arial" w:cs="Arial"/>
                <w:b/>
                <w:bCs/>
                <w:sz w:val="24"/>
                <w:szCs w:val="24"/>
              </w:rPr>
              <w:t>Recordkeeping</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0447D" w:rsidRPr="00CC2F5E" w:rsidP="00F7533D" w14:paraId="44D5B272" w14:textId="77777777">
            <w:pPr>
              <w:rPr>
                <w:rFonts w:ascii="Arial" w:hAnsi="Arial" w:cs="Arial"/>
                <w:b/>
                <w:bCs/>
                <w:sz w:val="24"/>
                <w:szCs w:val="24"/>
              </w:rPr>
            </w:pPr>
            <w:r w:rsidRPr="00CC2F5E">
              <w:rPr>
                <w:rFonts w:ascii="Arial" w:hAnsi="Arial" w:cs="Arial"/>
                <w:b/>
                <w:bCs/>
                <w:sz w:val="24"/>
                <w:szCs w:val="24"/>
              </w:rPr>
              <w:t>Disclosure</w:t>
            </w:r>
          </w:p>
        </w:tc>
      </w:tr>
      <w:tr w14:paraId="66C92231" w14:textId="77777777" w:rsidTr="00561F40">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02C03A04"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237E6048" w14:textId="329A412D">
            <w:pPr>
              <w:rPr>
                <w:rFonts w:ascii="Arial" w:hAnsi="Arial" w:cs="Arial"/>
                <w:sz w:val="24"/>
                <w:szCs w:val="24"/>
              </w:rPr>
            </w:pPr>
            <w:r w:rsidRPr="00CC2F5E">
              <w:rPr>
                <w:rFonts w:ascii="Arial" w:hAnsi="Arial" w:cs="Arial"/>
                <w:sz w:val="24"/>
                <w:szCs w:val="24"/>
              </w:rPr>
              <w:t>39</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42405FCF" w14:textId="381E7776">
            <w:pPr>
              <w:rPr>
                <w:rFonts w:ascii="Arial" w:hAnsi="Arial" w:cs="Arial"/>
                <w:sz w:val="24"/>
                <w:szCs w:val="24"/>
              </w:rPr>
            </w:pPr>
            <w:r w:rsidRPr="00CC2F5E">
              <w:rPr>
                <w:rFonts w:ascii="Arial" w:hAnsi="Arial" w:cs="Arial"/>
                <w:sz w:val="24"/>
                <w:szCs w:val="24"/>
              </w:rPr>
              <w:t>39</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3AA854C7" w14:textId="53C2CD99">
            <w:pPr>
              <w:rPr>
                <w:rFonts w:ascii="Arial" w:hAnsi="Arial" w:cs="Arial"/>
                <w:sz w:val="24"/>
                <w:szCs w:val="24"/>
              </w:rPr>
            </w:pPr>
            <w:r w:rsidRPr="00CC2F5E">
              <w:rPr>
                <w:rFonts w:ascii="Arial" w:hAnsi="Arial" w:cs="Arial"/>
                <w:sz w:val="24"/>
                <w:szCs w:val="24"/>
              </w:rPr>
              <w:t>14</w:t>
            </w:r>
          </w:p>
        </w:tc>
      </w:tr>
      <w:tr w14:paraId="03C5DFE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4D31B214"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068981E9" w14:textId="051ED73E">
            <w:pPr>
              <w:rPr>
                <w:rFonts w:ascii="Arial" w:hAnsi="Arial" w:cs="Arial"/>
                <w:sz w:val="24"/>
                <w:szCs w:val="24"/>
              </w:rPr>
            </w:pPr>
            <w:r w:rsidRPr="00CC2F5E">
              <w:rPr>
                <w:rFonts w:ascii="Arial" w:hAnsi="Arial" w:cs="Arial"/>
                <w:sz w:val="24"/>
                <w:szCs w:val="24"/>
              </w:rPr>
              <w:t>1</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6449768C" w14:textId="2D3A14D1">
            <w:pPr>
              <w:rPr>
                <w:rFonts w:ascii="Arial" w:hAnsi="Arial" w:cs="Arial"/>
                <w:sz w:val="24"/>
                <w:szCs w:val="24"/>
              </w:rPr>
            </w:pPr>
            <w:r w:rsidRPr="00CC2F5E">
              <w:rPr>
                <w:rFonts w:ascii="Arial" w:hAnsi="Arial" w:cs="Arial"/>
                <w:sz w:val="24"/>
                <w:szCs w:val="24"/>
              </w:rPr>
              <w:t>1</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202714" w:rsidRPr="00CC2F5E" w:rsidP="00F7533D" w14:paraId="79F1AE32" w14:textId="77777777">
            <w:pPr>
              <w:rPr>
                <w:rFonts w:ascii="Arial" w:hAnsi="Arial" w:cs="Arial"/>
                <w:sz w:val="24"/>
                <w:szCs w:val="24"/>
              </w:rPr>
            </w:pPr>
          </w:p>
          <w:p w:rsidR="00C0447D" w:rsidRPr="00CC2F5E" w:rsidP="00F7533D" w14:paraId="7155CDD2" w14:textId="101E6ABE">
            <w:pPr>
              <w:rPr>
                <w:rFonts w:ascii="Arial" w:hAnsi="Arial" w:cs="Arial"/>
                <w:sz w:val="24"/>
                <w:szCs w:val="24"/>
              </w:rPr>
            </w:pPr>
            <w:r w:rsidRPr="00CC2F5E">
              <w:rPr>
                <w:rFonts w:ascii="Arial" w:hAnsi="Arial" w:cs="Arial"/>
                <w:sz w:val="24"/>
                <w:szCs w:val="24"/>
              </w:rPr>
              <w:t>1</w:t>
            </w:r>
          </w:p>
        </w:tc>
      </w:tr>
      <w:tr w14:paraId="64B9A3A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592ABED6"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57E7FA7F" w14:textId="3B10235D">
            <w:pPr>
              <w:rPr>
                <w:rFonts w:ascii="Arial" w:hAnsi="Arial" w:cs="Arial"/>
                <w:sz w:val="24"/>
                <w:szCs w:val="24"/>
              </w:rPr>
            </w:pPr>
            <w:r w:rsidRPr="00CC2F5E">
              <w:rPr>
                <w:rFonts w:ascii="Arial" w:hAnsi="Arial" w:cs="Arial"/>
                <w:sz w:val="24"/>
                <w:szCs w:val="24"/>
              </w:rPr>
              <w:t>0.25</w:t>
            </w:r>
            <w:r w:rsidRPr="00CC2F5E" w:rsidR="00FB6305">
              <w:rPr>
                <w:rFonts w:ascii="Arial" w:hAnsi="Arial" w:cs="Arial"/>
                <w:sz w:val="24"/>
                <w:szCs w:val="24"/>
              </w:rPr>
              <w:t xml:space="preserve"> hour</w:t>
            </w:r>
            <w:r w:rsidRPr="00CC2F5E" w:rsidR="00433FBB">
              <w:rPr>
                <w:rFonts w:ascii="Arial" w:hAnsi="Arial" w:cs="Arial"/>
                <w:sz w:val="24"/>
                <w:szCs w:val="24"/>
              </w:rPr>
              <w:t>s</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7981C368" w14:textId="75297DED">
            <w:pPr>
              <w:rPr>
                <w:rFonts w:ascii="Arial" w:hAnsi="Arial" w:cs="Arial"/>
                <w:sz w:val="24"/>
                <w:szCs w:val="24"/>
              </w:rPr>
            </w:pPr>
            <w:r w:rsidRPr="00CC2F5E">
              <w:rPr>
                <w:rFonts w:ascii="Arial" w:hAnsi="Arial" w:cs="Arial"/>
                <w:sz w:val="24"/>
                <w:szCs w:val="24"/>
              </w:rPr>
              <w:t>0.25</w:t>
            </w:r>
            <w:r w:rsidRPr="00CC2F5E" w:rsidR="00312922">
              <w:rPr>
                <w:rFonts w:ascii="Arial" w:hAnsi="Arial" w:cs="Arial"/>
                <w:sz w:val="24"/>
                <w:szCs w:val="24"/>
              </w:rPr>
              <w:t xml:space="preserve"> hour</w:t>
            </w:r>
            <w:r w:rsidRPr="00CC2F5E" w:rsidR="00433FBB">
              <w:rPr>
                <w:rFonts w:ascii="Arial" w:hAnsi="Arial" w:cs="Arial"/>
                <w:sz w:val="24"/>
                <w:szCs w:val="24"/>
              </w:rPr>
              <w:t>s</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023274DB" w14:textId="0006DDDC">
            <w:pPr>
              <w:rPr>
                <w:rFonts w:ascii="Arial" w:hAnsi="Arial" w:cs="Arial"/>
                <w:sz w:val="24"/>
                <w:szCs w:val="24"/>
              </w:rPr>
            </w:pPr>
            <w:r w:rsidRPr="00CC2F5E">
              <w:rPr>
                <w:rFonts w:ascii="Arial" w:hAnsi="Arial" w:cs="Arial"/>
                <w:sz w:val="24"/>
                <w:szCs w:val="24"/>
              </w:rPr>
              <w:t>0.25 hours</w:t>
            </w:r>
          </w:p>
        </w:tc>
      </w:tr>
      <w:tr w14:paraId="3A3F6B53"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40C79941"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444F38D1" w14:textId="22D941B6">
            <w:pPr>
              <w:rPr>
                <w:rFonts w:ascii="Arial" w:hAnsi="Arial" w:cs="Arial"/>
                <w:sz w:val="24"/>
                <w:szCs w:val="24"/>
              </w:rPr>
            </w:pPr>
            <w:r w:rsidRPr="00CC2F5E">
              <w:rPr>
                <w:rFonts w:ascii="Arial" w:hAnsi="Arial" w:cs="Arial"/>
                <w:sz w:val="24"/>
                <w:szCs w:val="24"/>
              </w:rPr>
              <w:t>39</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2E437A7A" w14:textId="7B3F1153">
            <w:pPr>
              <w:rPr>
                <w:rFonts w:ascii="Arial" w:hAnsi="Arial" w:cs="Arial"/>
                <w:sz w:val="24"/>
                <w:szCs w:val="24"/>
              </w:rPr>
            </w:pPr>
            <w:r w:rsidRPr="00CC2F5E">
              <w:rPr>
                <w:rFonts w:ascii="Arial" w:hAnsi="Arial" w:cs="Arial"/>
                <w:sz w:val="24"/>
                <w:szCs w:val="24"/>
              </w:rPr>
              <w:t>39</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6DBE57E9" w14:textId="3ED5691D">
            <w:pPr>
              <w:rPr>
                <w:rFonts w:ascii="Arial" w:hAnsi="Arial" w:cs="Arial"/>
                <w:sz w:val="24"/>
                <w:szCs w:val="24"/>
              </w:rPr>
            </w:pPr>
            <w:r w:rsidRPr="00CC2F5E">
              <w:rPr>
                <w:rFonts w:ascii="Arial" w:hAnsi="Arial" w:cs="Arial"/>
                <w:sz w:val="24"/>
                <w:szCs w:val="24"/>
              </w:rPr>
              <w:t>14</w:t>
            </w:r>
          </w:p>
        </w:tc>
      </w:tr>
      <w:tr w14:paraId="6C2C8D89" w14:textId="77777777" w:rsidTr="00561F40">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0447D" w:rsidRPr="00CC2F5E" w:rsidP="00F7533D" w14:paraId="2E05155D"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14114BD5" w14:textId="2A5A9D46">
            <w:pPr>
              <w:rPr>
                <w:rFonts w:ascii="Arial" w:hAnsi="Arial" w:cs="Arial"/>
                <w:sz w:val="24"/>
                <w:szCs w:val="24"/>
              </w:rPr>
            </w:pPr>
            <w:r>
              <w:rPr>
                <w:rFonts w:ascii="Arial" w:hAnsi="Arial" w:cs="Arial"/>
                <w:sz w:val="24"/>
                <w:szCs w:val="24"/>
              </w:rPr>
              <w:t>9.75</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0447D" w:rsidRPr="00CC2F5E" w:rsidP="00F7533D" w14:paraId="7696E2F2" w14:textId="69ECFAF9">
            <w:pPr>
              <w:rPr>
                <w:rFonts w:ascii="Arial" w:hAnsi="Arial" w:cs="Arial"/>
                <w:sz w:val="24"/>
                <w:szCs w:val="24"/>
              </w:rPr>
            </w:pPr>
            <w:r>
              <w:rPr>
                <w:rFonts w:ascii="Arial" w:hAnsi="Arial" w:cs="Arial"/>
                <w:sz w:val="24"/>
                <w:szCs w:val="24"/>
              </w:rPr>
              <w:t>9.75</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C0447D" w:rsidRPr="00CC2F5E" w:rsidP="00F7533D" w14:paraId="158D6370" w14:textId="6DA084C1">
            <w:pPr>
              <w:rPr>
                <w:rFonts w:ascii="Arial" w:hAnsi="Arial" w:cs="Arial"/>
                <w:sz w:val="24"/>
                <w:szCs w:val="24"/>
              </w:rPr>
            </w:pPr>
            <w:r>
              <w:rPr>
                <w:rFonts w:ascii="Arial" w:hAnsi="Arial" w:cs="Arial"/>
                <w:sz w:val="24"/>
                <w:szCs w:val="24"/>
              </w:rPr>
              <w:t>3.5</w:t>
            </w:r>
          </w:p>
        </w:tc>
      </w:tr>
    </w:tbl>
    <w:p w:rsidR="009C3D4B" w:rsidRPr="00CC2F5E" w:rsidP="009059C8" w14:paraId="01926C4A" w14:textId="79049365">
      <w:pPr>
        <w:spacing w:after="0" w:line="240" w:lineRule="auto"/>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9C4FCD">
        <w:rPr>
          <w:rFonts w:ascii="Arial" w:hAnsi="Arial" w:cs="Arial"/>
          <w:sz w:val="24"/>
          <w:szCs w:val="24"/>
        </w:rPr>
        <w:t>The DER must report any individual that holds a part 61, 63,</w:t>
      </w:r>
      <w:r w:rsidRPr="52F164E3" w:rsidR="001806A4">
        <w:rPr>
          <w:rFonts w:ascii="Arial" w:hAnsi="Arial" w:cs="Arial"/>
          <w:sz w:val="24"/>
          <w:szCs w:val="24"/>
        </w:rPr>
        <w:t xml:space="preserve"> or</w:t>
      </w:r>
      <w:r w:rsidRPr="52F164E3" w:rsidR="009C4FCD">
        <w:rPr>
          <w:rFonts w:ascii="Arial" w:hAnsi="Arial" w:cs="Arial"/>
          <w:sz w:val="24"/>
          <w:szCs w:val="24"/>
        </w:rPr>
        <w:t xml:space="preserve"> 65 FAA certificate and refused to </w:t>
      </w:r>
      <w:r w:rsidRPr="52F164E3" w:rsidR="00202714">
        <w:rPr>
          <w:rFonts w:ascii="Arial" w:hAnsi="Arial" w:cs="Arial"/>
          <w:sz w:val="24"/>
          <w:szCs w:val="24"/>
        </w:rPr>
        <w:t>submit to drug testing</w:t>
      </w:r>
      <w:r w:rsidRPr="52F164E3">
        <w:rPr>
          <w:rFonts w:ascii="Arial" w:hAnsi="Arial" w:cs="Arial"/>
          <w:sz w:val="24"/>
          <w:szCs w:val="24"/>
        </w:rPr>
        <w:t xml:space="preserve"> and maintain the record for 5 years</w:t>
      </w:r>
      <w:r w:rsidRPr="52F164E3" w:rsidR="009C4FCD">
        <w:rPr>
          <w:rFonts w:ascii="Arial" w:hAnsi="Arial" w:cs="Arial"/>
          <w:sz w:val="24"/>
          <w:szCs w:val="24"/>
        </w:rPr>
        <w:t xml:space="preserve">. To calculate the number of respondents, the Drug Abatement Division </w:t>
      </w:r>
      <w:r w:rsidRPr="52F164E3">
        <w:rPr>
          <w:rFonts w:ascii="Arial" w:hAnsi="Arial" w:cs="Arial"/>
          <w:sz w:val="24"/>
          <w:szCs w:val="24"/>
        </w:rPr>
        <w:t xml:space="preserve">used the number of reports of </w:t>
      </w:r>
      <w:r w:rsidRPr="52F164E3" w:rsidR="00600FEE">
        <w:rPr>
          <w:rFonts w:ascii="Arial" w:hAnsi="Arial" w:cs="Arial"/>
          <w:sz w:val="24"/>
          <w:szCs w:val="24"/>
        </w:rPr>
        <w:t xml:space="preserve">part 61, 63, </w:t>
      </w:r>
      <w:r w:rsidRPr="52F164E3" w:rsidR="001806A4">
        <w:rPr>
          <w:rFonts w:ascii="Arial" w:hAnsi="Arial" w:cs="Arial"/>
          <w:sz w:val="24"/>
          <w:szCs w:val="24"/>
        </w:rPr>
        <w:t xml:space="preserve">and </w:t>
      </w:r>
      <w:r w:rsidRPr="52F164E3" w:rsidR="00600FEE">
        <w:rPr>
          <w:rFonts w:ascii="Arial" w:hAnsi="Arial" w:cs="Arial"/>
          <w:sz w:val="24"/>
          <w:szCs w:val="24"/>
        </w:rPr>
        <w:t xml:space="preserve">65 airman that refused to submit to drug testing </w:t>
      </w:r>
      <w:r w:rsidRPr="52F164E3" w:rsidR="007275E9">
        <w:rPr>
          <w:rFonts w:ascii="Arial" w:hAnsi="Arial" w:cs="Arial"/>
          <w:sz w:val="24"/>
          <w:szCs w:val="24"/>
        </w:rPr>
        <w:t xml:space="preserve">during the </w:t>
      </w:r>
      <w:r w:rsidRPr="52F164E3">
        <w:rPr>
          <w:rFonts w:ascii="Arial" w:hAnsi="Arial" w:cs="Arial"/>
          <w:sz w:val="24"/>
          <w:szCs w:val="24"/>
        </w:rPr>
        <w:t>period of March 31, 2019</w:t>
      </w:r>
      <w:r w:rsidRPr="52F164E3" w:rsidR="00300A57">
        <w:rPr>
          <w:rFonts w:ascii="Arial" w:hAnsi="Arial" w:cs="Arial"/>
          <w:sz w:val="24"/>
          <w:szCs w:val="24"/>
        </w:rPr>
        <w:t>,</w:t>
      </w:r>
      <w:r w:rsidRPr="52F164E3">
        <w:rPr>
          <w:rFonts w:ascii="Arial" w:hAnsi="Arial" w:cs="Arial"/>
          <w:sz w:val="24"/>
          <w:szCs w:val="24"/>
        </w:rPr>
        <w:t xml:space="preserve"> through March 31, 2020. Based on the time it takes a DER to </w:t>
      </w:r>
      <w:r w:rsidRPr="52F164E3" w:rsidR="00894821">
        <w:rPr>
          <w:rFonts w:ascii="Arial" w:hAnsi="Arial" w:cs="Arial"/>
          <w:sz w:val="24"/>
          <w:szCs w:val="24"/>
        </w:rPr>
        <w:t>prepare a</w:t>
      </w:r>
      <w:r w:rsidRPr="52F164E3" w:rsidR="009C4FCD">
        <w:rPr>
          <w:rFonts w:ascii="Arial" w:hAnsi="Arial" w:cs="Arial"/>
          <w:sz w:val="24"/>
          <w:szCs w:val="24"/>
        </w:rPr>
        <w:t xml:space="preserve"> report and submit it to the Drug Abatement Division</w:t>
      </w:r>
      <w:r w:rsidRPr="52F164E3">
        <w:rPr>
          <w:rFonts w:ascii="Arial" w:hAnsi="Arial" w:cs="Arial"/>
          <w:sz w:val="24"/>
          <w:szCs w:val="24"/>
        </w:rPr>
        <w:t xml:space="preserve">, </w:t>
      </w:r>
      <w:r w:rsidRPr="52F164E3" w:rsidR="009C4FCD">
        <w:rPr>
          <w:rFonts w:ascii="Arial" w:hAnsi="Arial" w:cs="Arial"/>
          <w:sz w:val="24"/>
          <w:szCs w:val="24"/>
        </w:rPr>
        <w:t>it was d</w:t>
      </w:r>
      <w:r w:rsidRPr="52F164E3" w:rsidR="007275E9">
        <w:rPr>
          <w:rFonts w:ascii="Arial" w:hAnsi="Arial" w:cs="Arial"/>
          <w:sz w:val="24"/>
          <w:szCs w:val="24"/>
        </w:rPr>
        <w:t xml:space="preserve">etermined it would take the DER </w:t>
      </w:r>
      <w:r w:rsidRPr="52F164E3" w:rsidR="00BA624F">
        <w:rPr>
          <w:rFonts w:ascii="Arial" w:hAnsi="Arial" w:cs="Arial"/>
          <w:sz w:val="24"/>
          <w:szCs w:val="24"/>
        </w:rPr>
        <w:t>0.25 hour</w:t>
      </w:r>
      <w:r w:rsidRPr="52F164E3" w:rsidR="00BC26A6">
        <w:rPr>
          <w:rFonts w:ascii="Arial" w:hAnsi="Arial" w:cs="Arial"/>
          <w:sz w:val="24"/>
          <w:szCs w:val="24"/>
        </w:rPr>
        <w:t>s</w:t>
      </w:r>
      <w:r w:rsidRPr="52F164E3">
        <w:rPr>
          <w:rFonts w:ascii="Arial" w:hAnsi="Arial" w:cs="Arial"/>
          <w:sz w:val="24"/>
          <w:szCs w:val="24"/>
        </w:rPr>
        <w:t>. To maintain the record, the Drug Abatement Division estimated it would take the DER 0.25 hour</w:t>
      </w:r>
      <w:r w:rsidRPr="52F164E3" w:rsidR="00433FBB">
        <w:rPr>
          <w:rFonts w:ascii="Arial" w:hAnsi="Arial" w:cs="Arial"/>
          <w:sz w:val="24"/>
          <w:szCs w:val="24"/>
        </w:rPr>
        <w:t>s</w:t>
      </w:r>
      <w:r w:rsidRPr="52F164E3">
        <w:rPr>
          <w:rFonts w:ascii="Arial" w:hAnsi="Arial" w:cs="Arial"/>
          <w:sz w:val="24"/>
          <w:szCs w:val="24"/>
        </w:rPr>
        <w:t>.</w:t>
      </w:r>
      <w:r w:rsidRPr="52F164E3" w:rsidR="0042237D">
        <w:rPr>
          <w:rFonts w:ascii="Arial" w:hAnsi="Arial" w:cs="Arial"/>
          <w:sz w:val="24"/>
          <w:szCs w:val="24"/>
        </w:rPr>
        <w:t xml:space="preserve"> The </w:t>
      </w:r>
      <w:r w:rsidRPr="52F164E3" w:rsidR="00EF2559">
        <w:rPr>
          <w:rFonts w:ascii="Arial" w:hAnsi="Arial" w:cs="Arial"/>
          <w:sz w:val="24"/>
          <w:szCs w:val="24"/>
        </w:rPr>
        <w:t xml:space="preserve">39 </w:t>
      </w:r>
      <w:r w:rsidRPr="52F164E3" w:rsidR="0042237D">
        <w:rPr>
          <w:rFonts w:ascii="Arial" w:hAnsi="Arial" w:cs="Arial"/>
          <w:sz w:val="24"/>
          <w:szCs w:val="24"/>
        </w:rPr>
        <w:t xml:space="preserve">respondents reporting and recordkeeping are the same. </w:t>
      </w:r>
    </w:p>
    <w:p w:rsidR="009059C8" w:rsidRPr="00CC2F5E" w:rsidP="009059C8" w14:paraId="6F0759E6" w14:textId="77777777">
      <w:pPr>
        <w:spacing w:after="0" w:line="240" w:lineRule="auto"/>
        <w:rPr>
          <w:rFonts w:ascii="Arial" w:hAnsi="Arial" w:cs="Arial"/>
          <w:sz w:val="24"/>
          <w:szCs w:val="24"/>
        </w:rPr>
      </w:pPr>
    </w:p>
    <w:p w:rsidR="00BD1F06" w:rsidRPr="00CC2F5E" w:rsidP="009059C8" w14:paraId="73DA0E95" w14:textId="723FF253">
      <w:pPr>
        <w:spacing w:after="0" w:line="240" w:lineRule="auto"/>
        <w:rPr>
          <w:rFonts w:ascii="Arial" w:hAnsi="Arial" w:cs="Arial"/>
          <w:sz w:val="24"/>
          <w:szCs w:val="24"/>
        </w:rPr>
      </w:pPr>
      <w:r w:rsidRPr="52F164E3">
        <w:rPr>
          <w:rFonts w:ascii="Arial" w:hAnsi="Arial" w:cs="Arial"/>
          <w:sz w:val="24"/>
          <w:szCs w:val="24"/>
        </w:rPr>
        <w:t>FAA guidance indicates that some DERs may voluntarily report non-certificated refusal cases to the Drug Abatement Division. To calculate the number of respondents under this type of disclosure, the Drug Abatement Division used the number of voluntary reports of a refusal to submit to drug testing during the period of March 31, 2019</w:t>
      </w:r>
      <w:r w:rsidRPr="52F164E3" w:rsidR="00300A57">
        <w:rPr>
          <w:rFonts w:ascii="Arial" w:hAnsi="Arial" w:cs="Arial"/>
          <w:sz w:val="24"/>
          <w:szCs w:val="24"/>
        </w:rPr>
        <w:t>,</w:t>
      </w:r>
      <w:r w:rsidRPr="52F164E3">
        <w:rPr>
          <w:rFonts w:ascii="Arial" w:hAnsi="Arial" w:cs="Arial"/>
          <w:sz w:val="24"/>
          <w:szCs w:val="24"/>
        </w:rPr>
        <w:t xml:space="preserve"> through March 31, 20</w:t>
      </w:r>
      <w:r w:rsidRPr="52F164E3" w:rsidR="00202714">
        <w:rPr>
          <w:rFonts w:ascii="Arial" w:hAnsi="Arial" w:cs="Arial"/>
          <w:sz w:val="24"/>
          <w:szCs w:val="24"/>
        </w:rPr>
        <w:t>20</w:t>
      </w:r>
      <w:r w:rsidRPr="52F164E3">
        <w:rPr>
          <w:rFonts w:ascii="Arial" w:hAnsi="Arial" w:cs="Arial"/>
          <w:sz w:val="24"/>
          <w:szCs w:val="24"/>
        </w:rPr>
        <w:t xml:space="preserve">. Based on the time it takes a DER to prepare a report and voluntarily submit it to the Drug Abatement Division, it was determined it </w:t>
      </w:r>
      <w:r w:rsidRPr="52F164E3" w:rsidR="00202714">
        <w:rPr>
          <w:rFonts w:ascii="Arial" w:hAnsi="Arial" w:cs="Arial"/>
          <w:sz w:val="24"/>
          <w:szCs w:val="24"/>
        </w:rPr>
        <w:t>would take the DER 0.25 hours.</w:t>
      </w:r>
      <w:r>
        <w:br/>
      </w:r>
    </w:p>
    <w:p w:rsidR="0042237D" w:rsidRPr="00CC2F5E" w:rsidP="0042237D" w14:paraId="31D3F605" w14:textId="1084E04B">
      <w:pPr>
        <w:rPr>
          <w:rFonts w:ascii="Arial" w:hAnsi="Arial" w:cs="Arial"/>
          <w:sz w:val="24"/>
          <w:szCs w:val="24"/>
        </w:rPr>
      </w:pPr>
      <w:r>
        <w:rPr>
          <w:rFonts w:ascii="Arial" w:hAnsi="Arial" w:cs="Arial"/>
          <w:sz w:val="24"/>
          <w:szCs w:val="24"/>
        </w:rPr>
        <w:t xml:space="preserve">The number of respondents in the total burden table for this category is </w:t>
      </w:r>
      <w:r w:rsidR="00EC7274">
        <w:rPr>
          <w:rFonts w:ascii="Arial" w:hAnsi="Arial" w:cs="Arial"/>
          <w:sz w:val="24"/>
          <w:szCs w:val="24"/>
        </w:rPr>
        <w:t>53</w:t>
      </w:r>
      <w:r>
        <w:rPr>
          <w:rFonts w:ascii="Arial" w:hAnsi="Arial" w:cs="Arial"/>
          <w:sz w:val="24"/>
          <w:szCs w:val="24"/>
        </w:rPr>
        <w:t>,</w:t>
      </w:r>
      <w:r w:rsidR="00EF2559">
        <w:rPr>
          <w:rFonts w:ascii="Arial" w:hAnsi="Arial" w:cs="Arial"/>
          <w:sz w:val="24"/>
          <w:szCs w:val="24"/>
        </w:rPr>
        <w:t xml:space="preserve"> which combines </w:t>
      </w:r>
      <w:r w:rsidR="00EC7274">
        <w:rPr>
          <w:rFonts w:ascii="Arial" w:hAnsi="Arial" w:cs="Arial"/>
          <w:sz w:val="24"/>
          <w:szCs w:val="24"/>
        </w:rPr>
        <w:t xml:space="preserve">the 39 respondents required to report a refusal to take a drug test and the 14 who </w:t>
      </w:r>
      <w:r w:rsidR="00EF2559">
        <w:rPr>
          <w:rFonts w:ascii="Arial" w:hAnsi="Arial" w:cs="Arial"/>
          <w:sz w:val="24"/>
          <w:szCs w:val="24"/>
        </w:rPr>
        <w:t xml:space="preserve">may </w:t>
      </w:r>
      <w:r w:rsidR="00EC7274">
        <w:rPr>
          <w:rFonts w:ascii="Arial" w:hAnsi="Arial" w:cs="Arial"/>
          <w:sz w:val="24"/>
          <w:szCs w:val="24"/>
        </w:rPr>
        <w:t xml:space="preserve">disclose the information voluntarily. </w:t>
      </w:r>
      <w:r>
        <w:rPr>
          <w:rFonts w:ascii="Arial" w:hAnsi="Arial" w:cs="Arial"/>
          <w:sz w:val="24"/>
          <w:szCs w:val="24"/>
        </w:rPr>
        <w:t>The</w:t>
      </w:r>
      <w:r w:rsidR="00EC7274">
        <w:rPr>
          <w:rFonts w:ascii="Arial" w:hAnsi="Arial" w:cs="Arial"/>
          <w:sz w:val="24"/>
          <w:szCs w:val="24"/>
        </w:rPr>
        <w:t xml:space="preserve"> 39</w:t>
      </w:r>
      <w:r>
        <w:rPr>
          <w:rFonts w:ascii="Arial" w:hAnsi="Arial" w:cs="Arial"/>
          <w:sz w:val="24"/>
          <w:szCs w:val="24"/>
        </w:rPr>
        <w:t xml:space="preserve"> respondents are reporting (</w:t>
      </w:r>
      <w:r w:rsidR="00EC7274">
        <w:rPr>
          <w:rFonts w:ascii="Arial" w:hAnsi="Arial" w:cs="Arial"/>
          <w:sz w:val="24"/>
          <w:szCs w:val="24"/>
        </w:rPr>
        <w:t>0.25</w:t>
      </w:r>
      <w:r>
        <w:rPr>
          <w:rFonts w:ascii="Arial" w:hAnsi="Arial" w:cs="Arial"/>
          <w:sz w:val="24"/>
          <w:szCs w:val="24"/>
        </w:rPr>
        <w:t xml:space="preserve"> hour</w:t>
      </w:r>
      <w:r w:rsidR="00EC7274">
        <w:rPr>
          <w:rFonts w:ascii="Arial" w:hAnsi="Arial" w:cs="Arial"/>
          <w:sz w:val="24"/>
          <w:szCs w:val="24"/>
        </w:rPr>
        <w:t>s</w:t>
      </w:r>
      <w:r>
        <w:rPr>
          <w:rFonts w:ascii="Arial" w:hAnsi="Arial" w:cs="Arial"/>
          <w:sz w:val="24"/>
          <w:szCs w:val="24"/>
        </w:rPr>
        <w:t xml:space="preserve">) and recordkeeping (0.25 hours), for a total of </w:t>
      </w:r>
      <w:r w:rsidR="00EC7274">
        <w:rPr>
          <w:rFonts w:ascii="Arial" w:hAnsi="Arial" w:cs="Arial"/>
          <w:sz w:val="24"/>
          <w:szCs w:val="24"/>
        </w:rPr>
        <w:t>0.5</w:t>
      </w:r>
      <w:r>
        <w:rPr>
          <w:rFonts w:ascii="Arial" w:hAnsi="Arial" w:cs="Arial"/>
          <w:sz w:val="24"/>
          <w:szCs w:val="24"/>
        </w:rPr>
        <w:t xml:space="preserve"> hours per response.</w:t>
      </w:r>
      <w:r w:rsidR="00EC7274">
        <w:rPr>
          <w:rFonts w:ascii="Arial" w:hAnsi="Arial" w:cs="Arial"/>
          <w:sz w:val="24"/>
          <w:szCs w:val="24"/>
        </w:rPr>
        <w:t xml:space="preserve"> The 14 additional respondents are disclosing to the FAA voluntarily (0.25 hours),</w:t>
      </w:r>
      <w:r w:rsidR="00EF2559">
        <w:rPr>
          <w:rFonts w:ascii="Arial" w:hAnsi="Arial" w:cs="Arial"/>
          <w:sz w:val="24"/>
          <w:szCs w:val="24"/>
        </w:rPr>
        <w:t xml:space="preserve"> but the r</w:t>
      </w:r>
      <w:r w:rsidR="00EC7274">
        <w:rPr>
          <w:rFonts w:ascii="Arial" w:hAnsi="Arial" w:cs="Arial"/>
          <w:sz w:val="24"/>
          <w:szCs w:val="24"/>
        </w:rPr>
        <w:t xml:space="preserve">ecordkeeping requirements </w:t>
      </w:r>
      <w:r w:rsidR="00EF2559">
        <w:rPr>
          <w:rFonts w:ascii="Arial" w:hAnsi="Arial" w:cs="Arial"/>
          <w:sz w:val="24"/>
          <w:szCs w:val="24"/>
        </w:rPr>
        <w:t xml:space="preserve">do not apply to them under the rule. </w:t>
      </w:r>
      <w:r w:rsidR="00EC7274">
        <w:rPr>
          <w:rFonts w:ascii="Arial" w:hAnsi="Arial" w:cs="Arial"/>
          <w:sz w:val="24"/>
          <w:szCs w:val="24"/>
        </w:rPr>
        <w:t xml:space="preserve"> </w:t>
      </w:r>
    </w:p>
    <w:p w:rsidR="00CA30AA" w:rsidP="00C64707" w14:paraId="1B19237E" w14:textId="5A45D1BD">
      <w:pPr>
        <w:shd w:val="clear" w:color="auto" w:fill="FFFFFF"/>
        <w:spacing w:after="0" w:line="240" w:lineRule="auto"/>
        <w:rPr>
          <w:rFonts w:ascii="Arial" w:eastAsia="Times New Roman" w:hAnsi="Arial" w:cs="Arial"/>
          <w:sz w:val="24"/>
          <w:szCs w:val="24"/>
        </w:rPr>
      </w:pPr>
    </w:p>
    <w:p w:rsidR="00EC0727" w:rsidRPr="00CC2F5E" w:rsidP="00C64707" w14:paraId="438C2DCE" w14:textId="77777777">
      <w:pPr>
        <w:shd w:val="clear" w:color="auto" w:fill="FFFFFF"/>
        <w:spacing w:after="0" w:line="240" w:lineRule="auto"/>
        <w:rPr>
          <w:rFonts w:ascii="Arial" w:eastAsia="Times New Roman" w:hAnsi="Arial" w:cs="Arial"/>
          <w:sz w:val="24"/>
          <w:szCs w:val="24"/>
        </w:rPr>
      </w:pPr>
    </w:p>
    <w:p w:rsidR="00F7533D" w:rsidRPr="00CC2F5E" w:rsidP="00F7533D" w14:paraId="4E7EEE56" w14:textId="6E9D2558">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 xml:space="preserve">Positive Drug </w:t>
      </w:r>
      <w:r w:rsidRPr="00CC2F5E" w:rsidR="00CA30AA">
        <w:rPr>
          <w:rFonts w:ascii="Arial" w:hAnsi="Arial" w:cs="Arial"/>
          <w:b/>
          <w:bCs/>
          <w:sz w:val="24"/>
          <w:szCs w:val="24"/>
        </w:rPr>
        <w:t>Test Report to</w:t>
      </w:r>
      <w:r w:rsidRPr="00CC2F5E">
        <w:rPr>
          <w:rFonts w:ascii="Arial" w:hAnsi="Arial" w:cs="Arial"/>
          <w:b/>
          <w:bCs/>
          <w:sz w:val="24"/>
          <w:szCs w:val="24"/>
        </w:rPr>
        <w:t xml:space="preserve"> FAA</w:t>
      </w:r>
    </w:p>
    <w:tbl>
      <w:tblPr>
        <w:tblW w:w="8900" w:type="dxa"/>
        <w:tblCellMar>
          <w:left w:w="0" w:type="dxa"/>
          <w:right w:w="0" w:type="dxa"/>
        </w:tblCellMar>
        <w:tblLook w:val="04A0"/>
      </w:tblPr>
      <w:tblGrid>
        <w:gridCol w:w="3410"/>
        <w:gridCol w:w="1800"/>
        <w:gridCol w:w="2040"/>
        <w:gridCol w:w="1650"/>
      </w:tblGrid>
      <w:tr w14:paraId="209EDC58" w14:textId="77777777" w:rsidTr="00314C22">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768A3879"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2FA574FE" w14:textId="77777777">
            <w:pPr>
              <w:rPr>
                <w:rFonts w:ascii="Arial" w:hAnsi="Arial" w:cs="Arial"/>
                <w:b/>
                <w:bCs/>
                <w:sz w:val="24"/>
                <w:szCs w:val="24"/>
              </w:rPr>
            </w:pPr>
            <w:r w:rsidRPr="00CC2F5E">
              <w:rPr>
                <w:rFonts w:ascii="Arial" w:hAnsi="Arial" w:cs="Arial"/>
                <w:b/>
                <w:bCs/>
                <w:sz w:val="24"/>
                <w:szCs w:val="24"/>
              </w:rPr>
              <w:t>Reporting</w:t>
            </w:r>
          </w:p>
        </w:tc>
        <w:tc>
          <w:tcPr>
            <w:tcW w:w="204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F7533D" w:rsidRPr="00CC2F5E" w:rsidP="00F7533D" w14:paraId="7985F1A3" w14:textId="77777777">
            <w:pPr>
              <w:rPr>
                <w:rFonts w:ascii="Arial" w:hAnsi="Arial" w:cs="Arial"/>
                <w:b/>
                <w:bCs/>
                <w:sz w:val="24"/>
                <w:szCs w:val="24"/>
              </w:rPr>
            </w:pPr>
            <w:r w:rsidRPr="00CC2F5E">
              <w:rPr>
                <w:rFonts w:ascii="Arial" w:hAnsi="Arial" w:cs="Arial"/>
                <w:b/>
                <w:bCs/>
                <w:sz w:val="24"/>
                <w:szCs w:val="24"/>
              </w:rPr>
              <w:t>Recordkeeping</w:t>
            </w:r>
          </w:p>
        </w:tc>
        <w:tc>
          <w:tcPr>
            <w:tcW w:w="165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rsidR="00F7533D" w:rsidRPr="00CC2F5E" w:rsidP="00F7533D" w14:paraId="2293F15A" w14:textId="77777777">
            <w:pPr>
              <w:rPr>
                <w:rFonts w:ascii="Arial" w:hAnsi="Arial" w:cs="Arial"/>
                <w:b/>
                <w:bCs/>
                <w:sz w:val="24"/>
                <w:szCs w:val="24"/>
              </w:rPr>
            </w:pPr>
            <w:r w:rsidRPr="00CC2F5E">
              <w:rPr>
                <w:rFonts w:ascii="Arial" w:hAnsi="Arial" w:cs="Arial"/>
                <w:b/>
                <w:bCs/>
                <w:sz w:val="24"/>
                <w:szCs w:val="24"/>
              </w:rPr>
              <w:t>Disclosure</w:t>
            </w:r>
          </w:p>
        </w:tc>
      </w:tr>
      <w:tr w14:paraId="09521FD2" w14:textId="77777777" w:rsidTr="00314C22">
        <w:tblPrEx>
          <w:tblW w:w="8900" w:type="dxa"/>
          <w:tblCellMar>
            <w:left w:w="0" w:type="dxa"/>
            <w:right w:w="0" w:type="dxa"/>
          </w:tblCellMar>
          <w:tblLook w:val="04A0"/>
        </w:tblPrEx>
        <w:trPr>
          <w:trHeight w:val="465"/>
        </w:trPr>
        <w:tc>
          <w:tcPr>
            <w:tcW w:w="34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7533D" w:rsidRPr="00CC2F5E" w:rsidP="00F7533D" w14:paraId="0977DCD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CC2F5E" w:rsidP="00FB6305" w14:paraId="5660A2EF" w14:textId="1993A60C">
            <w:pPr>
              <w:rPr>
                <w:rFonts w:ascii="Arial" w:hAnsi="Arial" w:cs="Arial"/>
                <w:sz w:val="24"/>
                <w:szCs w:val="24"/>
              </w:rPr>
            </w:pPr>
            <w:r w:rsidRPr="00CC2F5E">
              <w:rPr>
                <w:rFonts w:ascii="Arial" w:hAnsi="Arial" w:cs="Arial"/>
                <w:sz w:val="24"/>
                <w:szCs w:val="24"/>
              </w:rPr>
              <w:t>46</w:t>
            </w:r>
          </w:p>
        </w:tc>
        <w:tc>
          <w:tcPr>
            <w:tcW w:w="20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F7533D" w:rsidRPr="00CC2F5E" w:rsidP="00F7533D" w14:paraId="5457A1CF" w14:textId="1C294E44">
            <w:pPr>
              <w:rPr>
                <w:rFonts w:ascii="Arial" w:hAnsi="Arial" w:cs="Arial"/>
                <w:sz w:val="24"/>
                <w:szCs w:val="24"/>
              </w:rPr>
            </w:pPr>
            <w:r w:rsidRPr="00CC2F5E">
              <w:rPr>
                <w:rFonts w:ascii="Arial" w:hAnsi="Arial" w:cs="Arial"/>
                <w:sz w:val="24"/>
                <w:szCs w:val="24"/>
              </w:rPr>
              <w:t>46</w:t>
            </w:r>
          </w:p>
        </w:tc>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7533D" w:rsidRPr="00CC2F5E" w:rsidP="00F7533D" w14:paraId="40E76D1F" w14:textId="25CAC22D">
            <w:pPr>
              <w:rPr>
                <w:rFonts w:ascii="Arial" w:hAnsi="Arial" w:cs="Arial"/>
                <w:sz w:val="24"/>
                <w:szCs w:val="24"/>
              </w:rPr>
            </w:pPr>
            <w:r w:rsidRPr="00CC2F5E">
              <w:rPr>
                <w:rFonts w:ascii="Arial" w:hAnsi="Arial" w:cs="Arial"/>
                <w:sz w:val="24"/>
                <w:szCs w:val="24"/>
              </w:rPr>
              <w:t>99</w:t>
            </w:r>
          </w:p>
        </w:tc>
      </w:tr>
      <w:tr w14:paraId="64E04870" w14:textId="77777777" w:rsidTr="00314C22">
        <w:tblPrEx>
          <w:tblW w:w="8900" w:type="dxa"/>
          <w:tblCellMar>
            <w:left w:w="0" w:type="dxa"/>
            <w:right w:w="0" w:type="dxa"/>
          </w:tblCellMar>
          <w:tblLook w:val="04A0"/>
        </w:tblPrEx>
        <w:trPr>
          <w:trHeight w:val="330"/>
        </w:trPr>
        <w:tc>
          <w:tcPr>
            <w:tcW w:w="341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2E9B81CC"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ECF4607" w14:textId="58AFD350">
            <w:pPr>
              <w:rPr>
                <w:rFonts w:ascii="Arial" w:hAnsi="Arial" w:cs="Arial"/>
                <w:sz w:val="24"/>
                <w:szCs w:val="24"/>
              </w:rPr>
            </w:pPr>
            <w:r w:rsidRPr="00CC2F5E">
              <w:rPr>
                <w:rFonts w:ascii="Arial" w:hAnsi="Arial" w:cs="Arial"/>
                <w:sz w:val="24"/>
                <w:szCs w:val="24"/>
              </w:rPr>
              <w:t>1</w:t>
            </w:r>
          </w:p>
        </w:tc>
        <w:tc>
          <w:tcPr>
            <w:tcW w:w="204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0BE48FF" w14:textId="25F090F8">
            <w:pPr>
              <w:rPr>
                <w:rFonts w:ascii="Arial" w:hAnsi="Arial" w:cs="Arial"/>
                <w:sz w:val="24"/>
                <w:szCs w:val="24"/>
              </w:rPr>
            </w:pPr>
            <w:r w:rsidRPr="00CC2F5E">
              <w:rPr>
                <w:rFonts w:ascii="Arial" w:hAnsi="Arial" w:cs="Arial"/>
                <w:sz w:val="24"/>
                <w:szCs w:val="24"/>
              </w:rPr>
              <w:t>1</w:t>
            </w:r>
          </w:p>
        </w:tc>
        <w:tc>
          <w:tcPr>
            <w:tcW w:w="165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02714" w:rsidRPr="00CC2F5E" w:rsidP="00F7533D" w14:paraId="4B5FFDB6" w14:textId="77777777">
            <w:pPr>
              <w:rPr>
                <w:rFonts w:ascii="Arial" w:hAnsi="Arial" w:cs="Arial"/>
                <w:sz w:val="24"/>
                <w:szCs w:val="24"/>
              </w:rPr>
            </w:pPr>
          </w:p>
          <w:p w:rsidR="00F7533D" w:rsidRPr="00CC2F5E" w:rsidP="00F7533D" w14:paraId="6F0318EE" w14:textId="04D3C602">
            <w:pPr>
              <w:rPr>
                <w:rFonts w:ascii="Arial" w:hAnsi="Arial" w:cs="Arial"/>
                <w:sz w:val="24"/>
                <w:szCs w:val="24"/>
              </w:rPr>
            </w:pPr>
            <w:r w:rsidRPr="00CC2F5E">
              <w:rPr>
                <w:rFonts w:ascii="Arial" w:hAnsi="Arial" w:cs="Arial"/>
                <w:sz w:val="24"/>
                <w:szCs w:val="24"/>
              </w:rPr>
              <w:t>1</w:t>
            </w:r>
          </w:p>
        </w:tc>
      </w:tr>
      <w:tr w14:paraId="4DE98280"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B47D2C6"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D6DA07D" w14:textId="39277273">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1B2BBD8" w14:textId="395E871C">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0DD1E8A" w14:textId="1C6DED6F">
            <w:pPr>
              <w:rPr>
                <w:rFonts w:ascii="Arial" w:hAnsi="Arial" w:cs="Arial"/>
                <w:sz w:val="24"/>
                <w:szCs w:val="24"/>
              </w:rPr>
            </w:pPr>
            <w:r w:rsidRPr="00CC2F5E">
              <w:rPr>
                <w:rFonts w:ascii="Arial" w:hAnsi="Arial" w:cs="Arial"/>
                <w:sz w:val="24"/>
                <w:szCs w:val="24"/>
              </w:rPr>
              <w:t>0.25 hours</w:t>
            </w:r>
          </w:p>
        </w:tc>
      </w:tr>
      <w:tr w14:paraId="60EB3CE3"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124057B2"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4971106B" w14:textId="66CD85E5">
            <w:pPr>
              <w:rPr>
                <w:rFonts w:ascii="Arial" w:hAnsi="Arial" w:cs="Arial"/>
                <w:sz w:val="24"/>
                <w:szCs w:val="24"/>
              </w:rPr>
            </w:pPr>
            <w:r w:rsidRPr="00CC2F5E">
              <w:rPr>
                <w:rFonts w:ascii="Arial" w:hAnsi="Arial" w:cs="Arial"/>
                <w:sz w:val="24"/>
                <w:szCs w:val="24"/>
              </w:rPr>
              <w:t>46</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18FC106" w14:textId="5EA121BF">
            <w:pPr>
              <w:rPr>
                <w:rFonts w:ascii="Arial" w:hAnsi="Arial" w:cs="Arial"/>
                <w:sz w:val="24"/>
                <w:szCs w:val="24"/>
              </w:rPr>
            </w:pPr>
            <w:r w:rsidRPr="00CC2F5E">
              <w:rPr>
                <w:rFonts w:ascii="Arial" w:hAnsi="Arial" w:cs="Arial"/>
                <w:sz w:val="24"/>
                <w:szCs w:val="24"/>
              </w:rPr>
              <w:t>46</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2ECC916" w14:textId="038BEEC5">
            <w:pPr>
              <w:rPr>
                <w:rFonts w:ascii="Arial" w:hAnsi="Arial" w:cs="Arial"/>
                <w:sz w:val="24"/>
                <w:szCs w:val="24"/>
              </w:rPr>
            </w:pPr>
            <w:r w:rsidRPr="00CC2F5E">
              <w:rPr>
                <w:rFonts w:ascii="Arial" w:hAnsi="Arial" w:cs="Arial"/>
                <w:sz w:val="24"/>
                <w:szCs w:val="24"/>
              </w:rPr>
              <w:t>99</w:t>
            </w:r>
          </w:p>
        </w:tc>
      </w:tr>
      <w:tr w14:paraId="2494E485"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3B8BBFE2"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B4D1EC2" w14:textId="2F4A3CE0">
            <w:pPr>
              <w:rPr>
                <w:rFonts w:ascii="Arial" w:hAnsi="Arial" w:cs="Arial"/>
                <w:sz w:val="24"/>
                <w:szCs w:val="24"/>
              </w:rPr>
            </w:pPr>
            <w:r>
              <w:rPr>
                <w:rFonts w:ascii="Arial" w:hAnsi="Arial" w:cs="Arial"/>
                <w:sz w:val="24"/>
                <w:szCs w:val="24"/>
              </w:rPr>
              <w:t>11.5</w:t>
            </w:r>
          </w:p>
        </w:tc>
        <w:tc>
          <w:tcPr>
            <w:tcW w:w="20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77408A" w14:paraId="58A1FAA0" w14:textId="36E1AA2D">
            <w:pPr>
              <w:rPr>
                <w:rFonts w:ascii="Arial" w:hAnsi="Arial" w:cs="Arial"/>
                <w:sz w:val="24"/>
                <w:szCs w:val="24"/>
              </w:rPr>
            </w:pPr>
            <w:r>
              <w:rPr>
                <w:rFonts w:ascii="Arial" w:hAnsi="Arial" w:cs="Arial"/>
                <w:sz w:val="24"/>
                <w:szCs w:val="24"/>
              </w:rPr>
              <w:t>11.5</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5918B998" w14:textId="08E28FE2">
            <w:pPr>
              <w:rPr>
                <w:rFonts w:ascii="Arial" w:hAnsi="Arial" w:cs="Arial"/>
                <w:sz w:val="24"/>
                <w:szCs w:val="24"/>
              </w:rPr>
            </w:pPr>
            <w:r w:rsidRPr="00CC2F5E">
              <w:rPr>
                <w:rFonts w:ascii="Arial" w:hAnsi="Arial" w:cs="Arial"/>
                <w:sz w:val="24"/>
                <w:szCs w:val="24"/>
              </w:rPr>
              <w:t>2</w:t>
            </w:r>
            <w:r w:rsidR="00304085">
              <w:rPr>
                <w:rFonts w:ascii="Arial" w:hAnsi="Arial" w:cs="Arial"/>
                <w:sz w:val="24"/>
                <w:szCs w:val="24"/>
              </w:rPr>
              <w:t>4.75</w:t>
            </w:r>
          </w:p>
        </w:tc>
      </w:tr>
    </w:tbl>
    <w:p w:rsidR="00FB6305" w:rsidRPr="00CC2F5E" w:rsidP="009059C8" w14:paraId="01F7CB25" w14:textId="778D63AA">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CC2F5E" w:rsidR="00312922">
        <w:rPr>
          <w:rFonts w:ascii="Arial" w:hAnsi="Arial" w:cs="Arial"/>
          <w:sz w:val="24"/>
          <w:szCs w:val="24"/>
        </w:rPr>
        <w:t xml:space="preserve">The DER must report any individual that holds a part 67 medical certificate and tests positive on a drug test and maintain the record for 5 years. To calculate the number of respondents, the Drug Abatement Division used the number of </w:t>
      </w:r>
      <w:r w:rsidRPr="00CC2F5E">
        <w:rPr>
          <w:rFonts w:ascii="Arial" w:hAnsi="Arial" w:cs="Arial"/>
          <w:sz w:val="24"/>
          <w:szCs w:val="24"/>
        </w:rPr>
        <w:t xml:space="preserve">positive drug test </w:t>
      </w:r>
      <w:r w:rsidRPr="00CC2F5E" w:rsidR="00894821">
        <w:rPr>
          <w:rFonts w:ascii="Arial" w:hAnsi="Arial" w:cs="Arial"/>
          <w:sz w:val="24"/>
          <w:szCs w:val="24"/>
        </w:rPr>
        <w:t>results</w:t>
      </w:r>
      <w:r w:rsidRPr="00CC2F5E">
        <w:rPr>
          <w:rFonts w:ascii="Arial" w:hAnsi="Arial" w:cs="Arial"/>
          <w:sz w:val="24"/>
          <w:szCs w:val="24"/>
        </w:rPr>
        <w:t xml:space="preserve"> </w:t>
      </w:r>
      <w:r w:rsidRPr="00CC2F5E" w:rsidR="00600FEE">
        <w:rPr>
          <w:rFonts w:ascii="Arial" w:hAnsi="Arial" w:cs="Arial"/>
          <w:sz w:val="24"/>
          <w:szCs w:val="24"/>
        </w:rPr>
        <w:t xml:space="preserve">for a part 67 </w:t>
      </w:r>
      <w:r w:rsidRPr="00CC2F5E" w:rsidR="00894821">
        <w:rPr>
          <w:rFonts w:ascii="Arial" w:hAnsi="Arial" w:cs="Arial"/>
          <w:sz w:val="24"/>
          <w:szCs w:val="24"/>
        </w:rPr>
        <w:t xml:space="preserve">that were reported to the Drug Abatement Division during the </w:t>
      </w:r>
      <w:r w:rsidRPr="00CC2F5E">
        <w:rPr>
          <w:rFonts w:ascii="Arial" w:hAnsi="Arial" w:cs="Arial"/>
          <w:sz w:val="24"/>
          <w:szCs w:val="24"/>
        </w:rPr>
        <w:t xml:space="preserve">period of March 31, </w:t>
      </w:r>
      <w:r w:rsidRPr="00CC2F5E">
        <w:rPr>
          <w:rFonts w:ascii="Arial" w:hAnsi="Arial" w:cs="Arial"/>
          <w:sz w:val="24"/>
          <w:szCs w:val="24"/>
        </w:rPr>
        <w:t>2019</w:t>
      </w:r>
      <w:r w:rsidRPr="00CC2F5E">
        <w:rPr>
          <w:rFonts w:ascii="Arial" w:hAnsi="Arial" w:cs="Arial"/>
          <w:sz w:val="24"/>
          <w:szCs w:val="24"/>
        </w:rPr>
        <w:t xml:space="preserve"> through March 31, 2020. Based on the time it takes a DER to </w:t>
      </w:r>
      <w:r w:rsidRPr="00CC2F5E" w:rsidR="00894821">
        <w:rPr>
          <w:rFonts w:ascii="Arial" w:hAnsi="Arial" w:cs="Arial"/>
          <w:sz w:val="24"/>
          <w:szCs w:val="24"/>
        </w:rPr>
        <w:t xml:space="preserve">prepare a report </w:t>
      </w:r>
      <w:r w:rsidRPr="00CC2F5E" w:rsidR="00312922">
        <w:rPr>
          <w:rFonts w:ascii="Arial" w:hAnsi="Arial" w:cs="Arial"/>
          <w:sz w:val="24"/>
          <w:szCs w:val="24"/>
        </w:rPr>
        <w:t xml:space="preserve">and submit it to the </w:t>
      </w:r>
      <w:r w:rsidRPr="00CC2F5E" w:rsidR="00894821">
        <w:rPr>
          <w:rFonts w:ascii="Arial" w:hAnsi="Arial" w:cs="Arial"/>
          <w:sz w:val="24"/>
          <w:szCs w:val="24"/>
        </w:rPr>
        <w:t>Drug Abatement Division</w:t>
      </w:r>
      <w:r w:rsidRPr="00CC2F5E" w:rsidR="00312922">
        <w:rPr>
          <w:rFonts w:ascii="Arial" w:hAnsi="Arial" w:cs="Arial"/>
          <w:sz w:val="24"/>
          <w:szCs w:val="24"/>
        </w:rPr>
        <w:t>, it was</w:t>
      </w:r>
      <w:r w:rsidRPr="00CC2F5E" w:rsidR="00894821">
        <w:rPr>
          <w:rFonts w:ascii="Arial" w:hAnsi="Arial" w:cs="Arial"/>
          <w:sz w:val="24"/>
          <w:szCs w:val="24"/>
        </w:rPr>
        <w:t xml:space="preserve"> determined </w:t>
      </w:r>
      <w:r w:rsidRPr="00CC2F5E" w:rsidR="00312922">
        <w:rPr>
          <w:rFonts w:ascii="Arial" w:hAnsi="Arial" w:cs="Arial"/>
          <w:sz w:val="24"/>
          <w:szCs w:val="24"/>
        </w:rPr>
        <w:t>it would take the DER 0.25 hour</w:t>
      </w:r>
      <w:r w:rsidRPr="00CC2F5E" w:rsidR="00BC26A6">
        <w:rPr>
          <w:rFonts w:ascii="Arial" w:hAnsi="Arial" w:cs="Arial"/>
          <w:sz w:val="24"/>
          <w:szCs w:val="24"/>
        </w:rPr>
        <w:t>s</w:t>
      </w:r>
      <w:r w:rsidRPr="00CC2F5E">
        <w:rPr>
          <w:rFonts w:ascii="Arial" w:hAnsi="Arial" w:cs="Arial"/>
          <w:sz w:val="24"/>
          <w:szCs w:val="24"/>
        </w:rPr>
        <w:t>.</w:t>
      </w:r>
      <w:r w:rsidRPr="00CC2F5E" w:rsidR="00312922">
        <w:rPr>
          <w:rFonts w:ascii="Arial" w:hAnsi="Arial" w:cs="Arial"/>
          <w:sz w:val="24"/>
          <w:szCs w:val="24"/>
        </w:rPr>
        <w:t xml:space="preserve"> To maintain the record, the Drug Abatement Division estimated it would take the DER 0.25 hour</w:t>
      </w:r>
      <w:r w:rsidRPr="00CC2F5E" w:rsidR="00BC26A6">
        <w:rPr>
          <w:rFonts w:ascii="Arial" w:hAnsi="Arial" w:cs="Arial"/>
          <w:sz w:val="24"/>
          <w:szCs w:val="24"/>
        </w:rPr>
        <w:t>s</w:t>
      </w:r>
      <w:r w:rsidRPr="00CC2F5E" w:rsidR="00312922">
        <w:rPr>
          <w:rFonts w:ascii="Arial" w:hAnsi="Arial" w:cs="Arial"/>
          <w:sz w:val="24"/>
          <w:szCs w:val="24"/>
        </w:rPr>
        <w:t>.</w:t>
      </w:r>
      <w:r w:rsidR="00714042">
        <w:rPr>
          <w:rFonts w:ascii="Arial" w:hAnsi="Arial" w:cs="Arial"/>
          <w:sz w:val="24"/>
          <w:szCs w:val="24"/>
        </w:rPr>
        <w:t xml:space="preserve"> </w:t>
      </w:r>
      <w:r w:rsidRPr="00714042" w:rsidR="00714042">
        <w:rPr>
          <w:rFonts w:ascii="Arial" w:hAnsi="Arial" w:cs="Arial"/>
          <w:sz w:val="24"/>
          <w:szCs w:val="24"/>
        </w:rPr>
        <w:t xml:space="preserve">The </w:t>
      </w:r>
      <w:r w:rsidR="0091692A">
        <w:rPr>
          <w:rFonts w:ascii="Arial" w:hAnsi="Arial" w:cs="Arial"/>
          <w:sz w:val="24"/>
          <w:szCs w:val="24"/>
        </w:rPr>
        <w:t xml:space="preserve">46 </w:t>
      </w:r>
      <w:r w:rsidRPr="00714042" w:rsidR="00714042">
        <w:rPr>
          <w:rFonts w:ascii="Arial" w:hAnsi="Arial" w:cs="Arial"/>
          <w:sz w:val="24"/>
          <w:szCs w:val="24"/>
        </w:rPr>
        <w:t>respondents reporting and recordkeeping are the same.</w:t>
      </w:r>
    </w:p>
    <w:p w:rsidR="009059C8" w:rsidRPr="00CC2F5E" w:rsidP="009059C8" w14:paraId="06B32E75" w14:textId="77777777">
      <w:pPr>
        <w:shd w:val="clear" w:color="auto" w:fill="FFFFFF"/>
        <w:spacing w:after="0" w:line="240" w:lineRule="auto"/>
        <w:rPr>
          <w:rFonts w:ascii="Arial" w:hAnsi="Arial" w:cs="Arial"/>
          <w:sz w:val="24"/>
          <w:szCs w:val="24"/>
        </w:rPr>
      </w:pPr>
    </w:p>
    <w:p w:rsidR="003D719C" w:rsidP="52F164E3" w14:paraId="10788EC5" w14:textId="7B1BEFC5">
      <w:pPr>
        <w:shd w:val="clear" w:color="auto" w:fill="FFFFFF" w:themeFill="background1"/>
        <w:spacing w:after="0" w:line="240" w:lineRule="auto"/>
        <w:rPr>
          <w:rFonts w:ascii="Arial" w:hAnsi="Arial" w:cs="Arial"/>
          <w:sz w:val="24"/>
          <w:szCs w:val="24"/>
        </w:rPr>
      </w:pPr>
      <w:r w:rsidRPr="52F164E3">
        <w:rPr>
          <w:rFonts w:ascii="Arial" w:hAnsi="Arial" w:cs="Arial"/>
          <w:sz w:val="24"/>
          <w:szCs w:val="24"/>
        </w:rPr>
        <w:t>FAA guidance indicates that some DERs may voluntarily report non-part 67 medically certificated drug test positive reports to the Drug Abatement Division. To calculate the number of respondents under this type of disclosure, the Drug Abatement Division used the number of voluntary reports of a positive test for all non-part 67 medically certificated employees during the period of March 31, 2019</w:t>
      </w:r>
      <w:r w:rsidRPr="52F164E3" w:rsidR="00A1266F">
        <w:rPr>
          <w:rFonts w:ascii="Arial" w:hAnsi="Arial" w:cs="Arial"/>
          <w:sz w:val="24"/>
          <w:szCs w:val="24"/>
        </w:rPr>
        <w:t>,</w:t>
      </w:r>
      <w:r w:rsidRPr="52F164E3">
        <w:rPr>
          <w:rFonts w:ascii="Arial" w:hAnsi="Arial" w:cs="Arial"/>
          <w:sz w:val="24"/>
          <w:szCs w:val="24"/>
        </w:rPr>
        <w:t xml:space="preserve"> through March 31, 20</w:t>
      </w:r>
      <w:r w:rsidRPr="52F164E3" w:rsidR="005E2ABF">
        <w:rPr>
          <w:rFonts w:ascii="Arial" w:hAnsi="Arial" w:cs="Arial"/>
          <w:sz w:val="24"/>
          <w:szCs w:val="24"/>
        </w:rPr>
        <w:t>20</w:t>
      </w:r>
      <w:r w:rsidRPr="52F164E3">
        <w:rPr>
          <w:rFonts w:ascii="Arial" w:hAnsi="Arial" w:cs="Arial"/>
          <w:sz w:val="24"/>
          <w:szCs w:val="24"/>
        </w:rPr>
        <w:t>. Based on the time it takes a DER to prepare a report and voluntarily submit it to the Drug Abatement Division, it was determined it would take the DER 0.25 hours.</w:t>
      </w:r>
    </w:p>
    <w:p w:rsidR="00714042" w:rsidP="00C64707" w14:paraId="223C5A3B" w14:textId="77777777">
      <w:pPr>
        <w:shd w:val="clear" w:color="auto" w:fill="FFFFFF"/>
        <w:spacing w:after="0" w:line="240" w:lineRule="auto"/>
        <w:rPr>
          <w:rFonts w:ascii="Arial" w:hAnsi="Arial" w:cs="Arial"/>
          <w:sz w:val="24"/>
          <w:szCs w:val="24"/>
        </w:rPr>
      </w:pPr>
    </w:p>
    <w:p w:rsidR="00714042" w:rsidRPr="00714042" w:rsidP="00714042" w14:paraId="1AA3F1A0" w14:textId="62335B4D">
      <w:pPr>
        <w:rPr>
          <w:rFonts w:ascii="Arial" w:hAnsi="Arial" w:cs="Arial"/>
          <w:sz w:val="24"/>
          <w:szCs w:val="24"/>
        </w:rPr>
      </w:pPr>
      <w:r>
        <w:rPr>
          <w:rFonts w:ascii="Arial" w:hAnsi="Arial" w:cs="Arial"/>
          <w:sz w:val="24"/>
          <w:szCs w:val="24"/>
        </w:rPr>
        <w:t xml:space="preserve">The number of respondents in the total burden table for this category is </w:t>
      </w:r>
      <w:r w:rsidR="00304085">
        <w:rPr>
          <w:rFonts w:ascii="Arial" w:hAnsi="Arial" w:cs="Arial"/>
          <w:sz w:val="24"/>
          <w:szCs w:val="24"/>
        </w:rPr>
        <w:t>145</w:t>
      </w:r>
      <w:r>
        <w:rPr>
          <w:rFonts w:ascii="Arial" w:hAnsi="Arial" w:cs="Arial"/>
          <w:sz w:val="24"/>
          <w:szCs w:val="24"/>
        </w:rPr>
        <w:t xml:space="preserve">, </w:t>
      </w:r>
      <w:r w:rsidR="0091692A">
        <w:rPr>
          <w:rFonts w:ascii="Arial" w:hAnsi="Arial" w:cs="Arial"/>
          <w:sz w:val="24"/>
          <w:szCs w:val="24"/>
        </w:rPr>
        <w:t>which combines</w:t>
      </w:r>
      <w:r>
        <w:rPr>
          <w:rFonts w:ascii="Arial" w:hAnsi="Arial" w:cs="Arial"/>
          <w:sz w:val="24"/>
          <w:szCs w:val="24"/>
        </w:rPr>
        <w:t xml:space="preserve"> the 46 respondents required to report a refusal to take a drug test and the 99 who </w:t>
      </w:r>
      <w:r w:rsidR="0091692A">
        <w:rPr>
          <w:rFonts w:ascii="Arial" w:hAnsi="Arial" w:cs="Arial"/>
          <w:sz w:val="24"/>
          <w:szCs w:val="24"/>
        </w:rPr>
        <w:t xml:space="preserve">may </w:t>
      </w:r>
      <w:r>
        <w:rPr>
          <w:rFonts w:ascii="Arial" w:hAnsi="Arial" w:cs="Arial"/>
          <w:sz w:val="24"/>
          <w:szCs w:val="24"/>
        </w:rPr>
        <w:t xml:space="preserve">disclose the information voluntarily. The </w:t>
      </w:r>
      <w:r w:rsidR="00304085">
        <w:rPr>
          <w:rFonts w:ascii="Arial" w:hAnsi="Arial" w:cs="Arial"/>
          <w:sz w:val="24"/>
          <w:szCs w:val="24"/>
        </w:rPr>
        <w:t>46</w:t>
      </w:r>
      <w:r>
        <w:rPr>
          <w:rFonts w:ascii="Arial" w:hAnsi="Arial" w:cs="Arial"/>
          <w:sz w:val="24"/>
          <w:szCs w:val="24"/>
        </w:rPr>
        <w:t xml:space="preserve"> respondents are reporting (0.25 hours) and recordkeeping (0.25 hours), for a total of 0.5 hours per response. The </w:t>
      </w:r>
      <w:r w:rsidR="00304085">
        <w:rPr>
          <w:rFonts w:ascii="Arial" w:hAnsi="Arial" w:cs="Arial"/>
          <w:sz w:val="24"/>
          <w:szCs w:val="24"/>
        </w:rPr>
        <w:t>99</w:t>
      </w:r>
      <w:r>
        <w:rPr>
          <w:rFonts w:ascii="Arial" w:hAnsi="Arial" w:cs="Arial"/>
          <w:sz w:val="24"/>
          <w:szCs w:val="24"/>
        </w:rPr>
        <w:t xml:space="preserve"> additional respondents are disclosing to the FAA voluntarily (0.25 hours), </w:t>
      </w:r>
      <w:r w:rsidR="0091692A">
        <w:rPr>
          <w:rFonts w:ascii="Arial" w:hAnsi="Arial" w:cs="Arial"/>
          <w:sz w:val="24"/>
          <w:szCs w:val="24"/>
        </w:rPr>
        <w:t xml:space="preserve">but the </w:t>
      </w:r>
      <w:r>
        <w:rPr>
          <w:rFonts w:ascii="Arial" w:hAnsi="Arial" w:cs="Arial"/>
          <w:sz w:val="24"/>
          <w:szCs w:val="24"/>
        </w:rPr>
        <w:t xml:space="preserve">recordkeeping requirements </w:t>
      </w:r>
      <w:r w:rsidR="0091692A">
        <w:rPr>
          <w:rFonts w:ascii="Arial" w:hAnsi="Arial" w:cs="Arial"/>
          <w:sz w:val="24"/>
          <w:szCs w:val="24"/>
        </w:rPr>
        <w:t xml:space="preserve">do not </w:t>
      </w:r>
      <w:r>
        <w:rPr>
          <w:rFonts w:ascii="Arial" w:hAnsi="Arial" w:cs="Arial"/>
          <w:sz w:val="24"/>
          <w:szCs w:val="24"/>
        </w:rPr>
        <w:t xml:space="preserve">apply </w:t>
      </w:r>
      <w:r w:rsidR="0091692A">
        <w:rPr>
          <w:rFonts w:ascii="Arial" w:hAnsi="Arial" w:cs="Arial"/>
          <w:sz w:val="24"/>
          <w:szCs w:val="24"/>
        </w:rPr>
        <w:t>to them under the rule</w:t>
      </w:r>
      <w:r>
        <w:rPr>
          <w:rFonts w:ascii="Arial" w:hAnsi="Arial" w:cs="Arial"/>
          <w:sz w:val="24"/>
          <w:szCs w:val="24"/>
        </w:rPr>
        <w:t xml:space="preserve">. </w:t>
      </w:r>
    </w:p>
    <w:p w:rsidR="00202714" w:rsidP="00C64707" w14:paraId="1E03CED0" w14:textId="73C6121F">
      <w:pPr>
        <w:shd w:val="clear" w:color="auto" w:fill="FFFFFF"/>
        <w:spacing w:after="0" w:line="240" w:lineRule="auto"/>
        <w:rPr>
          <w:rFonts w:ascii="Arial" w:eastAsia="Times New Roman" w:hAnsi="Arial" w:cs="Arial"/>
          <w:sz w:val="24"/>
          <w:szCs w:val="24"/>
        </w:rPr>
      </w:pPr>
    </w:p>
    <w:p w:rsidR="00EC0727" w:rsidRPr="00CC2F5E" w:rsidP="00C64707" w14:paraId="10B22ABF" w14:textId="77777777">
      <w:pPr>
        <w:shd w:val="clear" w:color="auto" w:fill="FFFFFF"/>
        <w:spacing w:after="0" w:line="240" w:lineRule="auto"/>
        <w:rPr>
          <w:rFonts w:ascii="Arial" w:eastAsia="Times New Roman" w:hAnsi="Arial" w:cs="Arial"/>
          <w:sz w:val="24"/>
          <w:szCs w:val="24"/>
        </w:rPr>
      </w:pPr>
    </w:p>
    <w:p w:rsidR="00F7533D" w:rsidRPr="00CC2F5E" w:rsidP="00F7533D" w14:paraId="124896EA" w14:textId="32C1AA0F">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 xml:space="preserve">Refusal to Take Alcohol </w:t>
      </w:r>
      <w:r w:rsidRPr="00CC2F5E" w:rsidR="00CA30AA">
        <w:rPr>
          <w:rFonts w:ascii="Arial" w:hAnsi="Arial" w:cs="Arial"/>
          <w:b/>
          <w:bCs/>
          <w:sz w:val="24"/>
          <w:szCs w:val="24"/>
        </w:rPr>
        <w:t xml:space="preserve">Test </w:t>
      </w:r>
      <w:r w:rsidRPr="00CC2F5E">
        <w:rPr>
          <w:rFonts w:ascii="Arial" w:hAnsi="Arial" w:cs="Arial"/>
          <w:b/>
          <w:bCs/>
          <w:sz w:val="24"/>
          <w:szCs w:val="24"/>
        </w:rPr>
        <w:t>Report to FAA</w:t>
      </w:r>
    </w:p>
    <w:tbl>
      <w:tblPr>
        <w:tblW w:w="8720" w:type="dxa"/>
        <w:tblCellMar>
          <w:left w:w="0" w:type="dxa"/>
          <w:right w:w="0" w:type="dxa"/>
        </w:tblCellMar>
        <w:tblLook w:val="04A0"/>
      </w:tblPr>
      <w:tblGrid>
        <w:gridCol w:w="3410"/>
        <w:gridCol w:w="1800"/>
        <w:gridCol w:w="2010"/>
        <w:gridCol w:w="1500"/>
      </w:tblGrid>
      <w:tr w14:paraId="31B362C5" w14:textId="77777777" w:rsidTr="00314C22">
        <w:tblPrEx>
          <w:tblW w:w="872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5D25286"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70B4850A"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5860D0D5" w14:textId="77777777">
            <w:pPr>
              <w:rPr>
                <w:rFonts w:ascii="Arial" w:hAnsi="Arial" w:cs="Arial"/>
                <w:b/>
                <w:bCs/>
                <w:sz w:val="24"/>
                <w:szCs w:val="24"/>
              </w:rPr>
            </w:pPr>
            <w:r w:rsidRPr="00CC2F5E">
              <w:rPr>
                <w:rFonts w:ascii="Arial" w:hAnsi="Arial" w:cs="Arial"/>
                <w:b/>
                <w:bCs/>
                <w:sz w:val="24"/>
                <w:szCs w:val="24"/>
              </w:rPr>
              <w:t>Recordkeeping</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7533D" w:rsidRPr="00CC2F5E" w:rsidP="00F7533D" w14:paraId="1538737E" w14:textId="77777777">
            <w:pPr>
              <w:rPr>
                <w:rFonts w:ascii="Arial" w:hAnsi="Arial" w:cs="Arial"/>
                <w:b/>
                <w:bCs/>
                <w:sz w:val="24"/>
                <w:szCs w:val="24"/>
              </w:rPr>
            </w:pPr>
            <w:r w:rsidRPr="00CC2F5E">
              <w:rPr>
                <w:rFonts w:ascii="Arial" w:hAnsi="Arial" w:cs="Arial"/>
                <w:b/>
                <w:bCs/>
                <w:sz w:val="24"/>
                <w:szCs w:val="24"/>
              </w:rPr>
              <w:t>Disclosure</w:t>
            </w:r>
          </w:p>
        </w:tc>
      </w:tr>
      <w:tr w14:paraId="2668191E" w14:textId="77777777" w:rsidTr="00314C22">
        <w:tblPrEx>
          <w:tblW w:w="872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49E0E9AC"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471379C" w14:textId="1D9E3F99">
            <w:pPr>
              <w:rPr>
                <w:rFonts w:ascii="Arial" w:hAnsi="Arial" w:cs="Arial"/>
                <w:sz w:val="24"/>
                <w:szCs w:val="24"/>
              </w:rPr>
            </w:pPr>
            <w:r w:rsidRPr="00CC2F5E">
              <w:rPr>
                <w:rFonts w:ascii="Arial" w:hAnsi="Arial" w:cs="Arial"/>
                <w:sz w:val="24"/>
                <w:szCs w:val="24"/>
              </w:rPr>
              <w:t>8</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66F4A7E" w14:textId="697935E3">
            <w:pPr>
              <w:rPr>
                <w:rFonts w:ascii="Arial" w:hAnsi="Arial" w:cs="Arial"/>
                <w:sz w:val="24"/>
                <w:szCs w:val="24"/>
              </w:rPr>
            </w:pPr>
            <w:r w:rsidRPr="00CC2F5E">
              <w:rPr>
                <w:rFonts w:ascii="Arial" w:hAnsi="Arial" w:cs="Arial"/>
                <w:sz w:val="24"/>
                <w:szCs w:val="24"/>
              </w:rPr>
              <w:t>8</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4689900D" w14:textId="57F1AFF4">
            <w:pPr>
              <w:rPr>
                <w:rFonts w:ascii="Arial" w:hAnsi="Arial" w:cs="Arial"/>
                <w:sz w:val="24"/>
                <w:szCs w:val="24"/>
              </w:rPr>
            </w:pPr>
          </w:p>
        </w:tc>
      </w:tr>
      <w:tr w14:paraId="5BAA98EB"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029857F0"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297242F8" w14:textId="66ACCE85">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1F7FE117" w14:textId="22EDB59B">
            <w:pPr>
              <w:rPr>
                <w:rFonts w:ascii="Arial" w:hAnsi="Arial" w:cs="Arial"/>
                <w:sz w:val="24"/>
                <w:szCs w:val="24"/>
              </w:rPr>
            </w:pPr>
            <w:r w:rsidRPr="00CC2F5E">
              <w:rPr>
                <w:rFonts w:ascii="Arial" w:hAnsi="Arial" w:cs="Arial"/>
                <w:sz w:val="24"/>
                <w:szCs w:val="24"/>
              </w:rPr>
              <w:t>1</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07EAF44B" w14:textId="5BC5A272">
            <w:pPr>
              <w:rPr>
                <w:rFonts w:ascii="Arial" w:hAnsi="Arial" w:cs="Arial"/>
                <w:sz w:val="24"/>
                <w:szCs w:val="24"/>
              </w:rPr>
            </w:pPr>
          </w:p>
        </w:tc>
      </w:tr>
      <w:tr w14:paraId="649C2308"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3AB947A3"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0FE1101" w14:textId="29C27E0A">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5DDF3691" w14:textId="256A1176">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123836" w14:paraId="573D4565" w14:textId="6F506C9C">
            <w:pPr>
              <w:rPr>
                <w:rFonts w:ascii="Arial" w:hAnsi="Arial" w:cs="Arial"/>
                <w:sz w:val="24"/>
                <w:szCs w:val="24"/>
              </w:rPr>
            </w:pPr>
          </w:p>
        </w:tc>
      </w:tr>
      <w:tr w14:paraId="00DC3E02"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54F8E6F6"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BC14B46" w14:textId="4C3DECB1">
            <w:pPr>
              <w:rPr>
                <w:rFonts w:ascii="Arial" w:hAnsi="Arial" w:cs="Arial"/>
                <w:sz w:val="24"/>
                <w:szCs w:val="24"/>
              </w:rPr>
            </w:pPr>
            <w:r w:rsidRPr="00CC2F5E">
              <w:rPr>
                <w:rFonts w:ascii="Arial" w:hAnsi="Arial" w:cs="Arial"/>
                <w:sz w:val="24"/>
                <w:szCs w:val="24"/>
              </w:rPr>
              <w:t>8</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7171A973" w14:textId="7A6E8C3E">
            <w:pPr>
              <w:rPr>
                <w:rFonts w:ascii="Arial" w:hAnsi="Arial" w:cs="Arial"/>
                <w:sz w:val="24"/>
                <w:szCs w:val="24"/>
              </w:rPr>
            </w:pPr>
            <w:r w:rsidRPr="00CC2F5E">
              <w:rPr>
                <w:rFonts w:ascii="Arial" w:hAnsi="Arial" w:cs="Arial"/>
                <w:sz w:val="24"/>
                <w:szCs w:val="24"/>
              </w:rPr>
              <w:t>8</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307E85B5" w14:textId="2869DA7A">
            <w:pPr>
              <w:rPr>
                <w:rFonts w:ascii="Arial" w:hAnsi="Arial" w:cs="Arial"/>
                <w:sz w:val="24"/>
                <w:szCs w:val="24"/>
              </w:rPr>
            </w:pPr>
          </w:p>
        </w:tc>
      </w:tr>
      <w:tr w14:paraId="577FC9B9" w14:textId="77777777" w:rsidTr="00314C22">
        <w:tblPrEx>
          <w:tblW w:w="872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533D" w:rsidRPr="00CC2F5E" w:rsidP="00F7533D" w14:paraId="1C43909F"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70FD896" w14:textId="4867A3EB">
            <w:pPr>
              <w:rPr>
                <w:rFonts w:ascii="Arial" w:hAnsi="Arial" w:cs="Arial"/>
                <w:sz w:val="24"/>
                <w:szCs w:val="24"/>
              </w:rPr>
            </w:pPr>
            <w:r w:rsidRPr="00CC2F5E">
              <w:rPr>
                <w:rFonts w:ascii="Arial" w:hAnsi="Arial" w:cs="Arial"/>
                <w:sz w:val="24"/>
                <w:szCs w:val="24"/>
              </w:rPr>
              <w:t>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533D" w:rsidRPr="00CC2F5E" w:rsidP="00F7533D" w14:paraId="65F4DA01" w14:textId="733E3048">
            <w:pPr>
              <w:rPr>
                <w:rFonts w:ascii="Arial" w:hAnsi="Arial" w:cs="Arial"/>
                <w:sz w:val="24"/>
                <w:szCs w:val="24"/>
              </w:rPr>
            </w:pPr>
            <w:r w:rsidRPr="00CC2F5E">
              <w:rPr>
                <w:rFonts w:ascii="Arial" w:hAnsi="Arial" w:cs="Arial"/>
                <w:sz w:val="24"/>
                <w:szCs w:val="24"/>
              </w:rPr>
              <w:t>2</w:t>
            </w: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rsidR="00F7533D" w:rsidRPr="00CC2F5E" w:rsidP="00F7533D" w14:paraId="7D5C42E8" w14:textId="2ECDF01C">
            <w:pPr>
              <w:rPr>
                <w:rFonts w:ascii="Arial" w:hAnsi="Arial" w:cs="Arial"/>
                <w:sz w:val="24"/>
                <w:szCs w:val="24"/>
              </w:rPr>
            </w:pPr>
          </w:p>
        </w:tc>
      </w:tr>
    </w:tbl>
    <w:p w:rsidR="002924A5" w:rsidRPr="00CC2F5E" w:rsidP="002924A5" w14:paraId="3FAF1CEF" w14:textId="7BF3A65F">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A476DF">
        <w:rPr>
          <w:rFonts w:ascii="Arial" w:hAnsi="Arial" w:cs="Arial"/>
          <w:sz w:val="24"/>
          <w:szCs w:val="24"/>
        </w:rPr>
        <w:t>Each respondent m</w:t>
      </w:r>
      <w:r w:rsidRPr="52F164E3" w:rsidR="00312922">
        <w:rPr>
          <w:rFonts w:ascii="Arial" w:hAnsi="Arial" w:cs="Arial"/>
          <w:sz w:val="24"/>
          <w:szCs w:val="24"/>
        </w:rPr>
        <w:t xml:space="preserve">ust report any individual that holds a part 61, 63, </w:t>
      </w:r>
      <w:r w:rsidRPr="52F164E3" w:rsidR="005B25CC">
        <w:rPr>
          <w:rFonts w:ascii="Arial" w:hAnsi="Arial" w:cs="Arial"/>
          <w:sz w:val="24"/>
          <w:szCs w:val="24"/>
        </w:rPr>
        <w:t xml:space="preserve">or </w:t>
      </w:r>
      <w:r w:rsidRPr="52F164E3" w:rsidR="00312922">
        <w:rPr>
          <w:rFonts w:ascii="Arial" w:hAnsi="Arial" w:cs="Arial"/>
          <w:sz w:val="24"/>
          <w:szCs w:val="24"/>
        </w:rPr>
        <w:t>65 FAA certificate and refused to</w:t>
      </w:r>
      <w:r w:rsidRPr="52F164E3" w:rsidR="005E2ABF">
        <w:rPr>
          <w:rFonts w:ascii="Arial" w:hAnsi="Arial" w:cs="Arial"/>
          <w:sz w:val="24"/>
          <w:szCs w:val="24"/>
        </w:rPr>
        <w:t xml:space="preserve"> submit to alcohol</w:t>
      </w:r>
      <w:r w:rsidRPr="52F164E3" w:rsidR="00312922">
        <w:rPr>
          <w:rFonts w:ascii="Arial" w:hAnsi="Arial" w:cs="Arial"/>
          <w:sz w:val="24"/>
          <w:szCs w:val="24"/>
        </w:rPr>
        <w:t xml:space="preserve"> test</w:t>
      </w:r>
      <w:r w:rsidRPr="52F164E3" w:rsidR="005E2ABF">
        <w:rPr>
          <w:rFonts w:ascii="Arial" w:hAnsi="Arial" w:cs="Arial"/>
          <w:sz w:val="24"/>
          <w:szCs w:val="24"/>
        </w:rPr>
        <w:t>ing</w:t>
      </w:r>
      <w:r w:rsidRPr="52F164E3" w:rsidR="00312922">
        <w:rPr>
          <w:rFonts w:ascii="Arial" w:hAnsi="Arial" w:cs="Arial"/>
          <w:sz w:val="24"/>
          <w:szCs w:val="24"/>
        </w:rPr>
        <w:t xml:space="preserve"> and maintain the record for 5 years. To calculate the number of respondents, the Drug Abatement Division used the number of reports of a refusal to submit to alcohol testing during the period of March 31, 2019</w:t>
      </w:r>
      <w:r w:rsidRPr="52F164E3" w:rsidR="00A1266F">
        <w:rPr>
          <w:rFonts w:ascii="Arial" w:hAnsi="Arial" w:cs="Arial"/>
          <w:sz w:val="24"/>
          <w:szCs w:val="24"/>
        </w:rPr>
        <w:t>,</w:t>
      </w:r>
      <w:r w:rsidRPr="52F164E3" w:rsidR="00312922">
        <w:rPr>
          <w:rFonts w:ascii="Arial" w:hAnsi="Arial" w:cs="Arial"/>
          <w:sz w:val="24"/>
          <w:szCs w:val="24"/>
        </w:rPr>
        <w:t xml:space="preserve"> through March 31, 2020. Based on the time it takes a DER to prepare a report and submit it to the Drug Abatement Division, it was determined it would take the DER 0.25 hour</w:t>
      </w:r>
      <w:r w:rsidRPr="52F164E3" w:rsidR="00BC26A6">
        <w:rPr>
          <w:rFonts w:ascii="Arial" w:hAnsi="Arial" w:cs="Arial"/>
          <w:sz w:val="24"/>
          <w:szCs w:val="24"/>
        </w:rPr>
        <w:t>s</w:t>
      </w:r>
      <w:r w:rsidRPr="52F164E3" w:rsidR="00312922">
        <w:rPr>
          <w:rFonts w:ascii="Arial" w:hAnsi="Arial" w:cs="Arial"/>
          <w:sz w:val="24"/>
          <w:szCs w:val="24"/>
        </w:rPr>
        <w:t>. To maintain the record, the Drug Abatement Division estimated it would take the DER 0.25 hour</w:t>
      </w:r>
      <w:r w:rsidRPr="52F164E3" w:rsidR="00BC26A6">
        <w:rPr>
          <w:rFonts w:ascii="Arial" w:hAnsi="Arial" w:cs="Arial"/>
          <w:sz w:val="24"/>
          <w:szCs w:val="24"/>
        </w:rPr>
        <w:t>s</w:t>
      </w:r>
      <w:r w:rsidRPr="52F164E3" w:rsidR="00312922">
        <w:rPr>
          <w:rFonts w:ascii="Arial" w:hAnsi="Arial" w:cs="Arial"/>
          <w:sz w:val="24"/>
          <w:szCs w:val="24"/>
        </w:rPr>
        <w:t>.</w:t>
      </w:r>
      <w:r w:rsidRPr="52F164E3" w:rsidR="00056E81">
        <w:rPr>
          <w:rFonts w:ascii="Arial" w:hAnsi="Arial" w:cs="Arial"/>
          <w:sz w:val="24"/>
          <w:szCs w:val="24"/>
        </w:rPr>
        <w:t xml:space="preserve"> </w:t>
      </w:r>
      <w:r w:rsidRPr="52F164E3" w:rsidR="00465876">
        <w:rPr>
          <w:rFonts w:ascii="Arial" w:hAnsi="Arial" w:cs="Arial"/>
          <w:sz w:val="24"/>
          <w:szCs w:val="24"/>
        </w:rPr>
        <w:t xml:space="preserve">The 8 respondents reporting </w:t>
      </w:r>
      <w:r w:rsidRPr="52F164E3">
        <w:rPr>
          <w:rFonts w:ascii="Arial" w:hAnsi="Arial" w:cs="Arial"/>
          <w:sz w:val="24"/>
          <w:szCs w:val="24"/>
        </w:rPr>
        <w:t>(0.25 hour</w:t>
      </w:r>
      <w:r w:rsidRPr="52F164E3" w:rsidR="00465876">
        <w:rPr>
          <w:rFonts w:ascii="Arial" w:hAnsi="Arial" w:cs="Arial"/>
          <w:sz w:val="24"/>
          <w:szCs w:val="24"/>
        </w:rPr>
        <w:t>s</w:t>
      </w:r>
      <w:r w:rsidRPr="52F164E3">
        <w:rPr>
          <w:rFonts w:ascii="Arial" w:hAnsi="Arial" w:cs="Arial"/>
          <w:sz w:val="24"/>
          <w:szCs w:val="24"/>
        </w:rPr>
        <w:t>)</w:t>
      </w:r>
      <w:r w:rsidRPr="52F164E3">
        <w:rPr>
          <w:rFonts w:ascii="Arial" w:hAnsi="Arial" w:cs="Arial"/>
          <w:sz w:val="24"/>
          <w:szCs w:val="24"/>
        </w:rPr>
        <w:t xml:space="preserve"> and recordkeeping (0.25 hours)</w:t>
      </w:r>
      <w:r w:rsidRPr="52F164E3" w:rsidR="00056E81">
        <w:rPr>
          <w:rFonts w:ascii="Arial" w:hAnsi="Arial" w:cs="Arial"/>
          <w:sz w:val="24"/>
          <w:szCs w:val="24"/>
        </w:rPr>
        <w:t xml:space="preserve"> are the same</w:t>
      </w:r>
      <w:r w:rsidRPr="52F164E3">
        <w:rPr>
          <w:rFonts w:ascii="Arial" w:hAnsi="Arial" w:cs="Arial"/>
          <w:sz w:val="24"/>
          <w:szCs w:val="24"/>
        </w:rPr>
        <w:t>, for a total of 0.5 hours per response.</w:t>
      </w:r>
    </w:p>
    <w:p w:rsidR="00FB6305" w:rsidP="00C64707" w14:paraId="01DF3BA8" w14:textId="06D83D04">
      <w:pPr>
        <w:shd w:val="clear" w:color="auto" w:fill="FFFFFF"/>
        <w:spacing w:after="0" w:line="240" w:lineRule="auto"/>
        <w:rPr>
          <w:rFonts w:ascii="Arial" w:eastAsia="Times New Roman" w:hAnsi="Arial" w:cs="Arial"/>
          <w:sz w:val="24"/>
          <w:szCs w:val="24"/>
        </w:rPr>
      </w:pPr>
    </w:p>
    <w:p w:rsidR="00E44681" w:rsidRPr="00CC2F5E" w:rsidP="00C64707" w14:paraId="30A97901" w14:textId="77777777">
      <w:pPr>
        <w:shd w:val="clear" w:color="auto" w:fill="FFFFFF"/>
        <w:spacing w:after="0" w:line="240" w:lineRule="auto"/>
        <w:rPr>
          <w:rFonts w:ascii="Arial" w:eastAsia="Times New Roman" w:hAnsi="Arial" w:cs="Arial"/>
          <w:sz w:val="24"/>
          <w:szCs w:val="24"/>
        </w:rPr>
      </w:pPr>
    </w:p>
    <w:p w:rsidR="0047691D" w:rsidRPr="00CC2F5E" w:rsidP="0047691D" w14:paraId="599FCE58" w14:textId="05C20955">
      <w:pPr>
        <w:shd w:val="clear" w:color="auto" w:fill="FFFFFF"/>
        <w:spacing w:before="100" w:beforeAutospacing="1" w:after="225"/>
        <w:contextualSpacing/>
        <w:jc w:val="center"/>
        <w:rPr>
          <w:rFonts w:ascii="Arial" w:hAnsi="Arial" w:cs="Arial"/>
          <w:b/>
          <w:bCs/>
          <w:sz w:val="24"/>
          <w:szCs w:val="24"/>
        </w:rPr>
      </w:pPr>
      <w:r w:rsidRPr="00CC2F5E">
        <w:rPr>
          <w:rFonts w:ascii="Arial" w:hAnsi="Arial" w:cs="Arial"/>
          <w:b/>
          <w:bCs/>
          <w:sz w:val="24"/>
          <w:szCs w:val="24"/>
        </w:rPr>
        <w:t>Positive Alcohol Test Report to FAA</w:t>
      </w:r>
    </w:p>
    <w:tbl>
      <w:tblPr>
        <w:tblW w:w="8810" w:type="dxa"/>
        <w:tblCellMar>
          <w:left w:w="0" w:type="dxa"/>
          <w:right w:w="0" w:type="dxa"/>
        </w:tblCellMar>
        <w:tblLook w:val="04A0"/>
      </w:tblPr>
      <w:tblGrid>
        <w:gridCol w:w="3410"/>
        <w:gridCol w:w="1800"/>
        <w:gridCol w:w="2055"/>
        <w:gridCol w:w="1545"/>
      </w:tblGrid>
      <w:tr w14:paraId="06A09127" w14:textId="77777777" w:rsidTr="00314C22">
        <w:tblPrEx>
          <w:tblW w:w="881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2BBE55A"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D5A904D" w14:textId="77777777">
            <w:pPr>
              <w:rPr>
                <w:rFonts w:ascii="Arial" w:hAnsi="Arial" w:cs="Arial"/>
                <w:b/>
                <w:bCs/>
                <w:sz w:val="24"/>
                <w:szCs w:val="24"/>
              </w:rPr>
            </w:pPr>
            <w:r w:rsidRPr="00CC2F5E">
              <w:rPr>
                <w:rFonts w:ascii="Arial" w:hAnsi="Arial" w:cs="Arial"/>
                <w:b/>
                <w:bCs/>
                <w:sz w:val="24"/>
                <w:szCs w:val="24"/>
              </w:rPr>
              <w:t>Reporting</w:t>
            </w:r>
          </w:p>
        </w:tc>
        <w:tc>
          <w:tcPr>
            <w:tcW w:w="20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765EB54F" w14:textId="77777777">
            <w:pPr>
              <w:rPr>
                <w:rFonts w:ascii="Arial" w:hAnsi="Arial" w:cs="Arial"/>
                <w:b/>
                <w:bCs/>
                <w:sz w:val="24"/>
                <w:szCs w:val="24"/>
              </w:rPr>
            </w:pPr>
            <w:r w:rsidRPr="00CC2F5E">
              <w:rPr>
                <w:rFonts w:ascii="Arial" w:hAnsi="Arial" w:cs="Arial"/>
                <w:b/>
                <w:bCs/>
                <w:sz w:val="24"/>
                <w:szCs w:val="24"/>
              </w:rPr>
              <w:t>Recordkeeping</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CC2F5E" w:rsidP="00115B29" w14:paraId="2A5E81A6" w14:textId="77777777">
            <w:pPr>
              <w:rPr>
                <w:rFonts w:ascii="Arial" w:hAnsi="Arial" w:cs="Arial"/>
                <w:b/>
                <w:bCs/>
                <w:sz w:val="24"/>
                <w:szCs w:val="24"/>
              </w:rPr>
            </w:pPr>
            <w:r w:rsidRPr="00CC2F5E">
              <w:rPr>
                <w:rFonts w:ascii="Arial" w:hAnsi="Arial" w:cs="Arial"/>
                <w:b/>
                <w:bCs/>
                <w:sz w:val="24"/>
                <w:szCs w:val="24"/>
              </w:rPr>
              <w:t>Disclosure</w:t>
            </w:r>
          </w:p>
        </w:tc>
      </w:tr>
      <w:tr w14:paraId="6F3825BE" w14:textId="77777777" w:rsidTr="00314C22">
        <w:tblPrEx>
          <w:tblW w:w="881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8ED4275"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11B72AC" w14:textId="3F1B68A2">
            <w:pPr>
              <w:rPr>
                <w:rFonts w:ascii="Arial" w:hAnsi="Arial" w:cs="Arial"/>
                <w:sz w:val="24"/>
                <w:szCs w:val="24"/>
              </w:rPr>
            </w:pPr>
            <w:r w:rsidRPr="00CC2F5E">
              <w:rPr>
                <w:rFonts w:ascii="Arial" w:hAnsi="Arial" w:cs="Arial"/>
                <w:sz w:val="24"/>
                <w:szCs w:val="24"/>
              </w:rPr>
              <w:t>24</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350B071A" w14:textId="01BE3F6F">
            <w:pPr>
              <w:rPr>
                <w:rFonts w:ascii="Arial" w:hAnsi="Arial" w:cs="Arial"/>
                <w:sz w:val="24"/>
                <w:szCs w:val="24"/>
              </w:rPr>
            </w:pPr>
            <w:r w:rsidRPr="00CC2F5E">
              <w:rPr>
                <w:rFonts w:ascii="Arial" w:hAnsi="Arial" w:cs="Arial"/>
                <w:sz w:val="24"/>
                <w:szCs w:val="24"/>
              </w:rPr>
              <w:t>24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31C4964" w14:textId="23C11D3C">
            <w:pPr>
              <w:rPr>
                <w:rFonts w:ascii="Arial" w:hAnsi="Arial" w:cs="Arial"/>
                <w:sz w:val="24"/>
                <w:szCs w:val="24"/>
              </w:rPr>
            </w:pPr>
            <w:r w:rsidRPr="00CC2F5E">
              <w:rPr>
                <w:rFonts w:ascii="Arial" w:hAnsi="Arial" w:cs="Arial"/>
                <w:sz w:val="24"/>
                <w:szCs w:val="24"/>
              </w:rPr>
              <w:t>99</w:t>
            </w:r>
          </w:p>
        </w:tc>
      </w:tr>
      <w:tr w14:paraId="696F8582"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80CCE81"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7E5B0B98" w14:textId="1D91631D">
            <w:pPr>
              <w:rPr>
                <w:rFonts w:ascii="Arial" w:hAnsi="Arial" w:cs="Arial"/>
                <w:sz w:val="24"/>
                <w:szCs w:val="24"/>
              </w:rPr>
            </w:pPr>
            <w:r w:rsidRPr="00CC2F5E">
              <w:rPr>
                <w:rFonts w:ascii="Arial" w:hAnsi="Arial" w:cs="Arial"/>
                <w:sz w:val="24"/>
                <w:szCs w:val="24"/>
              </w:rPr>
              <w:t>1</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5D8B32B" w14:textId="15C90F85">
            <w:pPr>
              <w:rPr>
                <w:rFonts w:ascii="Arial" w:hAnsi="Arial" w:cs="Arial"/>
                <w:sz w:val="24"/>
                <w:szCs w:val="24"/>
              </w:rPr>
            </w:pPr>
            <w:r w:rsidRPr="00CC2F5E">
              <w:rPr>
                <w:rFonts w:ascii="Arial" w:hAnsi="Arial" w:cs="Arial"/>
                <w:sz w:val="24"/>
                <w:szCs w:val="24"/>
              </w:rPr>
              <w:t>1</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655E304A" w14:textId="7522EE8A">
            <w:pPr>
              <w:rPr>
                <w:rFonts w:ascii="Arial" w:hAnsi="Arial" w:cs="Arial"/>
                <w:sz w:val="24"/>
                <w:szCs w:val="24"/>
              </w:rPr>
            </w:pPr>
            <w:r w:rsidRPr="00CC2F5E">
              <w:rPr>
                <w:rFonts w:ascii="Arial" w:hAnsi="Arial" w:cs="Arial"/>
                <w:sz w:val="24"/>
                <w:szCs w:val="24"/>
              </w:rPr>
              <w:t>1</w:t>
            </w:r>
          </w:p>
        </w:tc>
      </w:tr>
      <w:tr w14:paraId="5760AF56"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7661CB60"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0C42B72" w14:textId="2DD2CB33">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A476DF" w14:paraId="20C37AC6" w14:textId="0ACA1D3A">
            <w:pPr>
              <w:rPr>
                <w:rFonts w:ascii="Arial" w:hAnsi="Arial" w:cs="Arial"/>
                <w:sz w:val="24"/>
                <w:szCs w:val="24"/>
              </w:rPr>
            </w:pPr>
            <w:r w:rsidRPr="00CC2F5E">
              <w:rPr>
                <w:rFonts w:ascii="Arial" w:hAnsi="Arial" w:cs="Arial"/>
                <w:sz w:val="24"/>
                <w:szCs w:val="24"/>
              </w:rPr>
              <w:t>0.25 hour</w:t>
            </w:r>
            <w:r w:rsidRPr="00CC2F5E" w:rsidR="00BC26A6">
              <w:rPr>
                <w:rFonts w:ascii="Arial" w:hAnsi="Arial" w:cs="Arial"/>
                <w:sz w:val="24"/>
                <w:szCs w:val="24"/>
              </w:rPr>
              <w:t>s</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649C6EA" w14:textId="475BCC4D">
            <w:pPr>
              <w:rPr>
                <w:rFonts w:ascii="Arial" w:hAnsi="Arial" w:cs="Arial"/>
                <w:sz w:val="24"/>
                <w:szCs w:val="24"/>
              </w:rPr>
            </w:pPr>
            <w:r w:rsidRPr="00CC2F5E">
              <w:rPr>
                <w:rFonts w:ascii="Arial" w:hAnsi="Arial" w:cs="Arial"/>
                <w:sz w:val="24"/>
                <w:szCs w:val="24"/>
              </w:rPr>
              <w:t>0.25 hours</w:t>
            </w:r>
          </w:p>
        </w:tc>
      </w:tr>
      <w:tr w14:paraId="307547CF"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33335627"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37CDCD3" w14:textId="36E88768">
            <w:pPr>
              <w:rPr>
                <w:rFonts w:ascii="Arial" w:hAnsi="Arial" w:cs="Arial"/>
                <w:sz w:val="24"/>
                <w:szCs w:val="24"/>
              </w:rPr>
            </w:pPr>
            <w:r w:rsidRPr="00CC2F5E">
              <w:rPr>
                <w:rFonts w:ascii="Arial" w:hAnsi="Arial" w:cs="Arial"/>
                <w:sz w:val="24"/>
                <w:szCs w:val="24"/>
              </w:rPr>
              <w:t>24</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8C5774" w14:paraId="78306F81" w14:textId="0EC2AD61">
            <w:pPr>
              <w:rPr>
                <w:rFonts w:ascii="Arial" w:hAnsi="Arial" w:cs="Arial"/>
                <w:sz w:val="24"/>
                <w:szCs w:val="24"/>
              </w:rPr>
            </w:pPr>
            <w:r w:rsidRPr="00CC2F5E">
              <w:rPr>
                <w:rFonts w:ascii="Arial" w:hAnsi="Arial" w:cs="Arial"/>
                <w:sz w:val="24"/>
                <w:szCs w:val="24"/>
              </w:rPr>
              <w:t>24</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7532946E" w14:textId="61E40686">
            <w:pPr>
              <w:rPr>
                <w:rFonts w:ascii="Arial" w:hAnsi="Arial" w:cs="Arial"/>
                <w:sz w:val="24"/>
                <w:szCs w:val="24"/>
              </w:rPr>
            </w:pPr>
            <w:r w:rsidRPr="00CC2F5E">
              <w:rPr>
                <w:rFonts w:ascii="Arial" w:hAnsi="Arial" w:cs="Arial"/>
                <w:sz w:val="24"/>
                <w:szCs w:val="24"/>
              </w:rPr>
              <w:t>99</w:t>
            </w:r>
          </w:p>
        </w:tc>
      </w:tr>
      <w:tr w14:paraId="7AF2B3DC" w14:textId="77777777" w:rsidTr="00314C22">
        <w:tblPrEx>
          <w:tblW w:w="881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1E508FD1"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13AA0092" w14:textId="16AEFF5F">
            <w:pPr>
              <w:rPr>
                <w:rFonts w:ascii="Arial" w:hAnsi="Arial" w:cs="Arial"/>
                <w:sz w:val="24"/>
                <w:szCs w:val="24"/>
              </w:rPr>
            </w:pPr>
            <w:r w:rsidRPr="00CC2F5E">
              <w:rPr>
                <w:rFonts w:ascii="Arial" w:hAnsi="Arial" w:cs="Arial"/>
                <w:sz w:val="24"/>
                <w:szCs w:val="24"/>
              </w:rPr>
              <w:t>6</w:t>
            </w:r>
          </w:p>
        </w:tc>
        <w:tc>
          <w:tcPr>
            <w:tcW w:w="205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7BE4AAFD" w14:textId="4573EED8">
            <w:pPr>
              <w:rPr>
                <w:rFonts w:ascii="Arial" w:hAnsi="Arial" w:cs="Arial"/>
                <w:sz w:val="24"/>
                <w:szCs w:val="24"/>
              </w:rPr>
            </w:pPr>
            <w:r w:rsidRPr="00CC2F5E">
              <w:rPr>
                <w:rFonts w:ascii="Arial" w:hAnsi="Arial" w:cs="Arial"/>
                <w:sz w:val="24"/>
                <w:szCs w:val="24"/>
              </w:rPr>
              <w:t>6</w:t>
            </w:r>
          </w:p>
        </w:tc>
        <w:tc>
          <w:tcPr>
            <w:tcW w:w="1545"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0E80B6D5" w14:textId="11EA8967">
            <w:pPr>
              <w:rPr>
                <w:rFonts w:ascii="Arial" w:hAnsi="Arial" w:cs="Arial"/>
                <w:sz w:val="24"/>
                <w:szCs w:val="24"/>
              </w:rPr>
            </w:pPr>
            <w:r w:rsidRPr="00CC2F5E">
              <w:rPr>
                <w:rFonts w:ascii="Arial" w:hAnsi="Arial" w:cs="Arial"/>
                <w:sz w:val="24"/>
                <w:szCs w:val="24"/>
              </w:rPr>
              <w:t>25</w:t>
            </w:r>
          </w:p>
        </w:tc>
      </w:tr>
    </w:tbl>
    <w:p w:rsidR="0047691D" w:rsidRPr="00CC2F5E" w:rsidP="009059C8" w14:paraId="1EC0459E" w14:textId="54C1B14C">
      <w:pPr>
        <w:spacing w:after="0" w:line="240" w:lineRule="auto"/>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A476DF">
        <w:rPr>
          <w:rFonts w:ascii="Arial" w:hAnsi="Arial" w:cs="Arial"/>
          <w:sz w:val="24"/>
          <w:szCs w:val="24"/>
        </w:rPr>
        <w:t>Each respondent</w:t>
      </w:r>
      <w:r w:rsidRPr="52F164E3" w:rsidR="00600FEE">
        <w:rPr>
          <w:rFonts w:ascii="Arial" w:hAnsi="Arial" w:cs="Arial"/>
          <w:sz w:val="24"/>
          <w:szCs w:val="24"/>
        </w:rPr>
        <w:t xml:space="preserve"> must report any individual that holds a part 67 medical certificate and engaged in alcohol use that violated the alcohol misuse prohibitions listed in 14 CFR §§ 120.19 and 120.37 and maintain the record for 5 years. To calculate the number of respondents, the Drug Abatement Division used the number of alcohol violations for a part 67 certificate holder that were reported to the Drug Abatement Division during the period of March 31, 2019</w:t>
      </w:r>
      <w:r w:rsidRPr="52F164E3" w:rsidR="00A1266F">
        <w:rPr>
          <w:rFonts w:ascii="Arial" w:hAnsi="Arial" w:cs="Arial"/>
          <w:sz w:val="24"/>
          <w:szCs w:val="24"/>
        </w:rPr>
        <w:t>,</w:t>
      </w:r>
      <w:r w:rsidRPr="52F164E3" w:rsidR="00600FEE">
        <w:rPr>
          <w:rFonts w:ascii="Arial" w:hAnsi="Arial" w:cs="Arial"/>
          <w:sz w:val="24"/>
          <w:szCs w:val="24"/>
        </w:rPr>
        <w:t xml:space="preserve"> through March 31, 2020.  Based on the time it takes a DER to prepare a report and submit it to the Drug Abatement Division, it was determined it would take the DER 0.25 hour</w:t>
      </w:r>
      <w:r w:rsidRPr="52F164E3" w:rsidR="008C5774">
        <w:rPr>
          <w:rFonts w:ascii="Arial" w:hAnsi="Arial" w:cs="Arial"/>
          <w:sz w:val="24"/>
          <w:szCs w:val="24"/>
        </w:rPr>
        <w:t>s</w:t>
      </w:r>
      <w:r w:rsidRPr="52F164E3" w:rsidR="00600FEE">
        <w:rPr>
          <w:rFonts w:ascii="Arial" w:hAnsi="Arial" w:cs="Arial"/>
          <w:sz w:val="24"/>
          <w:szCs w:val="24"/>
        </w:rPr>
        <w:t>. To maintain the record, the Drug Abatement Division estimated it would take the DER 0.25 hour</w:t>
      </w:r>
      <w:r w:rsidRPr="52F164E3" w:rsidR="008C5774">
        <w:rPr>
          <w:rFonts w:ascii="Arial" w:hAnsi="Arial" w:cs="Arial"/>
          <w:sz w:val="24"/>
          <w:szCs w:val="24"/>
        </w:rPr>
        <w:t>s</w:t>
      </w:r>
      <w:r w:rsidRPr="52F164E3" w:rsidR="00600FEE">
        <w:rPr>
          <w:rFonts w:ascii="Arial" w:hAnsi="Arial" w:cs="Arial"/>
          <w:sz w:val="24"/>
          <w:szCs w:val="24"/>
        </w:rPr>
        <w:t>.</w:t>
      </w:r>
      <w:r w:rsidRPr="52F164E3" w:rsidR="003D719C">
        <w:rPr>
          <w:rFonts w:ascii="Arial" w:hAnsi="Arial" w:cs="Arial"/>
          <w:sz w:val="24"/>
          <w:szCs w:val="24"/>
        </w:rPr>
        <w:t xml:space="preserve"> </w:t>
      </w:r>
      <w:r w:rsidRPr="52F164E3" w:rsidR="002924A5">
        <w:rPr>
          <w:rFonts w:ascii="Arial" w:hAnsi="Arial" w:cs="Arial"/>
          <w:sz w:val="24"/>
          <w:szCs w:val="24"/>
        </w:rPr>
        <w:t xml:space="preserve">The </w:t>
      </w:r>
      <w:r w:rsidRPr="52F164E3" w:rsidR="008F117B">
        <w:rPr>
          <w:rFonts w:ascii="Arial" w:hAnsi="Arial" w:cs="Arial"/>
          <w:sz w:val="24"/>
          <w:szCs w:val="24"/>
        </w:rPr>
        <w:t xml:space="preserve">24 </w:t>
      </w:r>
      <w:r w:rsidRPr="52F164E3" w:rsidR="002924A5">
        <w:rPr>
          <w:rFonts w:ascii="Arial" w:hAnsi="Arial" w:cs="Arial"/>
          <w:sz w:val="24"/>
          <w:szCs w:val="24"/>
        </w:rPr>
        <w:t>respondents reporting and recordkeeping are the same.</w:t>
      </w:r>
    </w:p>
    <w:p w:rsidR="005E2ABF" w:rsidRPr="00CC2F5E" w:rsidP="009059C8" w14:paraId="133B1281" w14:textId="77777777">
      <w:pPr>
        <w:shd w:val="clear" w:color="auto" w:fill="FFFFFF"/>
        <w:spacing w:after="0" w:line="240" w:lineRule="auto"/>
        <w:rPr>
          <w:rFonts w:ascii="Arial" w:hAnsi="Arial" w:cs="Arial"/>
          <w:sz w:val="24"/>
          <w:szCs w:val="24"/>
        </w:rPr>
      </w:pPr>
    </w:p>
    <w:p w:rsidR="003D719C" w:rsidP="52F164E3" w14:paraId="5F20E946" w14:textId="1C935FD9">
      <w:pPr>
        <w:shd w:val="clear" w:color="auto" w:fill="FFFFFF" w:themeFill="background1"/>
        <w:spacing w:after="0" w:line="240" w:lineRule="auto"/>
        <w:rPr>
          <w:rFonts w:ascii="Arial" w:hAnsi="Arial" w:cs="Arial"/>
          <w:sz w:val="24"/>
          <w:szCs w:val="24"/>
        </w:rPr>
      </w:pPr>
      <w:r w:rsidRPr="52F164E3">
        <w:rPr>
          <w:rFonts w:ascii="Arial" w:hAnsi="Arial" w:cs="Arial"/>
          <w:sz w:val="24"/>
          <w:szCs w:val="24"/>
        </w:rPr>
        <w:t>FAA guidance indicates that some DERs may voluntarily report non-part 67 medically certificated alcohol violator reports to the Drug Abatement Division. To calculate the number of respondents under this type of disclosure, the Drug Abatement Division used the number of voluntary reports of an alcohol violation for all non-part 67 medically certificated employees during the period of March 31, 2019</w:t>
      </w:r>
      <w:r w:rsidRPr="52F164E3" w:rsidR="00A1266F">
        <w:rPr>
          <w:rFonts w:ascii="Arial" w:hAnsi="Arial" w:cs="Arial"/>
          <w:sz w:val="24"/>
          <w:szCs w:val="24"/>
        </w:rPr>
        <w:t>,</w:t>
      </w:r>
      <w:r w:rsidRPr="52F164E3">
        <w:rPr>
          <w:rFonts w:ascii="Arial" w:hAnsi="Arial" w:cs="Arial"/>
          <w:sz w:val="24"/>
          <w:szCs w:val="24"/>
        </w:rPr>
        <w:t xml:space="preserve"> through March 31, 20</w:t>
      </w:r>
      <w:r w:rsidRPr="52F164E3" w:rsidR="005E2ABF">
        <w:rPr>
          <w:rFonts w:ascii="Arial" w:hAnsi="Arial" w:cs="Arial"/>
          <w:sz w:val="24"/>
          <w:szCs w:val="24"/>
        </w:rPr>
        <w:t>20</w:t>
      </w:r>
      <w:r w:rsidRPr="52F164E3">
        <w:rPr>
          <w:rFonts w:ascii="Arial" w:hAnsi="Arial" w:cs="Arial"/>
          <w:sz w:val="24"/>
          <w:szCs w:val="24"/>
        </w:rPr>
        <w:t>. Based on the time it takes a DER to prepare a report and voluntarily submit it to the Drug Abatement Division, it was determined it would take the DER 0.25 hours.</w:t>
      </w:r>
    </w:p>
    <w:p w:rsidR="002924A5" w:rsidP="009059C8" w14:paraId="2972DC57" w14:textId="77777777">
      <w:pPr>
        <w:shd w:val="clear" w:color="auto" w:fill="FFFFFF"/>
        <w:spacing w:after="0" w:line="240" w:lineRule="auto"/>
        <w:rPr>
          <w:rFonts w:ascii="Arial" w:hAnsi="Arial" w:cs="Arial"/>
          <w:sz w:val="24"/>
          <w:szCs w:val="24"/>
        </w:rPr>
      </w:pPr>
    </w:p>
    <w:p w:rsidR="002924A5" w:rsidRPr="00CC2F5E" w:rsidP="002924A5" w14:paraId="15AC3316" w14:textId="7DE7AC7B">
      <w:pPr>
        <w:rPr>
          <w:rFonts w:ascii="Arial" w:hAnsi="Arial" w:cs="Arial"/>
          <w:sz w:val="24"/>
          <w:szCs w:val="24"/>
        </w:rPr>
      </w:pPr>
      <w:r>
        <w:rPr>
          <w:rFonts w:ascii="Arial" w:hAnsi="Arial" w:cs="Arial"/>
          <w:sz w:val="24"/>
          <w:szCs w:val="24"/>
        </w:rPr>
        <w:t xml:space="preserve">The number of respondents in the total burden table for this category is 123, </w:t>
      </w:r>
      <w:r w:rsidR="008F117B">
        <w:rPr>
          <w:rFonts w:ascii="Arial" w:hAnsi="Arial" w:cs="Arial"/>
          <w:sz w:val="24"/>
          <w:szCs w:val="24"/>
        </w:rPr>
        <w:t xml:space="preserve">which combines </w:t>
      </w:r>
      <w:r>
        <w:rPr>
          <w:rFonts w:ascii="Arial" w:hAnsi="Arial" w:cs="Arial"/>
          <w:sz w:val="24"/>
          <w:szCs w:val="24"/>
        </w:rPr>
        <w:t xml:space="preserve">the 24 respondents required to report a refusal to take a drug test and the 99 </w:t>
      </w:r>
      <w:r>
        <w:rPr>
          <w:rFonts w:ascii="Arial" w:hAnsi="Arial" w:cs="Arial"/>
          <w:sz w:val="24"/>
          <w:szCs w:val="24"/>
        </w:rPr>
        <w:t xml:space="preserve">who </w:t>
      </w:r>
      <w:r w:rsidR="008F117B">
        <w:rPr>
          <w:rFonts w:ascii="Arial" w:hAnsi="Arial" w:cs="Arial"/>
          <w:sz w:val="24"/>
          <w:szCs w:val="24"/>
        </w:rPr>
        <w:t xml:space="preserve">may </w:t>
      </w:r>
      <w:r>
        <w:rPr>
          <w:rFonts w:ascii="Arial" w:hAnsi="Arial" w:cs="Arial"/>
          <w:sz w:val="24"/>
          <w:szCs w:val="24"/>
        </w:rPr>
        <w:t xml:space="preserve">disclose the information voluntarily. The 24 respondents are reporting (0.25 hours) and recordkeeping (0.25 hours), for a total of 0.5 hours per response. The 99 additional respondents are disclosing to the FAA voluntarily (0.25 hours), </w:t>
      </w:r>
      <w:r w:rsidRPr="008F117B" w:rsidR="008F117B">
        <w:rPr>
          <w:rFonts w:ascii="Arial" w:hAnsi="Arial" w:cs="Arial"/>
          <w:sz w:val="24"/>
          <w:szCs w:val="24"/>
        </w:rPr>
        <w:t xml:space="preserve">but the recordkeeping requirements do not apply to them under the rule.  </w:t>
      </w:r>
    </w:p>
    <w:p w:rsidR="003D719C" w:rsidRPr="00CC2F5E" w:rsidP="0047691D" w14:paraId="7FBAA2DD" w14:textId="241CCBDB">
      <w:pPr>
        <w:shd w:val="clear" w:color="auto" w:fill="FFFFFF"/>
        <w:spacing w:before="100" w:beforeAutospacing="1" w:after="225"/>
        <w:contextualSpacing/>
        <w:jc w:val="center"/>
        <w:rPr>
          <w:rFonts w:ascii="Arial" w:hAnsi="Arial" w:cs="Arial"/>
          <w:b/>
          <w:bCs/>
          <w:sz w:val="24"/>
          <w:szCs w:val="24"/>
        </w:rPr>
      </w:pPr>
    </w:p>
    <w:p w:rsidR="00E6104F" w:rsidRPr="00CC2F5E" w:rsidP="00E6104F" w14:paraId="4A690043" w14:textId="77777777">
      <w:pPr>
        <w:shd w:val="clear" w:color="auto" w:fill="FFFFFF"/>
        <w:spacing w:before="100" w:beforeAutospacing="1" w:after="225"/>
        <w:contextualSpacing/>
        <w:jc w:val="center"/>
        <w:rPr>
          <w:rFonts w:ascii="Arial" w:hAnsi="Arial" w:cs="Arial"/>
          <w:b/>
          <w:bCs/>
          <w:sz w:val="24"/>
          <w:szCs w:val="24"/>
        </w:rPr>
      </w:pPr>
    </w:p>
    <w:p w:rsidR="0047691D" w:rsidRPr="00CC2F5E" w:rsidP="00E17C2A" w14:paraId="0BA66449" w14:textId="217CFF2D">
      <w:pPr>
        <w:jc w:val="center"/>
        <w:rPr>
          <w:rFonts w:ascii="Arial" w:hAnsi="Arial" w:cs="Arial"/>
          <w:b/>
          <w:bCs/>
          <w:sz w:val="24"/>
          <w:szCs w:val="24"/>
        </w:rPr>
      </w:pPr>
      <w:r w:rsidRPr="00CC2F5E">
        <w:rPr>
          <w:rFonts w:ascii="Arial" w:hAnsi="Arial" w:cs="Arial"/>
          <w:b/>
          <w:bCs/>
          <w:sz w:val="24"/>
          <w:szCs w:val="24"/>
        </w:rPr>
        <w:t>S</w:t>
      </w:r>
      <w:r w:rsidRPr="00CC2F5E" w:rsidR="00181540">
        <w:rPr>
          <w:rFonts w:ascii="Arial" w:hAnsi="Arial" w:cs="Arial"/>
          <w:b/>
          <w:bCs/>
          <w:sz w:val="24"/>
          <w:szCs w:val="24"/>
        </w:rPr>
        <w:t>ubstance Abuse Professional (S</w:t>
      </w:r>
      <w:r w:rsidRPr="00CC2F5E">
        <w:rPr>
          <w:rFonts w:ascii="Arial" w:hAnsi="Arial" w:cs="Arial"/>
          <w:b/>
          <w:bCs/>
          <w:sz w:val="24"/>
          <w:szCs w:val="24"/>
        </w:rPr>
        <w:t>AP</w:t>
      </w:r>
      <w:r w:rsidRPr="00CC2F5E" w:rsidR="00181540">
        <w:rPr>
          <w:rFonts w:ascii="Arial" w:hAnsi="Arial" w:cs="Arial"/>
          <w:b/>
          <w:bCs/>
          <w:sz w:val="24"/>
          <w:szCs w:val="24"/>
        </w:rPr>
        <w:t>)</w:t>
      </w:r>
      <w:r w:rsidRPr="00CC2F5E">
        <w:rPr>
          <w:rFonts w:ascii="Arial" w:hAnsi="Arial" w:cs="Arial"/>
          <w:b/>
          <w:bCs/>
          <w:sz w:val="24"/>
          <w:szCs w:val="24"/>
        </w:rPr>
        <w:t xml:space="preserve"> Return-to-Duty Letter</w:t>
      </w:r>
      <w:r w:rsidRPr="00CC2F5E" w:rsidR="00733586">
        <w:rPr>
          <w:rFonts w:ascii="Arial" w:hAnsi="Arial" w:cs="Arial"/>
          <w:b/>
          <w:bCs/>
          <w:sz w:val="24"/>
          <w:szCs w:val="24"/>
        </w:rPr>
        <w:t xml:space="preserve"> for Part 67 Medical Certificate Holders</w:t>
      </w:r>
    </w:p>
    <w:tbl>
      <w:tblPr>
        <w:tblW w:w="8900" w:type="dxa"/>
        <w:tblCellMar>
          <w:left w:w="0" w:type="dxa"/>
          <w:right w:w="0" w:type="dxa"/>
        </w:tblCellMar>
        <w:tblLook w:val="04A0"/>
      </w:tblPr>
      <w:tblGrid>
        <w:gridCol w:w="3410"/>
        <w:gridCol w:w="1800"/>
        <w:gridCol w:w="2010"/>
        <w:gridCol w:w="1680"/>
      </w:tblGrid>
      <w:tr w14:paraId="5BD8EA2C" w14:textId="77777777" w:rsidTr="00314C22">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096209AF" w14:textId="77777777">
            <w:pPr>
              <w:rPr>
                <w:rFonts w:ascii="Arial" w:hAnsi="Arial" w:cs="Arial"/>
                <w:sz w:val="24"/>
                <w:szCs w:val="24"/>
              </w:rPr>
            </w:pPr>
            <w:r w:rsidRPr="00CC2F5E">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111A3BC9" w14:textId="77777777">
            <w:pPr>
              <w:rPr>
                <w:rFonts w:ascii="Arial" w:hAnsi="Arial" w:cs="Arial"/>
                <w:b/>
                <w:bCs/>
                <w:sz w:val="24"/>
                <w:szCs w:val="24"/>
              </w:rPr>
            </w:pPr>
            <w:r w:rsidRPr="00CC2F5E">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36744199" w14:textId="77777777">
            <w:pPr>
              <w:rPr>
                <w:rFonts w:ascii="Arial" w:hAnsi="Arial" w:cs="Arial"/>
                <w:b/>
                <w:bCs/>
                <w:sz w:val="24"/>
                <w:szCs w:val="24"/>
              </w:rPr>
            </w:pPr>
            <w:r w:rsidRPr="00CC2F5E">
              <w:rPr>
                <w:rFonts w:ascii="Arial" w:hAnsi="Arial" w:cs="Arial"/>
                <w:b/>
                <w:bCs/>
                <w:sz w:val="24"/>
                <w:szCs w:val="24"/>
              </w:rPr>
              <w:t>Recordkeeping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7691D" w:rsidRPr="00CC2F5E" w:rsidP="00115B29" w14:paraId="25056AA4" w14:textId="77777777">
            <w:pPr>
              <w:rPr>
                <w:rFonts w:ascii="Arial" w:hAnsi="Arial" w:cs="Arial"/>
                <w:b/>
                <w:bCs/>
                <w:sz w:val="24"/>
                <w:szCs w:val="24"/>
              </w:rPr>
            </w:pPr>
            <w:r w:rsidRPr="00CC2F5E">
              <w:rPr>
                <w:rFonts w:ascii="Arial" w:hAnsi="Arial" w:cs="Arial"/>
                <w:b/>
                <w:bCs/>
                <w:sz w:val="24"/>
                <w:szCs w:val="24"/>
              </w:rPr>
              <w:t>Disclosure</w:t>
            </w:r>
          </w:p>
        </w:tc>
      </w:tr>
      <w:tr w14:paraId="4EC7E39D" w14:textId="77777777" w:rsidTr="00314C22">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2B9C7699" w14:textId="77777777">
            <w:pPr>
              <w:rPr>
                <w:rFonts w:ascii="Arial" w:hAnsi="Arial" w:cs="Arial"/>
                <w:b/>
                <w:bCs/>
                <w:sz w:val="24"/>
                <w:szCs w:val="24"/>
              </w:rPr>
            </w:pPr>
            <w:r w:rsidRPr="00CC2F5E">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C7E928A" w14:textId="7E914D99">
            <w:pPr>
              <w:rPr>
                <w:rFonts w:ascii="Arial" w:hAnsi="Arial" w:cs="Arial"/>
                <w:sz w:val="24"/>
                <w:szCs w:val="24"/>
              </w:rPr>
            </w:pPr>
            <w:r w:rsidRPr="00CC2F5E">
              <w:rPr>
                <w:rFonts w:ascii="Arial" w:hAnsi="Arial" w:cs="Arial"/>
                <w:sz w:val="24"/>
                <w:szCs w:val="24"/>
              </w:rPr>
              <w:t>42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EC89280" w14:textId="021B6D6A">
            <w:pPr>
              <w:rPr>
                <w:rFonts w:ascii="Arial" w:hAnsi="Arial" w:cs="Arial"/>
                <w:sz w:val="24"/>
                <w:szCs w:val="24"/>
              </w:rPr>
            </w:pPr>
            <w:r w:rsidRPr="00CC2F5E">
              <w:rPr>
                <w:rFonts w:ascii="Arial" w:hAnsi="Arial" w:cs="Arial"/>
                <w:sz w:val="24"/>
                <w:szCs w:val="24"/>
              </w:rPr>
              <w:t>42</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FA8EE39" w14:textId="77777777">
            <w:pPr>
              <w:rPr>
                <w:rFonts w:ascii="Arial" w:hAnsi="Arial" w:cs="Arial"/>
                <w:sz w:val="24"/>
                <w:szCs w:val="24"/>
              </w:rPr>
            </w:pPr>
          </w:p>
        </w:tc>
      </w:tr>
      <w:tr w14:paraId="605DB84B"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573CEE1" w14:textId="77777777">
            <w:pPr>
              <w:rPr>
                <w:rFonts w:ascii="Arial" w:hAnsi="Arial" w:cs="Arial"/>
                <w:b/>
                <w:bCs/>
                <w:sz w:val="24"/>
                <w:szCs w:val="24"/>
              </w:rPr>
            </w:pPr>
            <w:r w:rsidRPr="00CC2F5E">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6D48D91" w14:textId="69536488">
            <w:pPr>
              <w:rPr>
                <w:rFonts w:ascii="Arial" w:hAnsi="Arial" w:cs="Arial"/>
                <w:sz w:val="24"/>
                <w:szCs w:val="24"/>
              </w:rPr>
            </w:pPr>
            <w:r w:rsidRPr="00CC2F5E">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4347C8DF" w14:textId="092866F5">
            <w:pPr>
              <w:rPr>
                <w:rFonts w:ascii="Arial" w:hAnsi="Arial" w:cs="Arial"/>
                <w:sz w:val="24"/>
                <w:szCs w:val="24"/>
              </w:rPr>
            </w:pPr>
            <w:r w:rsidRPr="00CC2F5E">
              <w:rPr>
                <w:rFonts w:ascii="Arial" w:hAnsi="Arial" w:cs="Arial"/>
                <w:sz w:val="24"/>
                <w:szCs w:val="24"/>
              </w:rPr>
              <w:t>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3F1DAA5" w14:textId="77777777">
            <w:pPr>
              <w:rPr>
                <w:rFonts w:ascii="Arial" w:hAnsi="Arial" w:cs="Arial"/>
                <w:sz w:val="24"/>
                <w:szCs w:val="24"/>
              </w:rPr>
            </w:pPr>
          </w:p>
        </w:tc>
      </w:tr>
      <w:tr w14:paraId="3F73E400"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0673F29C" w14:textId="77777777">
            <w:pPr>
              <w:rPr>
                <w:rFonts w:ascii="Arial" w:hAnsi="Arial" w:cs="Arial"/>
                <w:b/>
                <w:bCs/>
                <w:sz w:val="24"/>
                <w:szCs w:val="24"/>
              </w:rPr>
            </w:pPr>
            <w:r w:rsidRPr="00CC2F5E">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292F0A96" w14:textId="75276975">
            <w:pPr>
              <w:rPr>
                <w:rFonts w:ascii="Arial" w:hAnsi="Arial" w:cs="Arial"/>
                <w:sz w:val="24"/>
                <w:szCs w:val="24"/>
              </w:rPr>
            </w:pPr>
            <w:r w:rsidRPr="00CC2F5E">
              <w:rPr>
                <w:rFonts w:ascii="Arial" w:hAnsi="Arial" w:cs="Arial"/>
                <w:sz w:val="24"/>
                <w:szCs w:val="24"/>
              </w:rPr>
              <w:t>0.25</w:t>
            </w:r>
            <w:r w:rsidRPr="00CC2F5E" w:rsidR="00A476DF">
              <w:rPr>
                <w:rFonts w:ascii="Arial" w:hAnsi="Arial" w:cs="Arial"/>
                <w:sz w:val="24"/>
                <w:szCs w:val="24"/>
              </w:rPr>
              <w:t xml:space="preserve"> hour</w:t>
            </w:r>
            <w:r w:rsidRPr="00CC2F5E" w:rsidR="008C5774">
              <w:rPr>
                <w:rFonts w:ascii="Arial" w:hAnsi="Arial" w:cs="Arial"/>
                <w:sz w:val="24"/>
                <w:szCs w:val="24"/>
              </w:rPr>
              <w:t>s</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733586" w14:paraId="0CB5F403" w14:textId="0405992E">
            <w:pPr>
              <w:rPr>
                <w:rFonts w:ascii="Arial" w:hAnsi="Arial" w:cs="Arial"/>
                <w:sz w:val="24"/>
                <w:szCs w:val="24"/>
              </w:rPr>
            </w:pPr>
            <w:r w:rsidRPr="00CC2F5E">
              <w:rPr>
                <w:rFonts w:ascii="Arial" w:hAnsi="Arial" w:cs="Arial"/>
                <w:sz w:val="24"/>
                <w:szCs w:val="24"/>
              </w:rPr>
              <w:t>0.25</w:t>
            </w:r>
            <w:r w:rsidRPr="00CC2F5E" w:rsidR="005F4EB0">
              <w:rPr>
                <w:rFonts w:ascii="Arial" w:hAnsi="Arial" w:cs="Arial"/>
                <w:sz w:val="24"/>
                <w:szCs w:val="24"/>
              </w:rPr>
              <w:t xml:space="preserve"> hour</w:t>
            </w:r>
            <w:r w:rsidRPr="00CC2F5E" w:rsidR="008C5774">
              <w:rPr>
                <w:rFonts w:ascii="Arial" w:hAnsi="Arial" w:cs="Arial"/>
                <w:sz w:val="24"/>
                <w:szCs w:val="24"/>
              </w:rPr>
              <w:t>s</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3B5ED08F" w14:textId="77777777">
            <w:pPr>
              <w:rPr>
                <w:rFonts w:ascii="Arial" w:hAnsi="Arial" w:cs="Arial"/>
                <w:sz w:val="24"/>
                <w:szCs w:val="24"/>
              </w:rPr>
            </w:pPr>
          </w:p>
        </w:tc>
      </w:tr>
      <w:tr w14:paraId="3C7BACC4"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5BFEBCF9" w14:textId="77777777">
            <w:pPr>
              <w:rPr>
                <w:rFonts w:ascii="Arial" w:hAnsi="Arial" w:cs="Arial"/>
                <w:b/>
                <w:bCs/>
                <w:sz w:val="24"/>
                <w:szCs w:val="24"/>
              </w:rPr>
            </w:pPr>
            <w:r w:rsidRPr="00CC2F5E">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6A488A7" w14:textId="4B067803">
            <w:pPr>
              <w:rPr>
                <w:rFonts w:ascii="Arial" w:hAnsi="Arial" w:cs="Arial"/>
                <w:sz w:val="24"/>
                <w:szCs w:val="24"/>
              </w:rPr>
            </w:pPr>
            <w:r w:rsidRPr="00CC2F5E">
              <w:rPr>
                <w:rFonts w:ascii="Arial" w:hAnsi="Arial" w:cs="Arial"/>
                <w:sz w:val="24"/>
                <w:szCs w:val="24"/>
              </w:rPr>
              <w:t>42</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011B539A" w14:textId="50A1CB05">
            <w:pPr>
              <w:rPr>
                <w:rFonts w:ascii="Arial" w:hAnsi="Arial" w:cs="Arial"/>
                <w:sz w:val="24"/>
                <w:szCs w:val="24"/>
              </w:rPr>
            </w:pPr>
            <w:r w:rsidRPr="00CC2F5E">
              <w:rPr>
                <w:rFonts w:ascii="Arial" w:hAnsi="Arial" w:cs="Arial"/>
                <w:sz w:val="24"/>
                <w:szCs w:val="24"/>
              </w:rPr>
              <w:t>42</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1062E1C3" w14:textId="77777777">
            <w:pPr>
              <w:rPr>
                <w:rFonts w:ascii="Arial" w:hAnsi="Arial" w:cs="Arial"/>
                <w:sz w:val="24"/>
                <w:szCs w:val="24"/>
              </w:rPr>
            </w:pPr>
          </w:p>
        </w:tc>
      </w:tr>
      <w:tr w14:paraId="68F50582" w14:textId="77777777" w:rsidTr="00314C22">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7691D" w:rsidRPr="00CC2F5E" w:rsidP="00115B29" w14:paraId="6F9F9FA6" w14:textId="77777777">
            <w:pPr>
              <w:rPr>
                <w:rFonts w:ascii="Arial" w:hAnsi="Arial" w:cs="Arial"/>
                <w:b/>
                <w:bCs/>
                <w:sz w:val="24"/>
                <w:szCs w:val="24"/>
              </w:rPr>
            </w:pPr>
            <w:r w:rsidRPr="00CC2F5E">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15B29" w14:paraId="59BC8D8D" w14:textId="61FE51B1">
            <w:pPr>
              <w:rPr>
                <w:rFonts w:ascii="Arial" w:hAnsi="Arial" w:cs="Arial"/>
                <w:sz w:val="24"/>
                <w:szCs w:val="24"/>
              </w:rPr>
            </w:pPr>
            <w:r w:rsidRPr="00CC2F5E">
              <w:rPr>
                <w:rFonts w:ascii="Arial" w:hAnsi="Arial" w:cs="Arial"/>
                <w:sz w:val="24"/>
                <w:szCs w:val="24"/>
              </w:rPr>
              <w:t>11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7691D" w:rsidRPr="00CC2F5E" w:rsidP="00123836" w14:paraId="318F49F1" w14:textId="4A1ACA85">
            <w:pPr>
              <w:rPr>
                <w:rFonts w:ascii="Arial" w:hAnsi="Arial" w:cs="Arial"/>
                <w:sz w:val="24"/>
                <w:szCs w:val="24"/>
              </w:rPr>
            </w:pPr>
            <w:r w:rsidRPr="00CC2F5E">
              <w:rPr>
                <w:rFonts w:ascii="Arial" w:hAnsi="Arial" w:cs="Arial"/>
                <w:sz w:val="24"/>
                <w:szCs w:val="24"/>
              </w:rPr>
              <w:t>11</w:t>
            </w: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47691D" w:rsidRPr="00CC2F5E" w:rsidP="00115B29" w14:paraId="611475B8" w14:textId="5A39BC8A">
            <w:pPr>
              <w:rPr>
                <w:rFonts w:ascii="Arial" w:hAnsi="Arial" w:cs="Arial"/>
                <w:sz w:val="24"/>
                <w:szCs w:val="24"/>
              </w:rPr>
            </w:pPr>
          </w:p>
        </w:tc>
      </w:tr>
    </w:tbl>
    <w:p w:rsidR="00E6104F" w:rsidP="005F4EB0" w14:paraId="63D26E49" w14:textId="5D4816D3">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w:t>
      </w:r>
      <w:r w:rsidRPr="52F164E3" w:rsidR="00A476DF">
        <w:rPr>
          <w:rFonts w:ascii="Arial" w:hAnsi="Arial" w:cs="Arial"/>
          <w:sz w:val="24"/>
          <w:szCs w:val="24"/>
        </w:rPr>
        <w:t xml:space="preserve">Each respondent </w:t>
      </w:r>
      <w:r w:rsidRPr="52F164E3">
        <w:rPr>
          <w:rFonts w:ascii="Arial" w:hAnsi="Arial" w:cs="Arial"/>
          <w:sz w:val="24"/>
          <w:szCs w:val="24"/>
        </w:rPr>
        <w:t xml:space="preserve">must send the </w:t>
      </w:r>
      <w:r w:rsidRPr="52F164E3" w:rsidR="00600FEE">
        <w:rPr>
          <w:rFonts w:ascii="Arial" w:hAnsi="Arial" w:cs="Arial"/>
          <w:sz w:val="24"/>
          <w:szCs w:val="24"/>
        </w:rPr>
        <w:t xml:space="preserve">SAP reports to the Drug Abatement Division </w:t>
      </w:r>
      <w:r w:rsidRPr="52F164E3">
        <w:rPr>
          <w:rFonts w:ascii="Arial" w:hAnsi="Arial" w:cs="Arial"/>
          <w:sz w:val="24"/>
          <w:szCs w:val="24"/>
        </w:rPr>
        <w:t>for any individual originally reported for a positive drug test result, refusal to</w:t>
      </w:r>
      <w:r w:rsidRPr="52F164E3" w:rsidR="007A1008">
        <w:rPr>
          <w:rFonts w:ascii="Arial" w:hAnsi="Arial" w:cs="Arial"/>
          <w:sz w:val="24"/>
          <w:szCs w:val="24"/>
        </w:rPr>
        <w:t xml:space="preserve"> submit to </w:t>
      </w:r>
      <w:r w:rsidRPr="52F164E3">
        <w:rPr>
          <w:rFonts w:ascii="Arial" w:hAnsi="Arial" w:cs="Arial"/>
          <w:sz w:val="24"/>
          <w:szCs w:val="24"/>
        </w:rPr>
        <w:t>test</w:t>
      </w:r>
      <w:r w:rsidRPr="52F164E3" w:rsidR="007A1008">
        <w:rPr>
          <w:rFonts w:ascii="Arial" w:hAnsi="Arial" w:cs="Arial"/>
          <w:sz w:val="24"/>
          <w:szCs w:val="24"/>
        </w:rPr>
        <w:t>ing</w:t>
      </w:r>
      <w:r w:rsidRPr="52F164E3">
        <w:rPr>
          <w:rFonts w:ascii="Arial" w:hAnsi="Arial" w:cs="Arial"/>
          <w:sz w:val="24"/>
          <w:szCs w:val="24"/>
        </w:rPr>
        <w:t xml:space="preserve"> or alcohol violation and successfully completed the education and treatment. The SAP cannot recommend return-to-duty without obtaining a new certificate dated </w:t>
      </w:r>
      <w:r w:rsidRPr="52F164E3" w:rsidR="00733586">
        <w:rPr>
          <w:rFonts w:ascii="Arial" w:hAnsi="Arial" w:cs="Arial"/>
          <w:sz w:val="24"/>
          <w:szCs w:val="24"/>
        </w:rPr>
        <w:t xml:space="preserve">after </w:t>
      </w:r>
      <w:r w:rsidRPr="52F164E3">
        <w:rPr>
          <w:rFonts w:ascii="Arial" w:hAnsi="Arial" w:cs="Arial"/>
          <w:sz w:val="24"/>
          <w:szCs w:val="24"/>
        </w:rPr>
        <w:t xml:space="preserve">the </w:t>
      </w:r>
      <w:r w:rsidRPr="52F164E3" w:rsidR="00733586">
        <w:rPr>
          <w:rFonts w:ascii="Arial" w:hAnsi="Arial" w:cs="Arial"/>
          <w:sz w:val="24"/>
          <w:szCs w:val="24"/>
        </w:rPr>
        <w:t>violation</w:t>
      </w:r>
      <w:r w:rsidRPr="52F164E3">
        <w:rPr>
          <w:rFonts w:ascii="Arial" w:hAnsi="Arial" w:cs="Arial"/>
          <w:sz w:val="24"/>
          <w:szCs w:val="24"/>
        </w:rPr>
        <w:t xml:space="preserve"> </w:t>
      </w:r>
      <w:r w:rsidRPr="52F164E3" w:rsidR="00733586">
        <w:rPr>
          <w:rFonts w:ascii="Arial" w:hAnsi="Arial" w:cs="Arial"/>
          <w:sz w:val="24"/>
          <w:szCs w:val="24"/>
        </w:rPr>
        <w:t>that was reported</w:t>
      </w:r>
      <w:r w:rsidRPr="52F164E3">
        <w:rPr>
          <w:rFonts w:ascii="Arial" w:hAnsi="Arial" w:cs="Arial"/>
          <w:sz w:val="24"/>
          <w:szCs w:val="24"/>
        </w:rPr>
        <w:t xml:space="preserve">. </w:t>
      </w:r>
      <w:r w:rsidRPr="52F164E3" w:rsidR="007132DE">
        <w:rPr>
          <w:rFonts w:ascii="Arial" w:hAnsi="Arial" w:cs="Arial"/>
          <w:sz w:val="24"/>
          <w:szCs w:val="24"/>
        </w:rPr>
        <w:t xml:space="preserve">The employer must maintain the records sent to the FAA for a period of 5 years. </w:t>
      </w:r>
      <w:r w:rsidRPr="52F164E3">
        <w:rPr>
          <w:rFonts w:ascii="Arial" w:hAnsi="Arial" w:cs="Arial"/>
          <w:sz w:val="24"/>
          <w:szCs w:val="24"/>
        </w:rPr>
        <w:t xml:space="preserve">To calculate the number of respondents, the Drug Abatement Division used the number of </w:t>
      </w:r>
      <w:r w:rsidRPr="52F164E3" w:rsidR="00654D8E">
        <w:rPr>
          <w:rFonts w:ascii="Arial" w:hAnsi="Arial" w:cs="Arial"/>
          <w:sz w:val="24"/>
          <w:szCs w:val="24"/>
        </w:rPr>
        <w:t>return-to-duty</w:t>
      </w:r>
      <w:r w:rsidRPr="52F164E3">
        <w:rPr>
          <w:rFonts w:ascii="Arial" w:hAnsi="Arial" w:cs="Arial"/>
          <w:sz w:val="24"/>
          <w:szCs w:val="24"/>
        </w:rPr>
        <w:t xml:space="preserve"> drug and alcohol tests </w:t>
      </w:r>
      <w:r w:rsidRPr="52F164E3" w:rsidR="00654D8E">
        <w:rPr>
          <w:rFonts w:ascii="Arial" w:hAnsi="Arial" w:cs="Arial"/>
          <w:sz w:val="24"/>
          <w:szCs w:val="24"/>
        </w:rPr>
        <w:t>reported in the MIS reports for January 1, 2019</w:t>
      </w:r>
      <w:r w:rsidRPr="52F164E3" w:rsidR="001A31B6">
        <w:rPr>
          <w:rFonts w:ascii="Arial" w:hAnsi="Arial" w:cs="Arial"/>
          <w:sz w:val="24"/>
          <w:szCs w:val="24"/>
        </w:rPr>
        <w:t>,</w:t>
      </w:r>
      <w:r w:rsidRPr="52F164E3" w:rsidR="00654D8E">
        <w:rPr>
          <w:rFonts w:ascii="Arial" w:hAnsi="Arial" w:cs="Arial"/>
          <w:sz w:val="24"/>
          <w:szCs w:val="24"/>
        </w:rPr>
        <w:t xml:space="preserve"> through December 31, </w:t>
      </w:r>
      <w:r w:rsidRPr="52F164E3" w:rsidR="00654D8E">
        <w:rPr>
          <w:rFonts w:ascii="Arial" w:hAnsi="Arial" w:cs="Arial"/>
          <w:sz w:val="24"/>
          <w:szCs w:val="24"/>
        </w:rPr>
        <w:t>2019</w:t>
      </w:r>
      <w:r w:rsidRPr="52F164E3" w:rsidR="00654D8E">
        <w:rPr>
          <w:rFonts w:ascii="Arial" w:hAnsi="Arial" w:cs="Arial"/>
          <w:sz w:val="24"/>
          <w:szCs w:val="24"/>
        </w:rPr>
        <w:t xml:space="preserve"> </w:t>
      </w:r>
      <w:r w:rsidRPr="52F164E3">
        <w:rPr>
          <w:rFonts w:ascii="Arial" w:hAnsi="Arial" w:cs="Arial"/>
          <w:sz w:val="24"/>
          <w:szCs w:val="24"/>
        </w:rPr>
        <w:t>for flight crewmember employees</w:t>
      </w:r>
      <w:r w:rsidRPr="52F164E3" w:rsidR="00733586">
        <w:rPr>
          <w:rFonts w:ascii="Arial" w:hAnsi="Arial" w:cs="Arial"/>
          <w:sz w:val="24"/>
          <w:szCs w:val="24"/>
        </w:rPr>
        <w:t xml:space="preserve"> only. Based on the time it takes a DER to prepare a report and submit it to the Drug Abatement Division, it was determined it would take the DER 0.25 hour</w:t>
      </w:r>
      <w:r w:rsidRPr="52F164E3" w:rsidR="008C5774">
        <w:rPr>
          <w:rFonts w:ascii="Arial" w:hAnsi="Arial" w:cs="Arial"/>
          <w:sz w:val="24"/>
          <w:szCs w:val="24"/>
        </w:rPr>
        <w:t>s</w:t>
      </w:r>
      <w:r w:rsidRPr="52F164E3" w:rsidR="00733586">
        <w:rPr>
          <w:rFonts w:ascii="Arial" w:hAnsi="Arial" w:cs="Arial"/>
          <w:sz w:val="24"/>
          <w:szCs w:val="24"/>
        </w:rPr>
        <w:t>. To maintain the record, the Drug Abatement Division estimated it would take the DER 0.25 hour</w:t>
      </w:r>
      <w:r w:rsidRPr="52F164E3" w:rsidR="008C5774">
        <w:rPr>
          <w:rFonts w:ascii="Arial" w:hAnsi="Arial" w:cs="Arial"/>
          <w:sz w:val="24"/>
          <w:szCs w:val="24"/>
        </w:rPr>
        <w:t>s</w:t>
      </w:r>
      <w:r w:rsidRPr="52F164E3" w:rsidR="00733586">
        <w:rPr>
          <w:rFonts w:ascii="Arial" w:hAnsi="Arial" w:cs="Arial"/>
          <w:sz w:val="24"/>
          <w:szCs w:val="24"/>
        </w:rPr>
        <w:t>.</w:t>
      </w:r>
    </w:p>
    <w:p w:rsidR="00E44681" w:rsidRPr="00262E2F" w:rsidP="005F4EB0" w14:paraId="72CBD041" w14:textId="77777777">
      <w:pPr>
        <w:rPr>
          <w:rFonts w:ascii="Arial" w:hAnsi="Arial" w:cs="Arial"/>
          <w:sz w:val="24"/>
          <w:szCs w:val="24"/>
        </w:rPr>
      </w:pPr>
    </w:p>
    <w:p w:rsidR="00E6104F" w:rsidRPr="00614145" w:rsidP="00E6104F" w14:paraId="4952D529" w14:textId="5E28D16E">
      <w:pPr>
        <w:rPr>
          <w:rFonts w:eastAsia="Arial Unicode MS"/>
        </w:rPr>
      </w:pPr>
      <w:r w:rsidRPr="00E17C2A">
        <w:rPr>
          <w:rFonts w:ascii="Arial" w:hAnsi="Arial" w:cs="Arial"/>
          <w:b/>
          <w:bCs/>
          <w:sz w:val="24"/>
          <w:szCs w:val="24"/>
        </w:rPr>
        <w:t>Foreign Repair Stations</w:t>
      </w:r>
    </w:p>
    <w:p w:rsidR="00E6104F" w:rsidRPr="00E17C2A" w:rsidP="00E6104F" w14:paraId="09C869DA" w14:textId="7F13F480">
      <w:pPr>
        <w:jc w:val="center"/>
        <w:rPr>
          <w:rFonts w:ascii="Arial" w:eastAsia="Arial Unicode MS" w:hAnsi="Arial" w:cs="Arial"/>
          <w:b/>
          <w:sz w:val="24"/>
          <w:szCs w:val="24"/>
        </w:rPr>
      </w:pPr>
      <w:r w:rsidRPr="00E17C2A">
        <w:rPr>
          <w:rFonts w:ascii="Arial" w:eastAsia="Arial Unicode MS" w:hAnsi="Arial" w:cs="Arial"/>
          <w:b/>
          <w:sz w:val="24"/>
          <w:szCs w:val="24"/>
        </w:rPr>
        <w:t>Estimated Foreign Repair Station</w:t>
      </w:r>
      <w:r w:rsidRPr="00E17C2A">
        <w:rPr>
          <w:rFonts w:ascii="Arial" w:hAnsi="Arial" w:cs="Arial"/>
          <w:b/>
          <w:sz w:val="24"/>
          <w:szCs w:val="24"/>
        </w:rPr>
        <w:t xml:space="preserve"> </w:t>
      </w:r>
      <w:r w:rsidR="001D47A9">
        <w:rPr>
          <w:rFonts w:ascii="Arial" w:hAnsi="Arial" w:cs="Arial"/>
          <w:b/>
          <w:sz w:val="24"/>
          <w:szCs w:val="24"/>
        </w:rPr>
        <w:t xml:space="preserve">Annual </w:t>
      </w:r>
      <w:r w:rsidRPr="00E17C2A">
        <w:rPr>
          <w:rFonts w:ascii="Arial" w:eastAsia="Arial Unicode MS" w:hAnsi="Arial" w:cs="Arial"/>
          <w:b/>
          <w:sz w:val="24"/>
          <w:szCs w:val="24"/>
        </w:rPr>
        <w:t>Paperwork Burden for</w:t>
      </w:r>
      <w:r w:rsidRPr="00E17C2A">
        <w:rPr>
          <w:rFonts w:ascii="Arial" w:hAnsi="Arial" w:cs="Arial"/>
          <w:b/>
          <w:sz w:val="24"/>
          <w:szCs w:val="24"/>
        </w:rPr>
        <w:t xml:space="preserve"> </w:t>
      </w:r>
      <w:r w:rsidR="0052756B">
        <w:rPr>
          <w:rFonts w:ascii="Arial" w:eastAsia="Arial Unicode MS" w:hAnsi="Arial" w:cs="Arial"/>
          <w:b/>
          <w:sz w:val="24"/>
          <w:szCs w:val="24"/>
        </w:rPr>
        <w:t>D</w:t>
      </w:r>
      <w:r w:rsidRPr="00E17C2A" w:rsidR="0052756B">
        <w:rPr>
          <w:rFonts w:ascii="Arial" w:eastAsia="Arial Unicode MS" w:hAnsi="Arial" w:cs="Arial"/>
          <w:b/>
          <w:sz w:val="24"/>
          <w:szCs w:val="24"/>
        </w:rPr>
        <w:t xml:space="preserve">rug </w:t>
      </w:r>
      <w:r w:rsidRPr="00E17C2A">
        <w:rPr>
          <w:rFonts w:ascii="Arial" w:eastAsia="Arial Unicode MS" w:hAnsi="Arial" w:cs="Arial"/>
          <w:b/>
          <w:sz w:val="24"/>
          <w:szCs w:val="24"/>
        </w:rPr>
        <w:t xml:space="preserve">and Alcohol </w:t>
      </w:r>
      <w:r w:rsidR="0052756B">
        <w:rPr>
          <w:rFonts w:ascii="Arial" w:eastAsia="Arial Unicode MS" w:hAnsi="Arial" w:cs="Arial"/>
          <w:b/>
          <w:sz w:val="24"/>
          <w:szCs w:val="24"/>
        </w:rPr>
        <w:t>Testing</w:t>
      </w:r>
      <w:r w:rsidRPr="00E17C2A">
        <w:rPr>
          <w:rFonts w:ascii="Arial" w:eastAsia="Arial Unicode MS" w:hAnsi="Arial" w:cs="Arial"/>
          <w:b/>
          <w:sz w:val="24"/>
          <w:szCs w:val="24"/>
        </w:rPr>
        <w:t xml:space="preserve"> Program Operations Specification and Program Maintenance</w:t>
      </w:r>
    </w:p>
    <w:p w:rsidR="00E6104F" w:rsidP="00E6104F" w14:paraId="68918F82" w14:textId="2DE57E77">
      <w:pPr>
        <w:jc w:val="center"/>
        <w:rPr>
          <w:rFonts w:ascii="Arial" w:hAnsi="Arial" w:cs="Arial"/>
          <w:b/>
          <w:bCs/>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9"/>
        <w:gridCol w:w="1114"/>
        <w:gridCol w:w="1827"/>
        <w:gridCol w:w="1218"/>
        <w:gridCol w:w="1400"/>
        <w:gridCol w:w="946"/>
      </w:tblGrid>
      <w:tr w14:paraId="42732042" w14:textId="77777777" w:rsidTr="008D62F4">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
        </w:trPr>
        <w:tc>
          <w:tcPr>
            <w:tcW w:w="283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6E096D14"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Paperwork </w:t>
            </w:r>
          </w:p>
        </w:tc>
        <w:tc>
          <w:tcPr>
            <w:tcW w:w="1114"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7AAA7998"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Repair Stations </w:t>
            </w:r>
          </w:p>
        </w:tc>
        <w:tc>
          <w:tcPr>
            <w:tcW w:w="1827" w:type="dxa"/>
            <w:tcBorders>
              <w:top w:val="single" w:sz="6" w:space="0" w:color="auto"/>
              <w:left w:val="nil"/>
              <w:bottom w:val="single" w:sz="6" w:space="0" w:color="auto"/>
              <w:right w:val="nil"/>
            </w:tcBorders>
            <w:shd w:val="clear" w:color="auto" w:fill="auto"/>
            <w:vAlign w:val="bottom"/>
            <w:hideMark/>
          </w:tcPr>
          <w:p w:rsidR="00614A4C" w:rsidRPr="003E11C2" w:rsidP="00614A4C" w14:paraId="7907BA9F"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Responses per Respondent </w:t>
            </w:r>
          </w:p>
        </w:tc>
        <w:tc>
          <w:tcPr>
            <w:tcW w:w="121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388F5016" w14:textId="196D74BB">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Hours per Re</w:t>
            </w:r>
            <w:r w:rsidR="003C045A">
              <w:rPr>
                <w:rFonts w:ascii="Arial" w:eastAsia="Times New Roman" w:hAnsi="Arial" w:cs="Arial"/>
                <w:sz w:val="24"/>
                <w:szCs w:val="24"/>
              </w:rPr>
              <w:t>sponse</w:t>
            </w:r>
          </w:p>
        </w:tc>
        <w:tc>
          <w:tcPr>
            <w:tcW w:w="1400"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6D002C3D"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 of Responses </w:t>
            </w:r>
          </w:p>
        </w:tc>
        <w:tc>
          <w:tcPr>
            <w:tcW w:w="94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14A4C" w:rsidRPr="003E11C2" w:rsidP="00614A4C" w14:paraId="3AAE0E9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Hours </w:t>
            </w:r>
          </w:p>
        </w:tc>
      </w:tr>
      <w:tr w14:paraId="3A959CB7" w14:textId="77777777" w:rsidTr="008D62F4">
        <w:tblPrEx>
          <w:tblW w:w="9344" w:type="dxa"/>
          <w:tblCellMar>
            <w:left w:w="0" w:type="dxa"/>
            <w:right w:w="0" w:type="dxa"/>
          </w:tblCellMar>
          <w:tblLook w:val="04A0"/>
        </w:tblPrEx>
        <w:trPr>
          <w:trHeight w:val="285"/>
        </w:trPr>
        <w:tc>
          <w:tcPr>
            <w:tcW w:w="2839"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55A9568C" w14:textId="7B7A5513">
            <w:pPr>
              <w:spacing w:after="0" w:line="240" w:lineRule="auto"/>
              <w:textAlignment w:val="baseline"/>
              <w:rPr>
                <w:rFonts w:ascii="Segoe UI" w:eastAsia="Times New Roman" w:hAnsi="Segoe UI" w:cs="Segoe UI"/>
                <w:sz w:val="18"/>
                <w:szCs w:val="18"/>
              </w:rPr>
            </w:pPr>
            <w:r>
              <w:rPr>
                <w:rFonts w:ascii="Arial" w:eastAsia="Times New Roman" w:hAnsi="Arial" w:cs="Arial"/>
                <w:sz w:val="24"/>
                <w:szCs w:val="24"/>
              </w:rPr>
              <w:t>D</w:t>
            </w:r>
            <w:r w:rsidRPr="003E11C2">
              <w:rPr>
                <w:rFonts w:ascii="Arial" w:eastAsia="Times New Roman" w:hAnsi="Arial" w:cs="Arial"/>
                <w:sz w:val="24"/>
                <w:szCs w:val="24"/>
              </w:rPr>
              <w:t xml:space="preserve">rug and Alcohol </w:t>
            </w:r>
            <w:r>
              <w:rPr>
                <w:rFonts w:ascii="Arial" w:eastAsia="Times New Roman" w:hAnsi="Arial" w:cs="Arial"/>
                <w:sz w:val="24"/>
                <w:szCs w:val="24"/>
              </w:rPr>
              <w:t>Testing</w:t>
            </w:r>
            <w:r w:rsidRPr="003E11C2">
              <w:rPr>
                <w:rFonts w:ascii="Arial" w:eastAsia="Times New Roman" w:hAnsi="Arial" w:cs="Arial"/>
                <w:sz w:val="24"/>
                <w:szCs w:val="24"/>
              </w:rPr>
              <w:t xml:space="preserve"> Program Operations Specification </w:t>
            </w:r>
          </w:p>
        </w:tc>
        <w:tc>
          <w:tcPr>
            <w:tcW w:w="1114" w:type="dxa"/>
            <w:tcBorders>
              <w:top w:val="nil"/>
              <w:left w:val="nil"/>
              <w:bottom w:val="single" w:sz="6" w:space="0" w:color="auto"/>
              <w:right w:val="single" w:sz="6" w:space="0" w:color="auto"/>
            </w:tcBorders>
            <w:shd w:val="clear" w:color="auto" w:fill="auto"/>
            <w:vAlign w:val="bottom"/>
            <w:hideMark/>
          </w:tcPr>
          <w:p w:rsidR="00614A4C" w:rsidRPr="003E11C2" w:rsidP="00614A4C" w14:paraId="5C6A1924"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827" w:type="dxa"/>
            <w:tcBorders>
              <w:top w:val="single" w:sz="6" w:space="0" w:color="auto"/>
              <w:left w:val="nil"/>
              <w:bottom w:val="single" w:sz="6" w:space="0" w:color="auto"/>
              <w:right w:val="nil"/>
            </w:tcBorders>
            <w:shd w:val="clear" w:color="auto" w:fill="auto"/>
            <w:vAlign w:val="bottom"/>
            <w:hideMark/>
          </w:tcPr>
          <w:p w:rsidR="00614A4C" w:rsidRPr="003E11C2" w:rsidP="00614A4C" w14:paraId="6D536393"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1 </w:t>
            </w:r>
          </w:p>
        </w:tc>
        <w:tc>
          <w:tcPr>
            <w:tcW w:w="1218"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331FF504" w14:textId="0352CB0F">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16.33</w:t>
            </w:r>
            <w:r>
              <w:rPr>
                <w:rStyle w:val="FootnoteReference"/>
                <w:rFonts w:ascii="Arial" w:eastAsia="Times New Roman" w:hAnsi="Arial" w:cs="Arial"/>
                <w:sz w:val="24"/>
                <w:szCs w:val="24"/>
              </w:rPr>
              <w:footnoteReference w:id="5"/>
            </w:r>
          </w:p>
        </w:tc>
        <w:tc>
          <w:tcPr>
            <w:tcW w:w="1400" w:type="dxa"/>
            <w:tcBorders>
              <w:top w:val="single" w:sz="6" w:space="0" w:color="auto"/>
              <w:left w:val="nil"/>
              <w:bottom w:val="single" w:sz="6" w:space="0" w:color="auto"/>
              <w:right w:val="single" w:sz="6" w:space="0" w:color="auto"/>
            </w:tcBorders>
            <w:shd w:val="clear" w:color="auto" w:fill="auto"/>
            <w:vAlign w:val="bottom"/>
            <w:hideMark/>
          </w:tcPr>
          <w:p w:rsidR="00614A4C" w:rsidRPr="003E11C2" w:rsidP="00614A4C" w14:paraId="6C07629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946" w:type="dxa"/>
            <w:tcBorders>
              <w:top w:val="nil"/>
              <w:left w:val="single" w:sz="6" w:space="0" w:color="auto"/>
              <w:bottom w:val="single" w:sz="6" w:space="0" w:color="auto"/>
              <w:right w:val="single" w:sz="6" w:space="0" w:color="auto"/>
            </w:tcBorders>
            <w:shd w:val="clear" w:color="auto" w:fill="auto"/>
            <w:vAlign w:val="bottom"/>
            <w:hideMark/>
          </w:tcPr>
          <w:p w:rsidR="00614A4C" w:rsidRPr="003E11C2" w:rsidP="00614A4C" w14:paraId="725ED170" w14:textId="28A1E25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15,</w:t>
            </w:r>
            <w:r w:rsidRPr="003E11C2" w:rsidR="005B3463">
              <w:rPr>
                <w:rFonts w:ascii="Arial" w:eastAsia="Times New Roman" w:hAnsi="Arial" w:cs="Arial"/>
                <w:sz w:val="24"/>
                <w:szCs w:val="24"/>
              </w:rPr>
              <w:t>95</w:t>
            </w:r>
            <w:r w:rsidR="008627A6">
              <w:rPr>
                <w:rFonts w:ascii="Arial" w:eastAsia="Times New Roman" w:hAnsi="Arial" w:cs="Arial"/>
                <w:sz w:val="24"/>
                <w:szCs w:val="24"/>
              </w:rPr>
              <w:t>8</w:t>
            </w:r>
            <w:r w:rsidRPr="003E11C2" w:rsidR="005B3463">
              <w:rPr>
                <w:rFonts w:ascii="Arial" w:eastAsia="Times New Roman" w:hAnsi="Arial" w:cs="Arial"/>
                <w:sz w:val="24"/>
                <w:szCs w:val="24"/>
              </w:rPr>
              <w:t> </w:t>
            </w:r>
          </w:p>
        </w:tc>
      </w:tr>
    </w:tbl>
    <w:p w:rsidR="00890AA5" w:rsidRPr="00E27271" w:rsidP="00E6104F" w14:paraId="38ED6D20" w14:textId="217A6235">
      <w:pPr>
        <w:rPr>
          <w:rFonts w:ascii="Arial" w:hAnsi="Arial" w:cs="Arial"/>
        </w:rPr>
      </w:pPr>
      <w:r>
        <w:rPr>
          <w:rFonts w:ascii="Arial" w:hAnsi="Arial" w:cs="Arial"/>
        </w:rPr>
        <w:t xml:space="preserve">Note: </w:t>
      </w:r>
      <w:r w:rsidRPr="00B94051">
        <w:rPr>
          <w:rFonts w:ascii="Arial" w:hAnsi="Arial" w:cs="Arial"/>
        </w:rPr>
        <w:t>These numbers are subject to rounding error.  </w:t>
      </w:r>
    </w:p>
    <w:p w:rsidR="003F64B3" w:rsidP="00F63216" w14:paraId="2C9CAB68" w14:textId="44E4F804">
      <w:pPr>
        <w:contextualSpacing/>
        <w:rPr>
          <w:rFonts w:ascii="Arial" w:eastAsia="Arial Unicode MS" w:hAnsi="Arial" w:cs="Arial"/>
          <w:sz w:val="24"/>
          <w:szCs w:val="24"/>
        </w:rPr>
      </w:pPr>
      <w:r w:rsidRPr="52F164E3">
        <w:rPr>
          <w:rFonts w:ascii="Arial" w:eastAsia="Arial Unicode MS" w:hAnsi="Arial" w:cs="Arial"/>
          <w:sz w:val="24"/>
          <w:szCs w:val="24"/>
          <w:u w:val="single"/>
        </w:rPr>
        <w:t>Explanation</w:t>
      </w:r>
      <w:r w:rsidRPr="52F164E3">
        <w:rPr>
          <w:rFonts w:ascii="Arial" w:eastAsia="Arial Unicode MS" w:hAnsi="Arial" w:cs="Arial"/>
          <w:sz w:val="24"/>
          <w:szCs w:val="24"/>
        </w:rPr>
        <w:t xml:space="preserve">: Each foreign repair station would devote resources to develop a drug and alcohol testing program to obtain a Drug and Alcohol Testing Program Operations Specification through its Principal Maintenance Inspector </w:t>
      </w:r>
      <w:r w:rsidRPr="52F164E3" w:rsidR="00B94BBE">
        <w:rPr>
          <w:rFonts w:ascii="Arial" w:eastAsia="Arial Unicode MS" w:hAnsi="Arial" w:cs="Arial"/>
          <w:sz w:val="24"/>
          <w:szCs w:val="24"/>
        </w:rPr>
        <w:t xml:space="preserve">(PMI) </w:t>
      </w:r>
      <w:r w:rsidRPr="52F164E3">
        <w:rPr>
          <w:rFonts w:ascii="Arial" w:eastAsia="Arial Unicode MS" w:hAnsi="Arial" w:cs="Arial"/>
          <w:sz w:val="24"/>
          <w:szCs w:val="24"/>
        </w:rPr>
        <w:t xml:space="preserve">in the FAA Flight Standards Service in accordance with </w:t>
      </w:r>
      <w:r w:rsidRPr="52F164E3" w:rsidR="00F12ED2">
        <w:rPr>
          <w:rFonts w:ascii="Arial" w:eastAsia="Arial Unicode MS" w:hAnsi="Arial" w:cs="Arial"/>
          <w:sz w:val="24"/>
          <w:szCs w:val="24"/>
        </w:rPr>
        <w:t>14 CFR</w:t>
      </w:r>
      <w:r w:rsidRPr="52F164E3">
        <w:rPr>
          <w:rFonts w:ascii="Arial" w:eastAsia="Arial Unicode MS" w:hAnsi="Arial" w:cs="Arial"/>
          <w:sz w:val="24"/>
          <w:szCs w:val="24"/>
        </w:rPr>
        <w:t xml:space="preserve"> 120.117 and 120.225. The 2005 regulatory analysis for the final rule entitled, Antidrug and Alcohol Misuse Prevention Programs for Personnel Engaged in Specified Aviation Activities</w:t>
      </w:r>
      <w:r w:rsidRPr="52F164E3" w:rsidR="00677833">
        <w:rPr>
          <w:rFonts w:ascii="Arial" w:eastAsia="Arial Unicode MS" w:hAnsi="Arial" w:cs="Arial"/>
          <w:sz w:val="24"/>
          <w:szCs w:val="24"/>
        </w:rPr>
        <w:t xml:space="preserve"> </w:t>
      </w:r>
      <w:r w:rsidRPr="52F164E3" w:rsidR="009A79C0">
        <w:rPr>
          <w:rFonts w:ascii="Arial" w:eastAsia="Arial Unicode MS" w:hAnsi="Arial" w:cs="Arial"/>
          <w:sz w:val="24"/>
          <w:szCs w:val="24"/>
        </w:rPr>
        <w:t>[71 FR 1666]</w:t>
      </w:r>
      <w:r w:rsidRPr="52F164E3">
        <w:rPr>
          <w:rFonts w:ascii="Arial" w:eastAsia="Arial Unicode MS" w:hAnsi="Arial" w:cs="Arial"/>
          <w:sz w:val="24"/>
          <w:szCs w:val="24"/>
        </w:rPr>
        <w:t xml:space="preserve">, estimated that it would take 16 administrative hours to develop a testing program using available guidance and </w:t>
      </w:r>
      <w:r w:rsidRPr="52F164E3" w:rsidR="00E761E4">
        <w:rPr>
          <w:rFonts w:ascii="Arial" w:eastAsia="Arial Unicode MS" w:hAnsi="Arial" w:cs="Arial"/>
          <w:sz w:val="24"/>
          <w:szCs w:val="24"/>
        </w:rPr>
        <w:t>one</w:t>
      </w:r>
      <w:r w:rsidRPr="52F164E3">
        <w:rPr>
          <w:rFonts w:ascii="Arial" w:eastAsia="Arial Unicode MS" w:hAnsi="Arial" w:cs="Arial"/>
          <w:sz w:val="24"/>
          <w:szCs w:val="24"/>
        </w:rPr>
        <w:t xml:space="preserve"> hour to obtain the Antidrug and Alcohol Misuse Prevention Program Operations Specification (A449) from the </w:t>
      </w:r>
      <w:r w:rsidRPr="52F164E3" w:rsidR="00B94BBE">
        <w:rPr>
          <w:rFonts w:ascii="Arial" w:eastAsia="Arial Unicode MS" w:hAnsi="Arial" w:cs="Arial"/>
          <w:sz w:val="24"/>
          <w:szCs w:val="24"/>
        </w:rPr>
        <w:t>PMI</w:t>
      </w:r>
      <w:r w:rsidRPr="52F164E3" w:rsidR="00F23765">
        <w:rPr>
          <w:rFonts w:ascii="Arial" w:eastAsia="Arial Unicode MS" w:hAnsi="Arial" w:cs="Arial"/>
          <w:sz w:val="24"/>
          <w:szCs w:val="24"/>
        </w:rPr>
        <w:t xml:space="preserve"> in the first year</w:t>
      </w:r>
      <w:r w:rsidRPr="52F164E3">
        <w:rPr>
          <w:rFonts w:ascii="Arial" w:eastAsia="Arial Unicode MS" w:hAnsi="Arial" w:cs="Arial"/>
          <w:sz w:val="24"/>
          <w:szCs w:val="24"/>
        </w:rPr>
        <w:t>.</w:t>
      </w:r>
      <w:r w:rsidRPr="52F164E3" w:rsidR="007E3FAE">
        <w:rPr>
          <w:rFonts w:ascii="Arial" w:eastAsia="Arial Unicode MS" w:hAnsi="Arial" w:cs="Arial"/>
          <w:sz w:val="24"/>
          <w:szCs w:val="24"/>
        </w:rPr>
        <w:t xml:space="preserve"> </w:t>
      </w:r>
      <w:r w:rsidRPr="52F164E3" w:rsidR="00BF219E">
        <w:rPr>
          <w:rFonts w:ascii="Arial" w:eastAsia="Arial Unicode MS" w:hAnsi="Arial" w:cs="Arial"/>
          <w:sz w:val="24"/>
          <w:szCs w:val="24"/>
        </w:rPr>
        <w:t>Although these estimates are from 2005, t</w:t>
      </w:r>
      <w:r w:rsidRPr="52F164E3" w:rsidR="007E3FAE">
        <w:rPr>
          <w:rFonts w:ascii="Arial" w:eastAsia="Arial Unicode MS" w:hAnsi="Arial" w:cs="Arial"/>
          <w:sz w:val="24"/>
          <w:szCs w:val="24"/>
        </w:rPr>
        <w:t>he FAA finds th</w:t>
      </w:r>
      <w:r w:rsidRPr="52F164E3" w:rsidR="00682815">
        <w:rPr>
          <w:rFonts w:ascii="Arial" w:eastAsia="Arial Unicode MS" w:hAnsi="Arial" w:cs="Arial"/>
          <w:sz w:val="24"/>
          <w:szCs w:val="24"/>
        </w:rPr>
        <w:t>e</w:t>
      </w:r>
      <w:r w:rsidRPr="52F164E3" w:rsidR="00BF219E">
        <w:rPr>
          <w:rFonts w:ascii="Arial" w:eastAsia="Arial Unicode MS" w:hAnsi="Arial" w:cs="Arial"/>
          <w:sz w:val="24"/>
          <w:szCs w:val="24"/>
        </w:rPr>
        <w:t xml:space="preserve">m </w:t>
      </w:r>
      <w:r w:rsidRPr="52F164E3" w:rsidR="00682815">
        <w:rPr>
          <w:rFonts w:ascii="Arial" w:eastAsia="Arial Unicode MS" w:hAnsi="Arial" w:cs="Arial"/>
          <w:sz w:val="24"/>
          <w:szCs w:val="24"/>
        </w:rPr>
        <w:t xml:space="preserve">to </w:t>
      </w:r>
      <w:r w:rsidRPr="52F164E3" w:rsidR="00BF219E">
        <w:rPr>
          <w:rFonts w:ascii="Arial" w:eastAsia="Arial Unicode MS" w:hAnsi="Arial" w:cs="Arial"/>
          <w:sz w:val="24"/>
          <w:szCs w:val="24"/>
        </w:rPr>
        <w:t xml:space="preserve">still </w:t>
      </w:r>
      <w:r w:rsidRPr="52F164E3" w:rsidR="00682815">
        <w:rPr>
          <w:rFonts w:ascii="Arial" w:eastAsia="Arial Unicode MS" w:hAnsi="Arial" w:cs="Arial"/>
          <w:sz w:val="24"/>
          <w:szCs w:val="24"/>
        </w:rPr>
        <w:t xml:space="preserve">be </w:t>
      </w:r>
      <w:r w:rsidRPr="52F164E3" w:rsidR="00BF219E">
        <w:rPr>
          <w:rFonts w:ascii="Arial" w:eastAsia="Arial Unicode MS" w:hAnsi="Arial" w:cs="Arial"/>
          <w:sz w:val="24"/>
          <w:szCs w:val="24"/>
        </w:rPr>
        <w:t>accurate.</w:t>
      </w:r>
      <w:r w:rsidRPr="52F164E3" w:rsidR="00682815">
        <w:rPr>
          <w:rFonts w:ascii="Arial" w:eastAsia="Arial Unicode MS" w:hAnsi="Arial" w:cs="Arial"/>
          <w:sz w:val="24"/>
          <w:szCs w:val="24"/>
        </w:rPr>
        <w:t xml:space="preserve"> </w:t>
      </w:r>
    </w:p>
    <w:p w:rsidR="00726AC1" w:rsidP="00F63216" w14:paraId="7531D2E3" w14:textId="77777777">
      <w:pPr>
        <w:contextualSpacing/>
        <w:rPr>
          <w:rFonts w:ascii="Arial" w:eastAsia="Arial Unicode MS" w:hAnsi="Arial" w:cs="Arial"/>
          <w:sz w:val="24"/>
          <w:szCs w:val="24"/>
        </w:rPr>
      </w:pPr>
    </w:p>
    <w:p w:rsidR="00F63216" w:rsidP="00F63216" w14:paraId="45375F13" w14:textId="420D4895">
      <w:pPr>
        <w:contextualSpacing/>
        <w:rPr>
          <w:rFonts w:ascii="Arial" w:eastAsia="Arial Unicode MS" w:hAnsi="Arial" w:cs="Arial"/>
          <w:sz w:val="24"/>
          <w:szCs w:val="24"/>
        </w:rPr>
      </w:pPr>
      <w:r>
        <w:rPr>
          <w:rFonts w:ascii="Arial" w:eastAsia="Arial Unicode MS" w:hAnsi="Arial" w:cs="Arial"/>
          <w:sz w:val="24"/>
          <w:szCs w:val="24"/>
        </w:rPr>
        <w:t>These r</w:t>
      </w:r>
      <w:r w:rsidRPr="00E17C2A">
        <w:rPr>
          <w:rFonts w:ascii="Arial" w:eastAsia="Arial Unicode MS" w:hAnsi="Arial" w:cs="Arial"/>
          <w:sz w:val="24"/>
          <w:szCs w:val="24"/>
        </w:rPr>
        <w:t>epair stations would also incur annual program maintenance: e.g., updates to the program; the space to conduct the testing; the random pool list; and the overall testing process.</w:t>
      </w:r>
      <w:r w:rsidR="00BF21DB">
        <w:rPr>
          <w:rFonts w:ascii="Arial" w:eastAsia="Arial Unicode MS" w:hAnsi="Arial" w:cs="Arial"/>
          <w:sz w:val="24"/>
          <w:szCs w:val="24"/>
        </w:rPr>
        <w:t xml:space="preserve"> The </w:t>
      </w:r>
      <w:r w:rsidR="00970CCC">
        <w:rPr>
          <w:rFonts w:ascii="Arial" w:eastAsia="Arial Unicode MS" w:hAnsi="Arial" w:cs="Arial"/>
          <w:sz w:val="24"/>
          <w:szCs w:val="24"/>
        </w:rPr>
        <w:t>estimated</w:t>
      </w:r>
      <w:r w:rsidR="00BF21DB">
        <w:rPr>
          <w:rFonts w:ascii="Arial" w:eastAsia="Arial Unicode MS" w:hAnsi="Arial" w:cs="Arial"/>
          <w:sz w:val="24"/>
          <w:szCs w:val="24"/>
        </w:rPr>
        <w:t xml:space="preserve"> time of this </w:t>
      </w:r>
      <w:r w:rsidR="00970CCC">
        <w:rPr>
          <w:rFonts w:ascii="Arial" w:eastAsia="Arial Unicode MS" w:hAnsi="Arial" w:cs="Arial"/>
          <w:sz w:val="24"/>
          <w:szCs w:val="24"/>
        </w:rPr>
        <w:t>maintenance</w:t>
      </w:r>
      <w:r w:rsidR="00BF21DB">
        <w:rPr>
          <w:rFonts w:ascii="Arial" w:eastAsia="Arial Unicode MS" w:hAnsi="Arial" w:cs="Arial"/>
          <w:sz w:val="24"/>
          <w:szCs w:val="24"/>
        </w:rPr>
        <w:t xml:space="preserve"> </w:t>
      </w:r>
      <w:r w:rsidR="00970CCC">
        <w:rPr>
          <w:rFonts w:ascii="Arial" w:eastAsia="Arial Unicode MS" w:hAnsi="Arial" w:cs="Arial"/>
          <w:sz w:val="24"/>
          <w:szCs w:val="24"/>
        </w:rPr>
        <w:t xml:space="preserve">is 16 hours per year. Therefore, the average </w:t>
      </w:r>
      <w:r w:rsidR="009C4815">
        <w:rPr>
          <w:rFonts w:ascii="Arial" w:eastAsia="Arial Unicode MS" w:hAnsi="Arial" w:cs="Arial"/>
          <w:sz w:val="24"/>
          <w:szCs w:val="24"/>
        </w:rPr>
        <w:t xml:space="preserve">hours per </w:t>
      </w:r>
      <w:r w:rsidR="003C045A">
        <w:rPr>
          <w:rFonts w:ascii="Arial" w:eastAsia="Arial Unicode MS" w:hAnsi="Arial" w:cs="Arial"/>
          <w:sz w:val="24"/>
          <w:szCs w:val="24"/>
        </w:rPr>
        <w:t>response</w:t>
      </w:r>
      <w:r w:rsidR="009C4815">
        <w:rPr>
          <w:rFonts w:ascii="Arial" w:eastAsia="Arial Unicode MS" w:hAnsi="Arial" w:cs="Arial"/>
          <w:sz w:val="24"/>
          <w:szCs w:val="24"/>
        </w:rPr>
        <w:t xml:space="preserve"> is 16.33 hours per year.</w:t>
      </w:r>
      <w:r>
        <w:rPr>
          <w:rStyle w:val="FootnoteReference"/>
          <w:rFonts w:ascii="Arial" w:eastAsia="Arial Unicode MS" w:hAnsi="Arial" w:cs="Arial"/>
          <w:sz w:val="24"/>
          <w:szCs w:val="24"/>
        </w:rPr>
        <w:footnoteReference w:id="6"/>
      </w:r>
    </w:p>
    <w:p w:rsidR="00664547" w:rsidP="00A970AE" w14:paraId="2D6B9F43" w14:textId="77777777">
      <w:pPr>
        <w:rPr>
          <w:rFonts w:ascii="Arial" w:hAnsi="Arial" w:cs="Arial"/>
          <w:b/>
          <w:bCs/>
          <w:sz w:val="24"/>
          <w:szCs w:val="24"/>
        </w:rPr>
      </w:pPr>
    </w:p>
    <w:p w:rsidR="003233CC" w:rsidRPr="0068122E" w:rsidP="0068122E" w14:paraId="33ADC1EC" w14:textId="175B878B">
      <w:pPr>
        <w:jc w:val="center"/>
        <w:rPr>
          <w:rFonts w:ascii="Arial" w:hAnsi="Arial" w:cs="Arial"/>
          <w:b/>
          <w:bCs/>
          <w:sz w:val="24"/>
          <w:szCs w:val="24"/>
        </w:rPr>
      </w:pPr>
      <w:r w:rsidRPr="0068122E">
        <w:rPr>
          <w:rFonts w:ascii="Arial" w:hAnsi="Arial" w:cs="Arial"/>
          <w:b/>
          <w:bCs/>
          <w:sz w:val="24"/>
          <w:szCs w:val="24"/>
        </w:rPr>
        <w:t>Estimated Annual Number of Records for All 977 Foreign Repair Stations</w:t>
      </w:r>
    </w:p>
    <w:p w:rsidR="00442743" w:rsidRPr="0068122E" w:rsidP="0068122E" w14:paraId="592ADC9C" w14:textId="6F968BEB">
      <w:pPr>
        <w:jc w:val="center"/>
        <w:rPr>
          <w:rFonts w:ascii="Arial" w:hAnsi="Arial" w:cs="Arial"/>
          <w:b/>
          <w:bCs/>
          <w:sz w:val="24"/>
          <w:szCs w:val="24"/>
        </w:rPr>
      </w:pPr>
    </w:p>
    <w:tbl>
      <w:tblPr>
        <w:tblpPr w:leftFromText="180" w:rightFromText="180" w:vertAnchor="text" w:horzAnchor="margin" w:tblpY="151"/>
        <w:tblW w:w="9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27"/>
        <w:gridCol w:w="1150"/>
        <w:gridCol w:w="1601"/>
        <w:gridCol w:w="1369"/>
        <w:gridCol w:w="1431"/>
        <w:gridCol w:w="1150"/>
      </w:tblGrid>
      <w:tr w14:paraId="674A14A8" w14:textId="77777777" w:rsidTr="52F164E3">
        <w:tblPrEx>
          <w:tblW w:w="9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68"/>
        </w:trPr>
        <w:tc>
          <w:tcPr>
            <w:tcW w:w="272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1D352066"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Documentation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1A28A4ED"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 of Repair Stations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244BD098"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Average # of Responses per Respondent </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0B8E2F6A" w14:textId="1DA12BB4">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Hours per Re</w:t>
            </w:r>
            <w:r w:rsidR="003C045A">
              <w:rPr>
                <w:rFonts w:ascii="Arial" w:eastAsia="Times New Roman" w:hAnsi="Arial" w:cs="Arial"/>
                <w:sz w:val="24"/>
                <w:szCs w:val="24"/>
              </w:rPr>
              <w:t>sponse</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8BDA0F7"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 of Responses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4DD50B0E"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Total Hours </w:t>
            </w:r>
          </w:p>
        </w:tc>
      </w:tr>
      <w:tr w14:paraId="23A8A5AE" w14:textId="77777777" w:rsidTr="52F164E3">
        <w:tblPrEx>
          <w:tblW w:w="9428" w:type="dxa"/>
          <w:tblLayout w:type="fixed"/>
          <w:tblCellMar>
            <w:left w:w="0" w:type="dxa"/>
            <w:right w:w="0" w:type="dxa"/>
          </w:tblCellMar>
          <w:tblLook w:val="04A0"/>
        </w:tblPrEx>
        <w:trPr>
          <w:trHeight w:val="167"/>
        </w:trPr>
        <w:tc>
          <w:tcPr>
            <w:tcW w:w="27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64547" w:rsidRPr="003E11C2" w:rsidP="00664547" w14:paraId="44B4E2D3" w14:textId="77777777">
            <w:pPr>
              <w:spacing w:after="0" w:line="240" w:lineRule="auto"/>
              <w:textAlignment w:val="baseline"/>
              <w:rPr>
                <w:rFonts w:ascii="Segoe UI" w:eastAsia="Times New Roman" w:hAnsi="Segoe UI" w:cs="Segoe UI"/>
                <w:sz w:val="18"/>
                <w:szCs w:val="18"/>
              </w:rPr>
            </w:pPr>
            <w:r w:rsidRPr="003E11C2">
              <w:rPr>
                <w:rFonts w:ascii="Arial" w:eastAsia="Times New Roman" w:hAnsi="Arial" w:cs="Arial"/>
                <w:sz w:val="24"/>
                <w:szCs w:val="24"/>
              </w:rPr>
              <w:t>Training records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A6EA3F3"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52F164E3" w14:paraId="31948AC7" w14:textId="6ABE8883">
            <w:pPr>
              <w:spacing w:after="0" w:line="240" w:lineRule="auto"/>
              <w:jc w:val="center"/>
              <w:textAlignment w:val="baseline"/>
              <w:rPr>
                <w:rFonts w:ascii="Arial" w:eastAsia="Times New Roman" w:hAnsi="Arial" w:cs="Arial"/>
                <w:sz w:val="24"/>
                <w:szCs w:val="24"/>
              </w:rPr>
            </w:pPr>
            <w:r w:rsidRPr="52F164E3">
              <w:rPr>
                <w:rFonts w:ascii="Arial" w:eastAsia="Times New Roman" w:hAnsi="Arial" w:cs="Arial"/>
                <w:sz w:val="24"/>
                <w:szCs w:val="24"/>
              </w:rPr>
              <w:t>1</w:t>
            </w:r>
            <w:r w:rsidRPr="52F164E3" w:rsidR="2969BC8F">
              <w:rPr>
                <w:rFonts w:ascii="Arial" w:eastAsia="Times New Roman" w:hAnsi="Arial" w:cs="Arial"/>
                <w:sz w:val="24"/>
                <w:szCs w:val="24"/>
              </w:rPr>
              <w:t>64</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2A9CC48B"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0.25 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52F164E3" w14:paraId="5B2CD093" w14:textId="2BE2F0A7">
            <w:pPr>
              <w:spacing w:after="0" w:line="240" w:lineRule="auto"/>
              <w:jc w:val="center"/>
              <w:textAlignment w:val="baseline"/>
              <w:rPr>
                <w:rFonts w:ascii="Arial" w:eastAsia="Times New Roman" w:hAnsi="Arial" w:cs="Arial"/>
                <w:sz w:val="24"/>
                <w:szCs w:val="24"/>
              </w:rPr>
            </w:pPr>
            <w:r w:rsidRPr="52F164E3">
              <w:rPr>
                <w:rFonts w:ascii="Arial" w:eastAsia="Times New Roman" w:hAnsi="Arial" w:cs="Arial"/>
                <w:sz w:val="24"/>
                <w:szCs w:val="24"/>
              </w:rPr>
              <w:t>1</w:t>
            </w:r>
            <w:r w:rsidRPr="52F164E3" w:rsidR="6F37BFD8">
              <w:rPr>
                <w:rFonts w:ascii="Arial" w:eastAsia="Times New Roman" w:hAnsi="Arial" w:cs="Arial"/>
                <w:sz w:val="24"/>
                <w:szCs w:val="24"/>
              </w:rPr>
              <w:t>59,956</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14A8D90" w14:textId="616692C2">
            <w:pPr>
              <w:spacing w:after="0" w:line="240" w:lineRule="auto"/>
              <w:jc w:val="center"/>
              <w:textAlignment w:val="baseline"/>
              <w:rPr>
                <w:rFonts w:ascii="Segoe UI" w:eastAsia="Times New Roman" w:hAnsi="Segoe UI" w:cs="Segoe UI"/>
                <w:sz w:val="18"/>
                <w:szCs w:val="18"/>
              </w:rPr>
            </w:pPr>
            <w:r w:rsidRPr="52F164E3">
              <w:rPr>
                <w:rFonts w:ascii="Arial" w:eastAsia="Times New Roman" w:hAnsi="Arial" w:cs="Arial"/>
                <w:sz w:val="24"/>
                <w:szCs w:val="24"/>
              </w:rPr>
              <w:t>39,</w:t>
            </w:r>
            <w:r w:rsidRPr="52F164E3" w:rsidR="1A0E4ECF">
              <w:rPr>
                <w:rFonts w:ascii="Arial" w:eastAsia="Times New Roman" w:hAnsi="Arial" w:cs="Arial"/>
                <w:sz w:val="24"/>
                <w:szCs w:val="24"/>
              </w:rPr>
              <w:t>989</w:t>
            </w:r>
            <w:r w:rsidRPr="52F164E3" w:rsidR="00ED03F4">
              <w:rPr>
                <w:rFonts w:ascii="Arial" w:eastAsia="Times New Roman" w:hAnsi="Arial" w:cs="Arial"/>
                <w:sz w:val="24"/>
                <w:szCs w:val="24"/>
              </w:rPr>
              <w:t> </w:t>
            </w:r>
          </w:p>
        </w:tc>
      </w:tr>
      <w:tr w14:paraId="5CDBAB48" w14:textId="77777777" w:rsidTr="52F164E3">
        <w:tblPrEx>
          <w:tblW w:w="9428" w:type="dxa"/>
          <w:tblLayout w:type="fixed"/>
          <w:tblCellMar>
            <w:left w:w="0" w:type="dxa"/>
            <w:right w:w="0" w:type="dxa"/>
          </w:tblCellMar>
          <w:tblLook w:val="04A0"/>
        </w:tblPrEx>
        <w:trPr>
          <w:trHeight w:val="2230"/>
        </w:trPr>
        <w:tc>
          <w:tcPr>
            <w:tcW w:w="27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64547" w:rsidRPr="003E11C2" w:rsidP="00664547" w14:paraId="361C973A" w14:textId="77777777">
            <w:pPr>
              <w:spacing w:after="0" w:line="240" w:lineRule="auto"/>
              <w:textAlignment w:val="baseline"/>
              <w:rPr>
                <w:rFonts w:ascii="Segoe UI" w:eastAsia="Times New Roman" w:hAnsi="Segoe UI" w:cs="Segoe UI"/>
                <w:sz w:val="18"/>
                <w:szCs w:val="18"/>
              </w:rPr>
            </w:pPr>
            <w:r w:rsidRPr="003E11C2">
              <w:rPr>
                <w:rFonts w:ascii="Arial" w:eastAsia="Times New Roman" w:hAnsi="Arial" w:cs="Arial"/>
                <w:sz w:val="24"/>
                <w:szCs w:val="24"/>
              </w:rPr>
              <w:t>Test records: records related to the alcohol and drug collection process, test results, refusal to test, employee dispute records, SAP reports, follow-up tests. </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01E24E76"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977 </w:t>
            </w:r>
          </w:p>
        </w:tc>
        <w:tc>
          <w:tcPr>
            <w:tcW w:w="16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61E8B5CB" w14:textId="245B1F4C">
            <w:pPr>
              <w:spacing w:after="0" w:line="240" w:lineRule="auto"/>
              <w:jc w:val="center"/>
              <w:textAlignment w:val="baseline"/>
              <w:rPr>
                <w:rFonts w:ascii="Segoe UI" w:eastAsia="Times New Roman" w:hAnsi="Segoe UI" w:cs="Segoe UI"/>
                <w:sz w:val="18"/>
                <w:szCs w:val="18"/>
              </w:rPr>
            </w:pPr>
            <w:r w:rsidRPr="52F164E3">
              <w:rPr>
                <w:rFonts w:ascii="Arial" w:eastAsia="Times New Roman" w:hAnsi="Arial" w:cs="Arial"/>
                <w:sz w:val="24"/>
                <w:szCs w:val="24"/>
              </w:rPr>
              <w:t>45</w:t>
            </w:r>
          </w:p>
        </w:tc>
        <w:tc>
          <w:tcPr>
            <w:tcW w:w="136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37931E0A" w14:textId="77777777">
            <w:pPr>
              <w:spacing w:after="0" w:line="240" w:lineRule="auto"/>
              <w:jc w:val="center"/>
              <w:textAlignment w:val="baseline"/>
              <w:rPr>
                <w:rFonts w:ascii="Segoe UI" w:eastAsia="Times New Roman" w:hAnsi="Segoe UI" w:cs="Segoe UI"/>
                <w:sz w:val="18"/>
                <w:szCs w:val="18"/>
              </w:rPr>
            </w:pPr>
            <w:r w:rsidRPr="003E11C2">
              <w:rPr>
                <w:rFonts w:ascii="Arial" w:eastAsia="Times New Roman" w:hAnsi="Arial" w:cs="Arial"/>
                <w:sz w:val="24"/>
                <w:szCs w:val="24"/>
              </w:rPr>
              <w:t>5.0 </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52F164E3" w14:paraId="21F448B1" w14:textId="74B29608">
            <w:pPr>
              <w:spacing w:after="0" w:line="240" w:lineRule="auto"/>
              <w:jc w:val="center"/>
              <w:textAlignment w:val="baseline"/>
              <w:rPr>
                <w:rFonts w:ascii="Arial" w:eastAsia="Times New Roman" w:hAnsi="Arial" w:cs="Arial"/>
                <w:sz w:val="24"/>
                <w:szCs w:val="24"/>
              </w:rPr>
            </w:pPr>
            <w:r w:rsidRPr="52F164E3">
              <w:rPr>
                <w:rFonts w:ascii="Arial" w:eastAsia="Times New Roman" w:hAnsi="Arial" w:cs="Arial"/>
                <w:sz w:val="24"/>
                <w:szCs w:val="24"/>
              </w:rPr>
              <w:t>43,517</w:t>
            </w:r>
          </w:p>
        </w:tc>
        <w:tc>
          <w:tcPr>
            <w:tcW w:w="11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664547" w:rsidRPr="003E11C2" w:rsidP="00664547" w14:paraId="339566B9" w14:textId="1D0BA28B">
            <w:pPr>
              <w:spacing w:after="0" w:line="240" w:lineRule="auto"/>
              <w:jc w:val="center"/>
              <w:textAlignment w:val="baseline"/>
              <w:rPr>
                <w:rFonts w:ascii="Segoe UI" w:eastAsia="Times New Roman" w:hAnsi="Segoe UI" w:cs="Segoe UI"/>
                <w:sz w:val="18"/>
                <w:szCs w:val="18"/>
              </w:rPr>
            </w:pPr>
            <w:r w:rsidRPr="52F164E3">
              <w:rPr>
                <w:rFonts w:ascii="Arial" w:eastAsia="Times New Roman" w:hAnsi="Arial" w:cs="Arial"/>
                <w:sz w:val="24"/>
                <w:szCs w:val="24"/>
              </w:rPr>
              <w:t>2</w:t>
            </w:r>
            <w:r w:rsidRPr="52F164E3" w:rsidR="33F05537">
              <w:rPr>
                <w:rFonts w:ascii="Arial" w:eastAsia="Times New Roman" w:hAnsi="Arial" w:cs="Arial"/>
                <w:sz w:val="24"/>
                <w:szCs w:val="24"/>
              </w:rPr>
              <w:t>17,583</w:t>
            </w:r>
            <w:r w:rsidRPr="52F164E3">
              <w:rPr>
                <w:rFonts w:ascii="Arial" w:eastAsia="Times New Roman" w:hAnsi="Arial" w:cs="Arial"/>
                <w:sz w:val="24"/>
                <w:szCs w:val="24"/>
              </w:rPr>
              <w:t> </w:t>
            </w:r>
          </w:p>
        </w:tc>
      </w:tr>
    </w:tbl>
    <w:p w:rsidR="007E623B" w:rsidRPr="008476A4" w:rsidP="007E623B" w14:paraId="3C086028" w14:textId="77777777">
      <w:pPr>
        <w:rPr>
          <w:rFonts w:ascii="Arial" w:hAnsi="Arial" w:cs="Arial"/>
        </w:rPr>
      </w:pPr>
      <w:r>
        <w:rPr>
          <w:rFonts w:ascii="Arial" w:hAnsi="Arial" w:cs="Arial"/>
        </w:rPr>
        <w:t xml:space="preserve">Note: </w:t>
      </w:r>
      <w:r w:rsidRPr="00B94051">
        <w:rPr>
          <w:rFonts w:ascii="Arial" w:hAnsi="Arial" w:cs="Arial"/>
        </w:rPr>
        <w:t>These numbers are subject to rounding error.  </w:t>
      </w:r>
    </w:p>
    <w:p w:rsidR="00E6104F" w:rsidRPr="00E17C2A" w:rsidP="00E6104F" w14:paraId="4E3BA8AD" w14:textId="77777777">
      <w:pPr>
        <w:contextualSpacing/>
        <w:rPr>
          <w:rFonts w:ascii="Arial" w:eastAsia="Arial Unicode MS" w:hAnsi="Arial" w:cs="Arial"/>
          <w:sz w:val="24"/>
          <w:szCs w:val="24"/>
        </w:rPr>
      </w:pPr>
    </w:p>
    <w:p w:rsidR="001419AC" w:rsidP="001419AC" w14:paraId="16A76E0A" w14:textId="1D966638">
      <w:pPr>
        <w:contextualSpacing/>
        <w:rPr>
          <w:rFonts w:ascii="Arial" w:eastAsia="Arial Unicode MS" w:hAnsi="Arial" w:cs="Arial"/>
          <w:sz w:val="24"/>
          <w:szCs w:val="24"/>
        </w:rPr>
      </w:pPr>
      <w:r w:rsidRPr="00A970AE">
        <w:rPr>
          <w:rFonts w:ascii="Arial" w:eastAsia="Arial Unicode MS" w:hAnsi="Arial" w:cs="Arial"/>
          <w:sz w:val="24"/>
          <w:szCs w:val="24"/>
          <w:u w:val="single"/>
        </w:rPr>
        <w:t>Explanation</w:t>
      </w:r>
      <w:r>
        <w:rPr>
          <w:rFonts w:ascii="Arial" w:eastAsia="Arial Unicode MS" w:hAnsi="Arial" w:cs="Arial"/>
          <w:sz w:val="24"/>
          <w:szCs w:val="24"/>
        </w:rPr>
        <w:t xml:space="preserve">: </w:t>
      </w:r>
      <w:r w:rsidRPr="00E17C2A">
        <w:rPr>
          <w:rFonts w:ascii="Arial" w:eastAsia="Arial Unicode MS" w:hAnsi="Arial" w:cs="Arial"/>
          <w:sz w:val="24"/>
          <w:szCs w:val="24"/>
        </w:rPr>
        <w:t>Foreign repair stations would be required to document an employee’s previous drug and alcohol testing records, training records, test records (records related to drug and alcohol collection process, test results, refusal to test, employee dispute records, substance abuse professional (SAP) reports, follow-up tests), and annual management information system (MIS) reports of testing statistics.</w:t>
      </w:r>
    </w:p>
    <w:p w:rsidR="00595FA0" w:rsidP="001419AC" w14:paraId="7EC63DAB" w14:textId="77777777">
      <w:pPr>
        <w:contextualSpacing/>
        <w:rPr>
          <w:rFonts w:ascii="Arial" w:eastAsia="Arial Unicode MS" w:hAnsi="Arial" w:cs="Arial"/>
          <w:sz w:val="24"/>
          <w:szCs w:val="24"/>
        </w:rPr>
      </w:pPr>
    </w:p>
    <w:p w:rsidR="00595FA0" w:rsidP="001419AC" w14:paraId="6603887E" w14:textId="5D518D65">
      <w:pPr>
        <w:contextualSpacing/>
        <w:rPr>
          <w:rFonts w:ascii="Arial" w:eastAsia="Arial Unicode MS" w:hAnsi="Arial" w:cs="Arial"/>
          <w:sz w:val="24"/>
          <w:szCs w:val="24"/>
        </w:rPr>
      </w:pPr>
      <w:r w:rsidRPr="52F164E3">
        <w:rPr>
          <w:rFonts w:ascii="Arial" w:eastAsia="Arial Unicode MS" w:hAnsi="Arial" w:cs="Arial"/>
          <w:sz w:val="24"/>
          <w:szCs w:val="24"/>
        </w:rPr>
        <w:t xml:space="preserve">In the first year there </w:t>
      </w:r>
      <w:r w:rsidRPr="52F164E3" w:rsidR="0016718A">
        <w:rPr>
          <w:rFonts w:ascii="Arial" w:eastAsia="Arial Unicode MS" w:hAnsi="Arial" w:cs="Arial"/>
          <w:sz w:val="24"/>
          <w:szCs w:val="24"/>
        </w:rPr>
        <w:t>w</w:t>
      </w:r>
      <w:r w:rsidRPr="52F164E3" w:rsidR="00EA69C6">
        <w:rPr>
          <w:rFonts w:ascii="Arial" w:eastAsia="Arial Unicode MS" w:hAnsi="Arial" w:cs="Arial"/>
          <w:sz w:val="24"/>
          <w:szCs w:val="24"/>
        </w:rPr>
        <w:t>ould</w:t>
      </w:r>
      <w:r w:rsidRPr="52F164E3" w:rsidR="0016718A">
        <w:rPr>
          <w:rFonts w:ascii="Arial" w:eastAsia="Arial Unicode MS" w:hAnsi="Arial" w:cs="Arial"/>
          <w:sz w:val="24"/>
          <w:szCs w:val="24"/>
        </w:rPr>
        <w:t xml:space="preserve"> be</w:t>
      </w:r>
      <w:r w:rsidRPr="52F164E3">
        <w:rPr>
          <w:rFonts w:ascii="Arial" w:eastAsia="Arial Unicode MS" w:hAnsi="Arial" w:cs="Arial"/>
          <w:sz w:val="24"/>
          <w:szCs w:val="24"/>
        </w:rPr>
        <w:t xml:space="preserve"> 4</w:t>
      </w:r>
      <w:r w:rsidRPr="52F164E3" w:rsidR="00C87421">
        <w:rPr>
          <w:rFonts w:ascii="Arial" w:eastAsia="Arial Unicode MS" w:hAnsi="Arial" w:cs="Arial"/>
          <w:sz w:val="24"/>
          <w:szCs w:val="24"/>
        </w:rPr>
        <w:t>16,186</w:t>
      </w:r>
      <w:r w:rsidRPr="52F164E3">
        <w:rPr>
          <w:rFonts w:ascii="Arial" w:eastAsia="Arial Unicode MS" w:hAnsi="Arial" w:cs="Arial"/>
          <w:sz w:val="24"/>
          <w:szCs w:val="24"/>
        </w:rPr>
        <w:t xml:space="preserve"> training record</w:t>
      </w:r>
      <w:r w:rsidRPr="52F164E3" w:rsidR="0016718A">
        <w:rPr>
          <w:rFonts w:ascii="Arial" w:eastAsia="Arial Unicode MS" w:hAnsi="Arial" w:cs="Arial"/>
          <w:sz w:val="24"/>
          <w:szCs w:val="24"/>
        </w:rPr>
        <w:t>s</w:t>
      </w:r>
      <w:r w:rsidRPr="52F164E3" w:rsidR="001321ED">
        <w:rPr>
          <w:rFonts w:ascii="Arial" w:eastAsia="Arial Unicode MS" w:hAnsi="Arial" w:cs="Arial"/>
          <w:sz w:val="24"/>
          <w:szCs w:val="24"/>
        </w:rPr>
        <w:t xml:space="preserve"> as all current employees and supervisors w</w:t>
      </w:r>
      <w:r w:rsidRPr="52F164E3" w:rsidR="00EA69C6">
        <w:rPr>
          <w:rFonts w:ascii="Arial" w:eastAsia="Arial Unicode MS" w:hAnsi="Arial" w:cs="Arial"/>
          <w:sz w:val="24"/>
          <w:szCs w:val="24"/>
        </w:rPr>
        <w:t>ould</w:t>
      </w:r>
      <w:r w:rsidRPr="52F164E3" w:rsidR="001321ED">
        <w:rPr>
          <w:rFonts w:ascii="Arial" w:eastAsia="Arial Unicode MS" w:hAnsi="Arial" w:cs="Arial"/>
          <w:sz w:val="24"/>
          <w:szCs w:val="24"/>
        </w:rPr>
        <w:t xml:space="preserve"> need to</w:t>
      </w:r>
      <w:r w:rsidRPr="52F164E3" w:rsidR="00625C54">
        <w:rPr>
          <w:rFonts w:ascii="Arial" w:eastAsia="Arial Unicode MS" w:hAnsi="Arial" w:cs="Arial"/>
          <w:sz w:val="24"/>
          <w:szCs w:val="24"/>
        </w:rPr>
        <w:t xml:space="preserve"> be trained. In the following year</w:t>
      </w:r>
      <w:r w:rsidRPr="52F164E3" w:rsidR="00B40361">
        <w:rPr>
          <w:rFonts w:ascii="Arial" w:eastAsia="Arial Unicode MS" w:hAnsi="Arial" w:cs="Arial"/>
          <w:sz w:val="24"/>
          <w:szCs w:val="24"/>
        </w:rPr>
        <w:t>s there w</w:t>
      </w:r>
      <w:r w:rsidRPr="52F164E3" w:rsidR="00EA69C6">
        <w:rPr>
          <w:rFonts w:ascii="Arial" w:eastAsia="Arial Unicode MS" w:hAnsi="Arial" w:cs="Arial"/>
          <w:sz w:val="24"/>
          <w:szCs w:val="24"/>
        </w:rPr>
        <w:t>ould</w:t>
      </w:r>
      <w:r w:rsidRPr="52F164E3" w:rsidR="00B40361">
        <w:rPr>
          <w:rFonts w:ascii="Arial" w:eastAsia="Arial Unicode MS" w:hAnsi="Arial" w:cs="Arial"/>
          <w:sz w:val="24"/>
          <w:szCs w:val="24"/>
        </w:rPr>
        <w:t xml:space="preserve"> be less training as only new employees w</w:t>
      </w:r>
      <w:r w:rsidRPr="52F164E3" w:rsidR="00EA69C6">
        <w:rPr>
          <w:rFonts w:ascii="Arial" w:eastAsia="Arial Unicode MS" w:hAnsi="Arial" w:cs="Arial"/>
          <w:sz w:val="24"/>
          <w:szCs w:val="24"/>
        </w:rPr>
        <w:t>ould</w:t>
      </w:r>
      <w:r w:rsidRPr="52F164E3" w:rsidR="00B40361">
        <w:rPr>
          <w:rFonts w:ascii="Arial" w:eastAsia="Arial Unicode MS" w:hAnsi="Arial" w:cs="Arial"/>
          <w:sz w:val="24"/>
          <w:szCs w:val="24"/>
        </w:rPr>
        <w:t xml:space="preserve"> be required to take the training</w:t>
      </w:r>
      <w:r w:rsidRPr="52F164E3" w:rsidR="00625C54">
        <w:rPr>
          <w:rFonts w:ascii="Arial" w:eastAsia="Arial Unicode MS" w:hAnsi="Arial" w:cs="Arial"/>
          <w:sz w:val="24"/>
          <w:szCs w:val="24"/>
        </w:rPr>
        <w:t xml:space="preserve"> and </w:t>
      </w:r>
      <w:r w:rsidRPr="52F164E3" w:rsidR="00B40361">
        <w:rPr>
          <w:rFonts w:ascii="Arial" w:eastAsia="Arial Unicode MS" w:hAnsi="Arial" w:cs="Arial"/>
          <w:sz w:val="24"/>
          <w:szCs w:val="24"/>
        </w:rPr>
        <w:t>any recurring training</w:t>
      </w:r>
      <w:r w:rsidRPr="52F164E3" w:rsidR="001321ED">
        <w:rPr>
          <w:rFonts w:ascii="Arial" w:eastAsia="Arial Unicode MS" w:hAnsi="Arial" w:cs="Arial"/>
          <w:sz w:val="24"/>
          <w:szCs w:val="24"/>
        </w:rPr>
        <w:t xml:space="preserve"> </w:t>
      </w:r>
      <w:r w:rsidRPr="52F164E3" w:rsidR="00B40361">
        <w:rPr>
          <w:rFonts w:ascii="Arial" w:eastAsia="Arial Unicode MS" w:hAnsi="Arial" w:cs="Arial"/>
          <w:sz w:val="24"/>
          <w:szCs w:val="24"/>
        </w:rPr>
        <w:t xml:space="preserve">that may be required. In years </w:t>
      </w:r>
      <w:r w:rsidRPr="52F164E3" w:rsidR="0012414B">
        <w:rPr>
          <w:rFonts w:ascii="Arial" w:eastAsia="Arial Unicode MS" w:hAnsi="Arial" w:cs="Arial"/>
          <w:sz w:val="24"/>
          <w:szCs w:val="24"/>
        </w:rPr>
        <w:t>two and three, respectively, there w</w:t>
      </w:r>
      <w:r w:rsidRPr="52F164E3" w:rsidR="00EA69C6">
        <w:rPr>
          <w:rFonts w:ascii="Arial" w:eastAsia="Arial Unicode MS" w:hAnsi="Arial" w:cs="Arial"/>
          <w:sz w:val="24"/>
          <w:szCs w:val="24"/>
        </w:rPr>
        <w:t>ould</w:t>
      </w:r>
      <w:r w:rsidRPr="52F164E3" w:rsidR="0012414B">
        <w:rPr>
          <w:rFonts w:ascii="Arial" w:eastAsia="Arial Unicode MS" w:hAnsi="Arial" w:cs="Arial"/>
          <w:sz w:val="24"/>
          <w:szCs w:val="24"/>
        </w:rPr>
        <w:t xml:space="preserve"> be </w:t>
      </w:r>
      <w:r w:rsidRPr="52F164E3" w:rsidR="00C87421">
        <w:rPr>
          <w:rFonts w:ascii="Arial" w:eastAsia="Arial Unicode MS" w:hAnsi="Arial" w:cs="Arial"/>
          <w:sz w:val="24"/>
          <w:szCs w:val="24"/>
        </w:rPr>
        <w:t>31,762</w:t>
      </w:r>
      <w:r w:rsidRPr="52F164E3" w:rsidR="00E629BB">
        <w:rPr>
          <w:rFonts w:ascii="Arial" w:eastAsia="Arial Unicode MS" w:hAnsi="Arial" w:cs="Arial"/>
          <w:sz w:val="24"/>
          <w:szCs w:val="24"/>
        </w:rPr>
        <w:t xml:space="preserve"> and </w:t>
      </w:r>
      <w:r w:rsidRPr="52F164E3" w:rsidR="00852E99">
        <w:rPr>
          <w:rFonts w:ascii="Arial" w:eastAsia="Arial Unicode MS" w:hAnsi="Arial" w:cs="Arial"/>
          <w:sz w:val="24"/>
          <w:szCs w:val="24"/>
        </w:rPr>
        <w:t>31,919</w:t>
      </w:r>
      <w:r w:rsidRPr="52F164E3" w:rsidR="00E629BB">
        <w:rPr>
          <w:rFonts w:ascii="Arial" w:eastAsia="Arial Unicode MS" w:hAnsi="Arial" w:cs="Arial"/>
          <w:sz w:val="24"/>
          <w:szCs w:val="24"/>
        </w:rPr>
        <w:t xml:space="preserve"> training records.</w:t>
      </w:r>
      <w:r w:rsidRPr="52F164E3" w:rsidR="0012414B">
        <w:rPr>
          <w:rFonts w:ascii="Arial" w:eastAsia="Arial Unicode MS" w:hAnsi="Arial" w:cs="Arial"/>
          <w:sz w:val="24"/>
          <w:szCs w:val="24"/>
        </w:rPr>
        <w:t xml:space="preserve"> Taking the average of these three years results in 1</w:t>
      </w:r>
      <w:r w:rsidRPr="52F164E3" w:rsidR="006409CD">
        <w:rPr>
          <w:rFonts w:ascii="Arial" w:eastAsia="Arial Unicode MS" w:hAnsi="Arial" w:cs="Arial"/>
          <w:sz w:val="24"/>
          <w:szCs w:val="24"/>
        </w:rPr>
        <w:t>59</w:t>
      </w:r>
      <w:r w:rsidRPr="52F164E3" w:rsidR="00EA4056">
        <w:rPr>
          <w:rFonts w:ascii="Arial" w:eastAsia="Arial Unicode MS" w:hAnsi="Arial" w:cs="Arial"/>
          <w:sz w:val="24"/>
          <w:szCs w:val="24"/>
        </w:rPr>
        <w:t>,956</w:t>
      </w:r>
      <w:r w:rsidRPr="52F164E3" w:rsidR="000F3885">
        <w:rPr>
          <w:rFonts w:ascii="Arial" w:eastAsia="Arial Unicode MS" w:hAnsi="Arial" w:cs="Arial"/>
          <w:sz w:val="24"/>
          <w:szCs w:val="24"/>
        </w:rPr>
        <w:t xml:space="preserve"> </w:t>
      </w:r>
      <w:r w:rsidRPr="52F164E3" w:rsidR="008627A5">
        <w:rPr>
          <w:rFonts w:ascii="Arial" w:eastAsia="Arial Unicode MS" w:hAnsi="Arial" w:cs="Arial"/>
          <w:sz w:val="24"/>
          <w:szCs w:val="24"/>
        </w:rPr>
        <w:t xml:space="preserve">total responses per year and </w:t>
      </w:r>
      <w:r w:rsidRPr="52F164E3" w:rsidR="008E7592">
        <w:rPr>
          <w:rFonts w:ascii="Arial" w:eastAsia="Arial Unicode MS" w:hAnsi="Arial" w:cs="Arial"/>
          <w:sz w:val="24"/>
          <w:szCs w:val="24"/>
        </w:rPr>
        <w:t>1</w:t>
      </w:r>
      <w:r w:rsidRPr="52F164E3" w:rsidR="00EA4056">
        <w:rPr>
          <w:rFonts w:ascii="Arial" w:eastAsia="Arial Unicode MS" w:hAnsi="Arial" w:cs="Arial"/>
          <w:sz w:val="24"/>
          <w:szCs w:val="24"/>
        </w:rPr>
        <w:t>64</w:t>
      </w:r>
      <w:r w:rsidRPr="52F164E3" w:rsidR="008E7592">
        <w:rPr>
          <w:rFonts w:ascii="Arial" w:eastAsia="Arial Unicode MS" w:hAnsi="Arial" w:cs="Arial"/>
          <w:sz w:val="24"/>
          <w:szCs w:val="24"/>
        </w:rPr>
        <w:t xml:space="preserve"> </w:t>
      </w:r>
      <w:r w:rsidRPr="52F164E3" w:rsidR="00241DD0">
        <w:rPr>
          <w:rFonts w:ascii="Arial" w:eastAsia="Arial Unicode MS" w:hAnsi="Arial" w:cs="Arial"/>
          <w:sz w:val="24"/>
          <w:szCs w:val="24"/>
        </w:rPr>
        <w:t>responses</w:t>
      </w:r>
      <w:r w:rsidRPr="52F164E3" w:rsidR="008E7592">
        <w:rPr>
          <w:rFonts w:ascii="Arial" w:eastAsia="Arial Unicode MS" w:hAnsi="Arial" w:cs="Arial"/>
          <w:sz w:val="24"/>
          <w:szCs w:val="24"/>
        </w:rPr>
        <w:t xml:space="preserve"> per respondent. </w:t>
      </w:r>
      <w:r w:rsidRPr="52F164E3" w:rsidR="00EA69C6">
        <w:rPr>
          <w:rFonts w:ascii="Arial" w:eastAsia="Arial Unicode MS" w:hAnsi="Arial" w:cs="Arial"/>
          <w:sz w:val="24"/>
          <w:szCs w:val="24"/>
        </w:rPr>
        <w:t>The FAA</w:t>
      </w:r>
      <w:r w:rsidRPr="52F164E3" w:rsidR="008E7592">
        <w:rPr>
          <w:rFonts w:ascii="Arial" w:eastAsia="Arial Unicode MS" w:hAnsi="Arial" w:cs="Arial"/>
          <w:sz w:val="24"/>
          <w:szCs w:val="24"/>
        </w:rPr>
        <w:t xml:space="preserve"> estimate</w:t>
      </w:r>
      <w:r w:rsidRPr="52F164E3" w:rsidR="00EA69C6">
        <w:rPr>
          <w:rFonts w:ascii="Arial" w:eastAsia="Arial Unicode MS" w:hAnsi="Arial" w:cs="Arial"/>
          <w:sz w:val="24"/>
          <w:szCs w:val="24"/>
        </w:rPr>
        <w:t>s</w:t>
      </w:r>
      <w:r w:rsidRPr="52F164E3" w:rsidR="008E7592">
        <w:rPr>
          <w:rFonts w:ascii="Arial" w:eastAsia="Arial Unicode MS" w:hAnsi="Arial" w:cs="Arial"/>
          <w:sz w:val="24"/>
          <w:szCs w:val="24"/>
        </w:rPr>
        <w:t xml:space="preserve"> that it w</w:t>
      </w:r>
      <w:r w:rsidRPr="52F164E3" w:rsidR="00EA69C6">
        <w:rPr>
          <w:rFonts w:ascii="Arial" w:eastAsia="Arial Unicode MS" w:hAnsi="Arial" w:cs="Arial"/>
          <w:sz w:val="24"/>
          <w:szCs w:val="24"/>
        </w:rPr>
        <w:t>ould</w:t>
      </w:r>
      <w:r w:rsidRPr="52F164E3" w:rsidR="008E7592">
        <w:rPr>
          <w:rFonts w:ascii="Arial" w:eastAsia="Arial Unicode MS" w:hAnsi="Arial" w:cs="Arial"/>
          <w:sz w:val="24"/>
          <w:szCs w:val="24"/>
        </w:rPr>
        <w:t xml:space="preserve"> take 0.25 hours per</w:t>
      </w:r>
      <w:r w:rsidRPr="52F164E3" w:rsidR="00241DD0">
        <w:rPr>
          <w:rFonts w:ascii="Arial" w:eastAsia="Arial Unicode MS" w:hAnsi="Arial" w:cs="Arial"/>
          <w:sz w:val="24"/>
          <w:szCs w:val="24"/>
        </w:rPr>
        <w:t xml:space="preserve"> response</w:t>
      </w:r>
      <w:r w:rsidRPr="52F164E3" w:rsidR="00A36057">
        <w:rPr>
          <w:rFonts w:ascii="Arial" w:eastAsia="Arial Unicode MS" w:hAnsi="Arial" w:cs="Arial"/>
          <w:sz w:val="24"/>
          <w:szCs w:val="24"/>
        </w:rPr>
        <w:t>.</w:t>
      </w:r>
    </w:p>
    <w:p w:rsidR="00304CC4" w:rsidP="001419AC" w14:paraId="5DC63792" w14:textId="77777777">
      <w:pPr>
        <w:contextualSpacing/>
        <w:rPr>
          <w:rFonts w:ascii="Arial" w:eastAsia="Arial Unicode MS" w:hAnsi="Arial" w:cs="Arial"/>
          <w:sz w:val="24"/>
          <w:szCs w:val="24"/>
        </w:rPr>
      </w:pPr>
    </w:p>
    <w:p w:rsidR="00304CC4" w:rsidRPr="00E17C2A" w:rsidP="001419AC" w14:paraId="1226D009" w14:textId="51772A7C">
      <w:pPr>
        <w:contextualSpacing/>
        <w:rPr>
          <w:rFonts w:ascii="Arial" w:eastAsia="Arial Unicode MS" w:hAnsi="Arial" w:cs="Arial"/>
          <w:sz w:val="24"/>
          <w:szCs w:val="24"/>
        </w:rPr>
      </w:pPr>
      <w:r w:rsidRPr="52F164E3">
        <w:rPr>
          <w:rFonts w:ascii="Arial" w:eastAsia="Arial Unicode MS" w:hAnsi="Arial" w:cs="Arial"/>
          <w:sz w:val="24"/>
          <w:szCs w:val="24"/>
        </w:rPr>
        <w:t>For test records, in the first year there w</w:t>
      </w:r>
      <w:r w:rsidRPr="52F164E3" w:rsidR="00EA69C6">
        <w:rPr>
          <w:rFonts w:ascii="Arial" w:eastAsia="Arial Unicode MS" w:hAnsi="Arial" w:cs="Arial"/>
          <w:sz w:val="24"/>
          <w:szCs w:val="24"/>
        </w:rPr>
        <w:t>ould</w:t>
      </w:r>
      <w:r w:rsidRPr="52F164E3">
        <w:rPr>
          <w:rFonts w:ascii="Arial" w:eastAsia="Arial Unicode MS" w:hAnsi="Arial" w:cs="Arial"/>
          <w:sz w:val="24"/>
          <w:szCs w:val="24"/>
        </w:rPr>
        <w:t xml:space="preserve"> be no </w:t>
      </w:r>
      <w:r w:rsidRPr="52F164E3" w:rsidR="00FF4644">
        <w:rPr>
          <w:rFonts w:ascii="Arial" w:eastAsia="Arial Unicode MS" w:hAnsi="Arial" w:cs="Arial"/>
          <w:sz w:val="24"/>
          <w:szCs w:val="24"/>
        </w:rPr>
        <w:t>test records to report. In the second and third year there w</w:t>
      </w:r>
      <w:r w:rsidRPr="52F164E3" w:rsidR="00EA69C6">
        <w:rPr>
          <w:rFonts w:ascii="Arial" w:eastAsia="Arial Unicode MS" w:hAnsi="Arial" w:cs="Arial"/>
          <w:sz w:val="24"/>
          <w:szCs w:val="24"/>
        </w:rPr>
        <w:t>ould</w:t>
      </w:r>
      <w:r w:rsidRPr="52F164E3" w:rsidR="00FF4644">
        <w:rPr>
          <w:rFonts w:ascii="Arial" w:eastAsia="Arial Unicode MS" w:hAnsi="Arial" w:cs="Arial"/>
          <w:sz w:val="24"/>
          <w:szCs w:val="24"/>
        </w:rPr>
        <w:t xml:space="preserve"> be </w:t>
      </w:r>
      <w:r w:rsidRPr="52F164E3" w:rsidR="00842201">
        <w:rPr>
          <w:rFonts w:ascii="Arial" w:eastAsia="Arial Unicode MS" w:hAnsi="Arial" w:cs="Arial"/>
          <w:sz w:val="24"/>
          <w:szCs w:val="24"/>
        </w:rPr>
        <w:t>65,114</w:t>
      </w:r>
      <w:r w:rsidRPr="52F164E3" w:rsidR="004428B2">
        <w:rPr>
          <w:rFonts w:ascii="Arial" w:eastAsia="Arial Unicode MS" w:hAnsi="Arial" w:cs="Arial"/>
          <w:sz w:val="24"/>
          <w:szCs w:val="24"/>
        </w:rPr>
        <w:t xml:space="preserve"> and </w:t>
      </w:r>
      <w:r w:rsidRPr="52F164E3" w:rsidR="00A51B30">
        <w:rPr>
          <w:rFonts w:ascii="Arial" w:eastAsia="Arial Unicode MS" w:hAnsi="Arial" w:cs="Arial"/>
          <w:sz w:val="24"/>
          <w:szCs w:val="24"/>
        </w:rPr>
        <w:t>65,436</w:t>
      </w:r>
      <w:r w:rsidRPr="52F164E3" w:rsidR="004428B2">
        <w:rPr>
          <w:rFonts w:ascii="Arial" w:eastAsia="Arial Unicode MS" w:hAnsi="Arial" w:cs="Arial"/>
          <w:sz w:val="24"/>
          <w:szCs w:val="24"/>
        </w:rPr>
        <w:t>, respectively. The average over the three years</w:t>
      </w:r>
      <w:r w:rsidRPr="52F164E3" w:rsidR="0028795A">
        <w:rPr>
          <w:rFonts w:ascii="Arial" w:eastAsia="Arial Unicode MS" w:hAnsi="Arial" w:cs="Arial"/>
          <w:sz w:val="24"/>
          <w:szCs w:val="24"/>
        </w:rPr>
        <w:t xml:space="preserve"> is </w:t>
      </w:r>
      <w:r w:rsidRPr="52F164E3" w:rsidR="00930517">
        <w:rPr>
          <w:rFonts w:ascii="Arial" w:eastAsia="Arial Unicode MS" w:hAnsi="Arial" w:cs="Arial"/>
          <w:sz w:val="24"/>
          <w:szCs w:val="24"/>
        </w:rPr>
        <w:t>43,</w:t>
      </w:r>
      <w:r w:rsidRPr="52F164E3" w:rsidR="009A278C">
        <w:rPr>
          <w:rFonts w:ascii="Arial" w:eastAsia="Arial Unicode MS" w:hAnsi="Arial" w:cs="Arial"/>
          <w:sz w:val="24"/>
          <w:szCs w:val="24"/>
        </w:rPr>
        <w:t>517</w:t>
      </w:r>
      <w:r w:rsidRPr="52F164E3" w:rsidR="0028795A">
        <w:rPr>
          <w:rFonts w:ascii="Arial" w:eastAsia="Arial Unicode MS" w:hAnsi="Arial" w:cs="Arial"/>
          <w:sz w:val="24"/>
          <w:szCs w:val="24"/>
        </w:rPr>
        <w:t xml:space="preserve"> and </w:t>
      </w:r>
      <w:r w:rsidRPr="52F164E3" w:rsidR="009A278C">
        <w:rPr>
          <w:rFonts w:ascii="Arial" w:eastAsia="Arial Unicode MS" w:hAnsi="Arial" w:cs="Arial"/>
          <w:sz w:val="24"/>
          <w:szCs w:val="24"/>
        </w:rPr>
        <w:t>4</w:t>
      </w:r>
      <w:r w:rsidRPr="52F164E3" w:rsidR="0028795A">
        <w:rPr>
          <w:rFonts w:ascii="Arial" w:eastAsia="Arial Unicode MS" w:hAnsi="Arial" w:cs="Arial"/>
          <w:sz w:val="24"/>
          <w:szCs w:val="24"/>
        </w:rPr>
        <w:t xml:space="preserve">5 responses per respondent. </w:t>
      </w:r>
      <w:r w:rsidRPr="52F164E3" w:rsidR="00EA69C6">
        <w:rPr>
          <w:rFonts w:ascii="Arial" w:eastAsia="Arial Unicode MS" w:hAnsi="Arial" w:cs="Arial"/>
          <w:sz w:val="24"/>
          <w:szCs w:val="24"/>
        </w:rPr>
        <w:t xml:space="preserve">The FAA </w:t>
      </w:r>
      <w:r w:rsidRPr="52F164E3" w:rsidR="0028795A">
        <w:rPr>
          <w:rFonts w:ascii="Arial" w:eastAsia="Arial Unicode MS" w:hAnsi="Arial" w:cs="Arial"/>
          <w:sz w:val="24"/>
          <w:szCs w:val="24"/>
        </w:rPr>
        <w:t>estimate</w:t>
      </w:r>
      <w:r w:rsidRPr="52F164E3" w:rsidR="00EA69C6">
        <w:rPr>
          <w:rFonts w:ascii="Arial" w:eastAsia="Arial Unicode MS" w:hAnsi="Arial" w:cs="Arial"/>
          <w:sz w:val="24"/>
          <w:szCs w:val="24"/>
        </w:rPr>
        <w:t>s that</w:t>
      </w:r>
      <w:r w:rsidRPr="52F164E3" w:rsidR="0028795A">
        <w:rPr>
          <w:rFonts w:ascii="Arial" w:eastAsia="Arial Unicode MS" w:hAnsi="Arial" w:cs="Arial"/>
          <w:sz w:val="24"/>
          <w:szCs w:val="24"/>
        </w:rPr>
        <w:t xml:space="preserve"> it w</w:t>
      </w:r>
      <w:r w:rsidRPr="52F164E3" w:rsidR="00A93911">
        <w:rPr>
          <w:rFonts w:ascii="Arial" w:eastAsia="Arial Unicode MS" w:hAnsi="Arial" w:cs="Arial"/>
          <w:sz w:val="24"/>
          <w:szCs w:val="24"/>
        </w:rPr>
        <w:t>ould</w:t>
      </w:r>
      <w:r w:rsidRPr="52F164E3" w:rsidR="0028795A">
        <w:rPr>
          <w:rFonts w:ascii="Arial" w:eastAsia="Arial Unicode MS" w:hAnsi="Arial" w:cs="Arial"/>
          <w:sz w:val="24"/>
          <w:szCs w:val="24"/>
        </w:rPr>
        <w:t xml:space="preserve"> </w:t>
      </w:r>
      <w:r w:rsidRPr="52F164E3" w:rsidR="00E761E4">
        <w:rPr>
          <w:rFonts w:ascii="Arial" w:eastAsia="Arial Unicode MS" w:hAnsi="Arial" w:cs="Arial"/>
          <w:sz w:val="24"/>
          <w:szCs w:val="24"/>
        </w:rPr>
        <w:t>take five hours per response.</w:t>
      </w:r>
    </w:p>
    <w:p w:rsidR="00211380" w:rsidP="001419AC" w14:paraId="4A536EAE" w14:textId="77777777">
      <w:pPr>
        <w:contextualSpacing/>
        <w:rPr>
          <w:rFonts w:ascii="Arial" w:eastAsia="Arial Unicode MS" w:hAnsi="Arial" w:cs="Arial"/>
          <w:sz w:val="24"/>
          <w:szCs w:val="24"/>
        </w:rPr>
      </w:pPr>
    </w:p>
    <w:p w:rsidR="00211380" w:rsidRPr="000355A6" w:rsidP="000355A6" w14:paraId="2F20B93A" w14:textId="249B24DF">
      <w:pPr>
        <w:shd w:val="clear" w:color="auto" w:fill="FFFFFF" w:themeFill="background1"/>
        <w:spacing w:after="0" w:line="240" w:lineRule="auto"/>
        <w:rPr>
          <w:rFonts w:ascii="Arial" w:eastAsia="Times New Roman" w:hAnsi="Arial" w:cs="Arial"/>
          <w:b/>
          <w:bCs/>
          <w:sz w:val="24"/>
          <w:szCs w:val="24"/>
        </w:rPr>
      </w:pPr>
      <w:r w:rsidRPr="52F164E3">
        <w:rPr>
          <w:rFonts w:ascii="Arial" w:eastAsia="Times New Roman" w:hAnsi="Arial" w:cs="Arial"/>
          <w:b/>
          <w:bCs/>
          <w:sz w:val="24"/>
          <w:szCs w:val="24"/>
        </w:rPr>
        <w:t xml:space="preserve">Alternative </w:t>
      </w:r>
      <w:r w:rsidRPr="52F164E3" w:rsidR="00306F4F">
        <w:rPr>
          <w:rFonts w:ascii="Arial" w:eastAsia="Times New Roman" w:hAnsi="Arial" w:cs="Arial"/>
          <w:b/>
          <w:bCs/>
          <w:sz w:val="24"/>
          <w:szCs w:val="24"/>
        </w:rPr>
        <w:t>M</w:t>
      </w:r>
      <w:r w:rsidRPr="52F164E3" w:rsidR="000E2332">
        <w:rPr>
          <w:rFonts w:ascii="Arial" w:eastAsia="Times New Roman" w:hAnsi="Arial" w:cs="Arial"/>
          <w:b/>
          <w:bCs/>
          <w:sz w:val="24"/>
          <w:szCs w:val="24"/>
        </w:rPr>
        <w:t>eans</w:t>
      </w:r>
      <w:r w:rsidRPr="52F164E3">
        <w:rPr>
          <w:rFonts w:ascii="Arial" w:eastAsia="Times New Roman" w:hAnsi="Arial" w:cs="Arial"/>
          <w:b/>
          <w:bCs/>
          <w:sz w:val="24"/>
          <w:szCs w:val="24"/>
        </w:rPr>
        <w:t xml:space="preserve"> of Compliance (Low-Cost Case)</w:t>
      </w:r>
    </w:p>
    <w:tbl>
      <w:tblPr>
        <w:tblW w:w="8900" w:type="dxa"/>
        <w:tblCellMar>
          <w:left w:w="0" w:type="dxa"/>
          <w:right w:w="0" w:type="dxa"/>
        </w:tblCellMar>
        <w:tblLook w:val="04A0"/>
      </w:tblPr>
      <w:tblGrid>
        <w:gridCol w:w="3410"/>
        <w:gridCol w:w="1800"/>
        <w:gridCol w:w="2010"/>
        <w:gridCol w:w="1680"/>
      </w:tblGrid>
      <w:tr w14:paraId="6E927D5B" w14:textId="77777777" w:rsidTr="52F164E3">
        <w:tblPrEx>
          <w:tblW w:w="8900" w:type="dxa"/>
          <w:tblCellMar>
            <w:left w:w="0" w:type="dxa"/>
            <w:right w:w="0" w:type="dxa"/>
          </w:tblCellMar>
          <w:tblLook w:val="04A0"/>
        </w:tblPrEx>
        <w:trPr>
          <w:trHeight w:val="630"/>
        </w:trPr>
        <w:tc>
          <w:tcPr>
            <w:tcW w:w="34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156EB439" w14:textId="77777777">
            <w:pPr>
              <w:rPr>
                <w:rFonts w:ascii="Arial" w:hAnsi="Arial" w:cs="Arial"/>
                <w:sz w:val="24"/>
                <w:szCs w:val="24"/>
              </w:rPr>
            </w:pPr>
            <w:r w:rsidRPr="52F164E3">
              <w:rPr>
                <w:rFonts w:ascii="Arial" w:hAnsi="Arial" w:cs="Arial"/>
                <w:sz w:val="24"/>
                <w:szCs w:val="24"/>
              </w:rPr>
              <w:t> Summary (Annual numbers)</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5304B37E" w14:textId="77777777">
            <w:pPr>
              <w:rPr>
                <w:rFonts w:ascii="Arial" w:hAnsi="Arial" w:cs="Arial"/>
                <w:b/>
                <w:bCs/>
                <w:sz w:val="24"/>
                <w:szCs w:val="24"/>
              </w:rPr>
            </w:pPr>
            <w:r w:rsidRPr="52F164E3">
              <w:rPr>
                <w:rFonts w:ascii="Arial" w:hAnsi="Arial" w:cs="Arial"/>
                <w:b/>
                <w:bCs/>
                <w:sz w:val="24"/>
                <w:szCs w:val="24"/>
              </w:rPr>
              <w:t>Reporting</w:t>
            </w:r>
          </w:p>
        </w:tc>
        <w:tc>
          <w:tcPr>
            <w:tcW w:w="2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7666B8DE" w14:textId="77777777">
            <w:pPr>
              <w:rPr>
                <w:rFonts w:ascii="Arial" w:hAnsi="Arial" w:cs="Arial"/>
                <w:b/>
                <w:bCs/>
                <w:sz w:val="24"/>
                <w:szCs w:val="24"/>
              </w:rPr>
            </w:pPr>
            <w:r w:rsidRPr="52F164E3">
              <w:rPr>
                <w:rFonts w:ascii="Arial" w:hAnsi="Arial" w:cs="Arial"/>
                <w:b/>
                <w:bCs/>
                <w:sz w:val="24"/>
                <w:szCs w:val="24"/>
              </w:rPr>
              <w:t>Recordkeeping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11380" w:rsidRPr="00CC2F5E" w14:paraId="5DCF2385" w14:textId="77777777">
            <w:pPr>
              <w:rPr>
                <w:rFonts w:ascii="Arial" w:hAnsi="Arial" w:cs="Arial"/>
                <w:b/>
                <w:bCs/>
                <w:sz w:val="24"/>
                <w:szCs w:val="24"/>
              </w:rPr>
            </w:pPr>
            <w:r w:rsidRPr="52F164E3">
              <w:rPr>
                <w:rFonts w:ascii="Arial" w:hAnsi="Arial" w:cs="Arial"/>
                <w:b/>
                <w:bCs/>
                <w:sz w:val="24"/>
                <w:szCs w:val="24"/>
              </w:rPr>
              <w:t>Disclosure</w:t>
            </w:r>
          </w:p>
        </w:tc>
      </w:tr>
      <w:tr w14:paraId="228F67B0" w14:textId="77777777" w:rsidTr="52F164E3">
        <w:tblPrEx>
          <w:tblW w:w="8900" w:type="dxa"/>
          <w:tblCellMar>
            <w:left w:w="0" w:type="dxa"/>
            <w:right w:w="0" w:type="dxa"/>
          </w:tblCellMar>
          <w:tblLook w:val="04A0"/>
        </w:tblPrEx>
        <w:trPr>
          <w:trHeight w:val="465"/>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04DFF650" w14:textId="77777777">
            <w:pPr>
              <w:rPr>
                <w:rFonts w:ascii="Arial" w:hAnsi="Arial" w:cs="Arial"/>
                <w:b/>
                <w:bCs/>
                <w:sz w:val="24"/>
                <w:szCs w:val="24"/>
              </w:rPr>
            </w:pPr>
            <w:r w:rsidRPr="52F164E3">
              <w:rPr>
                <w:rFonts w:ascii="Arial" w:hAnsi="Arial" w:cs="Arial"/>
                <w:b/>
                <w:bCs/>
                <w:sz w:val="24"/>
                <w:szCs w:val="24"/>
              </w:rPr>
              <w:t># of Respondents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1EF8FE0E" w14:textId="5D02FB00">
            <w:pPr>
              <w:rPr>
                <w:rFonts w:ascii="Arial" w:hAnsi="Arial" w:cs="Arial"/>
                <w:sz w:val="24"/>
                <w:szCs w:val="24"/>
              </w:rPr>
            </w:pPr>
            <w:r w:rsidRPr="52F164E3">
              <w:rPr>
                <w:rFonts w:ascii="Arial" w:hAnsi="Arial" w:cs="Arial"/>
                <w:sz w:val="24"/>
                <w:szCs w:val="24"/>
              </w:rPr>
              <w:t>33</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51373241" w14:textId="7341C6DE">
            <w:pPr>
              <w:rPr>
                <w:rFonts w:ascii="Arial" w:hAnsi="Arial" w:cs="Arial"/>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211380" w:rsidRPr="00CC2F5E" w14:paraId="4D8FD947" w14:textId="77777777">
            <w:pPr>
              <w:rPr>
                <w:rFonts w:ascii="Arial" w:hAnsi="Arial" w:cs="Arial"/>
                <w:sz w:val="24"/>
                <w:szCs w:val="24"/>
              </w:rPr>
            </w:pPr>
          </w:p>
        </w:tc>
      </w:tr>
      <w:tr w14:paraId="3DA2B179" w14:textId="77777777" w:rsidTr="52F164E3">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72899E2E" w14:textId="77777777">
            <w:pPr>
              <w:rPr>
                <w:rFonts w:ascii="Arial" w:hAnsi="Arial" w:cs="Arial"/>
                <w:b/>
                <w:bCs/>
                <w:sz w:val="24"/>
                <w:szCs w:val="24"/>
              </w:rPr>
            </w:pPr>
            <w:r w:rsidRPr="52F164E3">
              <w:rPr>
                <w:rFonts w:ascii="Arial" w:hAnsi="Arial" w:cs="Arial"/>
                <w:b/>
                <w:bCs/>
                <w:sz w:val="24"/>
                <w:szCs w:val="24"/>
              </w:rPr>
              <w:t># of Responses per respondent</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24864359" w14:textId="77777777">
            <w:pPr>
              <w:rPr>
                <w:rFonts w:ascii="Arial" w:hAnsi="Arial" w:cs="Arial"/>
                <w:sz w:val="24"/>
                <w:szCs w:val="24"/>
              </w:rPr>
            </w:pPr>
            <w:r w:rsidRPr="52F164E3">
              <w:rPr>
                <w:rFonts w:ascii="Arial" w:hAnsi="Arial" w:cs="Arial"/>
                <w:sz w:val="24"/>
                <w:szCs w:val="24"/>
              </w:rPr>
              <w:t>1</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4DD271E4" w14:textId="67079037">
            <w:pPr>
              <w:rPr>
                <w:rFonts w:ascii="Arial" w:hAnsi="Arial" w:cs="Arial"/>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211380" w:rsidRPr="00CC2F5E" w14:paraId="1D681963" w14:textId="77777777">
            <w:pPr>
              <w:rPr>
                <w:rFonts w:ascii="Arial" w:hAnsi="Arial" w:cs="Arial"/>
                <w:sz w:val="24"/>
                <w:szCs w:val="24"/>
              </w:rPr>
            </w:pPr>
          </w:p>
        </w:tc>
      </w:tr>
      <w:tr w14:paraId="108801DB" w14:textId="77777777" w:rsidTr="52F164E3">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257F45E0" w14:textId="77777777">
            <w:pPr>
              <w:rPr>
                <w:rFonts w:ascii="Arial" w:hAnsi="Arial" w:cs="Arial"/>
                <w:b/>
                <w:bCs/>
                <w:sz w:val="24"/>
                <w:szCs w:val="24"/>
              </w:rPr>
            </w:pPr>
            <w:r w:rsidRPr="52F164E3">
              <w:rPr>
                <w:rFonts w:ascii="Arial" w:hAnsi="Arial" w:cs="Arial"/>
                <w:b/>
                <w:bCs/>
                <w:sz w:val="24"/>
                <w:szCs w:val="24"/>
              </w:rPr>
              <w:t>Time per Response</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1EA870D4" w14:textId="25B2BCE5">
            <w:pPr>
              <w:rPr>
                <w:rFonts w:ascii="Arial" w:hAnsi="Arial" w:cs="Arial"/>
                <w:sz w:val="24"/>
                <w:szCs w:val="24"/>
              </w:rPr>
            </w:pPr>
            <w:r w:rsidRPr="52F164E3">
              <w:rPr>
                <w:rFonts w:ascii="Arial" w:hAnsi="Arial" w:cs="Arial"/>
                <w:sz w:val="24"/>
                <w:szCs w:val="24"/>
              </w:rPr>
              <w:t>20</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3EFD2F4F" w14:textId="2E8AACB5">
            <w:pPr>
              <w:rPr>
                <w:rFonts w:ascii="Arial" w:hAnsi="Arial" w:cs="Arial"/>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211380" w:rsidRPr="00CC2F5E" w14:paraId="120CCFAE" w14:textId="77777777">
            <w:pPr>
              <w:rPr>
                <w:rFonts w:ascii="Arial" w:hAnsi="Arial" w:cs="Arial"/>
                <w:sz w:val="24"/>
                <w:szCs w:val="24"/>
              </w:rPr>
            </w:pPr>
          </w:p>
        </w:tc>
      </w:tr>
      <w:tr w14:paraId="3FC5D9BF" w14:textId="77777777" w:rsidTr="52F164E3">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4CBBF883" w14:textId="77777777">
            <w:pPr>
              <w:rPr>
                <w:rFonts w:ascii="Arial" w:hAnsi="Arial" w:cs="Arial"/>
                <w:b/>
                <w:bCs/>
                <w:sz w:val="24"/>
                <w:szCs w:val="24"/>
              </w:rPr>
            </w:pPr>
            <w:r w:rsidRPr="52F164E3">
              <w:rPr>
                <w:rFonts w:ascii="Arial" w:hAnsi="Arial" w:cs="Arial"/>
                <w:b/>
                <w:bCs/>
                <w:sz w:val="24"/>
                <w:szCs w:val="24"/>
              </w:rPr>
              <w:t>Total # of responses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62399E24" w14:textId="5EAD3F56">
            <w:pPr>
              <w:rPr>
                <w:rFonts w:ascii="Arial" w:hAnsi="Arial" w:cs="Arial"/>
                <w:sz w:val="24"/>
                <w:szCs w:val="24"/>
              </w:rPr>
            </w:pPr>
            <w:r w:rsidRPr="52F164E3">
              <w:rPr>
                <w:rFonts w:ascii="Arial" w:hAnsi="Arial" w:cs="Arial"/>
                <w:sz w:val="24"/>
                <w:szCs w:val="24"/>
              </w:rPr>
              <w:t>33</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5774C223" w14:textId="2DABD182">
            <w:pPr>
              <w:rPr>
                <w:rFonts w:ascii="Arial" w:hAnsi="Arial" w:cs="Arial"/>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211380" w:rsidRPr="00CC2F5E" w14:paraId="3548AA9B" w14:textId="77777777">
            <w:pPr>
              <w:rPr>
                <w:rFonts w:ascii="Arial" w:hAnsi="Arial" w:cs="Arial"/>
                <w:sz w:val="24"/>
                <w:szCs w:val="24"/>
              </w:rPr>
            </w:pPr>
          </w:p>
        </w:tc>
      </w:tr>
      <w:tr w14:paraId="77C7A9B1" w14:textId="77777777" w:rsidTr="52F164E3">
        <w:tblPrEx>
          <w:tblW w:w="8900" w:type="dxa"/>
          <w:tblCellMar>
            <w:left w:w="0" w:type="dxa"/>
            <w:right w:w="0" w:type="dxa"/>
          </w:tblCellMar>
          <w:tblLook w:val="04A0"/>
        </w:tblPrEx>
        <w:trPr>
          <w:trHeight w:val="330"/>
        </w:trPr>
        <w:tc>
          <w:tcPr>
            <w:tcW w:w="34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11380" w:rsidRPr="00CC2F5E" w14:paraId="243F3B45" w14:textId="77777777">
            <w:pPr>
              <w:rPr>
                <w:rFonts w:ascii="Arial" w:hAnsi="Arial" w:cs="Arial"/>
                <w:b/>
                <w:bCs/>
                <w:sz w:val="24"/>
                <w:szCs w:val="24"/>
              </w:rPr>
            </w:pPr>
            <w:r w:rsidRPr="52F164E3">
              <w:rPr>
                <w:rFonts w:ascii="Arial" w:hAnsi="Arial" w:cs="Arial"/>
                <w:b/>
                <w:bCs/>
                <w:sz w:val="24"/>
                <w:szCs w:val="24"/>
              </w:rPr>
              <w:t>Total burden (hours)</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28D19977" w14:textId="31C5DA01">
            <w:pPr>
              <w:rPr>
                <w:rFonts w:ascii="Arial" w:hAnsi="Arial" w:cs="Arial"/>
                <w:sz w:val="24"/>
                <w:szCs w:val="24"/>
              </w:rPr>
            </w:pPr>
            <w:r w:rsidRPr="52F164E3">
              <w:rPr>
                <w:rFonts w:ascii="Arial" w:hAnsi="Arial" w:cs="Arial"/>
                <w:sz w:val="24"/>
                <w:szCs w:val="24"/>
              </w:rPr>
              <w:t>660</w:t>
            </w:r>
          </w:p>
        </w:tc>
        <w:tc>
          <w:tcPr>
            <w:tcW w:w="2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11380" w:rsidRPr="00CC2F5E" w14:paraId="0BF92414" w14:textId="23FD3F9E">
            <w:pPr>
              <w:rPr>
                <w:rFonts w:ascii="Arial" w:hAnsi="Arial" w:cs="Arial"/>
                <w:sz w:val="24"/>
                <w:szCs w:val="24"/>
              </w:rPr>
            </w:pPr>
          </w:p>
        </w:tc>
        <w:tc>
          <w:tcPr>
            <w:tcW w:w="1680" w:type="dxa"/>
            <w:tcBorders>
              <w:top w:val="nil"/>
              <w:left w:val="nil"/>
              <w:bottom w:val="single" w:sz="8" w:space="0" w:color="auto"/>
              <w:right w:val="single" w:sz="8" w:space="0" w:color="auto"/>
            </w:tcBorders>
            <w:tcMar>
              <w:top w:w="0" w:type="dxa"/>
              <w:left w:w="108" w:type="dxa"/>
              <w:bottom w:w="0" w:type="dxa"/>
              <w:right w:w="108" w:type="dxa"/>
            </w:tcMar>
          </w:tcPr>
          <w:p w:rsidR="00211380" w:rsidRPr="00CC2F5E" w14:paraId="6FE9CF6E" w14:textId="77777777">
            <w:pPr>
              <w:rPr>
                <w:rFonts w:ascii="Arial" w:hAnsi="Arial" w:cs="Arial"/>
                <w:sz w:val="24"/>
                <w:szCs w:val="24"/>
              </w:rPr>
            </w:pPr>
          </w:p>
        </w:tc>
      </w:tr>
    </w:tbl>
    <w:p w:rsidR="00211380" w:rsidP="00211380" w14:paraId="41C5D985" w14:textId="6265617E">
      <w:pPr>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 xml:space="preserve">:  Each respondent must </w:t>
      </w:r>
      <w:r w:rsidRPr="52F164E3" w:rsidR="000D1C18">
        <w:rPr>
          <w:rFonts w:ascii="Arial" w:hAnsi="Arial" w:cs="Arial"/>
          <w:sz w:val="24"/>
          <w:szCs w:val="24"/>
        </w:rPr>
        <w:t>submit</w:t>
      </w:r>
      <w:r w:rsidRPr="52F164E3">
        <w:rPr>
          <w:rFonts w:ascii="Arial" w:hAnsi="Arial" w:cs="Arial"/>
          <w:sz w:val="24"/>
          <w:szCs w:val="24"/>
        </w:rPr>
        <w:t xml:space="preserve"> </w:t>
      </w:r>
      <w:r w:rsidRPr="52F164E3" w:rsidR="000D1C18">
        <w:rPr>
          <w:rFonts w:ascii="Arial" w:hAnsi="Arial" w:cs="Arial"/>
          <w:sz w:val="24"/>
          <w:szCs w:val="24"/>
        </w:rPr>
        <w:t xml:space="preserve">a request </w:t>
      </w:r>
      <w:r w:rsidRPr="52F164E3" w:rsidR="007A5492">
        <w:rPr>
          <w:rFonts w:ascii="Arial" w:hAnsi="Arial" w:cs="Arial"/>
          <w:sz w:val="24"/>
          <w:szCs w:val="24"/>
        </w:rPr>
        <w:t>demonstrating</w:t>
      </w:r>
      <w:r w:rsidRPr="52F164E3" w:rsidR="00CE37E6">
        <w:rPr>
          <w:rFonts w:ascii="Arial" w:hAnsi="Arial" w:cs="Arial"/>
          <w:sz w:val="24"/>
          <w:szCs w:val="24"/>
        </w:rPr>
        <w:t xml:space="preserve"> </w:t>
      </w:r>
      <w:r w:rsidRPr="52F164E3" w:rsidR="00797B24">
        <w:rPr>
          <w:rFonts w:ascii="Arial" w:hAnsi="Arial" w:cs="Arial"/>
          <w:sz w:val="24"/>
          <w:szCs w:val="24"/>
        </w:rPr>
        <w:t xml:space="preserve">that repair stations </w:t>
      </w:r>
      <w:r w:rsidRPr="52F164E3" w:rsidR="007315EC">
        <w:rPr>
          <w:rFonts w:ascii="Arial" w:hAnsi="Arial" w:cs="Arial"/>
          <w:sz w:val="24"/>
          <w:szCs w:val="24"/>
        </w:rPr>
        <w:t xml:space="preserve">within their territories </w:t>
      </w:r>
      <w:r w:rsidRPr="52F164E3" w:rsidR="0083151D">
        <w:rPr>
          <w:rFonts w:ascii="Arial" w:hAnsi="Arial" w:cs="Arial"/>
          <w:sz w:val="24"/>
          <w:szCs w:val="24"/>
        </w:rPr>
        <w:t xml:space="preserve">comply with the </w:t>
      </w:r>
      <w:r w:rsidRPr="52F164E3" w:rsidR="000E2332">
        <w:rPr>
          <w:rFonts w:ascii="Arial" w:hAnsi="Arial" w:cs="Arial"/>
          <w:sz w:val="24"/>
          <w:szCs w:val="24"/>
        </w:rPr>
        <w:t>alternative means of compliance</w:t>
      </w:r>
      <w:r w:rsidRPr="52F164E3">
        <w:rPr>
          <w:rFonts w:ascii="Arial" w:hAnsi="Arial" w:cs="Arial"/>
          <w:sz w:val="24"/>
          <w:szCs w:val="24"/>
        </w:rPr>
        <w:t xml:space="preserve"> to the </w:t>
      </w:r>
      <w:r w:rsidRPr="52F164E3" w:rsidR="00436CE7">
        <w:rPr>
          <w:rFonts w:ascii="Arial" w:hAnsi="Arial" w:cs="Arial"/>
          <w:sz w:val="24"/>
          <w:szCs w:val="24"/>
        </w:rPr>
        <w:t>FAA</w:t>
      </w:r>
      <w:r w:rsidRPr="52F164E3">
        <w:rPr>
          <w:rFonts w:ascii="Arial" w:hAnsi="Arial" w:cs="Arial"/>
          <w:sz w:val="24"/>
          <w:szCs w:val="24"/>
        </w:rPr>
        <w:t xml:space="preserve">. To calculate the number of respondents, the </w:t>
      </w:r>
      <w:r w:rsidRPr="52F164E3" w:rsidR="00A37C6C">
        <w:rPr>
          <w:rFonts w:ascii="Arial" w:hAnsi="Arial" w:cs="Arial"/>
          <w:sz w:val="24"/>
          <w:szCs w:val="24"/>
        </w:rPr>
        <w:t>FAA</w:t>
      </w:r>
      <w:r w:rsidRPr="52F164E3">
        <w:rPr>
          <w:rFonts w:ascii="Arial" w:hAnsi="Arial" w:cs="Arial"/>
          <w:sz w:val="24"/>
          <w:szCs w:val="24"/>
        </w:rPr>
        <w:t xml:space="preserve"> used the </w:t>
      </w:r>
      <w:r w:rsidRPr="52F164E3" w:rsidR="00C52A2B">
        <w:rPr>
          <w:rFonts w:ascii="Arial" w:hAnsi="Arial" w:cs="Arial"/>
          <w:sz w:val="24"/>
          <w:szCs w:val="24"/>
        </w:rPr>
        <w:t xml:space="preserve">number of countries </w:t>
      </w:r>
      <w:r w:rsidRPr="52F164E3" w:rsidR="008071B2">
        <w:rPr>
          <w:rFonts w:ascii="Arial" w:hAnsi="Arial" w:cs="Arial"/>
          <w:sz w:val="24"/>
          <w:szCs w:val="24"/>
        </w:rPr>
        <w:t xml:space="preserve">that have part 145 certified repair </w:t>
      </w:r>
      <w:r w:rsidRPr="52F164E3" w:rsidR="00DF17A4">
        <w:rPr>
          <w:rFonts w:ascii="Arial" w:hAnsi="Arial" w:cs="Arial"/>
          <w:sz w:val="24"/>
          <w:szCs w:val="24"/>
        </w:rPr>
        <w:t>stations</w:t>
      </w:r>
      <w:r w:rsidRPr="52F164E3" w:rsidR="008454A6">
        <w:rPr>
          <w:rFonts w:ascii="Arial" w:hAnsi="Arial" w:cs="Arial"/>
          <w:sz w:val="24"/>
          <w:szCs w:val="24"/>
        </w:rPr>
        <w:t xml:space="preserve"> outside of the </w:t>
      </w:r>
      <w:r w:rsidRPr="52F164E3" w:rsidR="003A1E26">
        <w:rPr>
          <w:rFonts w:ascii="Arial" w:hAnsi="Arial" w:cs="Arial"/>
          <w:sz w:val="24"/>
          <w:szCs w:val="24"/>
        </w:rPr>
        <w:t>territory of the United States</w:t>
      </w:r>
      <w:r w:rsidRPr="52F164E3">
        <w:rPr>
          <w:rFonts w:ascii="Arial" w:hAnsi="Arial" w:cs="Arial"/>
          <w:sz w:val="24"/>
          <w:szCs w:val="24"/>
        </w:rPr>
        <w:t xml:space="preserve">. </w:t>
      </w:r>
      <w:r w:rsidRPr="52F164E3" w:rsidR="0096093E">
        <w:rPr>
          <w:rFonts w:ascii="Arial" w:hAnsi="Arial" w:cs="Arial"/>
          <w:sz w:val="24"/>
          <w:szCs w:val="24"/>
        </w:rPr>
        <w:t xml:space="preserve">The FAA </w:t>
      </w:r>
      <w:r w:rsidRPr="52F164E3" w:rsidR="00AD2480">
        <w:rPr>
          <w:rFonts w:ascii="Arial" w:hAnsi="Arial" w:cs="Arial"/>
          <w:sz w:val="24"/>
          <w:szCs w:val="24"/>
        </w:rPr>
        <w:t xml:space="preserve">has determined that </w:t>
      </w:r>
      <w:r w:rsidRPr="52F164E3" w:rsidR="000B4412">
        <w:rPr>
          <w:rFonts w:ascii="Arial" w:hAnsi="Arial" w:cs="Arial"/>
          <w:sz w:val="24"/>
          <w:szCs w:val="24"/>
        </w:rPr>
        <w:t xml:space="preserve">it would take </w:t>
      </w:r>
      <w:r w:rsidRPr="52F164E3" w:rsidR="009A4E63">
        <w:rPr>
          <w:rFonts w:ascii="Arial" w:hAnsi="Arial" w:cs="Arial"/>
          <w:sz w:val="24"/>
          <w:szCs w:val="24"/>
        </w:rPr>
        <w:t>20 hours</w:t>
      </w:r>
      <w:r w:rsidRPr="52F164E3" w:rsidR="0012151C">
        <w:rPr>
          <w:rFonts w:ascii="Arial" w:hAnsi="Arial" w:cs="Arial"/>
          <w:sz w:val="24"/>
          <w:szCs w:val="24"/>
        </w:rPr>
        <w:t xml:space="preserve"> </w:t>
      </w:r>
      <w:r w:rsidRPr="52F164E3" w:rsidR="00083690">
        <w:rPr>
          <w:rFonts w:ascii="Arial" w:hAnsi="Arial" w:cs="Arial"/>
          <w:sz w:val="24"/>
          <w:szCs w:val="24"/>
        </w:rPr>
        <w:t xml:space="preserve">for </w:t>
      </w:r>
      <w:r w:rsidRPr="52F164E3">
        <w:rPr>
          <w:rFonts w:ascii="Arial" w:hAnsi="Arial" w:cs="Arial"/>
          <w:sz w:val="24"/>
          <w:szCs w:val="24"/>
        </w:rPr>
        <w:t xml:space="preserve">a </w:t>
      </w:r>
      <w:r w:rsidRPr="52F164E3" w:rsidR="00976B76">
        <w:rPr>
          <w:rFonts w:ascii="Arial" w:hAnsi="Arial" w:cs="Arial"/>
          <w:sz w:val="24"/>
          <w:szCs w:val="24"/>
        </w:rPr>
        <w:t>country’s representative</w:t>
      </w:r>
      <w:r w:rsidRPr="52F164E3">
        <w:rPr>
          <w:rFonts w:ascii="Arial" w:hAnsi="Arial" w:cs="Arial"/>
          <w:sz w:val="24"/>
          <w:szCs w:val="24"/>
        </w:rPr>
        <w:t xml:space="preserve"> to prepare </w:t>
      </w:r>
      <w:r w:rsidRPr="52F164E3" w:rsidR="00117270">
        <w:rPr>
          <w:rFonts w:ascii="Arial" w:hAnsi="Arial" w:cs="Arial"/>
          <w:sz w:val="24"/>
          <w:szCs w:val="24"/>
        </w:rPr>
        <w:t xml:space="preserve">the </w:t>
      </w:r>
      <w:r w:rsidRPr="52F164E3" w:rsidR="00976B76">
        <w:rPr>
          <w:rFonts w:ascii="Arial" w:hAnsi="Arial" w:cs="Arial"/>
          <w:sz w:val="24"/>
          <w:szCs w:val="24"/>
        </w:rPr>
        <w:t>request</w:t>
      </w:r>
      <w:r w:rsidRPr="52F164E3" w:rsidR="00117270">
        <w:rPr>
          <w:rFonts w:ascii="Arial" w:hAnsi="Arial" w:cs="Arial"/>
          <w:sz w:val="24"/>
          <w:szCs w:val="24"/>
        </w:rPr>
        <w:t xml:space="preserve"> </w:t>
      </w:r>
      <w:r w:rsidRPr="52F164E3">
        <w:rPr>
          <w:rFonts w:ascii="Arial" w:hAnsi="Arial" w:cs="Arial"/>
          <w:sz w:val="24"/>
          <w:szCs w:val="24"/>
        </w:rPr>
        <w:t xml:space="preserve">and submit it to the </w:t>
      </w:r>
      <w:r w:rsidRPr="52F164E3" w:rsidR="00117270">
        <w:rPr>
          <w:rFonts w:ascii="Arial" w:hAnsi="Arial" w:cs="Arial"/>
          <w:sz w:val="24"/>
          <w:szCs w:val="24"/>
        </w:rPr>
        <w:t>FAA</w:t>
      </w:r>
      <w:r w:rsidRPr="52F164E3">
        <w:rPr>
          <w:rFonts w:ascii="Arial" w:hAnsi="Arial" w:cs="Arial"/>
          <w:sz w:val="24"/>
          <w:szCs w:val="24"/>
        </w:rPr>
        <w:t xml:space="preserve">. </w:t>
      </w:r>
      <w:r w:rsidRPr="52F164E3" w:rsidR="00DC0ABE">
        <w:rPr>
          <w:rFonts w:ascii="Arial" w:hAnsi="Arial" w:cs="Arial"/>
          <w:sz w:val="24"/>
          <w:szCs w:val="24"/>
        </w:rPr>
        <w:t xml:space="preserve">Specifically, </w:t>
      </w:r>
      <w:r w:rsidRPr="52F164E3" w:rsidR="00A20DED">
        <w:rPr>
          <w:rFonts w:ascii="Arial" w:hAnsi="Arial" w:cs="Arial"/>
          <w:sz w:val="24"/>
          <w:szCs w:val="24"/>
        </w:rPr>
        <w:t xml:space="preserve">the FAA estimates that it </w:t>
      </w:r>
      <w:r w:rsidRPr="52F164E3" w:rsidR="00976B76">
        <w:rPr>
          <w:rFonts w:ascii="Arial" w:hAnsi="Arial" w:cs="Arial"/>
          <w:sz w:val="24"/>
          <w:szCs w:val="24"/>
        </w:rPr>
        <w:t xml:space="preserve">will take a government </w:t>
      </w:r>
      <w:r w:rsidRPr="52F164E3" w:rsidR="00AB7AEA">
        <w:rPr>
          <w:rFonts w:ascii="Arial" w:hAnsi="Arial" w:cs="Arial"/>
          <w:sz w:val="24"/>
          <w:szCs w:val="24"/>
        </w:rPr>
        <w:t>program analyst 15 hours to prepare</w:t>
      </w:r>
      <w:r w:rsidRPr="52F164E3" w:rsidR="008F7F2F">
        <w:rPr>
          <w:rFonts w:ascii="Arial" w:hAnsi="Arial" w:cs="Arial"/>
          <w:sz w:val="24"/>
          <w:szCs w:val="24"/>
        </w:rPr>
        <w:t xml:space="preserve"> the submission and 5 hours </w:t>
      </w:r>
      <w:r w:rsidRPr="52F164E3" w:rsidR="00E14227">
        <w:rPr>
          <w:rFonts w:ascii="Arial" w:hAnsi="Arial" w:cs="Arial"/>
          <w:sz w:val="24"/>
          <w:szCs w:val="24"/>
        </w:rPr>
        <w:t>for a manager to review and submit the request.</w:t>
      </w:r>
      <w:r w:rsidRPr="52F164E3" w:rsidR="0023799D">
        <w:rPr>
          <w:rFonts w:ascii="Arial" w:hAnsi="Arial" w:cs="Arial"/>
          <w:sz w:val="24"/>
          <w:szCs w:val="24"/>
        </w:rPr>
        <w:t xml:space="preserve"> </w:t>
      </w:r>
      <w:r w:rsidRPr="52F164E3" w:rsidR="09E793E9">
        <w:rPr>
          <w:rFonts w:ascii="Arial" w:hAnsi="Arial" w:cs="Arial"/>
          <w:sz w:val="24"/>
          <w:szCs w:val="24"/>
        </w:rPr>
        <w:t xml:space="preserve">This estimate includes time for any necessary coordination with additional Agencies or Departments. </w:t>
      </w:r>
      <w:r w:rsidRPr="52F164E3" w:rsidR="0023799D">
        <w:rPr>
          <w:rFonts w:ascii="Arial" w:hAnsi="Arial" w:cs="Arial"/>
          <w:sz w:val="24"/>
          <w:szCs w:val="24"/>
        </w:rPr>
        <w:t xml:space="preserve">The FAA assumes that it will take 2 years for all 65 countries to submit and their submissions to be reviewed. Therefore, the FAA estimates that approximately half, 33, will be completed in </w:t>
      </w:r>
      <w:r w:rsidRPr="52F164E3" w:rsidR="0023799D">
        <w:rPr>
          <w:rFonts w:ascii="Arial" w:hAnsi="Arial" w:cs="Arial"/>
          <w:sz w:val="24"/>
          <w:szCs w:val="24"/>
        </w:rPr>
        <w:t>the first year and the remaining 32 in the second years. These submissions will only need to be completed once.</w:t>
      </w:r>
    </w:p>
    <w:p w:rsidR="001044E4" w:rsidP="00C64707" w14:paraId="1432462F" w14:textId="0F131322">
      <w:pPr>
        <w:shd w:val="clear" w:color="auto" w:fill="FFFFFF"/>
        <w:spacing w:after="0" w:line="240" w:lineRule="auto"/>
        <w:rPr>
          <w:rFonts w:ascii="Arial" w:eastAsia="Times New Roman" w:hAnsi="Arial" w:cs="Arial"/>
          <w:b/>
          <w:bCs/>
          <w:sz w:val="24"/>
          <w:szCs w:val="24"/>
        </w:rPr>
      </w:pPr>
    </w:p>
    <w:p w:rsidR="001419AC" w:rsidRPr="00CC2F5E" w:rsidP="00C64707" w14:paraId="69D1C808" w14:textId="77777777">
      <w:pPr>
        <w:shd w:val="clear" w:color="auto" w:fill="FFFFFF"/>
        <w:spacing w:after="0" w:line="240" w:lineRule="auto"/>
        <w:rPr>
          <w:rFonts w:ascii="Arial" w:eastAsia="Times New Roman" w:hAnsi="Arial" w:cs="Arial"/>
          <w:b/>
          <w:bCs/>
          <w:sz w:val="24"/>
          <w:szCs w:val="24"/>
        </w:rPr>
      </w:pPr>
    </w:p>
    <w:p w:rsidR="00010DCC" w:rsidP="00C64707" w14:paraId="4296A22E" w14:textId="450931B3">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13.  Provide an estimate for the total annual cost burden to respondents or re</w:t>
      </w:r>
      <w:r w:rsidRPr="00CC2F5E" w:rsidR="00692C96">
        <w:rPr>
          <w:rFonts w:ascii="Arial" w:eastAsia="Times New Roman" w:hAnsi="Arial" w:cs="Arial"/>
          <w:b/>
          <w:bCs/>
          <w:sz w:val="24"/>
          <w:szCs w:val="24"/>
        </w:rPr>
        <w:t xml:space="preserve">cord </w:t>
      </w:r>
      <w:r w:rsidRPr="00CC2F5E">
        <w:rPr>
          <w:rFonts w:ascii="Arial" w:eastAsia="Times New Roman" w:hAnsi="Arial" w:cs="Arial"/>
          <w:b/>
          <w:bCs/>
          <w:sz w:val="24"/>
          <w:szCs w:val="24"/>
        </w:rPr>
        <w:t>keepers resulting from the collection of information.</w:t>
      </w:r>
    </w:p>
    <w:p w:rsidR="0039066F" w:rsidP="00C64707" w14:paraId="7640F247" w14:textId="77777777">
      <w:pPr>
        <w:shd w:val="clear" w:color="auto" w:fill="FFFFFF"/>
        <w:spacing w:after="0" w:line="240" w:lineRule="auto"/>
        <w:rPr>
          <w:rFonts w:ascii="Arial" w:eastAsia="Times New Roman" w:hAnsi="Arial" w:cs="Arial"/>
          <w:b/>
          <w:bCs/>
          <w:sz w:val="24"/>
          <w:szCs w:val="24"/>
        </w:rPr>
      </w:pPr>
    </w:p>
    <w:p w:rsidR="0039066F" w:rsidP="00781EF3" w14:paraId="1EEE75BD" w14:textId="4021CD2E">
      <w:pPr>
        <w:shd w:val="clear" w:color="auto" w:fill="FFFFFF" w:themeFill="background1"/>
        <w:spacing w:after="0" w:line="240" w:lineRule="auto"/>
        <w:rPr>
          <w:rFonts w:ascii="Arial" w:eastAsia="Times New Roman" w:hAnsi="Arial" w:cs="Arial"/>
          <w:b/>
          <w:bCs/>
          <w:sz w:val="24"/>
          <w:szCs w:val="24"/>
        </w:rPr>
      </w:pPr>
      <w:r w:rsidRPr="63EAB113">
        <w:rPr>
          <w:rFonts w:ascii="Arial" w:eastAsia="Times New Roman" w:hAnsi="Arial" w:cs="Arial"/>
          <w:sz w:val="24"/>
          <w:szCs w:val="24"/>
        </w:rPr>
        <w:t>All the costs</w:t>
      </w:r>
      <w:r w:rsidRPr="63EAB113" w:rsidR="00192622">
        <w:rPr>
          <w:rFonts w:ascii="Arial" w:eastAsia="Times New Roman" w:hAnsi="Arial" w:cs="Arial"/>
          <w:sz w:val="24"/>
          <w:szCs w:val="24"/>
        </w:rPr>
        <w:t xml:space="preserve"> for </w:t>
      </w:r>
      <w:r w:rsidRPr="63EAB113" w:rsidR="329697E3">
        <w:rPr>
          <w:rFonts w:ascii="Arial" w:eastAsia="Times New Roman" w:hAnsi="Arial" w:cs="Arial"/>
          <w:sz w:val="24"/>
          <w:szCs w:val="24"/>
        </w:rPr>
        <w:t>currently regulated employers</w:t>
      </w:r>
      <w:r w:rsidR="008145D7">
        <w:rPr>
          <w:rFonts w:ascii="Arial" w:eastAsia="Times New Roman" w:hAnsi="Arial" w:cs="Arial"/>
          <w:sz w:val="24"/>
          <w:szCs w:val="24"/>
        </w:rPr>
        <w:t xml:space="preserve"> and </w:t>
      </w:r>
      <w:r w:rsidRPr="009863A4" w:rsidR="008145D7">
        <w:rPr>
          <w:rFonts w:ascii="Arial" w:eastAsia="Times New Roman" w:hAnsi="Arial" w:cs="Arial"/>
          <w:sz w:val="24"/>
          <w:szCs w:val="24"/>
        </w:rPr>
        <w:t>foreign repair stations</w:t>
      </w:r>
      <w:r w:rsidRPr="63EAB113">
        <w:rPr>
          <w:rFonts w:ascii="Arial" w:eastAsia="Times New Roman" w:hAnsi="Arial" w:cs="Arial"/>
          <w:sz w:val="24"/>
          <w:szCs w:val="24"/>
        </w:rPr>
        <w:t xml:space="preserve"> are accounted</w:t>
      </w:r>
      <w:r w:rsidRPr="63EAB113" w:rsidR="0E5F88EB">
        <w:rPr>
          <w:rFonts w:ascii="Arial" w:eastAsia="Times New Roman" w:hAnsi="Arial" w:cs="Arial"/>
          <w:sz w:val="24"/>
          <w:szCs w:val="24"/>
        </w:rPr>
        <w:t xml:space="preserve"> for</w:t>
      </w:r>
      <w:r w:rsidRPr="63EAB113">
        <w:rPr>
          <w:rFonts w:ascii="Arial" w:eastAsia="Times New Roman" w:hAnsi="Arial" w:cs="Arial"/>
          <w:sz w:val="24"/>
          <w:szCs w:val="24"/>
        </w:rPr>
        <w:t xml:space="preserve"> in Question #12.</w:t>
      </w:r>
    </w:p>
    <w:p w:rsidR="00627B2F" w:rsidRPr="00CC2F5E" w:rsidP="00C64707" w14:paraId="1508F640" w14:textId="7C6AC2FE">
      <w:pPr>
        <w:shd w:val="clear" w:color="auto" w:fill="FFFFFF"/>
        <w:spacing w:after="0" w:line="240" w:lineRule="auto"/>
        <w:rPr>
          <w:rFonts w:ascii="Arial" w:eastAsia="Times New Roman" w:hAnsi="Arial" w:cs="Arial"/>
          <w:b/>
          <w:bCs/>
          <w:sz w:val="24"/>
          <w:szCs w:val="24"/>
        </w:rPr>
      </w:pPr>
    </w:p>
    <w:p w:rsidR="001044E4" w:rsidRPr="00CC2F5E" w:rsidP="00C64707" w14:paraId="1C9580FC" w14:textId="77777777">
      <w:pPr>
        <w:shd w:val="clear" w:color="auto" w:fill="FFFFFF"/>
        <w:spacing w:after="0" w:line="240" w:lineRule="auto"/>
        <w:rPr>
          <w:rFonts w:ascii="Arial" w:eastAsia="Times New Roman" w:hAnsi="Arial" w:cs="Arial"/>
          <w:b/>
          <w:bCs/>
          <w:sz w:val="24"/>
          <w:szCs w:val="24"/>
        </w:rPr>
      </w:pPr>
    </w:p>
    <w:p w:rsidR="00337584" w:rsidRPr="00CC2F5E" w:rsidP="00C64707" w14:paraId="0DDC07B0" w14:textId="003D6A1D">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4C14" w:rsidRPr="00CC2F5E" w:rsidP="002F1FB7" w14:paraId="76711B51" w14:textId="77777777">
      <w:pPr>
        <w:spacing w:after="0" w:line="240" w:lineRule="auto"/>
        <w:rPr>
          <w:rFonts w:ascii="Arial" w:eastAsia="Times New Roman" w:hAnsi="Arial" w:cs="Arial"/>
          <w:sz w:val="24"/>
          <w:szCs w:val="24"/>
        </w:rPr>
      </w:pPr>
    </w:p>
    <w:p w:rsidR="006A624E" w:rsidRPr="00CC2F5E" w:rsidP="006A624E" w14:paraId="3FFEB2C0" w14:textId="77777777">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following information will document the different tasks and costs associated with processing intake of registration applications, correcting </w:t>
      </w:r>
      <w:r w:rsidRPr="00CC2F5E">
        <w:rPr>
          <w:rFonts w:ascii="Arial" w:eastAsia="Times New Roman" w:hAnsi="Arial" w:cs="Arial"/>
          <w:sz w:val="24"/>
          <w:szCs w:val="24"/>
        </w:rPr>
        <w:t>drug</w:t>
      </w:r>
      <w:r w:rsidRPr="00CC2F5E">
        <w:rPr>
          <w:rFonts w:ascii="Arial" w:eastAsia="Times New Roman" w:hAnsi="Arial" w:cs="Arial"/>
          <w:sz w:val="24"/>
          <w:szCs w:val="24"/>
        </w:rPr>
        <w:t xml:space="preserve"> and alcohol paragraphs under the OPSS, processing and managing the MIS reporting, and processing reports of violations by the industry.</w:t>
      </w:r>
    </w:p>
    <w:p w:rsidR="006A624E" w:rsidRPr="00CC2F5E" w:rsidP="006A624E" w14:paraId="291C4B17" w14:textId="77777777">
      <w:pPr>
        <w:spacing w:after="0" w:line="240" w:lineRule="auto"/>
        <w:rPr>
          <w:rFonts w:ascii="Arial" w:eastAsia="Times New Roman" w:hAnsi="Arial" w:cs="Arial"/>
          <w:sz w:val="24"/>
          <w:szCs w:val="24"/>
        </w:rPr>
      </w:pPr>
    </w:p>
    <w:p w:rsidR="006A624E" w:rsidRPr="00CC2F5E" w:rsidP="006A624E" w14:paraId="3D7974F1" w14:textId="610E5986">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Annual </w:t>
      </w:r>
      <w:r w:rsidRPr="00CC2F5E" w:rsidR="001014B4">
        <w:rPr>
          <w:rFonts w:ascii="Arial" w:eastAsia="Times New Roman" w:hAnsi="Arial" w:cs="Arial"/>
          <w:b/>
          <w:sz w:val="24"/>
          <w:szCs w:val="24"/>
        </w:rPr>
        <w:t>Registration and OPSS Tracking</w:t>
      </w:r>
    </w:p>
    <w:p w:rsidR="006A624E" w:rsidRPr="00CC2F5E" w:rsidP="006A624E" w14:paraId="7788153E" w14:textId="45E706A8">
      <w:pPr>
        <w:spacing w:after="0" w:line="240" w:lineRule="auto"/>
        <w:rPr>
          <w:rFonts w:ascii="Arial" w:hAnsi="Arial" w:cs="Arial"/>
          <w:sz w:val="24"/>
          <w:szCs w:val="24"/>
        </w:rPr>
      </w:pPr>
      <w:r>
        <w:br/>
      </w:r>
      <w:r w:rsidRPr="52F164E3">
        <w:rPr>
          <w:rFonts w:ascii="Arial" w:eastAsia="Times New Roman" w:hAnsi="Arial" w:cs="Arial"/>
          <w:sz w:val="24"/>
          <w:szCs w:val="24"/>
        </w:rPr>
        <w:t>During March 31, 2019</w:t>
      </w:r>
      <w:r w:rsidRPr="52F164E3" w:rsidR="006F166B">
        <w:rPr>
          <w:rFonts w:ascii="Arial" w:eastAsia="Times New Roman" w:hAnsi="Arial" w:cs="Arial"/>
          <w:sz w:val="24"/>
          <w:szCs w:val="24"/>
        </w:rPr>
        <w:t>,</w:t>
      </w:r>
      <w:r w:rsidRPr="52F164E3">
        <w:rPr>
          <w:rFonts w:ascii="Arial" w:eastAsia="Times New Roman" w:hAnsi="Arial" w:cs="Arial"/>
          <w:sz w:val="24"/>
          <w:szCs w:val="24"/>
        </w:rPr>
        <w:t xml:space="preserve"> and March 31, 2020, the following expenses applied to the Drug Abatement Division personnel who processed registration applications/amendments and corrected drug and alcohol paragraph issues:</w:t>
      </w:r>
    </w:p>
    <w:tbl>
      <w:tblPr>
        <w:tblW w:w="8901" w:type="dxa"/>
        <w:tblInd w:w="-1" w:type="dxa"/>
        <w:tblCellMar>
          <w:left w:w="0" w:type="dxa"/>
          <w:right w:w="0" w:type="dxa"/>
        </w:tblCellMar>
        <w:tblLook w:val="04A0"/>
      </w:tblPr>
      <w:tblGrid>
        <w:gridCol w:w="2151"/>
        <w:gridCol w:w="1710"/>
        <w:gridCol w:w="1648"/>
        <w:gridCol w:w="1592"/>
        <w:gridCol w:w="1800"/>
      </w:tblGrid>
      <w:tr w14:paraId="6CAD6858" w14:textId="77777777" w:rsidTr="52F164E3">
        <w:tblPrEx>
          <w:tblW w:w="8901" w:type="dxa"/>
          <w:tblInd w:w="-1" w:type="dxa"/>
          <w:tblCellMar>
            <w:left w:w="0" w:type="dxa"/>
            <w:right w:w="0" w:type="dxa"/>
          </w:tblCellMar>
          <w:tblLook w:val="04A0"/>
        </w:tblPrEx>
        <w:trPr>
          <w:trHeight w:val="1331"/>
        </w:trPr>
        <w:tc>
          <w:tcPr>
            <w:tcW w:w="215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3AA3E79B" w14:textId="77777777">
            <w:pPr>
              <w:jc w:val="center"/>
              <w:rPr>
                <w:rFonts w:cstheme="minorHAnsi"/>
                <w:b/>
              </w:rPr>
            </w:pPr>
            <w:r w:rsidRPr="00CC2F5E">
              <w:rPr>
                <w:rFonts w:cstheme="minorHAnsi"/>
                <w:b/>
              </w:rPr>
              <w:t>Task</w:t>
            </w:r>
          </w:p>
        </w:tc>
        <w:tc>
          <w:tcPr>
            <w:tcW w:w="1710" w:type="dxa"/>
            <w:tcBorders>
              <w:top w:val="single" w:sz="4" w:space="0" w:color="auto"/>
              <w:left w:val="nil"/>
              <w:bottom w:val="single" w:sz="4" w:space="0" w:color="auto"/>
              <w:right w:val="single" w:sz="4" w:space="0" w:color="auto"/>
            </w:tcBorders>
          </w:tcPr>
          <w:p w:rsidR="006A624E" w:rsidRPr="00CC2F5E" w:rsidP="006A624E" w14:paraId="3CF8F75B" w14:textId="77777777">
            <w:pPr>
              <w:jc w:val="center"/>
              <w:rPr>
                <w:rFonts w:cstheme="minorHAnsi"/>
                <w:b/>
              </w:rPr>
            </w:pPr>
            <w:r w:rsidRPr="00CC2F5E">
              <w:rPr>
                <w:rFonts w:cstheme="minorHAnsi"/>
                <w:b/>
              </w:rPr>
              <w:t>Number of Events</w:t>
            </w:r>
          </w:p>
        </w:tc>
        <w:tc>
          <w:tcPr>
            <w:tcW w:w="1648" w:type="dxa"/>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363633ED" w14:textId="77777777">
            <w:pPr>
              <w:jc w:val="center"/>
              <w:rPr>
                <w:rFonts w:cstheme="minorHAnsi"/>
                <w:b/>
              </w:rPr>
            </w:pPr>
            <w:r w:rsidRPr="00CC2F5E">
              <w:rPr>
                <w:rFonts w:cstheme="minorHAnsi"/>
                <w:b/>
              </w:rPr>
              <w:t>Number of Hours per Event</w:t>
            </w:r>
          </w:p>
        </w:tc>
        <w:tc>
          <w:tcPr>
            <w:tcW w:w="1592"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5872EB14" w14:textId="77777777">
            <w:pPr>
              <w:jc w:val="center"/>
              <w:rPr>
                <w:rFonts w:cstheme="minorHAnsi"/>
                <w:b/>
              </w:rPr>
            </w:pPr>
            <w:r w:rsidRPr="00CC2F5E">
              <w:rPr>
                <w:rFonts w:cstheme="minorHAnsi"/>
                <w:b/>
              </w:rPr>
              <w:t>Hourly rate</w:t>
            </w:r>
          </w:p>
        </w:tc>
        <w:tc>
          <w:tcPr>
            <w:tcW w:w="1800" w:type="dxa"/>
            <w:tcBorders>
              <w:top w:val="single" w:sz="4" w:space="0" w:color="auto"/>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4BB15241" w14:textId="77777777">
            <w:pPr>
              <w:jc w:val="center"/>
              <w:rPr>
                <w:rFonts w:cstheme="minorHAnsi"/>
                <w:b/>
              </w:rPr>
            </w:pPr>
            <w:r w:rsidRPr="00CC2F5E">
              <w:rPr>
                <w:rFonts w:cstheme="minorHAnsi"/>
                <w:b/>
              </w:rPr>
              <w:t>Total Cost</w:t>
            </w:r>
          </w:p>
        </w:tc>
      </w:tr>
      <w:tr w14:paraId="01EA8987"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388E4EA" w14:textId="77777777">
            <w:pPr>
              <w:rPr>
                <w:rFonts w:cstheme="minorHAnsi"/>
              </w:rPr>
            </w:pPr>
            <w:r w:rsidRPr="00CC2F5E">
              <w:rPr>
                <w:rFonts w:cstheme="minorHAnsi"/>
              </w:rPr>
              <w:t>Process intake of Registration applications</w:t>
            </w:r>
          </w:p>
        </w:tc>
        <w:tc>
          <w:tcPr>
            <w:tcW w:w="1710" w:type="dxa"/>
            <w:tcBorders>
              <w:top w:val="single" w:sz="4" w:space="0" w:color="auto"/>
              <w:left w:val="nil"/>
              <w:bottom w:val="single" w:sz="8" w:space="0" w:color="auto"/>
              <w:right w:val="single" w:sz="4" w:space="0" w:color="auto"/>
            </w:tcBorders>
          </w:tcPr>
          <w:p w:rsidR="006A624E" w:rsidRPr="00CC2F5E" w:rsidP="006A624E" w14:paraId="45C2C30B" w14:textId="77777777">
            <w:pPr>
              <w:jc w:val="right"/>
              <w:rPr>
                <w:rFonts w:cstheme="minorHAnsi"/>
              </w:rPr>
            </w:pPr>
            <w:r w:rsidRPr="00CC2F5E">
              <w:rPr>
                <w:rFonts w:cstheme="minorHAnsi"/>
              </w:rPr>
              <w:t>900</w:t>
            </w:r>
          </w:p>
        </w:tc>
        <w:tc>
          <w:tcPr>
            <w:tcW w:w="1648"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BC15543" w14:textId="77777777">
            <w:pPr>
              <w:jc w:val="right"/>
              <w:rPr>
                <w:rFonts w:cstheme="minorHAnsi"/>
              </w:rPr>
            </w:pPr>
            <w:r w:rsidRPr="00CC2F5E">
              <w:rPr>
                <w:rFonts w:cstheme="minorHAnsi"/>
              </w:rPr>
              <w:t>2</w:t>
            </w:r>
          </w:p>
        </w:tc>
        <w:tc>
          <w:tcPr>
            <w:tcW w:w="1592"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22F0C422" w14:textId="7086F5D1">
            <w:pPr>
              <w:jc w:val="right"/>
            </w:pPr>
            <w:r w:rsidRPr="52F164E3">
              <w:t>$</w:t>
            </w:r>
            <w:r w:rsidRPr="52F164E3" w:rsidR="1A224CDE">
              <w:t>5</w:t>
            </w:r>
            <w:r w:rsidRPr="52F164E3" w:rsidR="31EC4A81">
              <w:t>6.48</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09A10932" w14:textId="294CE900">
            <w:pPr>
              <w:jc w:val="right"/>
              <w:rPr>
                <w:b/>
                <w:bCs/>
              </w:rPr>
            </w:pPr>
            <w:r w:rsidRPr="52F164E3">
              <w:rPr>
                <w:b/>
                <w:bCs/>
              </w:rPr>
              <w:t>$</w:t>
            </w:r>
            <w:r w:rsidRPr="52F164E3" w:rsidR="31EC4A81">
              <w:rPr>
                <w:b/>
                <w:bCs/>
              </w:rPr>
              <w:t>101,656</w:t>
            </w:r>
          </w:p>
        </w:tc>
      </w:tr>
      <w:tr w14:paraId="4C43336F"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DAAA2AA" w14:textId="77777777">
            <w:pPr>
              <w:rPr>
                <w:rFonts w:cstheme="minorHAnsi"/>
              </w:rPr>
            </w:pPr>
            <w:r w:rsidRPr="00CC2F5E">
              <w:rPr>
                <w:rFonts w:cstheme="minorHAnsi"/>
              </w:rPr>
              <w:t>Correcting drug and alcohol paragraph (A449/A049)</w:t>
            </w:r>
          </w:p>
        </w:tc>
        <w:tc>
          <w:tcPr>
            <w:tcW w:w="1710" w:type="dxa"/>
            <w:tcBorders>
              <w:top w:val="single" w:sz="8" w:space="0" w:color="auto"/>
              <w:left w:val="nil"/>
              <w:bottom w:val="single" w:sz="8" w:space="0" w:color="auto"/>
              <w:right w:val="single" w:sz="4" w:space="0" w:color="auto"/>
            </w:tcBorders>
          </w:tcPr>
          <w:p w:rsidR="006A624E" w:rsidRPr="00CC2F5E" w:rsidP="006A624E" w14:paraId="362F0417" w14:textId="77777777">
            <w:pPr>
              <w:jc w:val="right"/>
              <w:rPr>
                <w:rFonts w:cstheme="minorHAnsi"/>
              </w:rPr>
            </w:pPr>
            <w:r w:rsidRPr="00CC2F5E">
              <w:rPr>
                <w:rFonts w:cstheme="minorHAnsi"/>
              </w:rPr>
              <w:t>250</w:t>
            </w: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4BCB6E7" w14:textId="77777777">
            <w:pPr>
              <w:jc w:val="right"/>
              <w:rPr>
                <w:rFonts w:cstheme="minorHAnsi"/>
              </w:rPr>
            </w:pPr>
            <w:r w:rsidRPr="00CC2F5E">
              <w:rPr>
                <w:rFonts w:cstheme="minorHAnsi"/>
              </w:rPr>
              <w:t>2</w:t>
            </w: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16C19FE0" w14:textId="210E747D">
            <w:pPr>
              <w:jc w:val="right"/>
            </w:pPr>
            <w:r w:rsidRPr="52F164E3">
              <w:t>$</w:t>
            </w:r>
            <w:r w:rsidRPr="52F164E3" w:rsidR="31EC4A81">
              <w:t>81.45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1D1F13B1" w14:textId="4D1AC0FD">
            <w:pPr>
              <w:jc w:val="right"/>
              <w:rPr>
                <w:b/>
                <w:bCs/>
              </w:rPr>
            </w:pPr>
            <w:r w:rsidRPr="52F164E3">
              <w:rPr>
                <w:b/>
                <w:bCs/>
              </w:rPr>
              <w:t>$</w:t>
            </w:r>
            <w:r w:rsidRPr="52F164E3" w:rsidR="31EC4A81">
              <w:rPr>
                <w:b/>
                <w:bCs/>
              </w:rPr>
              <w:t>40,725</w:t>
            </w:r>
          </w:p>
        </w:tc>
      </w:tr>
      <w:tr w14:paraId="7B94D236"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91903C3" w14:textId="77777777">
            <w:pPr>
              <w:rPr>
                <w:rFonts w:cstheme="minorHAnsi"/>
                <w:b/>
              </w:rPr>
            </w:pPr>
            <w:r w:rsidRPr="00CC2F5E">
              <w:rPr>
                <w:rFonts w:cstheme="minorHAnsi"/>
                <w:b/>
              </w:rPr>
              <w:t> Total:</w:t>
            </w:r>
          </w:p>
        </w:tc>
        <w:tc>
          <w:tcPr>
            <w:tcW w:w="1710" w:type="dxa"/>
            <w:tcBorders>
              <w:top w:val="single" w:sz="8" w:space="0" w:color="auto"/>
              <w:left w:val="nil"/>
              <w:bottom w:val="single" w:sz="8" w:space="0" w:color="auto"/>
              <w:right w:val="single" w:sz="4" w:space="0" w:color="auto"/>
            </w:tcBorders>
          </w:tcPr>
          <w:p w:rsidR="006A624E" w:rsidRPr="00CC2F5E" w:rsidP="006A624E" w14:paraId="5FB232E5" w14:textId="77777777">
            <w:pPr>
              <w:jc w:val="center"/>
              <w:rPr>
                <w:rFonts w:cstheme="minorHAnsi"/>
                <w:b/>
              </w:rPr>
            </w:pPr>
          </w:p>
        </w:tc>
        <w:tc>
          <w:tcPr>
            <w:tcW w:w="1648"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25759FA" w14:textId="77777777">
            <w:pPr>
              <w:jc w:val="center"/>
              <w:rPr>
                <w:rFonts w:cstheme="minorHAnsi"/>
                <w:b/>
              </w:rPr>
            </w:pPr>
          </w:p>
        </w:tc>
        <w:tc>
          <w:tcPr>
            <w:tcW w:w="1592"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7C239D0A" w14:textId="77777777">
            <w:pPr>
              <w:rPr>
                <w:rFonts w:cstheme="minorHAnsi"/>
                <w:b/>
              </w:rPr>
            </w:pPr>
            <w:r w:rsidRPr="00CC2F5E">
              <w:rPr>
                <w:rFonts w:cstheme="minorHAnsi"/>
                <w:b/>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7D4C84EF" w14:textId="0274F1E9">
            <w:pPr>
              <w:jc w:val="right"/>
              <w:rPr>
                <w:b/>
                <w:bCs/>
              </w:rPr>
            </w:pPr>
            <w:r w:rsidRPr="52F164E3">
              <w:rPr>
                <w:b/>
                <w:bCs/>
              </w:rPr>
              <w:t>$</w:t>
            </w:r>
            <w:r w:rsidRPr="52F164E3" w:rsidR="31EC4A81">
              <w:rPr>
                <w:b/>
                <w:bCs/>
              </w:rPr>
              <w:t>142,381</w:t>
            </w:r>
          </w:p>
        </w:tc>
      </w:tr>
    </w:tbl>
    <w:p w:rsidR="006A624E" w:rsidRPr="00CC2F5E" w:rsidP="006A624E" w14:paraId="17515888" w14:textId="5CB42E6C">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Upon receipt of a registration application or amendment, a junior program analyst in the Drug Abatement Division conducts a review to determine if the information is sufficient. Each registration is entered into the Drug Abatement Division’s Compliance and Enforcement Tracking Subsystem (CETS) and given a specific control </w:t>
      </w:r>
      <w:r w:rsidRPr="00CC2F5E">
        <w:rPr>
          <w:rFonts w:ascii="Arial" w:hAnsi="Arial" w:cs="Arial"/>
          <w:sz w:val="24"/>
          <w:szCs w:val="24"/>
        </w:rPr>
        <w:t>number. The junior program analyst prepares and sends the final correspondence to the respondent. The entire process takes approximately two hours for each respondent.</w:t>
      </w:r>
    </w:p>
    <w:p w:rsidR="006A624E" w:rsidRPr="00CC2F5E" w:rsidP="006A624E" w14:paraId="26BE1713" w14:textId="77777777">
      <w:pPr>
        <w:spacing w:after="0" w:line="240" w:lineRule="auto"/>
        <w:rPr>
          <w:rFonts w:ascii="Arial" w:hAnsi="Arial" w:cs="Arial"/>
          <w:sz w:val="24"/>
          <w:szCs w:val="24"/>
        </w:rPr>
      </w:pPr>
    </w:p>
    <w:p w:rsidR="006A624E" w:rsidRPr="00CC2F5E" w:rsidP="006A624E" w14:paraId="6587FA2F" w14:textId="3B211FD5">
      <w:pPr>
        <w:spacing w:after="0" w:line="240" w:lineRule="auto"/>
        <w:rPr>
          <w:rFonts w:ascii="Arial" w:hAnsi="Arial" w:cs="Arial"/>
          <w:sz w:val="24"/>
          <w:szCs w:val="24"/>
        </w:rPr>
      </w:pPr>
      <w:r w:rsidRPr="00CC2F5E">
        <w:rPr>
          <w:rFonts w:ascii="Arial" w:hAnsi="Arial" w:cs="Arial"/>
          <w:sz w:val="24"/>
          <w:szCs w:val="24"/>
        </w:rPr>
        <w:t>A senior program analyst in the Drug Abatement Division addresses issues or concerns related to respondents with an FAA operating certificate and drug and alcohol paragraph (A449/A049) in the Operations Specifications (OPSS). These matters are more complex and require coordination with multiple stakeholders, and it takes approximately two hours for each respondent.</w:t>
      </w:r>
    </w:p>
    <w:p w:rsidR="006A624E" w:rsidRPr="00CC2F5E" w:rsidP="006A624E" w14:paraId="2C95C573" w14:textId="77777777">
      <w:pPr>
        <w:spacing w:after="0" w:line="240" w:lineRule="auto"/>
        <w:rPr>
          <w:rFonts w:ascii="Arial" w:hAnsi="Arial" w:cs="Arial"/>
          <w:sz w:val="24"/>
          <w:szCs w:val="24"/>
        </w:rPr>
      </w:pPr>
    </w:p>
    <w:p w:rsidR="006A624E" w:rsidRPr="00CC2F5E" w:rsidP="006A624E" w14:paraId="08C4A798" w14:textId="5C1B2D77">
      <w:pPr>
        <w:spacing w:after="0" w:line="240" w:lineRule="auto"/>
        <w:rPr>
          <w:rFonts w:ascii="Arial" w:hAnsi="Arial" w:cs="Arial"/>
          <w:sz w:val="24"/>
          <w:szCs w:val="24"/>
        </w:rPr>
      </w:pPr>
      <w:r w:rsidRPr="00CC2F5E">
        <w:rPr>
          <w:rFonts w:ascii="Arial" w:eastAsia="Times New Roman" w:hAnsi="Arial" w:cs="Arial"/>
          <w:sz w:val="24"/>
          <w:szCs w:val="24"/>
        </w:rPr>
        <w:t xml:space="preserve">The junior program analyst’s salary used to calculate this is equivalent to a GS-12 Salary </w:t>
      </w:r>
      <w:r w:rsidRPr="00CC2F5E">
        <w:rPr>
          <w:rFonts w:ascii="Arial" w:hAnsi="Arial" w:cs="Arial"/>
          <w:sz w:val="24"/>
          <w:szCs w:val="24"/>
        </w:rPr>
        <w:t>(GS-12, Step 9 hourly wage) for a wage of $</w:t>
      </w:r>
      <w:r w:rsidR="00AF3154">
        <w:rPr>
          <w:rFonts w:ascii="Arial" w:hAnsi="Arial" w:cs="Arial"/>
          <w:sz w:val="24"/>
          <w:szCs w:val="24"/>
        </w:rPr>
        <w:t>4</w:t>
      </w:r>
      <w:r w:rsidR="000E155A">
        <w:rPr>
          <w:rFonts w:ascii="Arial" w:hAnsi="Arial" w:cs="Arial"/>
          <w:sz w:val="24"/>
          <w:szCs w:val="24"/>
        </w:rPr>
        <w:t>1</w:t>
      </w:r>
      <w:r w:rsidR="00AF3154">
        <w:rPr>
          <w:rFonts w:ascii="Arial" w:hAnsi="Arial" w:cs="Arial"/>
          <w:sz w:val="24"/>
          <w:szCs w:val="24"/>
        </w:rPr>
        <w:t>.</w:t>
      </w:r>
      <w:r w:rsidR="000E155A">
        <w:rPr>
          <w:rFonts w:ascii="Arial" w:hAnsi="Arial" w:cs="Arial"/>
          <w:sz w:val="24"/>
          <w:szCs w:val="24"/>
        </w:rPr>
        <w:t>45</w:t>
      </w:r>
      <w:r w:rsidRPr="00CC2F5E">
        <w:rPr>
          <w:rFonts w:ascii="Arial" w:hAnsi="Arial" w:cs="Arial"/>
          <w:sz w:val="24"/>
          <w:szCs w:val="24"/>
        </w:rPr>
        <w:t xml:space="preserve"> per hour</w:t>
      </w:r>
      <w:r>
        <w:rPr>
          <w:rStyle w:val="FootnoteReference"/>
          <w:rFonts w:ascii="Arial" w:hAnsi="Arial" w:cs="Arial"/>
          <w:sz w:val="24"/>
          <w:szCs w:val="24"/>
        </w:rPr>
        <w:footnoteReference w:id="7"/>
      </w:r>
      <w:r w:rsidRPr="00CC2F5E">
        <w:rPr>
          <w:rFonts w:ascii="Arial" w:hAnsi="Arial" w:cs="Arial"/>
          <w:sz w:val="24"/>
          <w:szCs w:val="24"/>
        </w:rPr>
        <w:t xml:space="preserve">. With overhead costs of </w:t>
      </w:r>
      <w:r w:rsidR="001F33F3">
        <w:rPr>
          <w:rFonts w:ascii="Arial" w:hAnsi="Arial" w:cs="Arial"/>
          <w:sz w:val="24"/>
          <w:szCs w:val="24"/>
        </w:rPr>
        <w:t>36.25</w:t>
      </w:r>
      <w:r w:rsidRPr="00CC2F5E" w:rsidR="001F33F3">
        <w:rPr>
          <w:rFonts w:ascii="Arial" w:hAnsi="Arial" w:cs="Arial"/>
          <w:sz w:val="24"/>
          <w:szCs w:val="24"/>
        </w:rPr>
        <w:t xml:space="preserve"> </w:t>
      </w:r>
      <w:r w:rsidRPr="00CC2F5E">
        <w:rPr>
          <w:rFonts w:ascii="Arial" w:hAnsi="Arial" w:cs="Arial"/>
          <w:sz w:val="24"/>
          <w:szCs w:val="24"/>
        </w:rPr>
        <w:t>percent added</w:t>
      </w:r>
      <w:r>
        <w:rPr>
          <w:rStyle w:val="FootnoteReference"/>
          <w:rFonts w:ascii="Arial" w:hAnsi="Arial" w:cs="Arial"/>
          <w:sz w:val="24"/>
          <w:szCs w:val="24"/>
        </w:rPr>
        <w:footnoteReference w:id="8"/>
      </w:r>
      <w:r w:rsidRPr="00CC2F5E">
        <w:rPr>
          <w:rFonts w:ascii="Arial" w:hAnsi="Arial" w:cs="Arial"/>
          <w:sz w:val="24"/>
          <w:szCs w:val="24"/>
        </w:rPr>
        <w:t>, the total salary is $</w:t>
      </w:r>
      <w:r w:rsidR="00AF3154">
        <w:rPr>
          <w:rFonts w:ascii="Arial" w:hAnsi="Arial" w:cs="Arial"/>
          <w:sz w:val="24"/>
          <w:szCs w:val="24"/>
        </w:rPr>
        <w:t>5</w:t>
      </w:r>
      <w:r w:rsidR="00B77126">
        <w:rPr>
          <w:rFonts w:ascii="Arial" w:hAnsi="Arial" w:cs="Arial"/>
          <w:sz w:val="24"/>
          <w:szCs w:val="24"/>
        </w:rPr>
        <w:t>6</w:t>
      </w:r>
      <w:r w:rsidR="00AF3154">
        <w:rPr>
          <w:rFonts w:ascii="Arial" w:hAnsi="Arial" w:cs="Arial"/>
          <w:sz w:val="24"/>
          <w:szCs w:val="24"/>
        </w:rPr>
        <w:t>.</w:t>
      </w:r>
      <w:r w:rsidR="009C5514">
        <w:rPr>
          <w:rFonts w:ascii="Arial" w:hAnsi="Arial" w:cs="Arial"/>
          <w:sz w:val="24"/>
          <w:szCs w:val="24"/>
        </w:rPr>
        <w:t>48</w:t>
      </w:r>
      <w:r w:rsidRPr="00CC2F5E">
        <w:rPr>
          <w:rFonts w:ascii="Arial" w:hAnsi="Arial" w:cs="Arial"/>
          <w:sz w:val="24"/>
          <w:szCs w:val="24"/>
        </w:rPr>
        <w:t xml:space="preserve"> per hour.</w:t>
      </w:r>
    </w:p>
    <w:p w:rsidR="00E44681" w:rsidP="006A624E" w14:paraId="1DA895F3" w14:textId="77777777">
      <w:pPr>
        <w:spacing w:after="0" w:line="240" w:lineRule="auto"/>
        <w:rPr>
          <w:rFonts w:ascii="Arial" w:eastAsia="Times New Roman" w:hAnsi="Arial" w:cs="Arial"/>
          <w:sz w:val="24"/>
          <w:szCs w:val="24"/>
        </w:rPr>
      </w:pPr>
    </w:p>
    <w:p w:rsidR="006A624E" w:rsidRPr="00CC2F5E" w:rsidP="006A624E" w14:paraId="66B36581" w14:textId="34D511B5">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sidR="0037632D">
        <w:rPr>
          <w:rFonts w:ascii="Arial" w:hAnsi="Arial" w:cs="Arial"/>
          <w:sz w:val="24"/>
          <w:szCs w:val="24"/>
        </w:rPr>
        <w:t>5</w:t>
      </w:r>
      <w:r w:rsidR="00AE693D">
        <w:rPr>
          <w:rFonts w:ascii="Arial" w:hAnsi="Arial" w:cs="Arial"/>
          <w:sz w:val="24"/>
          <w:szCs w:val="24"/>
        </w:rPr>
        <w:t>9</w:t>
      </w:r>
      <w:r w:rsidR="0037632D">
        <w:rPr>
          <w:rFonts w:ascii="Arial" w:hAnsi="Arial" w:cs="Arial"/>
          <w:sz w:val="24"/>
          <w:szCs w:val="24"/>
        </w:rPr>
        <w:t>.</w:t>
      </w:r>
      <w:r w:rsidR="00AE693D">
        <w:rPr>
          <w:rFonts w:ascii="Arial" w:hAnsi="Arial" w:cs="Arial"/>
          <w:sz w:val="24"/>
          <w:szCs w:val="24"/>
        </w:rPr>
        <w:t>78</w:t>
      </w:r>
      <w:r w:rsidRPr="00CC2F5E">
        <w:rPr>
          <w:rFonts w:ascii="Arial" w:hAnsi="Arial" w:cs="Arial"/>
          <w:sz w:val="24"/>
          <w:szCs w:val="24"/>
        </w:rPr>
        <w:t xml:space="preserve"> per hour</w:t>
      </w:r>
      <w:r>
        <w:rPr>
          <w:rStyle w:val="FootnoteReference"/>
          <w:rFonts w:ascii="Arial" w:hAnsi="Arial" w:cs="Arial"/>
          <w:sz w:val="24"/>
          <w:szCs w:val="24"/>
        </w:rPr>
        <w:footnoteReference w:id="9"/>
      </w:r>
      <w:r w:rsidRPr="00CC2F5E">
        <w:rPr>
          <w:rFonts w:ascii="Arial" w:hAnsi="Arial" w:cs="Arial"/>
          <w:sz w:val="24"/>
          <w:szCs w:val="24"/>
        </w:rPr>
        <w:t xml:space="preserve">. With overhead costs of </w:t>
      </w:r>
      <w:r w:rsidR="001F33F3">
        <w:rPr>
          <w:rFonts w:ascii="Arial" w:hAnsi="Arial" w:cs="Arial"/>
          <w:sz w:val="24"/>
          <w:szCs w:val="24"/>
        </w:rPr>
        <w:t>36.25</w:t>
      </w:r>
      <w:r w:rsidRPr="00CC2F5E" w:rsidR="001F33F3">
        <w:rPr>
          <w:rFonts w:ascii="Arial" w:hAnsi="Arial" w:cs="Arial"/>
          <w:sz w:val="24"/>
          <w:szCs w:val="24"/>
        </w:rPr>
        <w:t xml:space="preserve"> </w:t>
      </w:r>
      <w:r w:rsidRPr="00CC2F5E">
        <w:rPr>
          <w:rFonts w:ascii="Arial" w:hAnsi="Arial" w:cs="Arial"/>
          <w:sz w:val="24"/>
          <w:szCs w:val="24"/>
        </w:rPr>
        <w:t>percent added</w:t>
      </w:r>
      <w:r>
        <w:rPr>
          <w:rStyle w:val="FootnoteReference"/>
          <w:rFonts w:ascii="Arial" w:hAnsi="Arial" w:cs="Arial"/>
          <w:sz w:val="24"/>
          <w:szCs w:val="24"/>
        </w:rPr>
        <w:footnoteReference w:id="10"/>
      </w:r>
      <w:r w:rsidRPr="00CC2F5E">
        <w:rPr>
          <w:rFonts w:ascii="Arial" w:hAnsi="Arial" w:cs="Arial"/>
          <w:sz w:val="24"/>
          <w:szCs w:val="24"/>
        </w:rPr>
        <w:t>, the total salary is $</w:t>
      </w:r>
      <w:r w:rsidR="002D0560">
        <w:rPr>
          <w:rFonts w:ascii="Arial" w:hAnsi="Arial" w:cs="Arial"/>
          <w:sz w:val="24"/>
          <w:szCs w:val="24"/>
        </w:rPr>
        <w:t>81.45</w:t>
      </w:r>
      <w:r w:rsidRPr="00CC2F5E">
        <w:rPr>
          <w:rFonts w:ascii="Arial" w:hAnsi="Arial" w:cs="Arial"/>
          <w:sz w:val="24"/>
          <w:szCs w:val="24"/>
        </w:rPr>
        <w:t xml:space="preserve"> per hour.</w:t>
      </w:r>
    </w:p>
    <w:p w:rsidR="006A624E" w:rsidRPr="00CC2F5E" w:rsidP="006A624E" w14:paraId="0B49FF7A" w14:textId="77777777">
      <w:pPr>
        <w:rPr>
          <w:rFonts w:ascii="Arial" w:hAnsi="Arial" w:cs="Arial"/>
          <w:sz w:val="24"/>
          <w:szCs w:val="24"/>
        </w:rPr>
      </w:pPr>
    </w:p>
    <w:p w:rsidR="006A624E" w:rsidRPr="00CC2F5E" w:rsidP="006A624E" w14:paraId="30DA973B" w14:textId="77777777">
      <w:pPr>
        <w:jc w:val="center"/>
        <w:rPr>
          <w:rFonts w:ascii="Arial" w:hAnsi="Arial" w:cs="Arial"/>
          <w:b/>
          <w:sz w:val="24"/>
          <w:szCs w:val="24"/>
        </w:rPr>
      </w:pPr>
      <w:r w:rsidRPr="00CC2F5E">
        <w:rPr>
          <w:rFonts w:ascii="Arial" w:hAnsi="Arial" w:cs="Arial"/>
          <w:b/>
          <w:sz w:val="24"/>
          <w:szCs w:val="24"/>
        </w:rPr>
        <w:t>Annual MIS Report Tracking &amp; Analysis</w:t>
      </w:r>
    </w:p>
    <w:p w:rsidR="006A624E" w:rsidRPr="00CC2F5E" w:rsidP="006A624E" w14:paraId="4CE876D8" w14:textId="14EEABA7">
      <w:pPr>
        <w:spacing w:after="0" w:line="240" w:lineRule="auto"/>
        <w:rPr>
          <w:rFonts w:ascii="Arial" w:eastAsia="Times New Roman" w:hAnsi="Arial" w:cs="Arial"/>
          <w:sz w:val="24"/>
          <w:szCs w:val="24"/>
        </w:rPr>
      </w:pPr>
      <w:r w:rsidRPr="52F164E3">
        <w:rPr>
          <w:rFonts w:ascii="Arial" w:eastAsia="Times New Roman" w:hAnsi="Arial" w:cs="Arial"/>
          <w:sz w:val="24"/>
          <w:szCs w:val="24"/>
        </w:rPr>
        <w:t>The following are costs associated with the Drug Abatement Division and contractor processing the MIS reports for January 1, 2019</w:t>
      </w:r>
      <w:r w:rsidRPr="52F164E3" w:rsidR="002413C7">
        <w:rPr>
          <w:rFonts w:ascii="Arial" w:eastAsia="Times New Roman" w:hAnsi="Arial" w:cs="Arial"/>
          <w:sz w:val="24"/>
          <w:szCs w:val="24"/>
        </w:rPr>
        <w:t>,</w:t>
      </w:r>
      <w:r w:rsidRPr="52F164E3">
        <w:rPr>
          <w:rFonts w:ascii="Arial" w:eastAsia="Times New Roman" w:hAnsi="Arial" w:cs="Arial"/>
          <w:sz w:val="24"/>
          <w:szCs w:val="24"/>
        </w:rPr>
        <w:t xml:space="preserve"> through December 31, 2019:</w:t>
      </w:r>
    </w:p>
    <w:tbl>
      <w:tblPr>
        <w:tblW w:w="8901" w:type="dxa"/>
        <w:tblInd w:w="-1" w:type="dxa"/>
        <w:tblCellMar>
          <w:left w:w="0" w:type="dxa"/>
          <w:right w:w="0" w:type="dxa"/>
        </w:tblCellMar>
        <w:tblLook w:val="04A0"/>
      </w:tblPr>
      <w:tblGrid>
        <w:gridCol w:w="2151"/>
        <w:gridCol w:w="1710"/>
        <w:gridCol w:w="1620"/>
        <w:gridCol w:w="1620"/>
        <w:gridCol w:w="1800"/>
      </w:tblGrid>
      <w:tr w14:paraId="47B0EEE8"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D241018" w14:textId="77777777">
            <w:pPr>
              <w:rPr>
                <w:rFonts w:cstheme="minorHAnsi"/>
                <w:b/>
                <w:sz w:val="24"/>
                <w:szCs w:val="24"/>
              </w:rPr>
            </w:pPr>
            <w:r w:rsidRPr="00CC2F5E">
              <w:rPr>
                <w:rFonts w:cstheme="minorHAnsi"/>
                <w:b/>
                <w:sz w:val="24"/>
                <w:szCs w:val="24"/>
              </w:rPr>
              <w:t> Task</w:t>
            </w:r>
          </w:p>
        </w:tc>
        <w:tc>
          <w:tcPr>
            <w:tcW w:w="1710" w:type="dxa"/>
            <w:tcBorders>
              <w:top w:val="single" w:sz="4" w:space="0" w:color="auto"/>
              <w:left w:val="nil"/>
              <w:bottom w:val="single" w:sz="8" w:space="0" w:color="auto"/>
              <w:right w:val="single" w:sz="4" w:space="0" w:color="auto"/>
            </w:tcBorders>
          </w:tcPr>
          <w:p w:rsidR="006A624E" w:rsidRPr="00CC2F5E" w:rsidP="006A624E" w14:paraId="3B8A111B" w14:textId="77777777">
            <w:pPr>
              <w:rPr>
                <w:rFonts w:cstheme="minorHAnsi"/>
                <w:b/>
                <w:sz w:val="24"/>
                <w:szCs w:val="24"/>
              </w:rPr>
            </w:pPr>
            <w:r w:rsidRPr="00CC2F5E">
              <w:rPr>
                <w:rFonts w:cstheme="minorHAnsi"/>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3ABF0EFA" w14:textId="77777777">
            <w:pPr>
              <w:rPr>
                <w:rFonts w:cstheme="minorHAnsi"/>
                <w:b/>
                <w:sz w:val="24"/>
                <w:szCs w:val="24"/>
              </w:rPr>
            </w:pPr>
            <w:r w:rsidRPr="00CC2F5E">
              <w:rPr>
                <w:rFonts w:cstheme="minorHAnsi"/>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4EAE6250" w14:textId="77777777">
            <w:pPr>
              <w:rPr>
                <w:rFonts w:cstheme="minorHAnsi"/>
                <w:b/>
                <w:sz w:val="24"/>
                <w:szCs w:val="24"/>
              </w:rPr>
            </w:pPr>
            <w:r w:rsidRPr="00CC2F5E">
              <w:rPr>
                <w:rFonts w:cstheme="minorHAnsi"/>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2FE7A92" w14:textId="77777777">
            <w:pPr>
              <w:jc w:val="center"/>
              <w:rPr>
                <w:rFonts w:cstheme="minorHAnsi"/>
                <w:b/>
                <w:sz w:val="24"/>
                <w:szCs w:val="24"/>
              </w:rPr>
            </w:pPr>
            <w:r w:rsidRPr="00CC2F5E">
              <w:rPr>
                <w:rFonts w:cstheme="minorHAnsi"/>
                <w:b/>
                <w:sz w:val="24"/>
                <w:szCs w:val="24"/>
              </w:rPr>
              <w:t>Total Cost</w:t>
            </w:r>
          </w:p>
        </w:tc>
      </w:tr>
      <w:tr w14:paraId="330CDC70"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69CA1923" w14:textId="77777777">
            <w:pPr>
              <w:rPr>
                <w:rFonts w:cstheme="minorHAnsi"/>
                <w:sz w:val="24"/>
                <w:szCs w:val="24"/>
              </w:rPr>
            </w:pPr>
            <w:r w:rsidRPr="00CC2F5E">
              <w:rPr>
                <w:rFonts w:cstheme="minorHAnsi"/>
                <w:sz w:val="24"/>
                <w:szCs w:val="24"/>
              </w:rPr>
              <w:t>MIS contract expenses with DOT Vendor, VOLPE, for DAMIS support.</w:t>
            </w:r>
          </w:p>
        </w:tc>
        <w:tc>
          <w:tcPr>
            <w:tcW w:w="1710" w:type="dxa"/>
            <w:tcBorders>
              <w:top w:val="single" w:sz="8" w:space="0" w:color="auto"/>
              <w:left w:val="nil"/>
              <w:bottom w:val="single" w:sz="8" w:space="0" w:color="auto"/>
              <w:right w:val="single" w:sz="4" w:space="0" w:color="auto"/>
            </w:tcBorders>
          </w:tcPr>
          <w:p w:rsidR="006A624E" w:rsidRPr="00CC2F5E" w:rsidP="006A624E" w14:paraId="09335246" w14:textId="77777777">
            <w:pPr>
              <w:jc w:val="right"/>
              <w:rPr>
                <w:rFonts w:cstheme="minorHAnsi"/>
                <w:sz w:val="24"/>
                <w:szCs w:val="24"/>
              </w:rPr>
            </w:pPr>
            <w:r w:rsidRPr="00CC2F5E">
              <w:rPr>
                <w:rFonts w:cstheme="minorHAnsi"/>
                <w:sz w:val="24"/>
                <w:szCs w:val="24"/>
              </w:rPr>
              <w:t>N/A</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0E7F2E4" w14:textId="77777777">
            <w:pPr>
              <w:jc w:val="right"/>
              <w:rPr>
                <w:rFonts w:cstheme="minorHAnsi"/>
                <w:sz w:val="24"/>
                <w:szCs w:val="24"/>
              </w:rPr>
            </w:pPr>
            <w:r w:rsidRPr="00CC2F5E">
              <w:rPr>
                <w:rFonts w:cstheme="minorHAnsi"/>
                <w:sz w:val="24"/>
                <w:szCs w:val="24"/>
              </w:rPr>
              <w:t>N/A</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2D5DD5CB" w14:textId="77777777">
            <w:pPr>
              <w:jc w:val="right"/>
              <w:rPr>
                <w:rFonts w:cstheme="minorHAnsi"/>
                <w:sz w:val="24"/>
                <w:szCs w:val="24"/>
              </w:rPr>
            </w:pPr>
            <w:r w:rsidRPr="00CC2F5E">
              <w:rPr>
                <w:rFonts w:cstheme="minorHAnsi"/>
                <w:sz w:val="24"/>
                <w:szCs w:val="24"/>
              </w:rPr>
              <w:t>N/A</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03DF92BC" w14:textId="77777777">
            <w:pPr>
              <w:jc w:val="right"/>
              <w:rPr>
                <w:rFonts w:cstheme="minorHAnsi"/>
                <w:b/>
                <w:sz w:val="24"/>
                <w:szCs w:val="24"/>
              </w:rPr>
            </w:pPr>
            <w:r w:rsidRPr="00CC2F5E">
              <w:rPr>
                <w:rFonts w:cstheme="minorHAnsi"/>
                <w:b/>
                <w:sz w:val="24"/>
                <w:szCs w:val="24"/>
              </w:rPr>
              <w:t> $12,909</w:t>
            </w:r>
          </w:p>
        </w:tc>
      </w:tr>
      <w:tr w14:paraId="4D772116"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F7179A0" w14:textId="77777777">
            <w:pPr>
              <w:rPr>
                <w:rFonts w:cstheme="minorHAnsi"/>
                <w:sz w:val="24"/>
                <w:szCs w:val="24"/>
              </w:rPr>
            </w:pPr>
            <w:r w:rsidRPr="00CC2F5E">
              <w:rPr>
                <w:rFonts w:cstheme="minorHAnsi"/>
                <w:sz w:val="24"/>
                <w:szCs w:val="24"/>
              </w:rPr>
              <w:t>MIS Preparation</w:t>
            </w:r>
          </w:p>
        </w:tc>
        <w:tc>
          <w:tcPr>
            <w:tcW w:w="1710" w:type="dxa"/>
            <w:tcBorders>
              <w:top w:val="single" w:sz="8" w:space="0" w:color="auto"/>
              <w:left w:val="nil"/>
              <w:bottom w:val="single" w:sz="8" w:space="0" w:color="auto"/>
              <w:right w:val="single" w:sz="4" w:space="0" w:color="auto"/>
            </w:tcBorders>
          </w:tcPr>
          <w:p w:rsidR="006A624E" w:rsidRPr="00CC2F5E" w:rsidP="006A624E" w14:paraId="0F53A6CD" w14:textId="77777777">
            <w:pPr>
              <w:jc w:val="right"/>
              <w:rPr>
                <w:rFonts w:cstheme="minorHAnsi"/>
                <w:sz w:val="24"/>
                <w:szCs w:val="24"/>
              </w:rPr>
            </w:pPr>
            <w:r w:rsidRPr="00CC2F5E">
              <w:rPr>
                <w:rFonts w:cstheme="minorHAnsi"/>
                <w:sz w:val="24"/>
                <w:szCs w:val="24"/>
              </w:rPr>
              <w:t>1</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732B861" w14:textId="77777777">
            <w:pPr>
              <w:jc w:val="right"/>
              <w:rPr>
                <w:rFonts w:cstheme="minorHAnsi"/>
                <w:sz w:val="24"/>
                <w:szCs w:val="24"/>
              </w:rPr>
            </w:pPr>
            <w:r w:rsidRPr="00CC2F5E">
              <w:rPr>
                <w:rFonts w:cstheme="minorHAnsi"/>
                <w:sz w:val="24"/>
                <w:szCs w:val="24"/>
              </w:rPr>
              <w:t>40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0FD813AB" w14:textId="2F7A4D90">
            <w:pPr>
              <w:jc w:val="right"/>
              <w:rPr>
                <w:sz w:val="24"/>
                <w:szCs w:val="24"/>
              </w:rPr>
            </w:pPr>
            <w:r w:rsidRPr="52F164E3">
              <w:rPr>
                <w:sz w:val="24"/>
                <w:szCs w:val="24"/>
              </w:rPr>
              <w:t>$</w:t>
            </w:r>
            <w:r w:rsidRPr="52F164E3" w:rsidR="5AA68591">
              <w:rPr>
                <w:sz w:val="24"/>
                <w:szCs w:val="24"/>
              </w:rPr>
              <w:t>81.45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6F7743F6" w14:textId="0D68DB6B">
            <w:pPr>
              <w:jc w:val="right"/>
              <w:rPr>
                <w:b/>
                <w:bCs/>
                <w:sz w:val="24"/>
                <w:szCs w:val="24"/>
              </w:rPr>
            </w:pPr>
            <w:r w:rsidRPr="52F164E3">
              <w:rPr>
                <w:b/>
                <w:bCs/>
                <w:sz w:val="24"/>
                <w:szCs w:val="24"/>
              </w:rPr>
              <w:t>$3,</w:t>
            </w:r>
            <w:r w:rsidRPr="52F164E3" w:rsidR="6E92D4B8">
              <w:rPr>
                <w:b/>
                <w:bCs/>
                <w:sz w:val="24"/>
                <w:szCs w:val="24"/>
              </w:rPr>
              <w:t>258</w:t>
            </w:r>
          </w:p>
        </w:tc>
      </w:tr>
      <w:tr w14:paraId="0CF385A9"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6E3D3868" w14:textId="77777777">
            <w:pPr>
              <w:rPr>
                <w:rFonts w:cstheme="minorHAnsi"/>
                <w:sz w:val="24"/>
                <w:szCs w:val="24"/>
              </w:rPr>
            </w:pPr>
            <w:r w:rsidRPr="00CC2F5E">
              <w:rPr>
                <w:rFonts w:cstheme="minorHAnsi"/>
                <w:sz w:val="24"/>
                <w:szCs w:val="24"/>
              </w:rPr>
              <w:t>MIS Analysis &amp; Tracking</w:t>
            </w:r>
          </w:p>
        </w:tc>
        <w:tc>
          <w:tcPr>
            <w:tcW w:w="1710" w:type="dxa"/>
            <w:tcBorders>
              <w:top w:val="single" w:sz="8" w:space="0" w:color="auto"/>
              <w:left w:val="nil"/>
              <w:bottom w:val="single" w:sz="8" w:space="0" w:color="auto"/>
              <w:right w:val="single" w:sz="4" w:space="0" w:color="auto"/>
            </w:tcBorders>
          </w:tcPr>
          <w:p w:rsidR="006A624E" w:rsidRPr="00CC2F5E" w:rsidP="52F164E3" w14:paraId="3DA9F1CE" w14:textId="4E5BB0C9">
            <w:pPr>
              <w:jc w:val="right"/>
              <w:rPr>
                <w:rStyle w:val="CommentReference"/>
                <w:sz w:val="24"/>
                <w:szCs w:val="24"/>
              </w:rPr>
            </w:pPr>
            <w:r w:rsidRPr="52F164E3">
              <w:rPr>
                <w:rStyle w:val="CommentReference"/>
                <w:sz w:val="24"/>
                <w:szCs w:val="24"/>
              </w:rPr>
              <w:t>1</w:t>
            </w:r>
            <w:r w:rsidRPr="52F164E3" w:rsidR="5AA68591">
              <w:rPr>
                <w:rStyle w:val="CommentReference"/>
                <w:sz w:val="24"/>
                <w:szCs w:val="24"/>
              </w:rPr>
              <w:t>,</w:t>
            </w:r>
            <w:r w:rsidRPr="52F164E3">
              <w:rPr>
                <w:rStyle w:val="CommentReference"/>
                <w:sz w:val="24"/>
                <w:szCs w:val="24"/>
              </w:rPr>
              <w:t>005</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3BAE47C6" w14:textId="77777777">
            <w:pPr>
              <w:jc w:val="right"/>
              <w:rPr>
                <w:rFonts w:cstheme="minorHAnsi"/>
                <w:sz w:val="24"/>
                <w:szCs w:val="24"/>
              </w:rPr>
            </w:pPr>
            <w:r w:rsidRPr="00CC2F5E">
              <w:rPr>
                <w:rFonts w:cstheme="minorHAnsi"/>
                <w:sz w:val="24"/>
                <w:szCs w:val="24"/>
              </w:rPr>
              <w:t>0.50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CC2F5E" w:rsidP="52F164E3" w14:paraId="28044BE6" w14:textId="33DE3ACE">
            <w:pPr>
              <w:jc w:val="right"/>
              <w:rPr>
                <w:sz w:val="24"/>
                <w:szCs w:val="24"/>
              </w:rPr>
            </w:pPr>
            <w:r w:rsidRPr="52F164E3">
              <w:rPr>
                <w:sz w:val="24"/>
                <w:szCs w:val="24"/>
              </w:rPr>
              <w:t>$</w:t>
            </w:r>
            <w:r w:rsidRPr="52F164E3" w:rsidR="5AA68591">
              <w:rPr>
                <w:sz w:val="24"/>
                <w:szCs w:val="24"/>
              </w:rPr>
              <w:t>81.45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tcPr>
          <w:p w:rsidR="006A624E" w:rsidRPr="00CC2F5E" w:rsidP="52F164E3" w14:paraId="47E08FA5" w14:textId="245F4999">
            <w:pPr>
              <w:jc w:val="right"/>
              <w:rPr>
                <w:b/>
                <w:bCs/>
                <w:sz w:val="24"/>
                <w:szCs w:val="24"/>
              </w:rPr>
            </w:pPr>
            <w:r w:rsidRPr="52F164E3">
              <w:rPr>
                <w:b/>
                <w:bCs/>
                <w:sz w:val="24"/>
                <w:szCs w:val="24"/>
              </w:rPr>
              <w:t>$</w:t>
            </w:r>
            <w:r w:rsidRPr="52F164E3" w:rsidR="6E92D4B8">
              <w:rPr>
                <w:b/>
                <w:bCs/>
                <w:sz w:val="24"/>
                <w:szCs w:val="24"/>
              </w:rPr>
              <w:t>40,</w:t>
            </w:r>
            <w:r w:rsidRPr="52F164E3" w:rsidR="13261DC3">
              <w:rPr>
                <w:b/>
                <w:bCs/>
                <w:sz w:val="24"/>
                <w:szCs w:val="24"/>
              </w:rPr>
              <w:t>929</w:t>
            </w:r>
          </w:p>
        </w:tc>
      </w:tr>
      <w:tr w14:paraId="03670FDF"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755B5A44" w14:textId="77777777">
            <w:pPr>
              <w:rPr>
                <w:rFonts w:cstheme="minorHAnsi"/>
                <w:sz w:val="24"/>
                <w:szCs w:val="24"/>
              </w:rPr>
            </w:pPr>
            <w:r w:rsidRPr="00CC2F5E">
              <w:rPr>
                <w:rFonts w:cstheme="minorHAnsi"/>
                <w:sz w:val="24"/>
                <w:szCs w:val="24"/>
              </w:rPr>
              <w:t xml:space="preserve">MIS Data Entry </w:t>
            </w:r>
          </w:p>
        </w:tc>
        <w:tc>
          <w:tcPr>
            <w:tcW w:w="1710" w:type="dxa"/>
            <w:tcBorders>
              <w:top w:val="single" w:sz="8" w:space="0" w:color="auto"/>
              <w:left w:val="nil"/>
              <w:bottom w:val="single" w:sz="8" w:space="0" w:color="auto"/>
              <w:right w:val="single" w:sz="4" w:space="0" w:color="auto"/>
            </w:tcBorders>
          </w:tcPr>
          <w:p w:rsidR="006A624E" w:rsidRPr="00CC2F5E" w:rsidP="52F164E3" w14:paraId="4CA2D38B" w14:textId="55A37EDE">
            <w:pPr>
              <w:jc w:val="right"/>
              <w:rPr>
                <w:sz w:val="24"/>
                <w:szCs w:val="24"/>
              </w:rPr>
            </w:pPr>
            <w:r w:rsidRPr="52F164E3">
              <w:rPr>
                <w:sz w:val="24"/>
                <w:szCs w:val="24"/>
              </w:rPr>
              <w:t>1</w:t>
            </w:r>
            <w:r w:rsidRPr="52F164E3" w:rsidR="5AA68591">
              <w:rPr>
                <w:sz w:val="24"/>
                <w:szCs w:val="24"/>
              </w:rPr>
              <w:t>,</w:t>
            </w:r>
            <w:r w:rsidRPr="52F164E3">
              <w:rPr>
                <w:sz w:val="24"/>
                <w:szCs w:val="24"/>
              </w:rPr>
              <w:t>340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D9A6A9E" w14:textId="77777777">
            <w:pPr>
              <w:jc w:val="right"/>
              <w:rPr>
                <w:rFonts w:cstheme="minorHAnsi"/>
                <w:sz w:val="24"/>
                <w:szCs w:val="24"/>
              </w:rPr>
            </w:pPr>
            <w:r w:rsidRPr="00CC2F5E">
              <w:rPr>
                <w:rFonts w:cstheme="minorHAnsi"/>
                <w:sz w:val="24"/>
                <w:szCs w:val="24"/>
              </w:rPr>
              <w:t>0.25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47F8F12F" w14:textId="715B7726">
            <w:pPr>
              <w:jc w:val="right"/>
              <w:rPr>
                <w:sz w:val="24"/>
                <w:szCs w:val="24"/>
              </w:rPr>
            </w:pPr>
            <w:r w:rsidRPr="52F164E3">
              <w:rPr>
                <w:sz w:val="24"/>
                <w:szCs w:val="24"/>
              </w:rPr>
              <w:t>$</w:t>
            </w:r>
            <w:r w:rsidRPr="52F164E3" w:rsidR="5AA68591">
              <w:rPr>
                <w:sz w:val="24"/>
                <w:szCs w:val="24"/>
              </w:rPr>
              <w:t>81.45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34498459" w14:textId="3228F7B3">
            <w:pPr>
              <w:jc w:val="right"/>
              <w:rPr>
                <w:b/>
                <w:bCs/>
                <w:sz w:val="24"/>
                <w:szCs w:val="24"/>
              </w:rPr>
            </w:pPr>
            <w:r w:rsidRPr="52F164E3">
              <w:rPr>
                <w:b/>
                <w:bCs/>
                <w:sz w:val="24"/>
                <w:szCs w:val="24"/>
              </w:rPr>
              <w:t>$</w:t>
            </w:r>
            <w:r w:rsidRPr="52F164E3" w:rsidR="13261DC3">
              <w:rPr>
                <w:b/>
                <w:bCs/>
                <w:sz w:val="24"/>
                <w:szCs w:val="24"/>
              </w:rPr>
              <w:t>27,</w:t>
            </w:r>
            <w:r w:rsidRPr="52F164E3" w:rsidR="61155CCA">
              <w:rPr>
                <w:b/>
                <w:bCs/>
                <w:sz w:val="24"/>
                <w:szCs w:val="24"/>
              </w:rPr>
              <w:t>286</w:t>
            </w:r>
          </w:p>
        </w:tc>
      </w:tr>
      <w:tr w14:paraId="5E2DE6AF"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23D880B5" w14:textId="77777777">
            <w:pPr>
              <w:rPr>
                <w:rFonts w:cstheme="minorHAnsi"/>
                <w:b/>
                <w:sz w:val="24"/>
                <w:szCs w:val="24"/>
              </w:rPr>
            </w:pPr>
            <w:r w:rsidRPr="00CC2F5E">
              <w:rPr>
                <w:rFonts w:cstheme="minorHAnsi"/>
                <w:b/>
                <w:sz w:val="24"/>
                <w:szCs w:val="24"/>
              </w:rPr>
              <w:t>Total:</w:t>
            </w:r>
          </w:p>
        </w:tc>
        <w:tc>
          <w:tcPr>
            <w:tcW w:w="1710" w:type="dxa"/>
            <w:tcBorders>
              <w:top w:val="single" w:sz="4" w:space="0" w:color="auto"/>
              <w:left w:val="nil"/>
              <w:bottom w:val="single" w:sz="8" w:space="0" w:color="auto"/>
              <w:right w:val="single" w:sz="4" w:space="0" w:color="auto"/>
            </w:tcBorders>
          </w:tcPr>
          <w:p w:rsidR="006A624E" w:rsidRPr="00CC2F5E" w:rsidP="006A624E" w14:paraId="43CE570D" w14:textId="77777777">
            <w:pPr>
              <w:jc w:val="right"/>
              <w:rPr>
                <w:rFonts w:cstheme="minorHAnsi"/>
                <w:b/>
                <w:sz w:val="24"/>
                <w:szCs w:val="24"/>
              </w:rPr>
            </w:pP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5DEE6982" w14:textId="77777777">
            <w:pPr>
              <w:jc w:val="right"/>
              <w:rPr>
                <w:rFonts w:cstheme="minorHAnsi"/>
                <w:b/>
                <w:sz w:val="24"/>
                <w:szCs w:val="24"/>
              </w:rPr>
            </w:pP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1E528DA0" w14:textId="77777777">
            <w:pPr>
              <w:jc w:val="right"/>
              <w:rPr>
                <w:rFonts w:cstheme="minorHAnsi"/>
                <w:b/>
                <w:sz w:val="24"/>
                <w:szCs w:val="24"/>
              </w:rPr>
            </w:pP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52F164E3" w14:paraId="600FEE18" w14:textId="48FE24C6">
            <w:pPr>
              <w:jc w:val="right"/>
              <w:rPr>
                <w:b/>
                <w:bCs/>
                <w:sz w:val="24"/>
                <w:szCs w:val="24"/>
              </w:rPr>
            </w:pPr>
            <w:r w:rsidRPr="52F164E3">
              <w:rPr>
                <w:b/>
                <w:bCs/>
                <w:sz w:val="24"/>
                <w:szCs w:val="24"/>
              </w:rPr>
              <w:t>$</w:t>
            </w:r>
            <w:r w:rsidRPr="52F164E3" w:rsidR="315B91C0">
              <w:rPr>
                <w:b/>
                <w:bCs/>
                <w:sz w:val="24"/>
                <w:szCs w:val="24"/>
              </w:rPr>
              <w:t>84</w:t>
            </w:r>
            <w:r w:rsidRPr="52F164E3" w:rsidR="23B15ACD">
              <w:rPr>
                <w:b/>
                <w:bCs/>
                <w:sz w:val="24"/>
                <w:szCs w:val="24"/>
              </w:rPr>
              <w:t>,382</w:t>
            </w:r>
          </w:p>
        </w:tc>
      </w:tr>
    </w:tbl>
    <w:p w:rsidR="006A624E" w:rsidRPr="00CC2F5E" w:rsidP="006A624E" w14:paraId="21F7AADB" w14:textId="77777777">
      <w:pPr>
        <w:spacing w:after="0" w:line="240" w:lineRule="auto"/>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To prepare for the annual MIS reporting each year, the Drug Abatement Division works with the contractor to prepare the final list of all active companies.</w:t>
      </w:r>
    </w:p>
    <w:p w:rsidR="006A624E" w:rsidRPr="00CC2F5E" w:rsidP="006A624E" w14:paraId="356260E3" w14:textId="77777777">
      <w:pPr>
        <w:spacing w:after="0" w:line="240" w:lineRule="auto"/>
        <w:rPr>
          <w:rFonts w:ascii="Arial" w:hAnsi="Arial" w:cs="Arial"/>
          <w:sz w:val="24"/>
          <w:szCs w:val="24"/>
        </w:rPr>
      </w:pPr>
    </w:p>
    <w:p w:rsidR="006A624E" w:rsidRPr="00CC2F5E" w:rsidP="006A624E" w14:paraId="1A2BA954" w14:textId="6C8B2C59">
      <w:pPr>
        <w:spacing w:after="0" w:line="240" w:lineRule="auto"/>
        <w:rPr>
          <w:rFonts w:ascii="Arial" w:hAnsi="Arial" w:cs="Arial"/>
          <w:sz w:val="24"/>
          <w:szCs w:val="24"/>
        </w:rPr>
      </w:pPr>
      <w:r w:rsidRPr="00CC2F5E">
        <w:rPr>
          <w:rFonts w:ascii="Arial" w:hAnsi="Arial" w:cs="Arial"/>
          <w:sz w:val="24"/>
          <w:szCs w:val="24"/>
        </w:rPr>
        <w:t xml:space="preserve">A senior program analyst in the Drug Abatement Division finalizes the list and provides the notification letter for the </w:t>
      </w:r>
      <w:r w:rsidRPr="00CC2F5E" w:rsidR="00F01049">
        <w:rPr>
          <w:rFonts w:ascii="Arial" w:hAnsi="Arial" w:cs="Arial"/>
          <w:sz w:val="24"/>
          <w:szCs w:val="24"/>
        </w:rPr>
        <w:t>contractor and</w:t>
      </w:r>
      <w:r w:rsidRPr="00CC2F5E">
        <w:rPr>
          <w:rFonts w:ascii="Arial" w:hAnsi="Arial" w:cs="Arial"/>
          <w:sz w:val="24"/>
          <w:szCs w:val="24"/>
        </w:rPr>
        <w:t xml:space="preserve"> works with accounting to finalize the annual contract for approval. Once the steps are completed, the contractor sends out the notification to the respondents.</w:t>
      </w:r>
    </w:p>
    <w:p w:rsidR="006A624E" w:rsidRPr="00CC2F5E" w:rsidP="006A624E" w14:paraId="180BAC39" w14:textId="77777777">
      <w:pPr>
        <w:spacing w:after="0" w:line="240" w:lineRule="auto"/>
        <w:rPr>
          <w:rFonts w:ascii="Arial" w:hAnsi="Arial" w:cs="Arial"/>
          <w:sz w:val="24"/>
          <w:szCs w:val="24"/>
        </w:rPr>
      </w:pPr>
    </w:p>
    <w:p w:rsidR="006A624E" w:rsidRPr="00CC2F5E" w:rsidP="006A624E" w14:paraId="12DABCBC" w14:textId="534FF55B">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sidR="00370E85">
        <w:rPr>
          <w:rFonts w:ascii="Arial" w:hAnsi="Arial" w:cs="Arial"/>
          <w:sz w:val="24"/>
          <w:szCs w:val="24"/>
        </w:rPr>
        <w:t>59.78</w:t>
      </w:r>
      <w:r w:rsidRPr="00CC2F5E" w:rsidR="00370E85">
        <w:rPr>
          <w:rFonts w:ascii="Arial" w:hAnsi="Arial" w:cs="Arial"/>
          <w:sz w:val="24"/>
          <w:szCs w:val="24"/>
        </w:rPr>
        <w:t xml:space="preserve"> </w:t>
      </w:r>
      <w:r w:rsidRPr="00CC2F5E">
        <w:rPr>
          <w:rFonts w:ascii="Arial" w:hAnsi="Arial" w:cs="Arial"/>
          <w:sz w:val="24"/>
          <w:szCs w:val="24"/>
        </w:rPr>
        <w:t>per hour</w:t>
      </w:r>
      <w:r>
        <w:rPr>
          <w:rFonts w:ascii="Arial" w:hAnsi="Arial" w:cs="Arial"/>
          <w:sz w:val="24"/>
          <w:szCs w:val="24"/>
          <w:vertAlign w:val="superscript"/>
        </w:rPr>
        <w:footnoteReference w:id="11"/>
      </w:r>
      <w:r w:rsidRPr="00CC2F5E">
        <w:rPr>
          <w:sz w:val="16"/>
          <w:szCs w:val="16"/>
        </w:rPr>
        <w:t>.</w:t>
      </w:r>
      <w:r w:rsidRPr="00CC2F5E">
        <w:rPr>
          <w:rFonts w:ascii="Arial" w:hAnsi="Arial" w:cs="Arial"/>
          <w:sz w:val="24"/>
          <w:szCs w:val="24"/>
        </w:rPr>
        <w:t xml:space="preserve"> With overhead costs of </w:t>
      </w:r>
      <w:r w:rsidR="0053240C">
        <w:rPr>
          <w:rFonts w:ascii="Arial" w:hAnsi="Arial" w:cs="Arial"/>
          <w:sz w:val="24"/>
          <w:szCs w:val="24"/>
        </w:rPr>
        <w:t>36.25</w:t>
      </w:r>
      <w:r w:rsidRPr="00CC2F5E" w:rsidR="0053240C">
        <w:rPr>
          <w:rFonts w:ascii="Arial" w:hAnsi="Arial" w:cs="Arial"/>
          <w:sz w:val="24"/>
          <w:szCs w:val="24"/>
        </w:rPr>
        <w:t xml:space="preserve"> </w:t>
      </w:r>
      <w:r w:rsidRPr="00CC2F5E">
        <w:rPr>
          <w:rFonts w:ascii="Arial" w:hAnsi="Arial" w:cs="Arial"/>
          <w:sz w:val="24"/>
          <w:szCs w:val="24"/>
        </w:rPr>
        <w:t>percent added</w:t>
      </w:r>
      <w:r w:rsidR="00E6568F">
        <w:rPr>
          <w:rFonts w:ascii="Arial" w:hAnsi="Arial" w:cs="Arial"/>
          <w:sz w:val="24"/>
          <w:szCs w:val="24"/>
        </w:rPr>
        <w:t>,</w:t>
      </w:r>
      <w:r>
        <w:rPr>
          <w:rFonts w:ascii="Arial" w:hAnsi="Arial" w:cs="Arial"/>
          <w:sz w:val="24"/>
          <w:szCs w:val="24"/>
          <w:vertAlign w:val="superscript"/>
        </w:rPr>
        <w:footnoteReference w:id="12"/>
      </w:r>
      <w:r w:rsidRPr="00CC2F5E">
        <w:rPr>
          <w:rFonts w:ascii="Arial" w:hAnsi="Arial" w:cs="Arial"/>
          <w:sz w:val="24"/>
          <w:szCs w:val="24"/>
        </w:rPr>
        <w:t xml:space="preserve"> the total salary is $</w:t>
      </w:r>
      <w:r w:rsidR="00253B94">
        <w:rPr>
          <w:rFonts w:ascii="Arial" w:hAnsi="Arial" w:cs="Arial"/>
          <w:sz w:val="24"/>
          <w:szCs w:val="24"/>
        </w:rPr>
        <w:t>81.45</w:t>
      </w:r>
      <w:r w:rsidRPr="00CC2F5E">
        <w:rPr>
          <w:rFonts w:ascii="Arial" w:hAnsi="Arial" w:cs="Arial"/>
          <w:sz w:val="24"/>
          <w:szCs w:val="24"/>
        </w:rPr>
        <w:t xml:space="preserve"> per hour.</w:t>
      </w:r>
    </w:p>
    <w:p w:rsidR="006A624E" w:rsidRPr="00CC2F5E" w:rsidP="006A624E" w14:paraId="6C872A59" w14:textId="77777777">
      <w:pPr>
        <w:spacing w:after="0" w:line="240" w:lineRule="auto"/>
        <w:rPr>
          <w:rFonts w:ascii="Arial" w:hAnsi="Arial" w:cs="Arial"/>
          <w:sz w:val="24"/>
          <w:szCs w:val="24"/>
        </w:rPr>
      </w:pPr>
    </w:p>
    <w:p w:rsidR="006A624E" w:rsidRPr="00CC2F5E" w:rsidP="006A624E" w14:paraId="18707F10" w14:textId="37D9083D">
      <w:pPr>
        <w:spacing w:after="0" w:line="240" w:lineRule="auto"/>
        <w:rPr>
          <w:rFonts w:ascii="Arial" w:hAnsi="Arial" w:cs="Arial"/>
          <w:sz w:val="24"/>
          <w:szCs w:val="24"/>
        </w:rPr>
      </w:pPr>
      <w:r w:rsidRPr="00CC2F5E">
        <w:rPr>
          <w:rFonts w:ascii="Arial" w:hAnsi="Arial" w:cs="Arial"/>
          <w:sz w:val="24"/>
          <w:szCs w:val="24"/>
        </w:rPr>
        <w:t xml:space="preserve">After January 1, the reporting starts and the Drug Abatement Division’s senior program analyst provides access information, guidance on MIS reporting and tracks responses to ensure the information is reported. Communication with respondents happens </w:t>
      </w:r>
      <w:r w:rsidRPr="00CC2F5E" w:rsidR="00F01049">
        <w:rPr>
          <w:rFonts w:ascii="Arial" w:hAnsi="Arial" w:cs="Arial"/>
          <w:sz w:val="24"/>
          <w:szCs w:val="24"/>
        </w:rPr>
        <w:t>daily</w:t>
      </w:r>
      <w:r w:rsidRPr="00CC2F5E">
        <w:rPr>
          <w:rFonts w:ascii="Arial" w:hAnsi="Arial" w:cs="Arial"/>
          <w:sz w:val="24"/>
          <w:szCs w:val="24"/>
        </w:rPr>
        <w:t xml:space="preserve"> and requires an average of 30 minutes for each respondent.</w:t>
      </w:r>
    </w:p>
    <w:p w:rsidR="006A624E" w:rsidRPr="00CC2F5E" w:rsidP="006A624E" w14:paraId="2EC73D7D" w14:textId="77777777">
      <w:pPr>
        <w:spacing w:after="0" w:line="240" w:lineRule="auto"/>
        <w:rPr>
          <w:rFonts w:ascii="Arial" w:hAnsi="Arial" w:cs="Arial"/>
          <w:sz w:val="24"/>
          <w:szCs w:val="24"/>
        </w:rPr>
      </w:pPr>
    </w:p>
    <w:p w:rsidR="006A624E" w:rsidRPr="00CC2F5E" w:rsidP="006A624E" w14:paraId="2C8EB27D" w14:textId="3C775EF0">
      <w:pPr>
        <w:spacing w:after="0" w:line="240" w:lineRule="auto"/>
        <w:rPr>
          <w:rFonts w:ascii="Arial" w:hAnsi="Arial" w:cs="Arial"/>
          <w:sz w:val="24"/>
          <w:szCs w:val="24"/>
        </w:rPr>
      </w:pPr>
      <w:r w:rsidRPr="00CC2F5E">
        <w:rPr>
          <w:rFonts w:ascii="Arial" w:hAnsi="Arial" w:cs="Arial"/>
          <w:sz w:val="24"/>
          <w:szCs w:val="24"/>
        </w:rPr>
        <w:t>While most respondents submit their data electronically via DAMIS, about 20% still submit a paper copy via email or fax or United States Postal Service. The Drug Abatement Division’s senior program analyst enters the data directly into DAMIS. Each report takes approximately 15 minutes to enter.</w:t>
      </w:r>
    </w:p>
    <w:p w:rsidR="006A624E" w:rsidRPr="00CC2F5E" w:rsidP="006A624E" w14:paraId="79622339" w14:textId="77777777">
      <w:pPr>
        <w:rPr>
          <w:rFonts w:ascii="Arial" w:hAnsi="Arial" w:cs="Arial"/>
          <w:sz w:val="24"/>
          <w:szCs w:val="24"/>
        </w:rPr>
      </w:pPr>
    </w:p>
    <w:p w:rsidR="006A624E" w:rsidRPr="00CC2F5E" w:rsidP="006A624E" w14:paraId="44EE3C4A" w14:textId="29DE0B50">
      <w:pPr>
        <w:jc w:val="center"/>
        <w:rPr>
          <w:rFonts w:ascii="Arial" w:hAnsi="Arial" w:cs="Arial"/>
          <w:b/>
          <w:sz w:val="24"/>
          <w:szCs w:val="24"/>
        </w:rPr>
      </w:pPr>
      <w:r>
        <w:rPr>
          <w:rFonts w:ascii="Arial" w:hAnsi="Arial" w:cs="Arial"/>
          <w:b/>
          <w:sz w:val="24"/>
          <w:szCs w:val="24"/>
        </w:rPr>
        <w:t xml:space="preserve">Annual </w:t>
      </w:r>
      <w:r w:rsidRPr="00CC2F5E" w:rsidR="001014B4">
        <w:rPr>
          <w:rFonts w:ascii="Arial" w:hAnsi="Arial" w:cs="Arial"/>
          <w:b/>
          <w:sz w:val="24"/>
          <w:szCs w:val="24"/>
        </w:rPr>
        <w:t>Processing Violation &amp; Refusal Reports</w:t>
      </w:r>
    </w:p>
    <w:p w:rsidR="006A624E" w:rsidRPr="00CC2F5E" w:rsidP="006A624E" w14:paraId="028BC305" w14:textId="519BBFD6">
      <w:pPr>
        <w:rPr>
          <w:rFonts w:ascii="Arial" w:eastAsia="Times New Roman" w:hAnsi="Arial" w:cs="Arial"/>
          <w:sz w:val="24"/>
          <w:szCs w:val="24"/>
        </w:rPr>
      </w:pPr>
      <w:r w:rsidRPr="52F164E3">
        <w:rPr>
          <w:rFonts w:ascii="Arial" w:eastAsia="Times New Roman" w:hAnsi="Arial" w:cs="Arial"/>
          <w:sz w:val="24"/>
          <w:szCs w:val="24"/>
        </w:rPr>
        <w:t>The following are costs associated with the Drug Abatement Division processing reports of part 67 violations, refusals, and other non-certificated reporting between March 31, 2019</w:t>
      </w:r>
      <w:r w:rsidRPr="52F164E3" w:rsidR="00E6568F">
        <w:rPr>
          <w:rFonts w:ascii="Arial" w:eastAsia="Times New Roman" w:hAnsi="Arial" w:cs="Arial"/>
          <w:sz w:val="24"/>
          <w:szCs w:val="24"/>
        </w:rPr>
        <w:t>,</w:t>
      </w:r>
      <w:r w:rsidRPr="52F164E3">
        <w:rPr>
          <w:rFonts w:ascii="Arial" w:eastAsia="Times New Roman" w:hAnsi="Arial" w:cs="Arial"/>
          <w:sz w:val="24"/>
          <w:szCs w:val="24"/>
        </w:rPr>
        <w:t xml:space="preserve"> and March 31, 2020:</w:t>
      </w:r>
    </w:p>
    <w:tbl>
      <w:tblPr>
        <w:tblW w:w="8901" w:type="dxa"/>
        <w:tblInd w:w="-1" w:type="dxa"/>
        <w:tblCellMar>
          <w:left w:w="0" w:type="dxa"/>
          <w:right w:w="0" w:type="dxa"/>
        </w:tblCellMar>
        <w:tblLook w:val="04A0"/>
      </w:tblPr>
      <w:tblGrid>
        <w:gridCol w:w="2151"/>
        <w:gridCol w:w="1710"/>
        <w:gridCol w:w="1620"/>
        <w:gridCol w:w="1620"/>
        <w:gridCol w:w="1800"/>
      </w:tblGrid>
      <w:tr w14:paraId="443F0189"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6C54C04" w14:textId="77777777">
            <w:pPr>
              <w:rPr>
                <w:rFonts w:ascii="Arial" w:hAnsi="Arial" w:cs="Arial"/>
                <w:b/>
                <w:sz w:val="24"/>
                <w:szCs w:val="24"/>
              </w:rPr>
            </w:pPr>
            <w:r w:rsidRPr="00CC2F5E">
              <w:rPr>
                <w:rFonts w:ascii="Arial" w:hAnsi="Arial" w:cs="Arial"/>
                <w:b/>
                <w:sz w:val="24"/>
                <w:szCs w:val="24"/>
              </w:rPr>
              <w:t> Task</w:t>
            </w:r>
          </w:p>
        </w:tc>
        <w:tc>
          <w:tcPr>
            <w:tcW w:w="1710" w:type="dxa"/>
            <w:tcBorders>
              <w:top w:val="single" w:sz="4" w:space="0" w:color="auto"/>
              <w:left w:val="nil"/>
              <w:bottom w:val="single" w:sz="8" w:space="0" w:color="auto"/>
              <w:right w:val="single" w:sz="4" w:space="0" w:color="auto"/>
            </w:tcBorders>
          </w:tcPr>
          <w:p w:rsidR="006A624E" w:rsidRPr="00CC2F5E" w:rsidP="006A624E" w14:paraId="1A020DF3" w14:textId="77777777">
            <w:pPr>
              <w:rPr>
                <w:rFonts w:ascii="Arial" w:hAnsi="Arial" w:cs="Arial"/>
                <w:b/>
                <w:sz w:val="24"/>
                <w:szCs w:val="24"/>
              </w:rPr>
            </w:pPr>
            <w:r w:rsidRPr="00CC2F5E">
              <w:rPr>
                <w:rFonts w:ascii="Arial" w:hAnsi="Arial" w:cs="Arial"/>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5BDDDB3F" w14:textId="77777777">
            <w:pPr>
              <w:rPr>
                <w:rFonts w:ascii="Arial" w:hAnsi="Arial" w:cs="Arial"/>
                <w:b/>
                <w:sz w:val="24"/>
                <w:szCs w:val="24"/>
              </w:rPr>
            </w:pPr>
            <w:r w:rsidRPr="00CC2F5E">
              <w:rPr>
                <w:rFonts w:ascii="Arial" w:hAnsi="Arial" w:cs="Arial"/>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6930F406" w14:textId="77777777">
            <w:pPr>
              <w:rPr>
                <w:rFonts w:ascii="Arial" w:hAnsi="Arial" w:cs="Arial"/>
                <w:b/>
                <w:sz w:val="24"/>
                <w:szCs w:val="24"/>
              </w:rPr>
            </w:pPr>
            <w:r w:rsidRPr="00CC2F5E">
              <w:rPr>
                <w:rFonts w:ascii="Arial" w:hAnsi="Arial" w:cs="Arial"/>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160E78DA" w14:textId="77777777">
            <w:pPr>
              <w:jc w:val="center"/>
              <w:rPr>
                <w:rFonts w:ascii="Arial" w:hAnsi="Arial" w:cs="Arial"/>
                <w:b/>
                <w:sz w:val="24"/>
                <w:szCs w:val="24"/>
              </w:rPr>
            </w:pPr>
            <w:r w:rsidRPr="00CC2F5E">
              <w:rPr>
                <w:rFonts w:ascii="Arial" w:hAnsi="Arial" w:cs="Arial"/>
                <w:b/>
                <w:sz w:val="24"/>
                <w:szCs w:val="24"/>
              </w:rPr>
              <w:t>Total Cost</w:t>
            </w:r>
          </w:p>
        </w:tc>
      </w:tr>
      <w:tr w14:paraId="6C81B570"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402AC367" w14:textId="77777777">
            <w:pPr>
              <w:rPr>
                <w:rFonts w:ascii="Arial" w:hAnsi="Arial" w:cs="Arial"/>
                <w:sz w:val="24"/>
                <w:szCs w:val="24"/>
              </w:rPr>
            </w:pPr>
            <w:r w:rsidRPr="00CC2F5E">
              <w:rPr>
                <w:rFonts w:ascii="Arial" w:hAnsi="Arial" w:cs="Arial"/>
                <w:sz w:val="24"/>
                <w:szCs w:val="24"/>
              </w:rPr>
              <w:t xml:space="preserve">Processing required reports of drug and alcohol testing violations for part </w:t>
            </w:r>
            <w:r w:rsidRPr="00CC2F5E">
              <w:rPr>
                <w:rFonts w:ascii="Arial" w:hAnsi="Arial" w:cs="Arial"/>
                <w:sz w:val="24"/>
                <w:szCs w:val="24"/>
              </w:rPr>
              <w:t>67 medical certificate holders</w:t>
            </w:r>
          </w:p>
        </w:tc>
        <w:tc>
          <w:tcPr>
            <w:tcW w:w="1710" w:type="dxa"/>
            <w:tcBorders>
              <w:top w:val="single" w:sz="8" w:space="0" w:color="auto"/>
              <w:left w:val="nil"/>
              <w:bottom w:val="single" w:sz="8" w:space="0" w:color="auto"/>
              <w:right w:val="single" w:sz="4" w:space="0" w:color="auto"/>
            </w:tcBorders>
          </w:tcPr>
          <w:p w:rsidR="006A624E" w:rsidRPr="00CC2F5E" w:rsidP="006A624E" w14:paraId="43973011" w14:textId="77777777">
            <w:pPr>
              <w:jc w:val="right"/>
              <w:rPr>
                <w:rFonts w:ascii="Arial" w:hAnsi="Arial" w:cs="Arial"/>
                <w:sz w:val="24"/>
                <w:szCs w:val="24"/>
              </w:rPr>
            </w:pPr>
            <w:r w:rsidRPr="00CC2F5E">
              <w:rPr>
                <w:rFonts w:ascii="Arial" w:hAnsi="Arial" w:cs="Arial"/>
                <w:sz w:val="24"/>
                <w:szCs w:val="24"/>
              </w:rPr>
              <w:t>70</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1A1BDA5D"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3994E1A0" w14:textId="0E6E9656">
            <w:pPr>
              <w:jc w:val="right"/>
              <w:rPr>
                <w:rFonts w:ascii="Arial" w:hAnsi="Arial" w:cs="Arial"/>
                <w:sz w:val="24"/>
                <w:szCs w:val="24"/>
              </w:rPr>
            </w:pPr>
            <w:r w:rsidRPr="52F164E3">
              <w:rPr>
                <w:rFonts w:ascii="Arial" w:hAnsi="Arial" w:cs="Arial"/>
                <w:sz w:val="24"/>
                <w:szCs w:val="24"/>
              </w:rPr>
              <w:t>$</w:t>
            </w:r>
            <w:r w:rsidRPr="52F164E3" w:rsidR="104CB77F">
              <w:rPr>
                <w:rFonts w:ascii="Arial" w:hAnsi="Arial" w:cs="Arial"/>
                <w:sz w:val="24"/>
                <w:szCs w:val="24"/>
              </w:rPr>
              <w:t>46.08</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7E45B8" w:rsidRPr="00CC2F5E" w:rsidP="52F164E3" w14:paraId="1FA087AD" w14:textId="7F0C52DF">
            <w:pPr>
              <w:jc w:val="right"/>
              <w:rPr>
                <w:rFonts w:ascii="Arial" w:hAnsi="Arial" w:cs="Arial"/>
                <w:b/>
                <w:bCs/>
                <w:sz w:val="24"/>
                <w:szCs w:val="24"/>
              </w:rPr>
            </w:pPr>
            <w:r w:rsidRPr="52F164E3">
              <w:rPr>
                <w:rFonts w:ascii="Arial" w:hAnsi="Arial" w:cs="Arial"/>
                <w:b/>
                <w:bCs/>
                <w:sz w:val="24"/>
                <w:szCs w:val="24"/>
              </w:rPr>
              <w:t>$3,</w:t>
            </w:r>
            <w:r w:rsidRPr="52F164E3" w:rsidR="2C4844AF">
              <w:rPr>
                <w:rFonts w:ascii="Arial" w:hAnsi="Arial" w:cs="Arial"/>
                <w:b/>
                <w:bCs/>
                <w:sz w:val="24"/>
                <w:szCs w:val="24"/>
              </w:rPr>
              <w:t>226</w:t>
            </w:r>
          </w:p>
        </w:tc>
      </w:tr>
      <w:tr w14:paraId="34615F93"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471A6F5D" w14:textId="77777777">
            <w:pPr>
              <w:rPr>
                <w:rFonts w:ascii="Arial" w:hAnsi="Arial" w:cs="Arial"/>
                <w:sz w:val="24"/>
                <w:szCs w:val="24"/>
              </w:rPr>
            </w:pPr>
            <w:r w:rsidRPr="00CC2F5E">
              <w:rPr>
                <w:rFonts w:ascii="Arial" w:hAnsi="Arial" w:cs="Arial"/>
                <w:sz w:val="24"/>
                <w:szCs w:val="24"/>
              </w:rPr>
              <w:t>Processing voluntary reports of drug and alcohol testing violations for all other types of safety-sensitive employees</w:t>
            </w:r>
          </w:p>
        </w:tc>
        <w:tc>
          <w:tcPr>
            <w:tcW w:w="1710" w:type="dxa"/>
            <w:tcBorders>
              <w:top w:val="single" w:sz="8" w:space="0" w:color="auto"/>
              <w:left w:val="nil"/>
              <w:bottom w:val="single" w:sz="4" w:space="0" w:color="auto"/>
              <w:right w:val="single" w:sz="4" w:space="0" w:color="auto"/>
            </w:tcBorders>
          </w:tcPr>
          <w:p w:rsidR="006A624E" w:rsidRPr="00CC2F5E" w:rsidP="006A624E" w14:paraId="5C2F2F5B" w14:textId="77777777">
            <w:pPr>
              <w:jc w:val="right"/>
              <w:rPr>
                <w:rFonts w:ascii="Arial" w:hAnsi="Arial" w:cs="Arial"/>
                <w:sz w:val="24"/>
                <w:szCs w:val="24"/>
              </w:rPr>
            </w:pPr>
            <w:r w:rsidRPr="00CC2F5E">
              <w:rPr>
                <w:rFonts w:ascii="Arial" w:hAnsi="Arial" w:cs="Arial"/>
                <w:sz w:val="24"/>
                <w:szCs w:val="24"/>
              </w:rPr>
              <w:t>112</w:t>
            </w:r>
          </w:p>
        </w:tc>
        <w:tc>
          <w:tcPr>
            <w:tcW w:w="1620" w:type="dxa"/>
            <w:tcBorders>
              <w:top w:val="nil"/>
              <w:left w:val="single" w:sz="4" w:space="0" w:color="auto"/>
              <w:bottom w:val="single" w:sz="4" w:space="0" w:color="auto"/>
              <w:right w:val="single" w:sz="8" w:space="0" w:color="auto"/>
            </w:tcBorders>
            <w:noWrap/>
            <w:tcMar>
              <w:top w:w="0" w:type="dxa"/>
              <w:left w:w="108" w:type="dxa"/>
              <w:bottom w:w="0" w:type="dxa"/>
              <w:right w:w="108" w:type="dxa"/>
            </w:tcMar>
            <w:hideMark/>
          </w:tcPr>
          <w:p w:rsidR="006A624E" w:rsidRPr="00CC2F5E" w:rsidP="006A624E" w14:paraId="19389778"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CC2F5E" w:rsidP="006A624E" w14:paraId="2B178F2B" w14:textId="70811E7D">
            <w:pPr>
              <w:jc w:val="right"/>
              <w:rPr>
                <w:rFonts w:ascii="Arial" w:hAnsi="Arial" w:cs="Arial"/>
                <w:sz w:val="24"/>
                <w:szCs w:val="24"/>
              </w:rPr>
            </w:pPr>
            <w:r w:rsidRPr="52F164E3">
              <w:rPr>
                <w:rFonts w:ascii="Arial" w:hAnsi="Arial" w:cs="Arial"/>
                <w:sz w:val="24"/>
                <w:szCs w:val="24"/>
              </w:rPr>
              <w:t>$</w:t>
            </w:r>
            <w:r w:rsidRPr="52F164E3" w:rsidR="104CB77F">
              <w:rPr>
                <w:rFonts w:ascii="Arial" w:hAnsi="Arial" w:cs="Arial"/>
                <w:sz w:val="24"/>
                <w:szCs w:val="24"/>
              </w:rPr>
              <w:t>46.08</w:t>
            </w:r>
          </w:p>
        </w:tc>
        <w:tc>
          <w:tcPr>
            <w:tcW w:w="1800" w:type="dxa"/>
            <w:tcBorders>
              <w:top w:val="nil"/>
              <w:left w:val="nil"/>
              <w:bottom w:val="single" w:sz="4" w:space="0" w:color="auto"/>
              <w:right w:val="single" w:sz="8" w:space="0" w:color="auto"/>
            </w:tcBorders>
            <w:noWrap/>
            <w:tcMar>
              <w:top w:w="0" w:type="dxa"/>
              <w:left w:w="108" w:type="dxa"/>
              <w:bottom w:w="0" w:type="dxa"/>
              <w:right w:w="108" w:type="dxa"/>
            </w:tcMar>
            <w:hideMark/>
          </w:tcPr>
          <w:p w:rsidR="006A624E" w:rsidRPr="00CC2F5E" w:rsidP="52F164E3" w14:paraId="41DC1D6B" w14:textId="7DA052F0">
            <w:pPr>
              <w:jc w:val="right"/>
              <w:rPr>
                <w:rFonts w:ascii="Arial" w:hAnsi="Arial" w:cs="Arial"/>
                <w:b/>
                <w:bCs/>
                <w:sz w:val="24"/>
                <w:szCs w:val="24"/>
              </w:rPr>
            </w:pPr>
            <w:r w:rsidRPr="52F164E3">
              <w:rPr>
                <w:rFonts w:ascii="Arial" w:hAnsi="Arial" w:cs="Arial"/>
                <w:b/>
                <w:bCs/>
                <w:sz w:val="24"/>
                <w:szCs w:val="24"/>
              </w:rPr>
              <w:t>$</w:t>
            </w:r>
            <w:r w:rsidRPr="52F164E3" w:rsidR="2C4844AF">
              <w:rPr>
                <w:rFonts w:ascii="Arial" w:hAnsi="Arial" w:cs="Arial"/>
                <w:b/>
                <w:bCs/>
                <w:sz w:val="24"/>
                <w:szCs w:val="24"/>
              </w:rPr>
              <w:t>5,161</w:t>
            </w:r>
          </w:p>
        </w:tc>
      </w:tr>
      <w:tr w14:paraId="0B46D400"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169C4BBE" w14:textId="77777777">
            <w:pPr>
              <w:rPr>
                <w:rFonts w:ascii="Arial" w:hAnsi="Arial" w:cs="Arial"/>
                <w:sz w:val="24"/>
                <w:szCs w:val="24"/>
              </w:rPr>
            </w:pPr>
            <w:r w:rsidRPr="00CC2F5E">
              <w:rPr>
                <w:rFonts w:ascii="Arial" w:hAnsi="Arial" w:cs="Arial"/>
                <w:sz w:val="24"/>
                <w:szCs w:val="24"/>
              </w:rPr>
              <w:t>Processing required reports of drug and alcohol refusals by part 61, 63, 65 certificate holders</w:t>
            </w:r>
          </w:p>
        </w:tc>
        <w:tc>
          <w:tcPr>
            <w:tcW w:w="1710" w:type="dxa"/>
            <w:tcBorders>
              <w:top w:val="single" w:sz="4" w:space="0" w:color="auto"/>
              <w:left w:val="single" w:sz="4" w:space="0" w:color="auto"/>
              <w:bottom w:val="single" w:sz="4" w:space="0" w:color="auto"/>
              <w:right w:val="single" w:sz="4" w:space="0" w:color="auto"/>
            </w:tcBorders>
          </w:tcPr>
          <w:p w:rsidR="006A624E" w:rsidRPr="00CC2F5E" w:rsidP="006A624E" w14:paraId="05127A7D" w14:textId="77777777">
            <w:pPr>
              <w:jc w:val="right"/>
              <w:rPr>
                <w:rFonts w:ascii="Arial" w:hAnsi="Arial" w:cs="Arial"/>
                <w:sz w:val="24"/>
                <w:szCs w:val="24"/>
              </w:rPr>
            </w:pPr>
            <w:r w:rsidRPr="00CC2F5E">
              <w:rPr>
                <w:rFonts w:ascii="Arial" w:hAnsi="Arial" w:cs="Arial"/>
                <w:sz w:val="24"/>
                <w:szCs w:val="24"/>
              </w:rPr>
              <w:t>47</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30F1C54F"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006A624E" w14:paraId="462B2E82" w14:textId="5BBE8BC3">
            <w:pPr>
              <w:jc w:val="right"/>
              <w:rPr>
                <w:rFonts w:ascii="Arial" w:hAnsi="Arial" w:cs="Arial"/>
                <w:sz w:val="24"/>
                <w:szCs w:val="24"/>
              </w:rPr>
            </w:pPr>
            <w:r w:rsidRPr="52F164E3">
              <w:rPr>
                <w:rFonts w:ascii="Arial" w:hAnsi="Arial" w:cs="Arial"/>
                <w:sz w:val="24"/>
                <w:szCs w:val="24"/>
              </w:rPr>
              <w:t>$</w:t>
            </w:r>
            <w:r w:rsidRPr="52F164E3" w:rsidR="104CB77F">
              <w:rPr>
                <w:rFonts w:ascii="Arial" w:hAnsi="Arial" w:cs="Arial"/>
                <w:sz w:val="24"/>
                <w:szCs w:val="24"/>
              </w:rPr>
              <w:t>46.08</w:t>
            </w:r>
          </w:p>
        </w:tc>
        <w:tc>
          <w:tcPr>
            <w:tcW w:w="18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6A624E" w:rsidRPr="00CC2F5E" w:rsidP="52F164E3" w14:paraId="01A3FDA8" w14:textId="144999C0">
            <w:pPr>
              <w:jc w:val="right"/>
              <w:rPr>
                <w:rFonts w:ascii="Arial" w:hAnsi="Arial" w:cs="Arial"/>
                <w:b/>
                <w:bCs/>
                <w:sz w:val="24"/>
                <w:szCs w:val="24"/>
              </w:rPr>
            </w:pPr>
            <w:r w:rsidRPr="52F164E3">
              <w:rPr>
                <w:rFonts w:ascii="Arial" w:hAnsi="Arial" w:cs="Arial"/>
                <w:b/>
                <w:bCs/>
                <w:sz w:val="24"/>
                <w:szCs w:val="24"/>
              </w:rPr>
              <w:t>$</w:t>
            </w:r>
            <w:r w:rsidRPr="52F164E3" w:rsidR="1FAF3AEA">
              <w:rPr>
                <w:rFonts w:ascii="Arial" w:hAnsi="Arial" w:cs="Arial"/>
                <w:b/>
                <w:bCs/>
                <w:sz w:val="24"/>
                <w:szCs w:val="24"/>
              </w:rPr>
              <w:t>2,</w:t>
            </w:r>
            <w:r w:rsidRPr="52F164E3" w:rsidR="2C4844AF">
              <w:rPr>
                <w:rFonts w:ascii="Arial" w:hAnsi="Arial" w:cs="Arial"/>
                <w:b/>
                <w:bCs/>
                <w:sz w:val="24"/>
                <w:szCs w:val="24"/>
              </w:rPr>
              <w:t>166</w:t>
            </w:r>
          </w:p>
        </w:tc>
      </w:tr>
      <w:tr w14:paraId="1C70B6CF"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373FBFCB" w14:textId="77777777">
            <w:pPr>
              <w:rPr>
                <w:rFonts w:ascii="Arial" w:hAnsi="Arial" w:cs="Arial"/>
                <w:sz w:val="24"/>
                <w:szCs w:val="24"/>
              </w:rPr>
            </w:pPr>
            <w:r w:rsidRPr="00CC2F5E">
              <w:rPr>
                <w:rFonts w:ascii="Arial" w:hAnsi="Arial" w:cs="Arial"/>
                <w:sz w:val="24"/>
                <w:szCs w:val="24"/>
              </w:rPr>
              <w:t>Processing voluntary reports of drug and alcohol refusals by all other types of safety-sensitive employees</w:t>
            </w:r>
          </w:p>
        </w:tc>
        <w:tc>
          <w:tcPr>
            <w:tcW w:w="1710" w:type="dxa"/>
            <w:tcBorders>
              <w:top w:val="single" w:sz="4" w:space="0" w:color="auto"/>
              <w:left w:val="nil"/>
              <w:bottom w:val="single" w:sz="8" w:space="0" w:color="auto"/>
              <w:right w:val="single" w:sz="4" w:space="0" w:color="auto"/>
            </w:tcBorders>
          </w:tcPr>
          <w:p w:rsidR="006A624E" w:rsidRPr="00CC2F5E" w:rsidP="006A624E" w14:paraId="23ADB224" w14:textId="77777777">
            <w:pPr>
              <w:jc w:val="right"/>
              <w:rPr>
                <w:rFonts w:ascii="Arial" w:hAnsi="Arial" w:cs="Arial"/>
                <w:sz w:val="24"/>
                <w:szCs w:val="24"/>
              </w:rPr>
            </w:pPr>
            <w:r w:rsidRPr="00CC2F5E">
              <w:rPr>
                <w:rFonts w:ascii="Arial" w:hAnsi="Arial" w:cs="Arial"/>
                <w:sz w:val="24"/>
                <w:szCs w:val="24"/>
              </w:rPr>
              <w:t>14</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tcPr>
          <w:p w:rsidR="006A624E" w:rsidRPr="00CC2F5E" w:rsidP="006A624E" w14:paraId="5997D3B6" w14:textId="77777777">
            <w:pPr>
              <w:jc w:val="right"/>
              <w:rPr>
                <w:rFonts w:ascii="Arial" w:hAnsi="Arial" w:cs="Arial"/>
                <w:sz w:val="24"/>
                <w:szCs w:val="24"/>
              </w:rPr>
            </w:pPr>
            <w:r w:rsidRPr="00CC2F5E">
              <w:rPr>
                <w:rFonts w:ascii="Arial" w:hAnsi="Arial" w:cs="Arial"/>
                <w:sz w:val="24"/>
                <w:szCs w:val="24"/>
              </w:rPr>
              <w:t>1</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006A624E" w14:paraId="30A1D5A5" w14:textId="5480C890">
            <w:pPr>
              <w:jc w:val="right"/>
              <w:rPr>
                <w:rFonts w:ascii="Arial" w:hAnsi="Arial" w:cs="Arial"/>
                <w:sz w:val="24"/>
                <w:szCs w:val="24"/>
              </w:rPr>
            </w:pPr>
            <w:r w:rsidRPr="52F164E3">
              <w:rPr>
                <w:rFonts w:ascii="Arial" w:hAnsi="Arial" w:cs="Arial"/>
                <w:sz w:val="24"/>
                <w:szCs w:val="24"/>
              </w:rPr>
              <w:t>$</w:t>
            </w:r>
            <w:r w:rsidRPr="52F164E3" w:rsidR="104CB77F">
              <w:rPr>
                <w:rFonts w:ascii="Arial" w:hAnsi="Arial" w:cs="Arial"/>
                <w:sz w:val="24"/>
                <w:szCs w:val="24"/>
              </w:rPr>
              <w:t>46.08</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rsidR="006A624E" w:rsidRPr="00CC2F5E" w:rsidP="52F164E3" w14:paraId="4B8DDD54" w14:textId="003A4EE4">
            <w:pPr>
              <w:jc w:val="right"/>
              <w:rPr>
                <w:rFonts w:ascii="Arial" w:hAnsi="Arial" w:cs="Arial"/>
                <w:b/>
                <w:bCs/>
                <w:sz w:val="24"/>
                <w:szCs w:val="24"/>
              </w:rPr>
            </w:pPr>
            <w:r w:rsidRPr="52F164E3">
              <w:rPr>
                <w:rFonts w:ascii="Arial" w:hAnsi="Arial" w:cs="Arial"/>
                <w:b/>
                <w:bCs/>
                <w:sz w:val="24"/>
                <w:szCs w:val="24"/>
              </w:rPr>
              <w:t>$</w:t>
            </w:r>
            <w:r w:rsidRPr="52F164E3" w:rsidR="1FAF3AEA">
              <w:rPr>
                <w:rFonts w:ascii="Arial" w:hAnsi="Arial" w:cs="Arial"/>
                <w:b/>
                <w:bCs/>
                <w:sz w:val="24"/>
                <w:szCs w:val="24"/>
              </w:rPr>
              <w:t>6</w:t>
            </w:r>
            <w:r w:rsidRPr="52F164E3" w:rsidR="2C4844AF">
              <w:rPr>
                <w:rFonts w:ascii="Arial" w:hAnsi="Arial" w:cs="Arial"/>
                <w:b/>
                <w:bCs/>
                <w:sz w:val="24"/>
                <w:szCs w:val="24"/>
              </w:rPr>
              <w:t>4</w:t>
            </w:r>
            <w:r w:rsidRPr="52F164E3" w:rsidR="1FAF3AEA">
              <w:rPr>
                <w:rFonts w:ascii="Arial" w:hAnsi="Arial" w:cs="Arial"/>
                <w:b/>
                <w:bCs/>
                <w:sz w:val="24"/>
                <w:szCs w:val="24"/>
              </w:rPr>
              <w:t>5</w:t>
            </w:r>
          </w:p>
        </w:tc>
      </w:tr>
      <w:tr w14:paraId="00F48CE3"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2B21EE21" w14:textId="77777777">
            <w:pPr>
              <w:rPr>
                <w:rFonts w:ascii="Arial" w:hAnsi="Arial" w:cs="Arial"/>
                <w:b/>
                <w:sz w:val="24"/>
                <w:szCs w:val="24"/>
              </w:rPr>
            </w:pPr>
            <w:r w:rsidRPr="00CC2F5E">
              <w:rPr>
                <w:rFonts w:ascii="Arial" w:hAnsi="Arial" w:cs="Arial"/>
                <w:b/>
                <w:sz w:val="24"/>
                <w:szCs w:val="24"/>
              </w:rPr>
              <w:t>Total</w:t>
            </w:r>
          </w:p>
        </w:tc>
        <w:tc>
          <w:tcPr>
            <w:tcW w:w="1710" w:type="dxa"/>
            <w:tcBorders>
              <w:top w:val="single" w:sz="8" w:space="0" w:color="auto"/>
              <w:left w:val="nil"/>
              <w:bottom w:val="single" w:sz="8" w:space="0" w:color="auto"/>
              <w:right w:val="single" w:sz="4" w:space="0" w:color="auto"/>
            </w:tcBorders>
          </w:tcPr>
          <w:p w:rsidR="006A624E" w:rsidRPr="00CC2F5E" w:rsidP="006A624E" w14:paraId="4FB9340A" w14:textId="77777777">
            <w:pPr>
              <w:jc w:val="right"/>
              <w:rPr>
                <w:rFonts w:ascii="Arial" w:hAnsi="Arial" w:cs="Arial"/>
                <w:b/>
                <w:sz w:val="24"/>
                <w:szCs w:val="24"/>
              </w:rPr>
            </w:pP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6A624E" w:rsidRPr="00CC2F5E" w:rsidP="006A624E" w14:paraId="0F0E4B7D" w14:textId="77777777">
            <w:pPr>
              <w:jc w:val="right"/>
              <w:rPr>
                <w:rFonts w:ascii="Arial" w:hAnsi="Arial" w:cs="Arial"/>
                <w:b/>
                <w:sz w:val="24"/>
                <w:szCs w:val="24"/>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006A624E" w14:paraId="3272A472" w14:textId="77777777">
            <w:pPr>
              <w:jc w:val="right"/>
              <w:rPr>
                <w:rFonts w:ascii="Arial" w:hAnsi="Arial" w:cs="Arial"/>
                <w:b/>
                <w:sz w:val="24"/>
                <w:szCs w:val="24"/>
              </w:rPr>
            </w:pP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6A624E" w:rsidRPr="00CC2F5E" w:rsidP="52F164E3" w14:paraId="731B7F6E" w14:textId="1CEF2F6D">
            <w:pPr>
              <w:jc w:val="right"/>
              <w:rPr>
                <w:rFonts w:ascii="Arial" w:hAnsi="Arial" w:cs="Arial"/>
                <w:b/>
                <w:bCs/>
                <w:sz w:val="24"/>
                <w:szCs w:val="24"/>
              </w:rPr>
            </w:pPr>
            <w:r w:rsidRPr="52F164E3">
              <w:rPr>
                <w:rFonts w:ascii="Arial" w:hAnsi="Arial" w:cs="Arial"/>
                <w:b/>
                <w:bCs/>
                <w:sz w:val="24"/>
                <w:szCs w:val="24"/>
              </w:rPr>
              <w:t>$</w:t>
            </w:r>
            <w:r w:rsidRPr="52F164E3" w:rsidR="1FAF3AEA">
              <w:rPr>
                <w:rFonts w:ascii="Arial" w:hAnsi="Arial" w:cs="Arial"/>
                <w:b/>
                <w:bCs/>
                <w:sz w:val="24"/>
                <w:szCs w:val="24"/>
              </w:rPr>
              <w:t>1</w:t>
            </w:r>
            <w:r w:rsidRPr="52F164E3" w:rsidR="2C4844AF">
              <w:rPr>
                <w:rFonts w:ascii="Arial" w:hAnsi="Arial" w:cs="Arial"/>
                <w:b/>
                <w:bCs/>
                <w:sz w:val="24"/>
                <w:szCs w:val="24"/>
              </w:rPr>
              <w:t>1,</w:t>
            </w:r>
            <w:r w:rsidRPr="52F164E3" w:rsidR="4B7C7C21">
              <w:rPr>
                <w:rFonts w:ascii="Arial" w:hAnsi="Arial" w:cs="Arial"/>
                <w:b/>
                <w:bCs/>
                <w:sz w:val="24"/>
                <w:szCs w:val="24"/>
              </w:rPr>
              <w:t>197</w:t>
            </w:r>
          </w:p>
        </w:tc>
      </w:tr>
    </w:tbl>
    <w:p w:rsidR="006A624E" w:rsidRPr="00CC2F5E" w:rsidP="006A624E" w14:paraId="40CD7F8F" w14:textId="77777777">
      <w:pPr>
        <w:rPr>
          <w:rFonts w:ascii="Arial"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Upon receipt of a required or voluntary report, a junior compliance investigator in the Drug Abatement Division conducts a review to determine if the information is sufficient and verifies the certificate information, if applicable. The information is entered into CETS and the Drug Abatement Division’s local tracking tool for assignment to a special investigator.</w:t>
      </w:r>
    </w:p>
    <w:p w:rsidR="006A624E" w:rsidRPr="00CC2F5E" w:rsidP="006A624E" w14:paraId="26A37967" w14:textId="05C478E5">
      <w:pPr>
        <w:spacing w:after="0" w:line="240" w:lineRule="auto"/>
        <w:rPr>
          <w:rFonts w:ascii="Arial" w:hAnsi="Arial" w:cs="Arial"/>
          <w:sz w:val="24"/>
          <w:szCs w:val="24"/>
        </w:rPr>
      </w:pPr>
      <w:r w:rsidRPr="00CC2F5E">
        <w:rPr>
          <w:rFonts w:ascii="Arial" w:eastAsia="Times New Roman" w:hAnsi="Arial" w:cs="Arial"/>
          <w:sz w:val="24"/>
          <w:szCs w:val="24"/>
        </w:rPr>
        <w:t xml:space="preserve">The junior compliance investigator’s salary used to calculate this is equivalent to a GS-12 Salary </w:t>
      </w:r>
      <w:r w:rsidRPr="00CC2F5E">
        <w:rPr>
          <w:rFonts w:ascii="Arial" w:hAnsi="Arial" w:cs="Arial"/>
          <w:sz w:val="24"/>
          <w:szCs w:val="24"/>
        </w:rPr>
        <w:t>(GS-12, Step 2 hourly wage) for a wage of $3</w:t>
      </w:r>
      <w:r w:rsidR="005206CF">
        <w:rPr>
          <w:rFonts w:ascii="Arial" w:hAnsi="Arial" w:cs="Arial"/>
          <w:sz w:val="24"/>
          <w:szCs w:val="24"/>
        </w:rPr>
        <w:t>3.82</w:t>
      </w:r>
      <w:r w:rsidR="0053240C">
        <w:rPr>
          <w:rFonts w:ascii="Arial" w:hAnsi="Arial" w:cs="Arial"/>
          <w:sz w:val="24"/>
          <w:szCs w:val="24"/>
        </w:rPr>
        <w:t xml:space="preserve"> </w:t>
      </w:r>
      <w:r w:rsidRPr="00CC2F5E">
        <w:rPr>
          <w:rFonts w:ascii="Arial" w:hAnsi="Arial" w:cs="Arial"/>
          <w:sz w:val="24"/>
          <w:szCs w:val="24"/>
        </w:rPr>
        <w:t>per hour</w:t>
      </w:r>
      <w:r w:rsidR="00E6568F">
        <w:rPr>
          <w:rFonts w:ascii="Arial" w:hAnsi="Arial" w:cs="Arial"/>
          <w:sz w:val="24"/>
          <w:szCs w:val="24"/>
        </w:rPr>
        <w:t>.</w:t>
      </w:r>
      <w:r>
        <w:rPr>
          <w:rFonts w:ascii="Arial" w:hAnsi="Arial" w:cs="Arial"/>
          <w:sz w:val="24"/>
          <w:szCs w:val="24"/>
          <w:vertAlign w:val="superscript"/>
        </w:rPr>
        <w:footnoteReference w:id="13"/>
      </w:r>
      <w:r w:rsidRPr="00CC2F5E">
        <w:rPr>
          <w:rFonts w:ascii="Arial" w:hAnsi="Arial" w:cs="Arial"/>
          <w:sz w:val="24"/>
          <w:szCs w:val="24"/>
        </w:rPr>
        <w:t xml:space="preserve">  With overhead costs of </w:t>
      </w:r>
      <w:r w:rsidR="0053240C">
        <w:rPr>
          <w:rFonts w:ascii="Arial" w:hAnsi="Arial" w:cs="Arial"/>
          <w:sz w:val="24"/>
          <w:szCs w:val="24"/>
        </w:rPr>
        <w:t>36.25</w:t>
      </w:r>
      <w:r w:rsidRPr="00CC2F5E" w:rsidR="0053240C">
        <w:rPr>
          <w:rFonts w:ascii="Arial" w:hAnsi="Arial" w:cs="Arial"/>
          <w:sz w:val="24"/>
          <w:szCs w:val="24"/>
        </w:rPr>
        <w:t xml:space="preserve"> </w:t>
      </w:r>
      <w:r w:rsidRPr="00CC2F5E">
        <w:rPr>
          <w:rFonts w:ascii="Arial" w:hAnsi="Arial" w:cs="Arial"/>
          <w:sz w:val="24"/>
          <w:szCs w:val="24"/>
        </w:rPr>
        <w:t>percent added</w:t>
      </w:r>
      <w:r w:rsidR="00E6568F">
        <w:rPr>
          <w:rFonts w:ascii="Arial" w:hAnsi="Arial" w:cs="Arial"/>
          <w:sz w:val="24"/>
          <w:szCs w:val="24"/>
        </w:rPr>
        <w:t>,</w:t>
      </w:r>
      <w:r>
        <w:rPr>
          <w:rStyle w:val="FootnoteReference"/>
          <w:rFonts w:ascii="Arial" w:hAnsi="Arial" w:cs="Arial"/>
          <w:sz w:val="24"/>
          <w:szCs w:val="24"/>
        </w:rPr>
        <w:footnoteReference w:id="14"/>
      </w:r>
      <w:r w:rsidRPr="00CC2F5E">
        <w:rPr>
          <w:rFonts w:ascii="Arial" w:hAnsi="Arial" w:cs="Arial"/>
          <w:sz w:val="24"/>
          <w:szCs w:val="24"/>
        </w:rPr>
        <w:t xml:space="preserve"> the total salary is $</w:t>
      </w:r>
      <w:r w:rsidR="003003FD">
        <w:rPr>
          <w:rFonts w:ascii="Arial" w:hAnsi="Arial" w:cs="Arial"/>
          <w:sz w:val="24"/>
          <w:szCs w:val="24"/>
        </w:rPr>
        <w:t>46.08</w:t>
      </w:r>
      <w:r w:rsidRPr="00CC2F5E">
        <w:rPr>
          <w:rFonts w:ascii="Arial" w:hAnsi="Arial" w:cs="Arial"/>
          <w:sz w:val="24"/>
          <w:szCs w:val="24"/>
        </w:rPr>
        <w:t xml:space="preserve"> per hour.</w:t>
      </w:r>
    </w:p>
    <w:p w:rsidR="006A624E" w:rsidRPr="00CC2F5E" w:rsidP="006A624E" w14:paraId="68752B4C" w14:textId="77777777">
      <w:pPr>
        <w:rPr>
          <w:rFonts w:ascii="Arial" w:hAnsi="Arial" w:cs="Arial"/>
          <w:sz w:val="24"/>
          <w:szCs w:val="24"/>
        </w:rPr>
      </w:pPr>
    </w:p>
    <w:p w:rsidR="00A318DC" w:rsidP="63EAB113" w14:paraId="7A21ECCD" w14:textId="2B60061E">
      <w:pPr>
        <w:rPr>
          <w:rFonts w:ascii="Arial" w:hAnsi="Arial" w:cs="Arial"/>
          <w:b/>
          <w:bCs/>
          <w:sz w:val="24"/>
          <w:szCs w:val="24"/>
        </w:rPr>
      </w:pPr>
      <w:r w:rsidRPr="52F164E3">
        <w:rPr>
          <w:rFonts w:ascii="Arial" w:hAnsi="Arial" w:cs="Arial"/>
          <w:b/>
          <w:bCs/>
          <w:sz w:val="24"/>
          <w:szCs w:val="24"/>
        </w:rPr>
        <w:t xml:space="preserve">Annual </w:t>
      </w:r>
      <w:r w:rsidRPr="52F164E3" w:rsidR="001014B4">
        <w:rPr>
          <w:rFonts w:ascii="Arial" w:hAnsi="Arial" w:cs="Arial"/>
          <w:b/>
          <w:bCs/>
          <w:sz w:val="24"/>
          <w:szCs w:val="24"/>
        </w:rPr>
        <w:t>Total</w:t>
      </w:r>
      <w:r w:rsidRPr="52F164E3" w:rsidR="00A15B4A">
        <w:rPr>
          <w:rFonts w:ascii="Arial" w:hAnsi="Arial" w:cs="Arial"/>
          <w:b/>
          <w:bCs/>
          <w:sz w:val="24"/>
          <w:szCs w:val="24"/>
        </w:rPr>
        <w:t xml:space="preserve"> </w:t>
      </w:r>
      <w:r w:rsidRPr="52F164E3" w:rsidR="1531B9B2">
        <w:rPr>
          <w:rFonts w:ascii="Arial" w:hAnsi="Arial" w:cs="Arial"/>
          <w:b/>
          <w:bCs/>
          <w:sz w:val="24"/>
          <w:szCs w:val="24"/>
        </w:rPr>
        <w:t>Currently Regulated Employers</w:t>
      </w:r>
      <w:r w:rsidRPr="52F164E3" w:rsidR="001014B4">
        <w:rPr>
          <w:rFonts w:ascii="Arial" w:hAnsi="Arial" w:cs="Arial"/>
          <w:b/>
          <w:bCs/>
          <w:sz w:val="24"/>
          <w:szCs w:val="24"/>
        </w:rPr>
        <w:t xml:space="preserve"> Cost to the Federal Government:  $</w:t>
      </w:r>
      <w:r w:rsidRPr="52F164E3" w:rsidR="00B65810">
        <w:rPr>
          <w:rFonts w:ascii="Arial" w:hAnsi="Arial" w:cs="Arial"/>
          <w:b/>
          <w:bCs/>
          <w:sz w:val="24"/>
          <w:szCs w:val="24"/>
        </w:rPr>
        <w:t>2</w:t>
      </w:r>
      <w:r w:rsidRPr="52F164E3" w:rsidR="00C73912">
        <w:rPr>
          <w:rFonts w:ascii="Arial" w:hAnsi="Arial" w:cs="Arial"/>
          <w:b/>
          <w:bCs/>
          <w:sz w:val="24"/>
          <w:szCs w:val="24"/>
        </w:rPr>
        <w:t>37</w:t>
      </w:r>
      <w:r w:rsidRPr="52F164E3" w:rsidR="00F2186A">
        <w:rPr>
          <w:rFonts w:ascii="Arial" w:hAnsi="Arial" w:cs="Arial"/>
          <w:b/>
          <w:bCs/>
          <w:sz w:val="24"/>
          <w:szCs w:val="24"/>
        </w:rPr>
        <w:t>,</w:t>
      </w:r>
      <w:r w:rsidRPr="52F164E3" w:rsidR="00C73912">
        <w:rPr>
          <w:rFonts w:ascii="Arial" w:hAnsi="Arial" w:cs="Arial"/>
          <w:b/>
          <w:bCs/>
          <w:sz w:val="24"/>
          <w:szCs w:val="24"/>
        </w:rPr>
        <w:t>960</w:t>
      </w:r>
    </w:p>
    <w:p w:rsidR="00E44681" w:rsidP="63EAB113" w14:paraId="3E5EA7AB" w14:textId="77777777">
      <w:pPr>
        <w:rPr>
          <w:rFonts w:ascii="Arial" w:hAnsi="Arial" w:cs="Arial"/>
          <w:b/>
          <w:bCs/>
          <w:sz w:val="24"/>
          <w:szCs w:val="24"/>
        </w:rPr>
      </w:pPr>
    </w:p>
    <w:p w:rsidR="00E27347" w:rsidP="00373DBE" w14:paraId="444920A1" w14:textId="1EC34EB3">
      <w:pPr>
        <w:rPr>
          <w:rFonts w:ascii="Arial" w:eastAsia="Times New Roman" w:hAnsi="Arial" w:cs="Arial"/>
          <w:sz w:val="24"/>
          <w:szCs w:val="24"/>
        </w:rPr>
      </w:pPr>
      <w:r>
        <w:rPr>
          <w:rFonts w:ascii="Arial" w:hAnsi="Arial" w:cs="Arial"/>
          <w:b/>
          <w:sz w:val="24"/>
          <w:szCs w:val="24"/>
        </w:rPr>
        <w:t>Foreign Repair Stations</w:t>
      </w:r>
    </w:p>
    <w:p w:rsidR="00E27347" w:rsidRPr="00E27347" w:rsidP="00E27347" w14:paraId="412A638E" w14:textId="6C77B68D">
      <w:pPr>
        <w:spacing w:after="0" w:line="240" w:lineRule="auto"/>
        <w:contextualSpacing/>
        <w:rPr>
          <w:rFonts w:ascii="Arial" w:eastAsia="Times New Roman" w:hAnsi="Arial" w:cs="Arial"/>
          <w:sz w:val="24"/>
          <w:szCs w:val="24"/>
        </w:rPr>
      </w:pPr>
      <w:r w:rsidRPr="00E27347">
        <w:rPr>
          <w:rFonts w:ascii="Arial" w:eastAsia="Times New Roman" w:hAnsi="Arial" w:cs="Arial"/>
          <w:sz w:val="24"/>
          <w:szCs w:val="24"/>
        </w:rPr>
        <w:t xml:space="preserve">The FAA would establish an International Compliance and Enforcement Branch (or Center) located in Washington, DC that would oversee and inspect all foreign part 145 repair stations using practices described in FAA Order 9120.1 Drug and Alcohol Compliance and Enforcement Inspector Handbook. </w:t>
      </w:r>
    </w:p>
    <w:p w:rsidR="00E27347" w:rsidRPr="00E27347" w:rsidP="00E27347" w14:paraId="123A18E1" w14:textId="77777777">
      <w:pPr>
        <w:spacing w:after="0" w:line="240" w:lineRule="auto"/>
        <w:contextualSpacing/>
        <w:rPr>
          <w:rFonts w:ascii="Arial" w:eastAsia="Times New Roman" w:hAnsi="Arial" w:cs="Arial"/>
          <w:sz w:val="24"/>
          <w:szCs w:val="24"/>
        </w:rPr>
      </w:pPr>
    </w:p>
    <w:p w:rsidR="00E27347" w:rsidRPr="00FF0188" w:rsidP="00E27347" w14:paraId="076C7C17" w14:textId="61DF22B6">
      <w:pPr>
        <w:spacing w:after="0" w:line="240" w:lineRule="auto"/>
        <w:contextualSpacing/>
        <w:rPr>
          <w:rFonts w:ascii="Arial" w:eastAsia="Times New Roman" w:hAnsi="Arial" w:cs="Arial"/>
          <w:sz w:val="24"/>
          <w:szCs w:val="24"/>
        </w:rPr>
      </w:pPr>
      <w:r w:rsidRPr="52F164E3">
        <w:rPr>
          <w:rFonts w:ascii="Arial" w:eastAsia="Times New Roman" w:hAnsi="Arial" w:cs="Arial"/>
          <w:sz w:val="24"/>
          <w:szCs w:val="24"/>
        </w:rPr>
        <w:t xml:space="preserve">Domestically, the FAA has three regional Compliance and Enforcement Centers, a Program Administration Branch, a Program Policy Branch, and a Special Investigations Branch that provides oversight of drug and alcohol testing program inspections and investigations. </w:t>
      </w:r>
      <w:r w:rsidRPr="52F164E3" w:rsidR="00D61E8E">
        <w:rPr>
          <w:rFonts w:ascii="Arial" w:eastAsia="Times New Roman" w:hAnsi="Arial" w:cs="Arial"/>
          <w:sz w:val="24"/>
          <w:szCs w:val="24"/>
        </w:rPr>
        <w:t xml:space="preserve">As a result of the final rule, </w:t>
      </w:r>
      <w:r w:rsidRPr="52F164E3">
        <w:rPr>
          <w:rFonts w:ascii="Arial" w:eastAsia="Times New Roman" w:hAnsi="Arial" w:cs="Arial"/>
          <w:sz w:val="24"/>
          <w:szCs w:val="24"/>
        </w:rPr>
        <w:t xml:space="preserve">the FAA </w:t>
      </w:r>
      <w:r w:rsidRPr="52F164E3" w:rsidR="00007177">
        <w:rPr>
          <w:rFonts w:ascii="Arial" w:eastAsia="Times New Roman" w:hAnsi="Arial" w:cs="Arial"/>
          <w:sz w:val="24"/>
          <w:szCs w:val="24"/>
        </w:rPr>
        <w:t xml:space="preserve">will </w:t>
      </w:r>
      <w:r w:rsidRPr="52F164E3">
        <w:rPr>
          <w:rFonts w:ascii="Arial" w:eastAsia="Times New Roman" w:hAnsi="Arial" w:cs="Arial"/>
          <w:sz w:val="24"/>
          <w:szCs w:val="24"/>
        </w:rPr>
        <w:t xml:space="preserve">merge all international inspections and associated processes together into one new branch. The FAA </w:t>
      </w:r>
      <w:r w:rsidRPr="52F164E3" w:rsidR="00007177">
        <w:rPr>
          <w:rFonts w:ascii="Arial" w:eastAsia="Times New Roman" w:hAnsi="Arial" w:cs="Arial"/>
          <w:sz w:val="24"/>
          <w:szCs w:val="24"/>
        </w:rPr>
        <w:t xml:space="preserve">will </w:t>
      </w:r>
      <w:r w:rsidRPr="52F164E3">
        <w:rPr>
          <w:rFonts w:ascii="Arial" w:eastAsia="Times New Roman" w:hAnsi="Arial" w:cs="Arial"/>
          <w:sz w:val="24"/>
          <w:szCs w:val="24"/>
        </w:rPr>
        <w:t xml:space="preserve">hire one K-band manager to oversee the branch, four I-band program analysts to oversee the </w:t>
      </w:r>
      <w:r w:rsidRPr="52F164E3" w:rsidR="1CDA73F4">
        <w:rPr>
          <w:rFonts w:ascii="Arial" w:eastAsia="Times New Roman" w:hAnsi="Arial" w:cs="Arial"/>
          <w:sz w:val="24"/>
          <w:szCs w:val="24"/>
        </w:rPr>
        <w:t xml:space="preserve">waiver reviews, procedures, guidance, policy development, the </w:t>
      </w:r>
      <w:r w:rsidRPr="52F164E3">
        <w:rPr>
          <w:rFonts w:ascii="Arial" w:eastAsia="Times New Roman" w:hAnsi="Arial" w:cs="Arial"/>
          <w:sz w:val="24"/>
          <w:szCs w:val="24"/>
        </w:rPr>
        <w:t xml:space="preserve">inspection scheduling activities, and six J-band inspectors that each </w:t>
      </w:r>
      <w:r w:rsidRPr="52F164E3" w:rsidR="00007177">
        <w:rPr>
          <w:rFonts w:ascii="Arial" w:eastAsia="Times New Roman" w:hAnsi="Arial" w:cs="Arial"/>
          <w:sz w:val="24"/>
          <w:szCs w:val="24"/>
        </w:rPr>
        <w:t xml:space="preserve">will </w:t>
      </w:r>
      <w:r w:rsidRPr="52F164E3">
        <w:rPr>
          <w:rFonts w:ascii="Arial" w:eastAsia="Times New Roman" w:hAnsi="Arial" w:cs="Arial"/>
          <w:sz w:val="24"/>
          <w:szCs w:val="24"/>
        </w:rPr>
        <w:t>conduct inspections and possibly investigate the complaints associated with rule violations or allegations</w:t>
      </w:r>
      <w:r w:rsidRPr="52F164E3" w:rsidR="4042FA05">
        <w:rPr>
          <w:rFonts w:ascii="Arial" w:eastAsia="Times New Roman" w:hAnsi="Arial" w:cs="Arial"/>
          <w:sz w:val="24"/>
          <w:szCs w:val="24"/>
        </w:rPr>
        <w:t xml:space="preserve"> under 14 CFR part 120 and 49 CFR part 40</w:t>
      </w:r>
      <w:r w:rsidRPr="52F164E3">
        <w:rPr>
          <w:rFonts w:ascii="Arial" w:eastAsia="Times New Roman" w:hAnsi="Arial" w:cs="Arial"/>
          <w:sz w:val="24"/>
          <w:szCs w:val="24"/>
        </w:rPr>
        <w:t>.</w:t>
      </w:r>
    </w:p>
    <w:p w:rsidR="00FF0188" w:rsidRPr="00FF0188" w:rsidP="00FF0188" w14:paraId="4DE7C261" w14:textId="77777777">
      <w:pPr>
        <w:spacing w:after="0" w:line="240" w:lineRule="auto"/>
        <w:contextualSpacing/>
        <w:rPr>
          <w:rFonts w:ascii="Arial" w:eastAsia="Times New Roman" w:hAnsi="Arial" w:cs="Arial"/>
          <w:sz w:val="24"/>
          <w:szCs w:val="24"/>
        </w:rPr>
      </w:pPr>
      <w:r w:rsidRPr="00FF0188">
        <w:rPr>
          <w:rFonts w:ascii="Arial" w:eastAsia="Times New Roman" w:hAnsi="Arial" w:cs="Arial"/>
          <w:sz w:val="24"/>
          <w:szCs w:val="24"/>
        </w:rPr>
        <w:tab/>
      </w:r>
    </w:p>
    <w:p w:rsidR="00FF0188" w:rsidRPr="00FF0188" w:rsidP="41E278FC" w14:paraId="4F18DAAE" w14:textId="30858037">
      <w:pPr>
        <w:spacing w:after="0" w:line="240" w:lineRule="auto"/>
        <w:jc w:val="center"/>
        <w:outlineLvl w:val="1"/>
        <w:rPr>
          <w:rFonts w:ascii="Arial" w:eastAsia="Times New Roman" w:hAnsi="Arial" w:cs="Arial"/>
          <w:b/>
          <w:bCs/>
          <w:sz w:val="24"/>
          <w:szCs w:val="24"/>
        </w:rPr>
      </w:pPr>
      <w:r w:rsidRPr="52F164E3">
        <w:rPr>
          <w:rFonts w:ascii="Arial" w:eastAsia="Times New Roman" w:hAnsi="Arial" w:cs="Arial"/>
          <w:b/>
          <w:bCs/>
          <w:sz w:val="24"/>
          <w:szCs w:val="24"/>
        </w:rPr>
        <w:t xml:space="preserve">Annual Staffing Cost for </w:t>
      </w:r>
      <w:r w:rsidRPr="52F164E3" w:rsidR="1BA661A5">
        <w:rPr>
          <w:rFonts w:ascii="Arial" w:eastAsia="Times New Roman" w:hAnsi="Arial" w:cs="Arial"/>
          <w:b/>
          <w:bCs/>
          <w:sz w:val="24"/>
          <w:szCs w:val="24"/>
        </w:rPr>
        <w:t>Waivers</w:t>
      </w:r>
      <w:r w:rsidRPr="52F164E3">
        <w:rPr>
          <w:rFonts w:ascii="Arial" w:eastAsia="Times New Roman" w:hAnsi="Arial" w:cs="Arial"/>
          <w:b/>
          <w:bCs/>
          <w:sz w:val="24"/>
          <w:szCs w:val="24"/>
        </w:rPr>
        <w:t xml:space="preserve"> and Inspections</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3"/>
        <w:gridCol w:w="1930"/>
        <w:gridCol w:w="1632"/>
        <w:gridCol w:w="1885"/>
      </w:tblGrid>
      <w:tr w14:paraId="248AF384" w14:textId="77777777" w:rsidTr="52F164E3">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jc w:val="center"/>
        </w:trPr>
        <w:tc>
          <w:tcPr>
            <w:tcW w:w="3903" w:type="dxa"/>
            <w:shd w:val="clear" w:color="auto" w:fill="auto"/>
            <w:noWrap/>
            <w:vAlign w:val="bottom"/>
          </w:tcPr>
          <w:p w:rsidR="00FF0188" w:rsidRPr="00FF0188" w:rsidP="00FF0188" w14:paraId="078A1E14" w14:textId="77777777">
            <w:pPr>
              <w:spacing w:after="0" w:line="240" w:lineRule="auto"/>
              <w:rPr>
                <w:rFonts w:ascii="Arial" w:eastAsia="Times New Roman" w:hAnsi="Arial" w:cs="Arial"/>
                <w:color w:val="000000"/>
                <w:sz w:val="24"/>
                <w:szCs w:val="24"/>
              </w:rPr>
            </w:pPr>
            <w:r w:rsidRPr="00FF0188">
              <w:rPr>
                <w:rFonts w:ascii="Arial" w:eastAsia="Times New Roman" w:hAnsi="Arial" w:cs="Arial"/>
                <w:color w:val="000000"/>
                <w:sz w:val="24"/>
                <w:szCs w:val="24"/>
              </w:rPr>
              <w:t>Title</w:t>
            </w:r>
          </w:p>
        </w:tc>
        <w:tc>
          <w:tcPr>
            <w:tcW w:w="1930" w:type="dxa"/>
            <w:vAlign w:val="bottom"/>
          </w:tcPr>
          <w:p w:rsidR="00FF0188" w:rsidRPr="00FF0188" w:rsidP="00FF0188" w14:paraId="58B0A913" w14:textId="792A4852">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Salary Including Benefits</w:t>
            </w:r>
            <w:r>
              <w:rPr>
                <w:rStyle w:val="FootnoteReference"/>
                <w:rFonts w:ascii="Arial" w:eastAsia="Times New Roman" w:hAnsi="Arial" w:cs="Arial"/>
                <w:color w:val="000000"/>
                <w:sz w:val="24"/>
                <w:szCs w:val="24"/>
              </w:rPr>
              <w:footnoteReference w:id="15"/>
            </w:r>
          </w:p>
        </w:tc>
        <w:tc>
          <w:tcPr>
            <w:tcW w:w="1632" w:type="dxa"/>
          </w:tcPr>
          <w:p w:rsidR="00FF0188" w:rsidRPr="00FF0188" w:rsidP="00FF0188" w14:paraId="0C532681"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Number of Employees</w:t>
            </w:r>
          </w:p>
        </w:tc>
        <w:tc>
          <w:tcPr>
            <w:tcW w:w="1885" w:type="dxa"/>
            <w:vAlign w:val="bottom"/>
          </w:tcPr>
          <w:p w:rsidR="00FF0188" w:rsidRPr="00FF0188" w:rsidP="00FF0188" w14:paraId="6CF8EC37"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Total Annual Staffing Cost</w:t>
            </w:r>
          </w:p>
        </w:tc>
      </w:tr>
      <w:tr w14:paraId="21D8FAE1" w14:textId="77777777" w:rsidTr="52F164E3">
        <w:tblPrEx>
          <w:tblW w:w="9350" w:type="dxa"/>
          <w:jc w:val="center"/>
          <w:tblLayout w:type="fixed"/>
          <w:tblLook w:val="04A0"/>
        </w:tblPrEx>
        <w:trPr>
          <w:trHeight w:val="290"/>
          <w:jc w:val="center"/>
        </w:trPr>
        <w:tc>
          <w:tcPr>
            <w:tcW w:w="3903" w:type="dxa"/>
            <w:shd w:val="clear" w:color="auto" w:fill="auto"/>
            <w:noWrap/>
            <w:vAlign w:val="bottom"/>
            <w:hideMark/>
          </w:tcPr>
          <w:p w:rsidR="00FF0188" w:rsidRPr="00FF0188" w:rsidP="00FF0188" w14:paraId="01ACDA69"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Manager, GS-15 level</w:t>
            </w:r>
            <w:r>
              <w:rPr>
                <w:rFonts w:ascii="Arial" w:eastAsia="Times New Roman" w:hAnsi="Arial" w:cs="Arial"/>
                <w:color w:val="000000"/>
                <w:sz w:val="24"/>
                <w:szCs w:val="24"/>
                <w:vertAlign w:val="superscript"/>
              </w:rPr>
              <w:footnoteReference w:id="16"/>
            </w:r>
          </w:p>
        </w:tc>
        <w:tc>
          <w:tcPr>
            <w:tcW w:w="1930" w:type="dxa"/>
            <w:vAlign w:val="bottom"/>
          </w:tcPr>
          <w:p w:rsidR="00FF0188" w:rsidRPr="00FF0188" w:rsidP="00FF0188" w14:paraId="5F439E3F" w14:textId="29FE59E2">
            <w:pPr>
              <w:spacing w:after="0" w:line="240" w:lineRule="auto"/>
              <w:jc w:val="center"/>
              <w:rPr>
                <w:rFonts w:ascii="Arial" w:eastAsia="Times New Roman" w:hAnsi="Arial" w:cs="Arial"/>
                <w:color w:val="000000"/>
                <w:sz w:val="24"/>
                <w:szCs w:val="24"/>
              </w:rPr>
            </w:pPr>
            <w:r w:rsidRPr="52F164E3">
              <w:rPr>
                <w:rFonts w:ascii="Arial" w:eastAsia="Times New Roman" w:hAnsi="Arial" w:cs="Arial"/>
                <w:color w:val="000000" w:themeColor="text1"/>
                <w:sz w:val="24"/>
                <w:szCs w:val="24"/>
              </w:rPr>
              <w:t>$17</w:t>
            </w:r>
            <w:r w:rsidRPr="52F164E3" w:rsidR="3C9BA615">
              <w:rPr>
                <w:rFonts w:ascii="Arial" w:eastAsia="Times New Roman" w:hAnsi="Arial" w:cs="Arial"/>
                <w:color w:val="000000" w:themeColor="text1"/>
                <w:sz w:val="24"/>
                <w:szCs w:val="24"/>
              </w:rPr>
              <w:t>9</w:t>
            </w:r>
            <w:r w:rsidRPr="52F164E3" w:rsidR="577AA698">
              <w:rPr>
                <w:rFonts w:ascii="Arial" w:eastAsia="Times New Roman" w:hAnsi="Arial" w:cs="Arial"/>
                <w:color w:val="000000" w:themeColor="text1"/>
                <w:sz w:val="24"/>
                <w:szCs w:val="24"/>
              </w:rPr>
              <w:t>,</w:t>
            </w:r>
            <w:r w:rsidRPr="52F164E3" w:rsidR="3C9BA615">
              <w:rPr>
                <w:rFonts w:ascii="Arial" w:eastAsia="Times New Roman" w:hAnsi="Arial" w:cs="Arial"/>
                <w:color w:val="000000" w:themeColor="text1"/>
                <w:sz w:val="24"/>
                <w:szCs w:val="24"/>
              </w:rPr>
              <w:t>737</w:t>
            </w:r>
          </w:p>
        </w:tc>
        <w:tc>
          <w:tcPr>
            <w:tcW w:w="1632" w:type="dxa"/>
            <w:vAlign w:val="bottom"/>
          </w:tcPr>
          <w:p w:rsidR="00FF0188" w:rsidRPr="00FF0188" w:rsidP="00FF0188" w14:paraId="401AC842"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1</w:t>
            </w:r>
          </w:p>
        </w:tc>
        <w:tc>
          <w:tcPr>
            <w:tcW w:w="1885" w:type="dxa"/>
            <w:vAlign w:val="bottom"/>
          </w:tcPr>
          <w:p w:rsidR="00FF0188" w:rsidRPr="00FF0188" w:rsidP="00FF0188" w14:paraId="5E814FA3" w14:textId="46C07BD7">
            <w:pPr>
              <w:spacing w:after="0" w:line="240" w:lineRule="auto"/>
              <w:jc w:val="center"/>
              <w:rPr>
                <w:rFonts w:ascii="Arial" w:eastAsia="Times New Roman" w:hAnsi="Arial" w:cs="Arial"/>
                <w:color w:val="000000"/>
                <w:sz w:val="24"/>
                <w:szCs w:val="24"/>
              </w:rPr>
            </w:pPr>
            <w:r w:rsidRPr="52F164E3">
              <w:rPr>
                <w:rFonts w:ascii="Arial" w:eastAsia="Times New Roman" w:hAnsi="Arial" w:cs="Arial"/>
                <w:color w:val="000000" w:themeColor="text1"/>
                <w:sz w:val="24"/>
                <w:szCs w:val="24"/>
              </w:rPr>
              <w:t>$</w:t>
            </w:r>
            <w:r w:rsidRPr="52F164E3" w:rsidR="4702FA9D">
              <w:rPr>
                <w:rFonts w:ascii="Arial" w:eastAsia="Times New Roman" w:hAnsi="Arial" w:cs="Arial"/>
                <w:color w:val="000000" w:themeColor="text1"/>
                <w:sz w:val="24"/>
                <w:szCs w:val="24"/>
              </w:rPr>
              <w:t>179,737</w:t>
            </w:r>
          </w:p>
        </w:tc>
      </w:tr>
      <w:tr w14:paraId="2AC69BF0" w14:textId="77777777" w:rsidTr="52F164E3">
        <w:tblPrEx>
          <w:tblW w:w="9350" w:type="dxa"/>
          <w:jc w:val="center"/>
          <w:tblLayout w:type="fixed"/>
          <w:tblLook w:val="04A0"/>
        </w:tblPrEx>
        <w:trPr>
          <w:trHeight w:val="314"/>
          <w:jc w:val="center"/>
        </w:trPr>
        <w:tc>
          <w:tcPr>
            <w:tcW w:w="3903" w:type="dxa"/>
            <w:shd w:val="clear" w:color="auto" w:fill="auto"/>
            <w:noWrap/>
            <w:vAlign w:val="bottom"/>
            <w:hideMark/>
          </w:tcPr>
          <w:p w:rsidR="00FF0188" w:rsidRPr="00FF0188" w:rsidP="00FF0188" w14:paraId="1C1D5B56"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Management/Program Analysts, GS-13 level</w:t>
            </w:r>
            <w:r>
              <w:rPr>
                <w:rFonts w:ascii="Arial" w:eastAsia="Times New Roman" w:hAnsi="Arial" w:cs="Arial"/>
                <w:color w:val="000000"/>
                <w:sz w:val="24"/>
                <w:szCs w:val="24"/>
                <w:vertAlign w:val="superscript"/>
              </w:rPr>
              <w:footnoteReference w:id="17"/>
            </w:r>
          </w:p>
        </w:tc>
        <w:tc>
          <w:tcPr>
            <w:tcW w:w="1930" w:type="dxa"/>
            <w:vAlign w:val="bottom"/>
          </w:tcPr>
          <w:p w:rsidR="00FF0188" w:rsidRPr="00FF0188" w:rsidP="00FF0188" w14:paraId="2D45C4AA" w14:textId="40C7B86F">
            <w:pPr>
              <w:spacing w:after="0" w:line="240" w:lineRule="auto"/>
              <w:jc w:val="center"/>
              <w:rPr>
                <w:rFonts w:ascii="Arial" w:eastAsia="Times New Roman" w:hAnsi="Arial" w:cs="Arial"/>
                <w:color w:val="000000"/>
                <w:sz w:val="24"/>
                <w:szCs w:val="24"/>
              </w:rPr>
            </w:pPr>
            <w:r w:rsidRPr="52F164E3">
              <w:rPr>
                <w:rFonts w:ascii="Arial" w:eastAsia="Times New Roman" w:hAnsi="Arial" w:cs="Arial"/>
                <w:color w:val="000000" w:themeColor="text1"/>
                <w:sz w:val="24"/>
                <w:szCs w:val="24"/>
              </w:rPr>
              <w:t>$</w:t>
            </w:r>
            <w:r w:rsidRPr="52F164E3" w:rsidR="65C77B1A">
              <w:rPr>
                <w:rFonts w:ascii="Arial" w:eastAsia="Times New Roman" w:hAnsi="Arial" w:cs="Arial"/>
                <w:color w:val="000000" w:themeColor="text1"/>
                <w:sz w:val="24"/>
                <w:szCs w:val="24"/>
              </w:rPr>
              <w:t>123</w:t>
            </w:r>
            <w:r w:rsidRPr="52F164E3" w:rsidR="5C0894A3">
              <w:rPr>
                <w:rFonts w:ascii="Arial" w:eastAsia="Times New Roman" w:hAnsi="Arial" w:cs="Arial"/>
                <w:color w:val="000000" w:themeColor="text1"/>
                <w:sz w:val="24"/>
                <w:szCs w:val="24"/>
              </w:rPr>
              <w:t>,820</w:t>
            </w:r>
          </w:p>
        </w:tc>
        <w:tc>
          <w:tcPr>
            <w:tcW w:w="1632" w:type="dxa"/>
            <w:vAlign w:val="bottom"/>
          </w:tcPr>
          <w:p w:rsidR="00FF0188" w:rsidRPr="00FF0188" w:rsidP="00FF0188" w14:paraId="6896801A"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4</w:t>
            </w:r>
          </w:p>
        </w:tc>
        <w:tc>
          <w:tcPr>
            <w:tcW w:w="1885" w:type="dxa"/>
            <w:vAlign w:val="bottom"/>
          </w:tcPr>
          <w:p w:rsidR="00FF0188" w:rsidRPr="00FF0188" w:rsidP="52F164E3" w14:paraId="70BD572F" w14:textId="411848B1">
            <w:pPr>
              <w:spacing w:after="0"/>
              <w:jc w:val="center"/>
              <w:rPr>
                <w:rFonts w:ascii="Arial" w:eastAsia="Times New Roman" w:hAnsi="Arial" w:cs="Arial"/>
                <w:color w:val="000000" w:themeColor="text1"/>
                <w:sz w:val="24"/>
                <w:szCs w:val="24"/>
              </w:rPr>
            </w:pPr>
            <w:r w:rsidRPr="52F164E3">
              <w:rPr>
                <w:rFonts w:ascii="Arial" w:eastAsia="Times New Roman" w:hAnsi="Arial" w:cs="Arial"/>
                <w:color w:val="000000" w:themeColor="text1"/>
                <w:sz w:val="24"/>
                <w:szCs w:val="24"/>
              </w:rPr>
              <w:t>$</w:t>
            </w:r>
            <w:r w:rsidRPr="52F164E3" w:rsidR="25C7FFB4">
              <w:rPr>
                <w:rFonts w:ascii="Arial" w:eastAsia="Times New Roman" w:hAnsi="Arial" w:cs="Arial"/>
                <w:color w:val="000000" w:themeColor="text1"/>
                <w:sz w:val="24"/>
                <w:szCs w:val="24"/>
              </w:rPr>
              <w:t>495,280</w:t>
            </w:r>
          </w:p>
        </w:tc>
      </w:tr>
      <w:tr w14:paraId="6422CF03" w14:textId="77777777" w:rsidTr="52F164E3">
        <w:tblPrEx>
          <w:tblW w:w="9350" w:type="dxa"/>
          <w:jc w:val="center"/>
          <w:tblLayout w:type="fixed"/>
          <w:tblLook w:val="04A0"/>
        </w:tblPrEx>
        <w:trPr>
          <w:trHeight w:val="290"/>
          <w:jc w:val="center"/>
        </w:trPr>
        <w:tc>
          <w:tcPr>
            <w:tcW w:w="3903" w:type="dxa"/>
            <w:shd w:val="clear" w:color="auto" w:fill="auto"/>
            <w:noWrap/>
            <w:vAlign w:val="bottom"/>
            <w:hideMark/>
          </w:tcPr>
          <w:p w:rsidR="00FF0188" w:rsidRPr="00FF0188" w:rsidP="00FF0188" w14:paraId="20591564" w14:textId="77777777">
            <w:pPr>
              <w:spacing w:after="0" w:line="240" w:lineRule="auto"/>
              <w:rPr>
                <w:rFonts w:ascii="Arial" w:eastAsia="Times New Roman" w:hAnsi="Arial" w:cs="Arial"/>
                <w:color w:val="000000"/>
                <w:sz w:val="24"/>
                <w:szCs w:val="24"/>
              </w:rPr>
            </w:pPr>
            <w:r w:rsidRPr="2EBD4809">
              <w:rPr>
                <w:rFonts w:ascii="Arial" w:eastAsia="Times New Roman" w:hAnsi="Arial" w:cs="Arial"/>
                <w:color w:val="000000" w:themeColor="text1"/>
                <w:sz w:val="24"/>
                <w:szCs w:val="24"/>
              </w:rPr>
              <w:t>Inspectors, GS-14 level</w:t>
            </w:r>
            <w:r>
              <w:rPr>
                <w:rFonts w:ascii="Arial" w:eastAsia="Times New Roman" w:hAnsi="Arial" w:cs="Arial"/>
                <w:color w:val="000000"/>
                <w:sz w:val="24"/>
                <w:szCs w:val="24"/>
                <w:vertAlign w:val="superscript"/>
              </w:rPr>
              <w:footnoteReference w:id="18"/>
            </w:r>
          </w:p>
        </w:tc>
        <w:tc>
          <w:tcPr>
            <w:tcW w:w="1930" w:type="dxa"/>
            <w:vAlign w:val="bottom"/>
          </w:tcPr>
          <w:p w:rsidR="00FF0188" w:rsidRPr="00FF0188" w:rsidP="00FF0188" w14:paraId="14965095" w14:textId="46CC64D7">
            <w:pPr>
              <w:spacing w:after="0" w:line="240" w:lineRule="auto"/>
              <w:jc w:val="center"/>
              <w:rPr>
                <w:rFonts w:ascii="Arial" w:eastAsia="Times New Roman" w:hAnsi="Arial" w:cs="Arial"/>
                <w:color w:val="000000"/>
                <w:sz w:val="24"/>
                <w:szCs w:val="24"/>
              </w:rPr>
            </w:pPr>
            <w:r w:rsidRPr="52F164E3">
              <w:rPr>
                <w:rFonts w:ascii="Arial" w:eastAsia="Times New Roman" w:hAnsi="Arial" w:cs="Arial"/>
                <w:color w:val="000000" w:themeColor="text1"/>
                <w:sz w:val="24"/>
                <w:szCs w:val="24"/>
              </w:rPr>
              <w:t>$</w:t>
            </w:r>
            <w:r w:rsidRPr="52F164E3" w:rsidR="2AA42233">
              <w:rPr>
                <w:rFonts w:ascii="Arial" w:eastAsia="Times New Roman" w:hAnsi="Arial" w:cs="Arial"/>
                <w:color w:val="000000" w:themeColor="text1"/>
                <w:sz w:val="24"/>
                <w:szCs w:val="24"/>
              </w:rPr>
              <w:t>152,</w:t>
            </w:r>
            <w:r w:rsidRPr="52F164E3" w:rsidR="3BFDF10E">
              <w:rPr>
                <w:rFonts w:ascii="Arial" w:eastAsia="Times New Roman" w:hAnsi="Arial" w:cs="Arial"/>
                <w:color w:val="000000" w:themeColor="text1"/>
                <w:sz w:val="24"/>
                <w:szCs w:val="24"/>
              </w:rPr>
              <w:t>855</w:t>
            </w:r>
          </w:p>
        </w:tc>
        <w:tc>
          <w:tcPr>
            <w:tcW w:w="1632" w:type="dxa"/>
            <w:vAlign w:val="bottom"/>
          </w:tcPr>
          <w:p w:rsidR="00FF0188" w:rsidRPr="00FF0188" w:rsidP="00FF0188" w14:paraId="659E20E5" w14:textId="77777777">
            <w:pPr>
              <w:spacing w:after="0" w:line="240" w:lineRule="auto"/>
              <w:jc w:val="center"/>
              <w:rPr>
                <w:rFonts w:ascii="Arial" w:eastAsia="Times New Roman" w:hAnsi="Arial" w:cs="Arial"/>
                <w:color w:val="000000"/>
                <w:sz w:val="24"/>
                <w:szCs w:val="24"/>
              </w:rPr>
            </w:pPr>
            <w:r w:rsidRPr="00FF0188">
              <w:rPr>
                <w:rFonts w:ascii="Arial" w:eastAsia="Times New Roman" w:hAnsi="Arial" w:cs="Arial"/>
                <w:color w:val="000000"/>
                <w:sz w:val="24"/>
                <w:szCs w:val="24"/>
              </w:rPr>
              <w:t>6</w:t>
            </w:r>
          </w:p>
        </w:tc>
        <w:tc>
          <w:tcPr>
            <w:tcW w:w="1885" w:type="dxa"/>
            <w:vAlign w:val="bottom"/>
          </w:tcPr>
          <w:p w:rsidR="00FF0188" w:rsidRPr="00FF0188" w:rsidP="00FF0188" w14:paraId="7E60D6F1" w14:textId="6F0DF012">
            <w:pPr>
              <w:spacing w:after="0" w:line="240" w:lineRule="auto"/>
              <w:jc w:val="center"/>
              <w:rPr>
                <w:rFonts w:ascii="Arial" w:eastAsia="Times New Roman" w:hAnsi="Arial" w:cs="Arial"/>
                <w:color w:val="000000"/>
                <w:sz w:val="24"/>
                <w:szCs w:val="24"/>
              </w:rPr>
            </w:pPr>
            <w:r w:rsidRPr="52F164E3">
              <w:rPr>
                <w:rFonts w:ascii="Arial" w:eastAsia="Times New Roman" w:hAnsi="Arial" w:cs="Arial"/>
                <w:color w:val="000000" w:themeColor="text1"/>
                <w:sz w:val="24"/>
                <w:szCs w:val="24"/>
              </w:rPr>
              <w:t>$</w:t>
            </w:r>
            <w:r w:rsidRPr="52F164E3" w:rsidR="25C7FFB4">
              <w:rPr>
                <w:rFonts w:ascii="Arial" w:eastAsia="Times New Roman" w:hAnsi="Arial" w:cs="Arial"/>
                <w:color w:val="000000" w:themeColor="text1"/>
                <w:sz w:val="24"/>
                <w:szCs w:val="24"/>
              </w:rPr>
              <w:t>917,130</w:t>
            </w:r>
          </w:p>
        </w:tc>
      </w:tr>
      <w:tr w14:paraId="7BE98C1A" w14:textId="77777777" w:rsidTr="52F164E3">
        <w:tblPrEx>
          <w:tblW w:w="9350" w:type="dxa"/>
          <w:jc w:val="center"/>
          <w:tblLayout w:type="fixed"/>
          <w:tblLook w:val="04A0"/>
        </w:tblPrEx>
        <w:trPr>
          <w:trHeight w:val="290"/>
          <w:jc w:val="center"/>
        </w:trPr>
        <w:tc>
          <w:tcPr>
            <w:tcW w:w="3903" w:type="dxa"/>
            <w:shd w:val="clear" w:color="auto" w:fill="auto"/>
            <w:noWrap/>
            <w:vAlign w:val="bottom"/>
            <w:hideMark/>
          </w:tcPr>
          <w:p w:rsidR="00FF0188" w:rsidRPr="00E17C2A" w:rsidP="00FF0188" w14:paraId="266CA2D9" w14:textId="77777777">
            <w:pPr>
              <w:spacing w:after="0" w:line="240" w:lineRule="auto"/>
              <w:rPr>
                <w:rFonts w:ascii="Arial" w:eastAsia="Times New Roman" w:hAnsi="Arial" w:cs="Arial"/>
                <w:b/>
                <w:bCs/>
                <w:color w:val="000000"/>
                <w:sz w:val="24"/>
                <w:szCs w:val="24"/>
              </w:rPr>
            </w:pPr>
            <w:r w:rsidRPr="00E17C2A">
              <w:rPr>
                <w:rFonts w:ascii="Arial" w:eastAsia="Times New Roman" w:hAnsi="Arial" w:cs="Arial"/>
                <w:b/>
                <w:bCs/>
                <w:color w:val="000000"/>
                <w:sz w:val="24"/>
                <w:szCs w:val="24"/>
              </w:rPr>
              <w:t>Annual Personnel Cost</w:t>
            </w:r>
          </w:p>
        </w:tc>
        <w:tc>
          <w:tcPr>
            <w:tcW w:w="1930" w:type="dxa"/>
            <w:vAlign w:val="bottom"/>
          </w:tcPr>
          <w:p w:rsidR="00FF0188" w:rsidRPr="00E17C2A" w:rsidP="00FF0188" w14:paraId="30B022DE" w14:textId="11C6ABCA">
            <w:pPr>
              <w:spacing w:after="0" w:line="240" w:lineRule="auto"/>
              <w:jc w:val="center"/>
              <w:rPr>
                <w:rFonts w:ascii="Arial" w:eastAsia="Times New Roman" w:hAnsi="Arial" w:cs="Arial"/>
                <w:b/>
                <w:bCs/>
                <w:color w:val="000000"/>
                <w:sz w:val="24"/>
                <w:szCs w:val="24"/>
              </w:rPr>
            </w:pPr>
          </w:p>
        </w:tc>
        <w:tc>
          <w:tcPr>
            <w:tcW w:w="1632" w:type="dxa"/>
            <w:vAlign w:val="bottom"/>
          </w:tcPr>
          <w:p w:rsidR="00FF0188" w:rsidRPr="00E17C2A" w:rsidP="00FF0188" w14:paraId="703675CA" w14:textId="0DE5B353">
            <w:pPr>
              <w:spacing w:after="0" w:line="240" w:lineRule="auto"/>
              <w:jc w:val="center"/>
              <w:rPr>
                <w:rFonts w:ascii="Arial" w:eastAsia="Times New Roman" w:hAnsi="Arial" w:cs="Arial"/>
                <w:b/>
                <w:bCs/>
                <w:color w:val="000000"/>
                <w:sz w:val="24"/>
                <w:szCs w:val="24"/>
              </w:rPr>
            </w:pPr>
          </w:p>
        </w:tc>
        <w:tc>
          <w:tcPr>
            <w:tcW w:w="1885" w:type="dxa"/>
            <w:vAlign w:val="bottom"/>
          </w:tcPr>
          <w:p w:rsidR="00FF0188" w:rsidRPr="00E17C2A" w:rsidP="00FF0188" w14:paraId="7451A9BC" w14:textId="702CB460">
            <w:pPr>
              <w:spacing w:after="0" w:line="240" w:lineRule="auto"/>
              <w:jc w:val="center"/>
              <w:rPr>
                <w:rFonts w:ascii="Arial" w:eastAsia="Times New Roman" w:hAnsi="Arial" w:cs="Arial"/>
                <w:b/>
                <w:bCs/>
                <w:color w:val="000000"/>
                <w:sz w:val="24"/>
                <w:szCs w:val="24"/>
              </w:rPr>
            </w:pPr>
            <w:r w:rsidRPr="52F164E3">
              <w:rPr>
                <w:rFonts w:ascii="Arial" w:eastAsia="Times New Roman" w:hAnsi="Arial" w:cs="Arial"/>
                <w:b/>
                <w:bCs/>
                <w:color w:val="000000" w:themeColor="text1"/>
                <w:sz w:val="24"/>
                <w:szCs w:val="24"/>
              </w:rPr>
              <w:t>$1,5</w:t>
            </w:r>
            <w:r w:rsidRPr="52F164E3" w:rsidR="746F4DA6">
              <w:rPr>
                <w:rFonts w:ascii="Arial" w:eastAsia="Times New Roman" w:hAnsi="Arial" w:cs="Arial"/>
                <w:b/>
                <w:bCs/>
                <w:color w:val="000000" w:themeColor="text1"/>
                <w:sz w:val="24"/>
                <w:szCs w:val="24"/>
              </w:rPr>
              <w:t>92</w:t>
            </w:r>
            <w:r w:rsidRPr="52F164E3" w:rsidR="63B462A3">
              <w:rPr>
                <w:rFonts w:ascii="Arial" w:eastAsia="Times New Roman" w:hAnsi="Arial" w:cs="Arial"/>
                <w:b/>
                <w:bCs/>
                <w:color w:val="000000" w:themeColor="text1"/>
                <w:sz w:val="24"/>
                <w:szCs w:val="24"/>
              </w:rPr>
              <w:t>,1</w:t>
            </w:r>
            <w:r w:rsidRPr="52F164E3" w:rsidR="746F4DA6">
              <w:rPr>
                <w:rFonts w:ascii="Arial" w:eastAsia="Times New Roman" w:hAnsi="Arial" w:cs="Arial"/>
                <w:b/>
                <w:bCs/>
                <w:color w:val="000000" w:themeColor="text1"/>
                <w:sz w:val="24"/>
                <w:szCs w:val="24"/>
              </w:rPr>
              <w:t>47</w:t>
            </w:r>
          </w:p>
        </w:tc>
      </w:tr>
    </w:tbl>
    <w:p w:rsidR="00FF0188" w:rsidP="006A624E" w14:paraId="57E1105E" w14:textId="7A87F021">
      <w:pPr>
        <w:rPr>
          <w:rFonts w:ascii="Arial" w:hAnsi="Arial" w:cs="Arial"/>
          <w:b/>
          <w:sz w:val="24"/>
          <w:szCs w:val="24"/>
        </w:rPr>
      </w:pPr>
    </w:p>
    <w:p w:rsidR="00C94BFF" w:rsidRPr="00CC2F5E" w:rsidP="41E278FC" w14:paraId="4CA7D34A" w14:textId="7A80D2AF">
      <w:pPr>
        <w:jc w:val="center"/>
        <w:rPr>
          <w:rFonts w:ascii="Arial" w:hAnsi="Arial" w:cs="Arial"/>
          <w:b/>
          <w:bCs/>
          <w:sz w:val="24"/>
          <w:szCs w:val="24"/>
        </w:rPr>
      </w:pPr>
      <w:r w:rsidRPr="52F164E3">
        <w:rPr>
          <w:rFonts w:ascii="Arial" w:hAnsi="Arial" w:cs="Arial"/>
          <w:b/>
          <w:bCs/>
          <w:sz w:val="24"/>
          <w:szCs w:val="24"/>
        </w:rPr>
        <w:t>Annual MIS Report Tracking &amp; Analysis</w:t>
      </w:r>
      <w:r w:rsidRPr="52F164E3" w:rsidR="0033347D">
        <w:rPr>
          <w:rFonts w:ascii="Arial" w:hAnsi="Arial" w:cs="Arial"/>
          <w:b/>
          <w:bCs/>
          <w:sz w:val="24"/>
          <w:szCs w:val="24"/>
        </w:rPr>
        <w:t xml:space="preserve"> – Foreign Repair Stations</w:t>
      </w:r>
    </w:p>
    <w:p w:rsidR="00C94BFF" w:rsidRPr="00CC2F5E" w:rsidP="00C94BFF" w14:paraId="5D61A356" w14:textId="19A5220A">
      <w:pPr>
        <w:spacing w:after="0" w:line="240" w:lineRule="auto"/>
        <w:rPr>
          <w:rFonts w:ascii="Arial" w:eastAsia="Times New Roman" w:hAnsi="Arial" w:cs="Arial"/>
          <w:sz w:val="24"/>
          <w:szCs w:val="24"/>
        </w:rPr>
      </w:pPr>
      <w:r w:rsidRPr="00CC2F5E">
        <w:rPr>
          <w:rFonts w:ascii="Arial" w:eastAsia="Times New Roman" w:hAnsi="Arial" w:cs="Arial"/>
          <w:sz w:val="24"/>
          <w:szCs w:val="24"/>
        </w:rPr>
        <w:t xml:space="preserve">The following are </w:t>
      </w:r>
      <w:r w:rsidR="00992CED">
        <w:rPr>
          <w:rFonts w:ascii="Arial" w:eastAsia="Times New Roman" w:hAnsi="Arial" w:cs="Arial"/>
          <w:sz w:val="24"/>
          <w:szCs w:val="24"/>
        </w:rPr>
        <w:t xml:space="preserve">predicted </w:t>
      </w:r>
      <w:r w:rsidRPr="00CC2F5E">
        <w:rPr>
          <w:rFonts w:ascii="Arial" w:eastAsia="Times New Roman" w:hAnsi="Arial" w:cs="Arial"/>
          <w:sz w:val="24"/>
          <w:szCs w:val="24"/>
        </w:rPr>
        <w:t xml:space="preserve">costs associated with the Drug Abatement Division and contractor processing the </w:t>
      </w:r>
      <w:r w:rsidR="00992CED">
        <w:rPr>
          <w:rFonts w:ascii="Arial" w:eastAsia="Times New Roman" w:hAnsi="Arial" w:cs="Arial"/>
          <w:sz w:val="24"/>
          <w:szCs w:val="24"/>
        </w:rPr>
        <w:t xml:space="preserve">annual </w:t>
      </w:r>
      <w:r w:rsidRPr="00CC2F5E">
        <w:rPr>
          <w:rFonts w:ascii="Arial" w:eastAsia="Times New Roman" w:hAnsi="Arial" w:cs="Arial"/>
          <w:sz w:val="24"/>
          <w:szCs w:val="24"/>
        </w:rPr>
        <w:t xml:space="preserve">MIS reports for </w:t>
      </w:r>
      <w:r w:rsidR="00992CED">
        <w:rPr>
          <w:rFonts w:ascii="Arial" w:eastAsia="Times New Roman" w:hAnsi="Arial" w:cs="Arial"/>
          <w:sz w:val="24"/>
          <w:szCs w:val="24"/>
        </w:rPr>
        <w:t>an additional 977 foreign repair stations</w:t>
      </w:r>
      <w:r w:rsidRPr="00CC2F5E">
        <w:rPr>
          <w:rFonts w:ascii="Arial" w:eastAsia="Times New Roman" w:hAnsi="Arial" w:cs="Arial"/>
          <w:sz w:val="24"/>
          <w:szCs w:val="24"/>
        </w:rPr>
        <w:t>:</w:t>
      </w:r>
    </w:p>
    <w:tbl>
      <w:tblPr>
        <w:tblW w:w="8995" w:type="dxa"/>
        <w:tblInd w:w="-1" w:type="dxa"/>
        <w:tblCellMar>
          <w:left w:w="0" w:type="dxa"/>
          <w:right w:w="0" w:type="dxa"/>
        </w:tblCellMar>
        <w:tblLook w:val="04A0"/>
      </w:tblPr>
      <w:tblGrid>
        <w:gridCol w:w="2194"/>
        <w:gridCol w:w="1761"/>
        <w:gridCol w:w="1620"/>
        <w:gridCol w:w="1620"/>
        <w:gridCol w:w="1800"/>
      </w:tblGrid>
      <w:tr w14:paraId="14B69B3F" w14:textId="77777777" w:rsidTr="52F164E3">
        <w:tblPrEx>
          <w:tblW w:w="8995" w:type="dxa"/>
          <w:tblInd w:w="-1" w:type="dxa"/>
          <w:tblCellMar>
            <w:left w:w="0" w:type="dxa"/>
            <w:right w:w="0" w:type="dxa"/>
          </w:tblCellMar>
          <w:tblLook w:val="04A0"/>
        </w:tblPrEx>
        <w:trPr>
          <w:trHeight w:val="264"/>
        </w:trPr>
        <w:tc>
          <w:tcPr>
            <w:tcW w:w="219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C94BFF" w:rsidRPr="00CC2F5E" w14:paraId="65230699" w14:textId="77777777">
            <w:pPr>
              <w:rPr>
                <w:rFonts w:cstheme="minorHAnsi"/>
                <w:b/>
                <w:sz w:val="24"/>
                <w:szCs w:val="24"/>
              </w:rPr>
            </w:pPr>
            <w:r w:rsidRPr="00CC2F5E">
              <w:rPr>
                <w:rFonts w:cstheme="minorHAnsi"/>
                <w:b/>
                <w:sz w:val="24"/>
                <w:szCs w:val="24"/>
              </w:rPr>
              <w:t> Task</w:t>
            </w:r>
          </w:p>
        </w:tc>
        <w:tc>
          <w:tcPr>
            <w:tcW w:w="1761" w:type="dxa"/>
            <w:tcBorders>
              <w:top w:val="single" w:sz="4" w:space="0" w:color="auto"/>
              <w:left w:val="nil"/>
              <w:bottom w:val="single" w:sz="8" w:space="0" w:color="auto"/>
              <w:right w:val="single" w:sz="4" w:space="0" w:color="auto"/>
            </w:tcBorders>
          </w:tcPr>
          <w:p w:rsidR="00C94BFF" w:rsidRPr="00CC2F5E" w14:paraId="0BC11186" w14:textId="77777777">
            <w:pPr>
              <w:rPr>
                <w:rFonts w:cstheme="minorHAnsi"/>
                <w:b/>
                <w:sz w:val="24"/>
                <w:szCs w:val="24"/>
              </w:rPr>
            </w:pPr>
            <w:r w:rsidRPr="00CC2F5E">
              <w:rPr>
                <w:rFonts w:cstheme="minorHAnsi"/>
                <w:b/>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C94BFF" w:rsidRPr="00CC2F5E" w14:paraId="08C9F16A" w14:textId="77777777">
            <w:pPr>
              <w:rPr>
                <w:rFonts w:cstheme="minorHAnsi"/>
                <w:b/>
                <w:sz w:val="24"/>
                <w:szCs w:val="24"/>
              </w:rPr>
            </w:pPr>
            <w:r w:rsidRPr="00CC2F5E">
              <w:rPr>
                <w:rFonts w:cstheme="minorHAnsi"/>
                <w:b/>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C94BFF" w:rsidRPr="00CC2F5E" w14:paraId="463F17AB" w14:textId="77777777">
            <w:pPr>
              <w:rPr>
                <w:rFonts w:cstheme="minorHAnsi"/>
                <w:b/>
                <w:sz w:val="24"/>
                <w:szCs w:val="24"/>
              </w:rPr>
            </w:pPr>
            <w:r w:rsidRPr="00CC2F5E">
              <w:rPr>
                <w:rFonts w:cstheme="minorHAnsi"/>
                <w:b/>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C94BFF" w:rsidRPr="00CC2F5E" w14:paraId="7D7BE2BE" w14:textId="77777777">
            <w:pPr>
              <w:jc w:val="center"/>
              <w:rPr>
                <w:rFonts w:cstheme="minorHAnsi"/>
                <w:b/>
                <w:sz w:val="24"/>
                <w:szCs w:val="24"/>
              </w:rPr>
            </w:pPr>
            <w:r w:rsidRPr="00CC2F5E">
              <w:rPr>
                <w:rFonts w:cstheme="minorHAnsi"/>
                <w:b/>
                <w:sz w:val="24"/>
                <w:szCs w:val="24"/>
              </w:rPr>
              <w:t>Total Cost</w:t>
            </w:r>
          </w:p>
        </w:tc>
      </w:tr>
      <w:tr w14:paraId="7BAACDB0" w14:textId="77777777" w:rsidTr="52F164E3">
        <w:tblPrEx>
          <w:tblW w:w="8995" w:type="dxa"/>
          <w:tblInd w:w="-1" w:type="dxa"/>
          <w:tblCellMar>
            <w:left w:w="0" w:type="dxa"/>
            <w:right w:w="0" w:type="dxa"/>
          </w:tblCellMar>
          <w:tblLook w:val="04A0"/>
        </w:tblPrEx>
        <w:trPr>
          <w:trHeight w:val="264"/>
        </w:trPr>
        <w:tc>
          <w:tcPr>
            <w:tcW w:w="2194"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245C3E73" w14:textId="782EBFC2">
            <w:pPr>
              <w:rPr>
                <w:sz w:val="24"/>
                <w:szCs w:val="24"/>
              </w:rPr>
            </w:pPr>
            <w:r w:rsidRPr="659A772F">
              <w:rPr>
                <w:sz w:val="24"/>
                <w:szCs w:val="24"/>
              </w:rPr>
              <w:t>MIS Analysis &amp; Tracking</w:t>
            </w:r>
          </w:p>
        </w:tc>
        <w:tc>
          <w:tcPr>
            <w:tcW w:w="1761" w:type="dxa"/>
            <w:tcBorders>
              <w:top w:val="single" w:sz="8" w:space="0" w:color="auto"/>
              <w:left w:val="nil"/>
              <w:bottom w:val="single" w:sz="8" w:space="0" w:color="auto"/>
              <w:right w:val="single" w:sz="4" w:space="0" w:color="auto"/>
            </w:tcBorders>
          </w:tcPr>
          <w:p w:rsidR="002B13A9" w:rsidRPr="00CC2F5E" w14:paraId="01D4897D" w14:textId="222362B4">
            <w:pPr>
              <w:jc w:val="right"/>
              <w:rPr>
                <w:rFonts w:cstheme="minorHAnsi"/>
                <w:sz w:val="24"/>
                <w:szCs w:val="24"/>
              </w:rPr>
            </w:pPr>
            <w:r>
              <w:rPr>
                <w:rStyle w:val="CommentReference"/>
                <w:rFonts w:cstheme="minorHAnsi"/>
                <w:sz w:val="24"/>
                <w:szCs w:val="24"/>
              </w:rPr>
              <w:t>977</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51AB2D5E" w14:textId="4F282D09">
            <w:pPr>
              <w:jc w:val="right"/>
              <w:rPr>
                <w:rFonts w:cstheme="minorHAnsi"/>
                <w:sz w:val="24"/>
                <w:szCs w:val="24"/>
              </w:rPr>
            </w:pPr>
            <w:r w:rsidRPr="00CC2F5E">
              <w:rPr>
                <w:rFonts w:cstheme="minorHAnsi"/>
                <w:sz w:val="24"/>
                <w:szCs w:val="24"/>
              </w:rPr>
              <w:t>0.50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2B13A9" w:rsidRPr="00CC2F5E" w:rsidP="52F164E3" w14:paraId="2EF84864" w14:textId="6119F4B3">
            <w:pPr>
              <w:jc w:val="right"/>
              <w:rPr>
                <w:sz w:val="24"/>
                <w:szCs w:val="24"/>
              </w:rPr>
            </w:pPr>
            <w:r w:rsidRPr="52F164E3">
              <w:rPr>
                <w:sz w:val="24"/>
                <w:szCs w:val="24"/>
              </w:rPr>
              <w:t>$</w:t>
            </w:r>
            <w:r w:rsidRPr="52F164E3" w:rsidR="7AC3A164">
              <w:rPr>
                <w:sz w:val="24"/>
                <w:szCs w:val="24"/>
              </w:rPr>
              <w:t>81.45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2B13A9" w:rsidRPr="00CC2F5E" w:rsidP="52F164E3" w14:paraId="05FDFBA0" w14:textId="420CC35F">
            <w:pPr>
              <w:jc w:val="right"/>
              <w:rPr>
                <w:b/>
                <w:bCs/>
                <w:sz w:val="24"/>
                <w:szCs w:val="24"/>
              </w:rPr>
            </w:pPr>
            <w:r w:rsidRPr="52F164E3">
              <w:rPr>
                <w:b/>
                <w:bCs/>
                <w:sz w:val="24"/>
                <w:szCs w:val="24"/>
              </w:rPr>
              <w:t>$3</w:t>
            </w:r>
            <w:r w:rsidRPr="52F164E3" w:rsidR="3CDB3B90">
              <w:rPr>
                <w:b/>
                <w:bCs/>
                <w:sz w:val="24"/>
                <w:szCs w:val="24"/>
              </w:rPr>
              <w:t>9,788</w:t>
            </w:r>
          </w:p>
        </w:tc>
      </w:tr>
      <w:tr w14:paraId="1CCDFFDA" w14:textId="77777777" w:rsidTr="52F164E3">
        <w:tblPrEx>
          <w:tblW w:w="8995" w:type="dxa"/>
          <w:tblInd w:w="-1" w:type="dxa"/>
          <w:tblCellMar>
            <w:left w:w="0" w:type="dxa"/>
            <w:right w:w="0" w:type="dxa"/>
          </w:tblCellMar>
          <w:tblLook w:val="04A0"/>
        </w:tblPrEx>
        <w:trPr>
          <w:trHeight w:val="264"/>
        </w:trPr>
        <w:tc>
          <w:tcPr>
            <w:tcW w:w="219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2B13A9" w:rsidRPr="00CC2F5E" w14:paraId="62A1CB5A" w14:textId="6B0EBC15">
            <w:pPr>
              <w:rPr>
                <w:rFonts w:cstheme="minorHAnsi"/>
                <w:sz w:val="24"/>
                <w:szCs w:val="24"/>
              </w:rPr>
            </w:pPr>
            <w:r w:rsidRPr="00CC2F5E">
              <w:rPr>
                <w:rFonts w:cstheme="minorHAnsi"/>
                <w:sz w:val="24"/>
                <w:szCs w:val="24"/>
              </w:rPr>
              <w:t xml:space="preserve">MIS Data Entry </w:t>
            </w:r>
          </w:p>
        </w:tc>
        <w:tc>
          <w:tcPr>
            <w:tcW w:w="1761" w:type="dxa"/>
            <w:tcBorders>
              <w:top w:val="single" w:sz="8" w:space="0" w:color="auto"/>
              <w:left w:val="nil"/>
              <w:bottom w:val="single" w:sz="8" w:space="0" w:color="auto"/>
              <w:right w:val="single" w:sz="4" w:space="0" w:color="auto"/>
            </w:tcBorders>
          </w:tcPr>
          <w:p w:rsidR="002B13A9" w:rsidRPr="00CC2F5E" w14:paraId="7403239E" w14:textId="5A247B42">
            <w:pPr>
              <w:jc w:val="right"/>
              <w:rPr>
                <w:rStyle w:val="CommentReference"/>
                <w:rFonts w:cstheme="minorHAnsi"/>
                <w:sz w:val="24"/>
                <w:szCs w:val="24"/>
              </w:rPr>
            </w:pPr>
            <w:r>
              <w:rPr>
                <w:rFonts w:cstheme="minorHAnsi"/>
                <w:sz w:val="24"/>
                <w:szCs w:val="24"/>
              </w:rPr>
              <w:t>196</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tcPr>
          <w:p w:rsidR="002B13A9" w:rsidRPr="00CC2F5E" w14:paraId="377A6221" w14:textId="4D2C2FD8">
            <w:pPr>
              <w:jc w:val="right"/>
              <w:rPr>
                <w:rFonts w:cstheme="minorHAnsi"/>
                <w:sz w:val="24"/>
                <w:szCs w:val="24"/>
              </w:rPr>
            </w:pPr>
            <w:r w:rsidRPr="00CC2F5E">
              <w:rPr>
                <w:rFonts w:cstheme="minorHAnsi"/>
                <w:sz w:val="24"/>
                <w:szCs w:val="24"/>
              </w:rPr>
              <w:t>0.25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tcPr>
          <w:p w:rsidR="002B13A9" w:rsidRPr="00CC2F5E" w14:paraId="6D135E08" w14:textId="68FB2235">
            <w:pPr>
              <w:jc w:val="right"/>
              <w:rPr>
                <w:rFonts w:cstheme="minorHAnsi"/>
                <w:sz w:val="24"/>
                <w:szCs w:val="24"/>
              </w:rPr>
            </w:pPr>
            <w:r w:rsidRPr="00CC2F5E">
              <w:rPr>
                <w:rFonts w:cstheme="minorHAnsi"/>
                <w:sz w:val="24"/>
                <w:szCs w:val="24"/>
              </w:rPr>
              <w:t>$</w:t>
            </w:r>
            <w:r w:rsidRPr="00977FA3">
              <w:rPr>
                <w:rFonts w:cstheme="minorHAnsi"/>
                <w:sz w:val="24"/>
                <w:szCs w:val="24"/>
              </w:rPr>
              <w:t>78.90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tcPr>
          <w:p w:rsidR="002B13A9" w:rsidRPr="00CC2F5E" w:rsidP="52F164E3" w14:paraId="1B0B5524" w14:textId="152A9D71">
            <w:pPr>
              <w:jc w:val="right"/>
              <w:rPr>
                <w:b/>
                <w:bCs/>
                <w:sz w:val="24"/>
                <w:szCs w:val="24"/>
              </w:rPr>
            </w:pPr>
            <w:r w:rsidRPr="52F164E3">
              <w:rPr>
                <w:b/>
                <w:bCs/>
                <w:sz w:val="24"/>
                <w:szCs w:val="24"/>
              </w:rPr>
              <w:t>$3,</w:t>
            </w:r>
            <w:r w:rsidRPr="52F164E3" w:rsidR="3CDB3B90">
              <w:rPr>
                <w:b/>
                <w:bCs/>
                <w:sz w:val="24"/>
                <w:szCs w:val="24"/>
              </w:rPr>
              <w:t>999</w:t>
            </w:r>
          </w:p>
        </w:tc>
      </w:tr>
      <w:tr w14:paraId="0848D43E" w14:textId="77777777" w:rsidTr="52F164E3">
        <w:tblPrEx>
          <w:tblW w:w="8995" w:type="dxa"/>
          <w:tblInd w:w="-1" w:type="dxa"/>
          <w:tblCellMar>
            <w:left w:w="0" w:type="dxa"/>
            <w:right w:w="0" w:type="dxa"/>
          </w:tblCellMar>
          <w:tblLook w:val="04A0"/>
        </w:tblPrEx>
        <w:trPr>
          <w:trHeight w:val="264"/>
        </w:trPr>
        <w:tc>
          <w:tcPr>
            <w:tcW w:w="2194"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25DD0365" w14:textId="77C0AE2D">
            <w:pPr>
              <w:rPr>
                <w:rFonts w:cstheme="minorHAnsi"/>
                <w:sz w:val="24"/>
                <w:szCs w:val="24"/>
              </w:rPr>
            </w:pPr>
            <w:r w:rsidRPr="00CC2F5E">
              <w:rPr>
                <w:rFonts w:cstheme="minorHAnsi"/>
                <w:b/>
                <w:sz w:val="24"/>
                <w:szCs w:val="24"/>
              </w:rPr>
              <w:t>Total:</w:t>
            </w:r>
          </w:p>
        </w:tc>
        <w:tc>
          <w:tcPr>
            <w:tcW w:w="1761" w:type="dxa"/>
            <w:tcBorders>
              <w:top w:val="single" w:sz="4" w:space="0" w:color="auto"/>
              <w:left w:val="nil"/>
              <w:bottom w:val="single" w:sz="8" w:space="0" w:color="auto"/>
              <w:right w:val="single" w:sz="4" w:space="0" w:color="auto"/>
            </w:tcBorders>
          </w:tcPr>
          <w:p w:rsidR="002B13A9" w:rsidRPr="00CC2F5E" w14:paraId="2AD8122F" w14:textId="1846CDCE">
            <w:pPr>
              <w:jc w:val="right"/>
              <w:rPr>
                <w:rFonts w:cstheme="minorHAnsi"/>
                <w:sz w:val="24"/>
                <w:szCs w:val="24"/>
              </w:rPr>
            </w:pP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2B13A9" w:rsidRPr="00CC2F5E" w14:paraId="3E3E5C68" w14:textId="2764B6AD">
            <w:pPr>
              <w:jc w:val="right"/>
              <w:rPr>
                <w:rFonts w:cstheme="minorHAnsi"/>
                <w:sz w:val="24"/>
                <w:szCs w:val="24"/>
              </w:rPr>
            </w:pP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2B13A9" w:rsidRPr="00CC2F5E" w14:paraId="796BD89F" w14:textId="6C2C8768">
            <w:pPr>
              <w:jc w:val="right"/>
              <w:rPr>
                <w:rFonts w:cstheme="minorHAnsi"/>
                <w:sz w:val="24"/>
                <w:szCs w:val="24"/>
              </w:rPr>
            </w:pP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2B13A9" w:rsidRPr="00CC2F5E" w:rsidP="52F164E3" w14:paraId="3962399B" w14:textId="4BF83E4F">
            <w:pPr>
              <w:jc w:val="right"/>
              <w:rPr>
                <w:b/>
                <w:bCs/>
                <w:sz w:val="24"/>
                <w:szCs w:val="24"/>
              </w:rPr>
            </w:pPr>
            <w:r w:rsidRPr="52F164E3">
              <w:rPr>
                <w:b/>
                <w:bCs/>
                <w:sz w:val="24"/>
                <w:szCs w:val="24"/>
              </w:rPr>
              <w:t>$</w:t>
            </w:r>
            <w:r w:rsidRPr="52F164E3" w:rsidR="2FC7AD87">
              <w:rPr>
                <w:b/>
                <w:bCs/>
                <w:sz w:val="24"/>
                <w:szCs w:val="24"/>
              </w:rPr>
              <w:t>4</w:t>
            </w:r>
            <w:r w:rsidRPr="52F164E3" w:rsidR="007664BA">
              <w:rPr>
                <w:b/>
                <w:bCs/>
                <w:sz w:val="24"/>
                <w:szCs w:val="24"/>
              </w:rPr>
              <w:t>3,788</w:t>
            </w:r>
          </w:p>
        </w:tc>
      </w:tr>
    </w:tbl>
    <w:p w:rsidR="00622FD9" w:rsidP="00C94BFF" w14:paraId="523AC103" w14:textId="7ADDE292">
      <w:pPr>
        <w:spacing w:after="0" w:line="240" w:lineRule="auto"/>
        <w:rPr>
          <w:rFonts w:ascii="Arial" w:eastAsia="Times New Roman" w:hAnsi="Arial" w:cs="Arial"/>
          <w:sz w:val="24"/>
          <w:szCs w:val="24"/>
        </w:rPr>
      </w:pPr>
      <w:r w:rsidRPr="00CC2F5E">
        <w:rPr>
          <w:rFonts w:ascii="Arial" w:hAnsi="Arial" w:cs="Arial"/>
          <w:sz w:val="24"/>
          <w:szCs w:val="24"/>
          <w:u w:val="single"/>
        </w:rPr>
        <w:t>Explanation</w:t>
      </w:r>
      <w:r w:rsidRPr="00CC2F5E">
        <w:rPr>
          <w:rFonts w:ascii="Arial" w:hAnsi="Arial" w:cs="Arial"/>
          <w:sz w:val="24"/>
          <w:szCs w:val="24"/>
        </w:rPr>
        <w:t xml:space="preserve">:  </w:t>
      </w:r>
      <w:r w:rsidRPr="00622FD9">
        <w:rPr>
          <w:rFonts w:ascii="Arial" w:eastAsia="Times New Roman" w:hAnsi="Arial" w:cs="Arial"/>
          <w:sz w:val="24"/>
          <w:szCs w:val="24"/>
        </w:rPr>
        <w:t xml:space="preserve">MIS contract expenses with </w:t>
      </w:r>
      <w:r w:rsidR="00EF5341">
        <w:rPr>
          <w:rFonts w:ascii="Arial" w:eastAsia="Times New Roman" w:hAnsi="Arial" w:cs="Arial"/>
          <w:sz w:val="24"/>
          <w:szCs w:val="24"/>
        </w:rPr>
        <w:t xml:space="preserve">the </w:t>
      </w:r>
      <w:r w:rsidRPr="00622FD9">
        <w:rPr>
          <w:rFonts w:ascii="Arial" w:eastAsia="Times New Roman" w:hAnsi="Arial" w:cs="Arial"/>
          <w:sz w:val="24"/>
          <w:szCs w:val="24"/>
        </w:rPr>
        <w:t xml:space="preserve">DOT </w:t>
      </w:r>
      <w:r w:rsidR="00EF5341">
        <w:rPr>
          <w:rFonts w:ascii="Arial" w:eastAsia="Times New Roman" w:hAnsi="Arial" w:cs="Arial"/>
          <w:sz w:val="24"/>
          <w:szCs w:val="24"/>
        </w:rPr>
        <w:t>v</w:t>
      </w:r>
      <w:r w:rsidRPr="00622FD9">
        <w:rPr>
          <w:rFonts w:ascii="Arial" w:eastAsia="Times New Roman" w:hAnsi="Arial" w:cs="Arial"/>
          <w:sz w:val="24"/>
          <w:szCs w:val="24"/>
        </w:rPr>
        <w:t>endor, VOLPE, for DAMIS support</w:t>
      </w:r>
      <w:r w:rsidR="00EF5341">
        <w:rPr>
          <w:rFonts w:ascii="Arial" w:eastAsia="Times New Roman" w:hAnsi="Arial" w:cs="Arial"/>
          <w:sz w:val="24"/>
          <w:szCs w:val="24"/>
        </w:rPr>
        <w:t xml:space="preserve"> and </w:t>
      </w:r>
      <w:r w:rsidRPr="00EF5341" w:rsidR="00EF5341">
        <w:rPr>
          <w:rFonts w:ascii="Arial" w:eastAsia="Times New Roman" w:hAnsi="Arial" w:cs="Arial"/>
          <w:sz w:val="24"/>
          <w:szCs w:val="24"/>
        </w:rPr>
        <w:t xml:space="preserve">MIS </w:t>
      </w:r>
      <w:r w:rsidR="00EF5341">
        <w:rPr>
          <w:rFonts w:ascii="Arial" w:eastAsia="Times New Roman" w:hAnsi="Arial" w:cs="Arial"/>
          <w:sz w:val="24"/>
          <w:szCs w:val="24"/>
        </w:rPr>
        <w:t>pr</w:t>
      </w:r>
      <w:r w:rsidRPr="00EF5341" w:rsidR="00EF5341">
        <w:rPr>
          <w:rFonts w:ascii="Arial" w:eastAsia="Times New Roman" w:hAnsi="Arial" w:cs="Arial"/>
          <w:sz w:val="24"/>
          <w:szCs w:val="24"/>
        </w:rPr>
        <w:t>eparation</w:t>
      </w:r>
      <w:r w:rsidR="001A0B9C">
        <w:rPr>
          <w:rFonts w:ascii="Arial" w:eastAsia="Times New Roman" w:hAnsi="Arial" w:cs="Arial"/>
          <w:sz w:val="24"/>
          <w:szCs w:val="24"/>
        </w:rPr>
        <w:t xml:space="preserve"> are already accounted for under the currently regulated </w:t>
      </w:r>
      <w:r w:rsidR="004B040D">
        <w:rPr>
          <w:rFonts w:ascii="Arial" w:eastAsia="Times New Roman" w:hAnsi="Arial" w:cs="Arial"/>
          <w:sz w:val="24"/>
          <w:szCs w:val="24"/>
        </w:rPr>
        <w:t>employers</w:t>
      </w:r>
      <w:r w:rsidR="001A0B9C">
        <w:rPr>
          <w:rFonts w:ascii="Arial" w:eastAsia="Times New Roman" w:hAnsi="Arial" w:cs="Arial"/>
          <w:sz w:val="24"/>
          <w:szCs w:val="24"/>
        </w:rPr>
        <w:t xml:space="preserve"> </w:t>
      </w:r>
      <w:r w:rsidR="004B040D">
        <w:rPr>
          <w:rFonts w:ascii="Arial" w:eastAsia="Times New Roman" w:hAnsi="Arial" w:cs="Arial"/>
          <w:sz w:val="24"/>
          <w:szCs w:val="24"/>
        </w:rPr>
        <w:t xml:space="preserve">table above. These expenses are not included for foreign repair stations because they are </w:t>
      </w:r>
      <w:r w:rsidR="00A35E17">
        <w:rPr>
          <w:rFonts w:ascii="Arial" w:eastAsia="Times New Roman" w:hAnsi="Arial" w:cs="Arial"/>
          <w:sz w:val="24"/>
          <w:szCs w:val="24"/>
        </w:rPr>
        <w:t xml:space="preserve">one-time expenses included in the preparation of MIS reporting. </w:t>
      </w:r>
    </w:p>
    <w:p w:rsidR="00A35E17" w:rsidP="00C94BFF" w14:paraId="60196165" w14:textId="77777777">
      <w:pPr>
        <w:spacing w:after="0" w:line="240" w:lineRule="auto"/>
        <w:rPr>
          <w:rFonts w:ascii="Arial" w:eastAsia="Times New Roman" w:hAnsi="Arial" w:cs="Arial"/>
          <w:sz w:val="24"/>
          <w:szCs w:val="24"/>
        </w:rPr>
      </w:pPr>
    </w:p>
    <w:p w:rsidR="00A35E17" w:rsidRPr="00CC2F5E" w:rsidP="00A35E17" w14:paraId="5770EC8F" w14:textId="51CBAF3B">
      <w:pPr>
        <w:spacing w:after="0" w:line="240" w:lineRule="auto"/>
        <w:rPr>
          <w:rFonts w:ascii="Arial" w:hAnsi="Arial" w:cs="Arial"/>
          <w:sz w:val="24"/>
          <w:szCs w:val="24"/>
        </w:rPr>
      </w:pPr>
      <w:r w:rsidRPr="31EBC469">
        <w:rPr>
          <w:rFonts w:ascii="Arial" w:hAnsi="Arial" w:cs="Arial"/>
          <w:sz w:val="24"/>
          <w:szCs w:val="24"/>
        </w:rPr>
        <w:t>Once MIS reporting begins,</w:t>
      </w:r>
      <w:r w:rsidRPr="31EBC469" w:rsidR="00ED03F4">
        <w:rPr>
          <w:rFonts w:ascii="Arial" w:hAnsi="Arial" w:cs="Arial"/>
          <w:sz w:val="24"/>
          <w:szCs w:val="24"/>
        </w:rPr>
        <w:t xml:space="preserve"> the Drug Abatement Division’s senior program analyst provides access information, guidance on MIS reporting and tracks responses to ensure the information is reported. Communication with respondents happens daily and requires an average of 30 minutes for each respondent.</w:t>
      </w:r>
      <w:r w:rsidRPr="31EBC469" w:rsidR="00A00D40">
        <w:rPr>
          <w:rFonts w:ascii="Arial" w:hAnsi="Arial" w:cs="Arial"/>
          <w:sz w:val="24"/>
          <w:szCs w:val="24"/>
        </w:rPr>
        <w:t xml:space="preserve"> </w:t>
      </w:r>
      <w:r w:rsidRPr="31EBC469" w:rsidR="007C1E00">
        <w:rPr>
          <w:rFonts w:ascii="Arial" w:hAnsi="Arial" w:cs="Arial"/>
          <w:sz w:val="24"/>
          <w:szCs w:val="24"/>
        </w:rPr>
        <w:t xml:space="preserve">Since all 977 </w:t>
      </w:r>
      <w:r w:rsidRPr="31EBC469" w:rsidR="00AF5FEA">
        <w:rPr>
          <w:rFonts w:ascii="Arial" w:hAnsi="Arial" w:cs="Arial"/>
          <w:sz w:val="24"/>
          <w:szCs w:val="24"/>
        </w:rPr>
        <w:t>foreign</w:t>
      </w:r>
      <w:r w:rsidRPr="31EBC469" w:rsidR="007C1E00">
        <w:rPr>
          <w:rFonts w:ascii="Arial" w:hAnsi="Arial" w:cs="Arial"/>
          <w:sz w:val="24"/>
          <w:szCs w:val="24"/>
        </w:rPr>
        <w:t xml:space="preserve"> repair stations w</w:t>
      </w:r>
      <w:r w:rsidRPr="31EBC469" w:rsidR="00A93911">
        <w:rPr>
          <w:rFonts w:ascii="Arial" w:hAnsi="Arial" w:cs="Arial"/>
          <w:sz w:val="24"/>
          <w:szCs w:val="24"/>
        </w:rPr>
        <w:t>ould</w:t>
      </w:r>
      <w:r w:rsidRPr="31EBC469" w:rsidR="007C1E00">
        <w:rPr>
          <w:rFonts w:ascii="Arial" w:hAnsi="Arial" w:cs="Arial"/>
          <w:sz w:val="24"/>
          <w:szCs w:val="24"/>
        </w:rPr>
        <w:t xml:space="preserve"> be completing the MIS reporting for the first time, FAA assumes all w</w:t>
      </w:r>
      <w:r w:rsidRPr="31EBC469" w:rsidR="00A93911">
        <w:rPr>
          <w:rFonts w:ascii="Arial" w:hAnsi="Arial" w:cs="Arial"/>
          <w:sz w:val="24"/>
          <w:szCs w:val="24"/>
        </w:rPr>
        <w:t>ould</w:t>
      </w:r>
      <w:r w:rsidRPr="31EBC469" w:rsidR="007C1E00">
        <w:rPr>
          <w:rFonts w:ascii="Arial" w:hAnsi="Arial" w:cs="Arial"/>
          <w:sz w:val="24"/>
          <w:szCs w:val="24"/>
        </w:rPr>
        <w:t xml:space="preserve"> </w:t>
      </w:r>
      <w:r w:rsidRPr="31EBC469" w:rsidR="00AF5FEA">
        <w:rPr>
          <w:rFonts w:ascii="Arial" w:hAnsi="Arial" w:cs="Arial"/>
          <w:sz w:val="24"/>
          <w:szCs w:val="24"/>
        </w:rPr>
        <w:t>communicate with the FAA. Therefore</w:t>
      </w:r>
      <w:r w:rsidRPr="31EBC469" w:rsidR="11BA69B8">
        <w:rPr>
          <w:rFonts w:ascii="Arial" w:hAnsi="Arial" w:cs="Arial"/>
          <w:sz w:val="24"/>
          <w:szCs w:val="24"/>
        </w:rPr>
        <w:t>,</w:t>
      </w:r>
      <w:r w:rsidRPr="31EBC469" w:rsidR="00AF5FEA">
        <w:rPr>
          <w:rFonts w:ascii="Arial" w:hAnsi="Arial" w:cs="Arial"/>
          <w:sz w:val="24"/>
          <w:szCs w:val="24"/>
        </w:rPr>
        <w:t xml:space="preserve"> </w:t>
      </w:r>
      <w:r w:rsidRPr="31EBC469" w:rsidR="0099763D">
        <w:rPr>
          <w:rFonts w:ascii="Arial" w:hAnsi="Arial" w:cs="Arial"/>
          <w:sz w:val="24"/>
          <w:szCs w:val="24"/>
        </w:rPr>
        <w:t xml:space="preserve">the estimated </w:t>
      </w:r>
      <w:r w:rsidRPr="31EBC469" w:rsidR="00F01049">
        <w:rPr>
          <w:rFonts w:ascii="Arial" w:hAnsi="Arial" w:cs="Arial"/>
          <w:sz w:val="24"/>
          <w:szCs w:val="24"/>
        </w:rPr>
        <w:t>number</w:t>
      </w:r>
      <w:r w:rsidRPr="31EBC469" w:rsidR="0099763D">
        <w:rPr>
          <w:rFonts w:ascii="Arial" w:hAnsi="Arial" w:cs="Arial"/>
          <w:sz w:val="24"/>
          <w:szCs w:val="24"/>
        </w:rPr>
        <w:t xml:space="preserve"> of events is 977.</w:t>
      </w:r>
    </w:p>
    <w:p w:rsidR="00A35E17" w:rsidP="00C94BFF" w14:paraId="0260509D" w14:textId="77777777">
      <w:pPr>
        <w:spacing w:after="0" w:line="240" w:lineRule="auto"/>
        <w:rPr>
          <w:rFonts w:ascii="Arial" w:eastAsia="Times New Roman" w:hAnsi="Arial" w:cs="Arial"/>
          <w:sz w:val="24"/>
          <w:szCs w:val="24"/>
        </w:rPr>
      </w:pPr>
    </w:p>
    <w:p w:rsidR="00C94BFF" w:rsidRPr="00CC2F5E" w:rsidP="00C94BFF" w14:paraId="2144F036" w14:textId="3A2E2C10">
      <w:pPr>
        <w:spacing w:after="0" w:line="240" w:lineRule="auto"/>
        <w:rPr>
          <w:rFonts w:ascii="Arial" w:hAnsi="Arial" w:cs="Arial"/>
          <w:sz w:val="24"/>
          <w:szCs w:val="24"/>
        </w:rPr>
      </w:pPr>
      <w:r w:rsidRPr="00CC2F5E">
        <w:rPr>
          <w:rFonts w:ascii="Arial" w:eastAsia="Times New Roman" w:hAnsi="Arial" w:cs="Arial"/>
          <w:sz w:val="24"/>
          <w:szCs w:val="24"/>
        </w:rPr>
        <w:t xml:space="preserve">The senior program analyst’s salary used to calculate this is equivalent to a GS-14 Salary </w:t>
      </w:r>
      <w:r w:rsidRPr="00CC2F5E">
        <w:rPr>
          <w:rFonts w:ascii="Arial" w:hAnsi="Arial" w:cs="Arial"/>
          <w:sz w:val="24"/>
          <w:szCs w:val="24"/>
        </w:rPr>
        <w:t>(GS-14, Step 10 hourly wage) for a wage of $</w:t>
      </w:r>
      <w:r>
        <w:rPr>
          <w:rFonts w:ascii="Arial" w:hAnsi="Arial" w:cs="Arial"/>
          <w:sz w:val="24"/>
          <w:szCs w:val="24"/>
        </w:rPr>
        <w:t>5</w:t>
      </w:r>
      <w:r w:rsidR="00100C36">
        <w:rPr>
          <w:rFonts w:ascii="Arial" w:hAnsi="Arial" w:cs="Arial"/>
          <w:sz w:val="24"/>
          <w:szCs w:val="24"/>
        </w:rPr>
        <w:t>9.78</w:t>
      </w:r>
      <w:r w:rsidR="003917F5">
        <w:rPr>
          <w:rFonts w:ascii="Arial" w:hAnsi="Arial" w:cs="Arial"/>
          <w:sz w:val="24"/>
          <w:szCs w:val="24"/>
        </w:rPr>
        <w:t xml:space="preserve"> </w:t>
      </w:r>
      <w:r w:rsidRPr="00CC2F5E">
        <w:rPr>
          <w:rFonts w:ascii="Arial" w:hAnsi="Arial" w:cs="Arial"/>
          <w:sz w:val="24"/>
          <w:szCs w:val="24"/>
        </w:rPr>
        <w:t>per hour</w:t>
      </w:r>
      <w:r w:rsidR="009F1587">
        <w:rPr>
          <w:rFonts w:ascii="Arial" w:hAnsi="Arial" w:cs="Arial"/>
          <w:sz w:val="24"/>
          <w:szCs w:val="24"/>
        </w:rPr>
        <w:t>.</w:t>
      </w:r>
      <w:r>
        <w:rPr>
          <w:rFonts w:ascii="Arial" w:hAnsi="Arial" w:cs="Arial"/>
          <w:sz w:val="24"/>
          <w:szCs w:val="24"/>
          <w:vertAlign w:val="superscript"/>
        </w:rPr>
        <w:footnoteReference w:id="19"/>
      </w:r>
      <w:r w:rsidRPr="00CC2F5E">
        <w:rPr>
          <w:rFonts w:ascii="Arial" w:hAnsi="Arial" w:cs="Arial"/>
          <w:sz w:val="24"/>
          <w:szCs w:val="24"/>
        </w:rPr>
        <w:t xml:space="preserve"> With overhead costs of </w:t>
      </w:r>
      <w:r>
        <w:rPr>
          <w:rFonts w:ascii="Arial" w:hAnsi="Arial" w:cs="Arial"/>
          <w:sz w:val="24"/>
          <w:szCs w:val="24"/>
        </w:rPr>
        <w:t>36.25</w:t>
      </w:r>
      <w:r w:rsidRPr="00CC2F5E">
        <w:rPr>
          <w:rFonts w:ascii="Arial" w:hAnsi="Arial" w:cs="Arial"/>
          <w:sz w:val="24"/>
          <w:szCs w:val="24"/>
        </w:rPr>
        <w:t xml:space="preserve"> percent added</w:t>
      </w:r>
      <w:r w:rsidR="001C0185">
        <w:rPr>
          <w:rFonts w:ascii="Arial" w:hAnsi="Arial" w:cs="Arial"/>
          <w:sz w:val="24"/>
          <w:szCs w:val="24"/>
        </w:rPr>
        <w:t>,</w:t>
      </w:r>
      <w:r>
        <w:rPr>
          <w:rFonts w:ascii="Arial" w:hAnsi="Arial" w:cs="Arial"/>
          <w:sz w:val="24"/>
          <w:szCs w:val="24"/>
          <w:vertAlign w:val="superscript"/>
        </w:rPr>
        <w:footnoteReference w:id="20"/>
      </w:r>
      <w:r w:rsidRPr="00CC2F5E">
        <w:rPr>
          <w:rFonts w:ascii="Arial" w:hAnsi="Arial" w:cs="Arial"/>
          <w:sz w:val="24"/>
          <w:szCs w:val="24"/>
        </w:rPr>
        <w:t xml:space="preserve"> the total salary is $</w:t>
      </w:r>
      <w:r w:rsidR="007664BA">
        <w:rPr>
          <w:rFonts w:ascii="Arial" w:hAnsi="Arial" w:cs="Arial"/>
          <w:sz w:val="24"/>
          <w:szCs w:val="24"/>
        </w:rPr>
        <w:t>81.45</w:t>
      </w:r>
      <w:r w:rsidRPr="00CC2F5E">
        <w:rPr>
          <w:rFonts w:ascii="Arial" w:hAnsi="Arial" w:cs="Arial"/>
          <w:sz w:val="24"/>
          <w:szCs w:val="24"/>
        </w:rPr>
        <w:t xml:space="preserve"> per hour.</w:t>
      </w:r>
    </w:p>
    <w:p w:rsidR="00C94BFF" w:rsidRPr="00CC2F5E" w:rsidP="00C94BFF" w14:paraId="245323CF" w14:textId="77777777">
      <w:pPr>
        <w:spacing w:after="0" w:line="240" w:lineRule="auto"/>
        <w:rPr>
          <w:rFonts w:ascii="Arial" w:hAnsi="Arial" w:cs="Arial"/>
          <w:sz w:val="24"/>
          <w:szCs w:val="24"/>
        </w:rPr>
      </w:pPr>
    </w:p>
    <w:p w:rsidR="00C94BFF" w:rsidRPr="00CC2F5E" w:rsidP="00C94BFF" w14:paraId="249194C4" w14:textId="317C1945">
      <w:pPr>
        <w:spacing w:after="0" w:line="240" w:lineRule="auto"/>
        <w:rPr>
          <w:rFonts w:ascii="Arial" w:hAnsi="Arial" w:cs="Arial"/>
          <w:sz w:val="24"/>
          <w:szCs w:val="24"/>
        </w:rPr>
      </w:pPr>
      <w:r w:rsidRPr="31EBC469">
        <w:rPr>
          <w:rFonts w:ascii="Arial" w:hAnsi="Arial" w:cs="Arial"/>
          <w:sz w:val="24"/>
          <w:szCs w:val="24"/>
        </w:rPr>
        <w:t>While most respondents submit their data electronically via DAMIS, about 20% still submit a paper copy via email or fax or United States Postal Service.</w:t>
      </w:r>
      <w:r w:rsidRPr="31EBC469" w:rsidR="0099763D">
        <w:rPr>
          <w:rFonts w:ascii="Arial" w:hAnsi="Arial" w:cs="Arial"/>
          <w:sz w:val="24"/>
          <w:szCs w:val="24"/>
        </w:rPr>
        <w:t xml:space="preserve"> </w:t>
      </w:r>
      <w:r w:rsidRPr="31EBC469" w:rsidR="005839BF">
        <w:rPr>
          <w:rFonts w:ascii="Arial" w:hAnsi="Arial" w:cs="Arial"/>
          <w:sz w:val="24"/>
          <w:szCs w:val="24"/>
        </w:rPr>
        <w:t xml:space="preserve">To estimate the MIS data entry events, 20 percent of the 977 foreign repair stations was used to </w:t>
      </w:r>
      <w:r w:rsidRPr="31EBC469" w:rsidR="00964F8D">
        <w:rPr>
          <w:rFonts w:ascii="Arial" w:hAnsi="Arial" w:cs="Arial"/>
          <w:sz w:val="24"/>
          <w:szCs w:val="24"/>
        </w:rPr>
        <w:t>determine</w:t>
      </w:r>
      <w:r w:rsidRPr="31EBC469" w:rsidR="005839BF">
        <w:rPr>
          <w:rFonts w:ascii="Arial" w:hAnsi="Arial" w:cs="Arial"/>
          <w:sz w:val="24"/>
          <w:szCs w:val="24"/>
        </w:rPr>
        <w:t xml:space="preserve"> the estimated 196 </w:t>
      </w:r>
      <w:r w:rsidRPr="31EBC469" w:rsidR="00964F8D">
        <w:rPr>
          <w:rFonts w:ascii="Arial" w:hAnsi="Arial" w:cs="Arial"/>
          <w:sz w:val="24"/>
          <w:szCs w:val="24"/>
        </w:rPr>
        <w:t>number of events.</w:t>
      </w:r>
      <w:r w:rsidRPr="31EBC469" w:rsidR="0099763D">
        <w:rPr>
          <w:rFonts w:ascii="Arial" w:hAnsi="Arial" w:cs="Arial"/>
          <w:sz w:val="24"/>
          <w:szCs w:val="24"/>
        </w:rPr>
        <w:t xml:space="preserve"> </w:t>
      </w:r>
      <w:r w:rsidRPr="31EBC469">
        <w:rPr>
          <w:rFonts w:ascii="Arial" w:hAnsi="Arial" w:cs="Arial"/>
          <w:sz w:val="24"/>
          <w:szCs w:val="24"/>
        </w:rPr>
        <w:t>The Drug Abatement Division’s senior program analyst enters the data directly into DAMIS. Each report takes approximately 15 minutes to enter.</w:t>
      </w:r>
    </w:p>
    <w:p w:rsidR="00C94BFF" w:rsidRPr="008E1FCF" w:rsidP="006A624E" w14:paraId="4C1425C9" w14:textId="77777777">
      <w:pPr>
        <w:rPr>
          <w:rFonts w:ascii="Arial" w:hAnsi="Arial" w:cs="Arial"/>
          <w:b/>
          <w:sz w:val="24"/>
          <w:szCs w:val="24"/>
        </w:rPr>
      </w:pPr>
    </w:p>
    <w:p w:rsidR="00A318DC" w:rsidRPr="008E1FCF" w:rsidP="52F164E3" w14:paraId="63413915" w14:textId="7412955F">
      <w:pPr>
        <w:rPr>
          <w:rFonts w:ascii="Arial" w:hAnsi="Arial" w:cs="Arial"/>
          <w:b/>
          <w:bCs/>
          <w:sz w:val="24"/>
          <w:szCs w:val="24"/>
        </w:rPr>
      </w:pPr>
      <w:r w:rsidRPr="52F164E3">
        <w:rPr>
          <w:rFonts w:ascii="Arial" w:hAnsi="Arial" w:cs="Arial"/>
          <w:b/>
          <w:bCs/>
          <w:sz w:val="24"/>
          <w:szCs w:val="24"/>
        </w:rPr>
        <w:t>Annual Total Foreign Repair Stations Cost to the Federal Government:  $</w:t>
      </w:r>
      <w:r w:rsidRPr="52F164E3">
        <w:rPr>
          <w:rFonts w:ascii="Arial" w:eastAsia="Times New Roman" w:hAnsi="Arial" w:cs="Arial"/>
          <w:b/>
          <w:bCs/>
          <w:color w:val="000000" w:themeColor="text1"/>
          <w:sz w:val="24"/>
          <w:szCs w:val="24"/>
        </w:rPr>
        <w:t>1,</w:t>
      </w:r>
      <w:r w:rsidRPr="52F164E3" w:rsidR="004F697A">
        <w:rPr>
          <w:rFonts w:ascii="Arial" w:eastAsia="Times New Roman" w:hAnsi="Arial" w:cs="Arial"/>
          <w:b/>
          <w:bCs/>
          <w:color w:val="000000" w:themeColor="text1"/>
          <w:sz w:val="24"/>
          <w:szCs w:val="24"/>
        </w:rPr>
        <w:t>635,935</w:t>
      </w:r>
    </w:p>
    <w:p w:rsidR="006A624E" w:rsidP="006A624E" w14:paraId="2A80825C" w14:textId="77777777">
      <w:pPr>
        <w:shd w:val="clear" w:color="auto" w:fill="FFFFFF"/>
        <w:spacing w:after="0" w:line="240" w:lineRule="auto"/>
        <w:rPr>
          <w:rFonts w:ascii="Arial" w:eastAsia="Times New Roman" w:hAnsi="Arial" w:cs="Arial"/>
          <w:sz w:val="24"/>
          <w:szCs w:val="24"/>
        </w:rPr>
      </w:pPr>
    </w:p>
    <w:p w:rsidR="009F3566" w:rsidP="52F164E3" w14:paraId="45014FAB" w14:textId="054A34F4">
      <w:pPr>
        <w:rPr>
          <w:rFonts w:ascii="Arial" w:eastAsia="Times New Roman" w:hAnsi="Arial" w:cs="Arial"/>
          <w:b/>
          <w:bCs/>
          <w:color w:val="000000" w:themeColor="text1"/>
          <w:sz w:val="24"/>
          <w:szCs w:val="24"/>
        </w:rPr>
      </w:pPr>
      <w:r w:rsidRPr="52F164E3">
        <w:rPr>
          <w:rFonts w:ascii="Arial" w:hAnsi="Arial" w:cs="Arial"/>
          <w:b/>
          <w:bCs/>
          <w:sz w:val="24"/>
          <w:szCs w:val="24"/>
        </w:rPr>
        <w:t>Annual Total Cost to the Federal Government:  $</w:t>
      </w:r>
      <w:r w:rsidRPr="52F164E3">
        <w:rPr>
          <w:rFonts w:ascii="Arial" w:eastAsia="Times New Roman" w:hAnsi="Arial" w:cs="Arial"/>
          <w:b/>
          <w:bCs/>
          <w:color w:val="000000" w:themeColor="text1"/>
          <w:sz w:val="24"/>
          <w:szCs w:val="24"/>
        </w:rPr>
        <w:t>1,</w:t>
      </w:r>
      <w:r w:rsidRPr="52F164E3" w:rsidR="00F879F1">
        <w:rPr>
          <w:rFonts w:ascii="Arial" w:eastAsia="Times New Roman" w:hAnsi="Arial" w:cs="Arial"/>
          <w:b/>
          <w:bCs/>
          <w:color w:val="000000" w:themeColor="text1"/>
          <w:sz w:val="24"/>
          <w:szCs w:val="24"/>
        </w:rPr>
        <w:t>873,895</w:t>
      </w:r>
    </w:p>
    <w:p w:rsidR="00AB019D" w:rsidP="52F164E3" w14:paraId="1F0BBF9F" w14:textId="1CCA759A">
      <w:pPr>
        <w:rPr>
          <w:rFonts w:ascii="Arial" w:eastAsia="Times New Roman" w:hAnsi="Arial" w:cs="Arial"/>
          <w:b/>
          <w:bCs/>
          <w:color w:val="000000" w:themeColor="text1"/>
          <w:sz w:val="24"/>
          <w:szCs w:val="24"/>
        </w:rPr>
      </w:pPr>
    </w:p>
    <w:p w:rsidR="00D337F3" w:rsidP="00D337F3" w14:paraId="78490EEB" w14:textId="77777777">
      <w:pPr>
        <w:shd w:val="clear" w:color="auto" w:fill="FFFFFF" w:themeFill="background1"/>
        <w:spacing w:after="0" w:line="240" w:lineRule="auto"/>
        <w:rPr>
          <w:rFonts w:ascii="Arial" w:eastAsia="Times New Roman" w:hAnsi="Arial" w:cs="Arial"/>
          <w:b/>
          <w:bCs/>
          <w:sz w:val="24"/>
          <w:szCs w:val="24"/>
        </w:rPr>
      </w:pPr>
      <w:r w:rsidRPr="52F164E3">
        <w:rPr>
          <w:rFonts w:ascii="Arial" w:eastAsia="Times New Roman" w:hAnsi="Arial" w:cs="Arial"/>
          <w:b/>
          <w:bCs/>
          <w:sz w:val="24"/>
          <w:szCs w:val="24"/>
        </w:rPr>
        <w:t>Alternative Means of Compliance (Low-Cost Case)</w:t>
      </w:r>
    </w:p>
    <w:p w:rsidR="007C777C" w:rsidP="00D337F3" w14:paraId="646FD8BE" w14:textId="77777777">
      <w:pPr>
        <w:shd w:val="clear" w:color="auto" w:fill="FFFFFF" w:themeFill="background1"/>
        <w:spacing w:after="0" w:line="240" w:lineRule="auto"/>
        <w:rPr>
          <w:rFonts w:ascii="Arial" w:eastAsia="Times New Roman" w:hAnsi="Arial" w:cs="Arial"/>
          <w:b/>
          <w:bCs/>
          <w:sz w:val="24"/>
          <w:szCs w:val="24"/>
        </w:rPr>
      </w:pPr>
    </w:p>
    <w:p w:rsidR="007C777C" w:rsidRPr="00BD22F2" w:rsidP="00D337F3" w14:paraId="6929BD66" w14:textId="04FEFF16">
      <w:pPr>
        <w:shd w:val="clear" w:color="auto" w:fill="FFFFFF" w:themeFill="background1"/>
        <w:spacing w:after="0" w:line="240" w:lineRule="auto"/>
        <w:rPr>
          <w:rFonts w:ascii="Arial" w:eastAsia="Times New Roman" w:hAnsi="Arial" w:cs="Arial"/>
          <w:sz w:val="24"/>
          <w:szCs w:val="24"/>
        </w:rPr>
      </w:pPr>
      <w:r w:rsidRPr="52F164E3">
        <w:rPr>
          <w:rFonts w:ascii="Arial" w:eastAsia="Times New Roman" w:hAnsi="Arial" w:cs="Arial"/>
          <w:sz w:val="24"/>
          <w:szCs w:val="24"/>
        </w:rPr>
        <w:t xml:space="preserve">The following section </w:t>
      </w:r>
      <w:r w:rsidRPr="52F164E3" w:rsidR="00DE4D49">
        <w:rPr>
          <w:rFonts w:ascii="Arial" w:eastAsia="Times New Roman" w:hAnsi="Arial" w:cs="Arial"/>
          <w:sz w:val="24"/>
          <w:szCs w:val="24"/>
        </w:rPr>
        <w:t xml:space="preserve">discusses the information collection regarding </w:t>
      </w:r>
      <w:r w:rsidRPr="52F164E3" w:rsidR="00E836C7">
        <w:rPr>
          <w:rFonts w:ascii="Arial" w:eastAsia="Times New Roman" w:hAnsi="Arial" w:cs="Arial"/>
          <w:sz w:val="24"/>
          <w:szCs w:val="24"/>
        </w:rPr>
        <w:t>the low-cost case</w:t>
      </w:r>
      <w:r w:rsidRPr="52F164E3" w:rsidR="00445F23">
        <w:rPr>
          <w:rFonts w:ascii="Arial" w:eastAsia="Times New Roman" w:hAnsi="Arial" w:cs="Arial"/>
          <w:sz w:val="24"/>
          <w:szCs w:val="24"/>
        </w:rPr>
        <w:t xml:space="preserve"> for the alternative means of compliance. These </w:t>
      </w:r>
      <w:r w:rsidRPr="52F164E3" w:rsidR="008127F6">
        <w:rPr>
          <w:rFonts w:ascii="Arial" w:eastAsia="Times New Roman" w:hAnsi="Arial" w:cs="Arial"/>
          <w:sz w:val="24"/>
          <w:szCs w:val="24"/>
        </w:rPr>
        <w:t xml:space="preserve">costs are not in addition to the </w:t>
      </w:r>
      <w:r w:rsidRPr="52F164E3" w:rsidR="00AD5350">
        <w:rPr>
          <w:rFonts w:ascii="Arial" w:eastAsia="Times New Roman" w:hAnsi="Arial" w:cs="Arial"/>
          <w:sz w:val="24"/>
          <w:szCs w:val="24"/>
        </w:rPr>
        <w:t xml:space="preserve">main information </w:t>
      </w:r>
      <w:r w:rsidRPr="52F164E3" w:rsidR="00B36CAF">
        <w:rPr>
          <w:rFonts w:ascii="Arial" w:eastAsia="Times New Roman" w:hAnsi="Arial" w:cs="Arial"/>
          <w:sz w:val="24"/>
          <w:szCs w:val="24"/>
        </w:rPr>
        <w:t xml:space="preserve">collection analysis </w:t>
      </w:r>
      <w:r w:rsidRPr="52F164E3" w:rsidR="00426CF7">
        <w:rPr>
          <w:rFonts w:ascii="Arial" w:eastAsia="Times New Roman" w:hAnsi="Arial" w:cs="Arial"/>
          <w:sz w:val="24"/>
          <w:szCs w:val="24"/>
        </w:rPr>
        <w:t xml:space="preserve">preceding this section. </w:t>
      </w:r>
    </w:p>
    <w:p w:rsidR="00663EBE" w:rsidP="00D337F3" w14:paraId="3D1EA97A" w14:textId="77777777">
      <w:pPr>
        <w:shd w:val="clear" w:color="auto" w:fill="FFFFFF" w:themeFill="background1"/>
        <w:spacing w:after="0" w:line="240" w:lineRule="auto"/>
        <w:rPr>
          <w:rFonts w:ascii="Arial" w:eastAsia="Times New Roman" w:hAnsi="Arial" w:cs="Arial"/>
          <w:b/>
          <w:bCs/>
          <w:sz w:val="24"/>
          <w:szCs w:val="24"/>
        </w:rPr>
      </w:pPr>
    </w:p>
    <w:p w:rsidR="00663EBE" w:rsidRPr="00951C34" w:rsidP="00A80FA8" w14:paraId="6CF2A3DE" w14:textId="3442BCFA">
      <w:pPr>
        <w:shd w:val="clear" w:color="auto" w:fill="FFFFFF" w:themeFill="background1"/>
        <w:spacing w:after="0" w:line="240" w:lineRule="auto"/>
        <w:jc w:val="center"/>
        <w:rPr>
          <w:rFonts w:ascii="Arial" w:eastAsia="Times New Roman" w:hAnsi="Arial" w:cs="Arial"/>
          <w:b/>
          <w:bCs/>
          <w:sz w:val="24"/>
          <w:szCs w:val="24"/>
        </w:rPr>
      </w:pPr>
      <w:r w:rsidRPr="52F164E3">
        <w:rPr>
          <w:rFonts w:ascii="Arial" w:eastAsia="Times New Roman" w:hAnsi="Arial" w:cs="Arial"/>
          <w:b/>
          <w:bCs/>
          <w:sz w:val="24"/>
          <w:szCs w:val="24"/>
        </w:rPr>
        <w:t>Alternative Means of Compliance Request Review</w:t>
      </w:r>
    </w:p>
    <w:tbl>
      <w:tblPr>
        <w:tblW w:w="8901" w:type="dxa"/>
        <w:tblInd w:w="-1" w:type="dxa"/>
        <w:tblCellMar>
          <w:left w:w="0" w:type="dxa"/>
          <w:right w:w="0" w:type="dxa"/>
        </w:tblCellMar>
        <w:tblLook w:val="04A0"/>
      </w:tblPr>
      <w:tblGrid>
        <w:gridCol w:w="2151"/>
        <w:gridCol w:w="1710"/>
        <w:gridCol w:w="1620"/>
        <w:gridCol w:w="1620"/>
        <w:gridCol w:w="1800"/>
      </w:tblGrid>
      <w:tr w14:paraId="0C5D780E" w14:textId="77777777" w:rsidTr="52F164E3">
        <w:tblPrEx>
          <w:tblW w:w="8901" w:type="dxa"/>
          <w:tblInd w:w="-1" w:type="dxa"/>
          <w:tblCellMar>
            <w:left w:w="0" w:type="dxa"/>
            <w:right w:w="0" w:type="dxa"/>
          </w:tblCellMar>
          <w:tblLook w:val="04A0"/>
        </w:tblPrEx>
        <w:trPr>
          <w:trHeight w:val="264"/>
        </w:trPr>
        <w:tc>
          <w:tcPr>
            <w:tcW w:w="215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D53754" w:rsidRPr="00CC2F5E" w:rsidP="52F164E3" w14:paraId="702D3404" w14:textId="77777777">
            <w:pPr>
              <w:rPr>
                <w:rFonts w:ascii="Arial" w:hAnsi="Arial" w:cs="Arial"/>
                <w:b/>
                <w:bCs/>
                <w:sz w:val="24"/>
                <w:szCs w:val="24"/>
              </w:rPr>
            </w:pPr>
            <w:r w:rsidRPr="52F164E3">
              <w:rPr>
                <w:rFonts w:ascii="Arial" w:hAnsi="Arial" w:cs="Arial"/>
                <w:b/>
                <w:bCs/>
                <w:sz w:val="24"/>
                <w:szCs w:val="24"/>
              </w:rPr>
              <w:t> Task</w:t>
            </w:r>
          </w:p>
        </w:tc>
        <w:tc>
          <w:tcPr>
            <w:tcW w:w="1710" w:type="dxa"/>
            <w:tcBorders>
              <w:top w:val="single" w:sz="4" w:space="0" w:color="auto"/>
              <w:left w:val="nil"/>
              <w:bottom w:val="single" w:sz="8" w:space="0" w:color="auto"/>
              <w:right w:val="single" w:sz="4" w:space="0" w:color="auto"/>
            </w:tcBorders>
          </w:tcPr>
          <w:p w:rsidR="00D53754" w:rsidRPr="00CC2F5E" w:rsidP="52F164E3" w14:paraId="113183F4" w14:textId="77777777">
            <w:pPr>
              <w:rPr>
                <w:rFonts w:ascii="Arial" w:hAnsi="Arial" w:cs="Arial"/>
                <w:b/>
                <w:bCs/>
                <w:sz w:val="24"/>
                <w:szCs w:val="24"/>
              </w:rPr>
            </w:pPr>
            <w:r w:rsidRPr="52F164E3">
              <w:rPr>
                <w:rFonts w:ascii="Arial" w:hAnsi="Arial" w:cs="Arial"/>
                <w:b/>
                <w:bCs/>
                <w:sz w:val="24"/>
                <w:szCs w:val="24"/>
              </w:rPr>
              <w:t>Number of Events</w:t>
            </w:r>
          </w:p>
        </w:tc>
        <w:tc>
          <w:tcPr>
            <w:tcW w:w="162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D53754" w:rsidRPr="00CC2F5E" w:rsidP="52F164E3" w14:paraId="339FDCEA" w14:textId="77777777">
            <w:pPr>
              <w:rPr>
                <w:rFonts w:ascii="Arial" w:hAnsi="Arial" w:cs="Arial"/>
                <w:b/>
                <w:bCs/>
                <w:sz w:val="24"/>
                <w:szCs w:val="24"/>
              </w:rPr>
            </w:pPr>
            <w:r w:rsidRPr="52F164E3">
              <w:rPr>
                <w:rFonts w:ascii="Arial" w:hAnsi="Arial" w:cs="Arial"/>
                <w:b/>
                <w:bCs/>
                <w:sz w:val="24"/>
                <w:szCs w:val="24"/>
              </w:rPr>
              <w:t>Number of Hours per Event</w:t>
            </w:r>
          </w:p>
        </w:tc>
        <w:tc>
          <w:tcPr>
            <w:tcW w:w="162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D53754" w:rsidRPr="00CC2F5E" w:rsidP="52F164E3" w14:paraId="16EADC78" w14:textId="77777777">
            <w:pPr>
              <w:rPr>
                <w:rFonts w:ascii="Arial" w:hAnsi="Arial" w:cs="Arial"/>
                <w:b/>
                <w:bCs/>
                <w:sz w:val="24"/>
                <w:szCs w:val="24"/>
              </w:rPr>
            </w:pPr>
            <w:r w:rsidRPr="52F164E3">
              <w:rPr>
                <w:rFonts w:ascii="Arial" w:hAnsi="Arial" w:cs="Arial"/>
                <w:b/>
                <w:bCs/>
                <w:sz w:val="24"/>
                <w:szCs w:val="24"/>
              </w:rPr>
              <w:t>Hourly rate</w:t>
            </w:r>
          </w:p>
        </w:tc>
        <w:tc>
          <w:tcPr>
            <w:tcW w:w="1800" w:type="dxa"/>
            <w:tcBorders>
              <w:top w:val="single" w:sz="4" w:space="0" w:color="auto"/>
              <w:left w:val="nil"/>
              <w:bottom w:val="single" w:sz="8" w:space="0" w:color="auto"/>
              <w:right w:val="single" w:sz="8" w:space="0" w:color="auto"/>
            </w:tcBorders>
            <w:noWrap/>
            <w:tcMar>
              <w:top w:w="0" w:type="dxa"/>
              <w:left w:w="108" w:type="dxa"/>
              <w:bottom w:w="0" w:type="dxa"/>
              <w:right w:w="108" w:type="dxa"/>
            </w:tcMar>
            <w:hideMark/>
          </w:tcPr>
          <w:p w:rsidR="00D53754" w:rsidRPr="00CC2F5E" w:rsidP="52F164E3" w14:paraId="4B18AACE" w14:textId="77777777">
            <w:pPr>
              <w:jc w:val="center"/>
              <w:rPr>
                <w:rFonts w:ascii="Arial" w:hAnsi="Arial" w:cs="Arial"/>
                <w:b/>
                <w:bCs/>
                <w:sz w:val="24"/>
                <w:szCs w:val="24"/>
              </w:rPr>
            </w:pPr>
            <w:r w:rsidRPr="52F164E3">
              <w:rPr>
                <w:rFonts w:ascii="Arial" w:hAnsi="Arial" w:cs="Arial"/>
                <w:b/>
                <w:bCs/>
                <w:sz w:val="24"/>
                <w:szCs w:val="24"/>
              </w:rPr>
              <w:t>Total Cost</w:t>
            </w:r>
          </w:p>
        </w:tc>
      </w:tr>
      <w:tr w14:paraId="1F43EE24" w14:textId="77777777" w:rsidTr="52F164E3">
        <w:tblPrEx>
          <w:tblW w:w="8901" w:type="dxa"/>
          <w:tblInd w:w="-1" w:type="dxa"/>
          <w:tblCellMar>
            <w:left w:w="0" w:type="dxa"/>
            <w:right w:w="0" w:type="dxa"/>
          </w:tblCellMar>
          <w:tblLook w:val="04A0"/>
        </w:tblPrEx>
        <w:trPr>
          <w:trHeight w:val="264"/>
        </w:trPr>
        <w:tc>
          <w:tcPr>
            <w:tcW w:w="21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D53754" w:rsidRPr="00CC2F5E" w14:paraId="78D3750B" w14:textId="28E32750">
            <w:pPr>
              <w:rPr>
                <w:rFonts w:ascii="Arial" w:hAnsi="Arial" w:cs="Arial"/>
                <w:sz w:val="24"/>
                <w:szCs w:val="24"/>
              </w:rPr>
            </w:pPr>
            <w:r w:rsidRPr="52F164E3">
              <w:rPr>
                <w:rFonts w:ascii="Arial" w:hAnsi="Arial" w:cs="Arial"/>
                <w:sz w:val="24"/>
                <w:szCs w:val="24"/>
              </w:rPr>
              <w:t xml:space="preserve">Review of </w:t>
            </w:r>
            <w:r w:rsidRPr="52F164E3" w:rsidR="5FA190D4">
              <w:rPr>
                <w:rFonts w:ascii="Arial" w:hAnsi="Arial" w:cs="Arial"/>
                <w:sz w:val="24"/>
                <w:szCs w:val="24"/>
              </w:rPr>
              <w:t>request</w:t>
            </w:r>
          </w:p>
        </w:tc>
        <w:tc>
          <w:tcPr>
            <w:tcW w:w="1710" w:type="dxa"/>
            <w:tcBorders>
              <w:top w:val="single" w:sz="8" w:space="0" w:color="auto"/>
              <w:left w:val="nil"/>
              <w:bottom w:val="single" w:sz="8" w:space="0" w:color="auto"/>
              <w:right w:val="single" w:sz="4" w:space="0" w:color="auto"/>
            </w:tcBorders>
          </w:tcPr>
          <w:p w:rsidR="00D53754" w:rsidRPr="00CC2F5E" w14:paraId="633E1D88" w14:textId="1DA11A66">
            <w:pPr>
              <w:jc w:val="right"/>
              <w:rPr>
                <w:rFonts w:ascii="Arial" w:hAnsi="Arial" w:cs="Arial"/>
                <w:sz w:val="24"/>
                <w:szCs w:val="24"/>
              </w:rPr>
            </w:pPr>
            <w:r w:rsidRPr="52F164E3">
              <w:rPr>
                <w:rFonts w:ascii="Arial" w:hAnsi="Arial" w:cs="Arial"/>
                <w:sz w:val="24"/>
                <w:szCs w:val="24"/>
              </w:rPr>
              <w:t>33</w:t>
            </w:r>
          </w:p>
        </w:tc>
        <w:tc>
          <w:tcPr>
            <w:tcW w:w="1620"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D53754" w:rsidRPr="00CC2F5E" w14:paraId="60FFD208" w14:textId="19EFBD29">
            <w:pPr>
              <w:jc w:val="right"/>
              <w:rPr>
                <w:rFonts w:ascii="Arial" w:hAnsi="Arial" w:cs="Arial"/>
                <w:sz w:val="24"/>
                <w:szCs w:val="24"/>
              </w:rPr>
            </w:pPr>
            <w:r w:rsidRPr="52F164E3">
              <w:rPr>
                <w:rFonts w:ascii="Arial" w:hAnsi="Arial" w:cs="Arial"/>
                <w:sz w:val="24"/>
                <w:szCs w:val="24"/>
              </w:rPr>
              <w:t>20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rsidR="00D53754" w:rsidRPr="00CC2F5E" w14:paraId="51295EC3" w14:textId="5D056A3E">
            <w:pPr>
              <w:jc w:val="right"/>
              <w:rPr>
                <w:rFonts w:ascii="Arial" w:hAnsi="Arial" w:cs="Arial"/>
                <w:sz w:val="24"/>
                <w:szCs w:val="24"/>
              </w:rPr>
            </w:pPr>
            <w:r w:rsidRPr="52F164E3">
              <w:rPr>
                <w:rFonts w:ascii="Arial" w:hAnsi="Arial" w:cs="Arial"/>
                <w:sz w:val="24"/>
                <w:szCs w:val="24"/>
              </w:rPr>
              <w:t>$</w:t>
            </w:r>
            <w:r w:rsidRPr="52F164E3" w:rsidR="7433A53D">
              <w:rPr>
                <w:rFonts w:ascii="Arial" w:hAnsi="Arial" w:cs="Arial"/>
                <w:sz w:val="24"/>
                <w:szCs w:val="24"/>
              </w:rPr>
              <w:t>6</w:t>
            </w:r>
            <w:r w:rsidRPr="52F164E3" w:rsidR="00BB038B">
              <w:rPr>
                <w:rFonts w:ascii="Arial" w:hAnsi="Arial" w:cs="Arial"/>
                <w:sz w:val="24"/>
                <w:szCs w:val="24"/>
              </w:rPr>
              <w:t>2</w:t>
            </w:r>
            <w:r w:rsidRPr="52F164E3" w:rsidR="7433A53D">
              <w:rPr>
                <w:rFonts w:ascii="Arial" w:hAnsi="Arial" w:cs="Arial"/>
                <w:sz w:val="24"/>
                <w:szCs w:val="24"/>
              </w:rPr>
              <w:t>.</w:t>
            </w:r>
            <w:r w:rsidRPr="52F164E3" w:rsidR="00BB038B">
              <w:rPr>
                <w:rFonts w:ascii="Arial" w:hAnsi="Arial" w:cs="Arial"/>
                <w:sz w:val="24"/>
                <w:szCs w:val="24"/>
              </w:rPr>
              <w:t>22</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hideMark/>
          </w:tcPr>
          <w:p w:rsidR="00D53754" w:rsidRPr="00CC2F5E" w:rsidP="52F164E3" w14:paraId="3B254139" w14:textId="775E40CD">
            <w:pPr>
              <w:jc w:val="right"/>
              <w:rPr>
                <w:rFonts w:ascii="Arial" w:hAnsi="Arial" w:cs="Arial"/>
                <w:b/>
                <w:bCs/>
                <w:sz w:val="24"/>
                <w:szCs w:val="24"/>
              </w:rPr>
            </w:pPr>
            <w:r w:rsidRPr="52F164E3">
              <w:rPr>
                <w:rFonts w:ascii="Arial" w:hAnsi="Arial" w:cs="Arial"/>
                <w:b/>
                <w:bCs/>
                <w:sz w:val="24"/>
                <w:szCs w:val="24"/>
              </w:rPr>
              <w:t>$</w:t>
            </w:r>
            <w:r w:rsidRPr="52F164E3" w:rsidR="00BB038B">
              <w:rPr>
                <w:rFonts w:ascii="Arial" w:hAnsi="Arial" w:cs="Arial"/>
                <w:b/>
                <w:bCs/>
                <w:sz w:val="24"/>
                <w:szCs w:val="24"/>
              </w:rPr>
              <w:t>41,063</w:t>
            </w:r>
          </w:p>
        </w:tc>
      </w:tr>
    </w:tbl>
    <w:p w:rsidR="00117CF0" w:rsidP="00117CF0" w14:paraId="184310C7" w14:textId="4A678AC5">
      <w:pPr>
        <w:spacing w:after="0" w:line="240" w:lineRule="auto"/>
        <w:rPr>
          <w:rFonts w:ascii="Arial" w:hAnsi="Arial" w:cs="Arial"/>
          <w:sz w:val="24"/>
          <w:szCs w:val="24"/>
        </w:rPr>
      </w:pPr>
      <w:r w:rsidRPr="52F164E3">
        <w:rPr>
          <w:rFonts w:ascii="Arial" w:hAnsi="Arial" w:cs="Arial"/>
          <w:sz w:val="24"/>
          <w:szCs w:val="24"/>
          <w:u w:val="single"/>
        </w:rPr>
        <w:t>Explanation</w:t>
      </w:r>
      <w:r w:rsidRPr="52F164E3">
        <w:rPr>
          <w:rFonts w:ascii="Arial" w:hAnsi="Arial" w:cs="Arial"/>
          <w:sz w:val="24"/>
          <w:szCs w:val="24"/>
        </w:rPr>
        <w:t>:</w:t>
      </w:r>
      <w:r w:rsidRPr="52F164E3" w:rsidR="007F111C">
        <w:rPr>
          <w:rFonts w:ascii="Arial" w:hAnsi="Arial" w:cs="Arial"/>
          <w:sz w:val="24"/>
          <w:szCs w:val="24"/>
        </w:rPr>
        <w:t xml:space="preserve"> The</w:t>
      </w:r>
      <w:r w:rsidRPr="52F164E3" w:rsidR="00BB038B">
        <w:rPr>
          <w:rFonts w:ascii="Arial" w:hAnsi="Arial" w:cs="Arial"/>
          <w:sz w:val="24"/>
          <w:szCs w:val="24"/>
        </w:rPr>
        <w:t xml:space="preserve"> FAA</w:t>
      </w:r>
      <w:r w:rsidRPr="52F164E3" w:rsidR="007F111C">
        <w:rPr>
          <w:rFonts w:ascii="Arial" w:hAnsi="Arial" w:cs="Arial"/>
          <w:sz w:val="24"/>
          <w:szCs w:val="24"/>
        </w:rPr>
        <w:t xml:space="preserve"> estimates that e</w:t>
      </w:r>
      <w:r w:rsidRPr="52F164E3">
        <w:rPr>
          <w:rFonts w:ascii="Arial" w:hAnsi="Arial" w:cs="Arial"/>
          <w:sz w:val="24"/>
          <w:szCs w:val="24"/>
        </w:rPr>
        <w:t>ach</w:t>
      </w:r>
      <w:r w:rsidRPr="52F164E3" w:rsidR="006E4B8E">
        <w:rPr>
          <w:rFonts w:ascii="Arial" w:hAnsi="Arial" w:cs="Arial"/>
          <w:sz w:val="24"/>
          <w:szCs w:val="24"/>
        </w:rPr>
        <w:t xml:space="preserve"> request will be reviewed by </w:t>
      </w:r>
      <w:r w:rsidRPr="52F164E3" w:rsidR="00790E40">
        <w:rPr>
          <w:rFonts w:ascii="Arial" w:hAnsi="Arial" w:cs="Arial"/>
          <w:sz w:val="24"/>
          <w:szCs w:val="24"/>
        </w:rPr>
        <w:t>a</w:t>
      </w:r>
      <w:r w:rsidRPr="52F164E3" w:rsidR="002A7235">
        <w:rPr>
          <w:rFonts w:ascii="Arial" w:hAnsi="Arial" w:cs="Arial"/>
          <w:sz w:val="24"/>
          <w:szCs w:val="24"/>
        </w:rPr>
        <w:t>n FAA program analyst</w:t>
      </w:r>
      <w:r w:rsidRPr="52F164E3" w:rsidR="004748D2">
        <w:rPr>
          <w:rFonts w:ascii="Arial" w:hAnsi="Arial" w:cs="Arial"/>
          <w:sz w:val="24"/>
          <w:szCs w:val="24"/>
        </w:rPr>
        <w:t xml:space="preserve"> for 18 hours. </w:t>
      </w:r>
      <w:r w:rsidRPr="52F164E3" w:rsidR="00BB038B">
        <w:rPr>
          <w:rFonts w:ascii="Arial" w:hAnsi="Arial" w:cs="Arial"/>
          <w:sz w:val="24"/>
          <w:szCs w:val="24"/>
        </w:rPr>
        <w:t>Additionally, a</w:t>
      </w:r>
      <w:r w:rsidRPr="52F164E3" w:rsidR="00131BA8">
        <w:rPr>
          <w:rFonts w:ascii="Arial" w:hAnsi="Arial" w:cs="Arial"/>
          <w:sz w:val="24"/>
          <w:szCs w:val="24"/>
        </w:rPr>
        <w:t xml:space="preserve">n FAA manager will review </w:t>
      </w:r>
      <w:r w:rsidRPr="52F164E3" w:rsidR="0067513C">
        <w:rPr>
          <w:rFonts w:ascii="Arial" w:hAnsi="Arial" w:cs="Arial"/>
          <w:sz w:val="24"/>
          <w:szCs w:val="24"/>
        </w:rPr>
        <w:t>the request</w:t>
      </w:r>
      <w:r w:rsidRPr="52F164E3" w:rsidR="0086072F">
        <w:rPr>
          <w:rFonts w:ascii="Arial" w:hAnsi="Arial" w:cs="Arial"/>
          <w:sz w:val="24"/>
          <w:szCs w:val="24"/>
        </w:rPr>
        <w:t xml:space="preserve"> for 2 hours for a total of 20 hours of burden for the FAA.</w:t>
      </w:r>
      <w:r w:rsidRPr="52F164E3" w:rsidR="0067513C">
        <w:rPr>
          <w:rFonts w:ascii="Arial" w:hAnsi="Arial" w:cs="Arial"/>
          <w:sz w:val="24"/>
          <w:szCs w:val="24"/>
        </w:rPr>
        <w:t xml:space="preserve"> </w:t>
      </w:r>
      <w:r w:rsidRPr="52F164E3" w:rsidR="001430C4">
        <w:rPr>
          <w:rFonts w:ascii="Arial" w:hAnsi="Arial" w:cs="Arial"/>
          <w:sz w:val="24"/>
          <w:szCs w:val="24"/>
        </w:rPr>
        <w:t xml:space="preserve">The FAA assumes it will take 2 years for all 65 countries to submit </w:t>
      </w:r>
      <w:r w:rsidRPr="52F164E3" w:rsidR="0067513C">
        <w:rPr>
          <w:rFonts w:ascii="Arial" w:hAnsi="Arial" w:cs="Arial"/>
          <w:sz w:val="24"/>
          <w:szCs w:val="24"/>
        </w:rPr>
        <w:t xml:space="preserve">the request </w:t>
      </w:r>
      <w:r w:rsidRPr="52F164E3" w:rsidR="001430C4">
        <w:rPr>
          <w:rFonts w:ascii="Arial" w:hAnsi="Arial" w:cs="Arial"/>
          <w:sz w:val="24"/>
          <w:szCs w:val="24"/>
        </w:rPr>
        <w:t xml:space="preserve">and their submissions to be reviewed. Therefore, </w:t>
      </w:r>
      <w:r w:rsidRPr="52F164E3" w:rsidR="00A75183">
        <w:rPr>
          <w:rFonts w:ascii="Arial" w:hAnsi="Arial" w:cs="Arial"/>
          <w:sz w:val="24"/>
          <w:szCs w:val="24"/>
        </w:rPr>
        <w:t xml:space="preserve">the FAA estimates that </w:t>
      </w:r>
      <w:r w:rsidRPr="52F164E3" w:rsidR="00706342">
        <w:rPr>
          <w:rFonts w:ascii="Arial" w:hAnsi="Arial" w:cs="Arial"/>
          <w:sz w:val="24"/>
          <w:szCs w:val="24"/>
        </w:rPr>
        <w:t xml:space="preserve">approximately half, 33, will be completed in the first year and the remaining 32 in the second year. These </w:t>
      </w:r>
      <w:r w:rsidRPr="52F164E3" w:rsidR="00F17C58">
        <w:rPr>
          <w:rFonts w:ascii="Arial" w:hAnsi="Arial" w:cs="Arial"/>
          <w:sz w:val="24"/>
          <w:szCs w:val="24"/>
        </w:rPr>
        <w:t>submission</w:t>
      </w:r>
      <w:r w:rsidRPr="52F164E3" w:rsidR="00D4522A">
        <w:rPr>
          <w:rFonts w:ascii="Arial" w:hAnsi="Arial" w:cs="Arial"/>
          <w:sz w:val="24"/>
          <w:szCs w:val="24"/>
        </w:rPr>
        <w:t>s will only need to be completed once.</w:t>
      </w:r>
    </w:p>
    <w:p w:rsidR="00117CF0" w:rsidRPr="00A80FA8" w:rsidP="00117CF0" w14:paraId="6ECEEB72" w14:textId="77777777">
      <w:pPr>
        <w:spacing w:after="0" w:line="240" w:lineRule="auto"/>
        <w:rPr>
          <w:rFonts w:ascii="Arial" w:hAnsi="Arial" w:cs="Arial"/>
          <w:sz w:val="24"/>
          <w:szCs w:val="24"/>
        </w:rPr>
      </w:pPr>
    </w:p>
    <w:p w:rsidR="00D337F3" w:rsidRPr="00A80FA8" w:rsidP="00A80FA8" w14:paraId="6FBD16B3" w14:textId="5B58BFD0">
      <w:pPr>
        <w:spacing w:after="0" w:line="240" w:lineRule="auto"/>
        <w:rPr>
          <w:rFonts w:ascii="Arial" w:hAnsi="Arial" w:cs="Arial"/>
          <w:sz w:val="24"/>
          <w:szCs w:val="24"/>
        </w:rPr>
      </w:pPr>
      <w:r w:rsidRPr="00CC2F5E">
        <w:rPr>
          <w:rFonts w:ascii="Arial" w:eastAsia="Times New Roman" w:hAnsi="Arial" w:cs="Arial"/>
          <w:sz w:val="24"/>
          <w:szCs w:val="24"/>
        </w:rPr>
        <w:t xml:space="preserve">The </w:t>
      </w:r>
      <w:r w:rsidR="00784BDE">
        <w:rPr>
          <w:rFonts w:ascii="Arial" w:eastAsia="Times New Roman" w:hAnsi="Arial" w:cs="Arial"/>
          <w:sz w:val="24"/>
          <w:szCs w:val="24"/>
        </w:rPr>
        <w:t>FAA</w:t>
      </w:r>
      <w:r w:rsidRPr="00CC2F5E">
        <w:rPr>
          <w:rFonts w:ascii="Arial" w:eastAsia="Times New Roman" w:hAnsi="Arial" w:cs="Arial"/>
          <w:sz w:val="24"/>
          <w:szCs w:val="24"/>
        </w:rPr>
        <w:t xml:space="preserve"> program analyst’s salary used to calculate this </w:t>
      </w:r>
      <w:r w:rsidR="00E67DD1">
        <w:rPr>
          <w:rFonts w:ascii="Arial" w:eastAsia="Times New Roman" w:hAnsi="Arial" w:cs="Arial"/>
          <w:sz w:val="24"/>
          <w:szCs w:val="24"/>
        </w:rPr>
        <w:t>hourly</w:t>
      </w:r>
      <w:r w:rsidRPr="00CC2F5E">
        <w:rPr>
          <w:rFonts w:ascii="Arial" w:eastAsia="Times New Roman" w:hAnsi="Arial" w:cs="Arial"/>
          <w:sz w:val="24"/>
          <w:szCs w:val="24"/>
        </w:rPr>
        <w:t xml:space="preserve"> </w:t>
      </w:r>
      <w:r w:rsidR="004F1369">
        <w:rPr>
          <w:rFonts w:ascii="Arial" w:eastAsia="Times New Roman" w:hAnsi="Arial" w:cs="Arial"/>
          <w:sz w:val="24"/>
          <w:szCs w:val="24"/>
        </w:rPr>
        <w:t>rate</w:t>
      </w:r>
      <w:r w:rsidRPr="00CC2F5E">
        <w:rPr>
          <w:rFonts w:ascii="Arial" w:eastAsia="Times New Roman" w:hAnsi="Arial" w:cs="Arial"/>
          <w:sz w:val="24"/>
          <w:szCs w:val="24"/>
        </w:rPr>
        <w:t xml:space="preserve"> is equivalent to a</w:t>
      </w:r>
      <w:r w:rsidR="00CD279A">
        <w:rPr>
          <w:rFonts w:ascii="Arial" w:eastAsia="Times New Roman" w:hAnsi="Arial" w:cs="Arial"/>
          <w:sz w:val="24"/>
          <w:szCs w:val="24"/>
        </w:rPr>
        <w:t>n FAA</w:t>
      </w:r>
      <w:r w:rsidRPr="00CC2F5E">
        <w:rPr>
          <w:rFonts w:ascii="Arial" w:eastAsia="Times New Roman" w:hAnsi="Arial" w:cs="Arial"/>
          <w:sz w:val="24"/>
          <w:szCs w:val="24"/>
        </w:rPr>
        <w:t xml:space="preserve"> </w:t>
      </w:r>
      <w:r w:rsidRPr="006534C8" w:rsidR="006534C8">
        <w:rPr>
          <w:rFonts w:ascii="Arial" w:eastAsia="Times New Roman" w:hAnsi="Arial" w:cs="Arial"/>
          <w:sz w:val="24"/>
          <w:szCs w:val="24"/>
        </w:rPr>
        <w:t xml:space="preserve">Technical Pay Band, I Band with </w:t>
      </w:r>
      <w:r w:rsidR="006534C8">
        <w:rPr>
          <w:rFonts w:ascii="Arial" w:eastAsia="Times New Roman" w:hAnsi="Arial" w:cs="Arial"/>
          <w:sz w:val="24"/>
          <w:szCs w:val="24"/>
        </w:rPr>
        <w:t xml:space="preserve">a </w:t>
      </w:r>
      <w:r w:rsidRPr="006534C8" w:rsidR="006534C8">
        <w:rPr>
          <w:rFonts w:ascii="Arial" w:eastAsia="Times New Roman" w:hAnsi="Arial" w:cs="Arial"/>
          <w:sz w:val="24"/>
          <w:szCs w:val="24"/>
        </w:rPr>
        <w:t>Washington D.C. locality</w:t>
      </w:r>
      <w:r w:rsidRPr="006534C8">
        <w:rPr>
          <w:rFonts w:ascii="Arial" w:eastAsia="Times New Roman" w:hAnsi="Arial" w:cs="Arial"/>
          <w:sz w:val="24"/>
          <w:szCs w:val="24"/>
        </w:rPr>
        <w:t xml:space="preserve"> </w:t>
      </w:r>
      <w:r w:rsidRPr="00CC2F5E">
        <w:rPr>
          <w:rFonts w:ascii="Arial" w:hAnsi="Arial" w:cs="Arial"/>
          <w:sz w:val="24"/>
          <w:szCs w:val="24"/>
        </w:rPr>
        <w:t>for a wage of $</w:t>
      </w:r>
      <w:r>
        <w:rPr>
          <w:rFonts w:ascii="Arial" w:hAnsi="Arial" w:cs="Arial"/>
          <w:sz w:val="24"/>
          <w:szCs w:val="24"/>
        </w:rPr>
        <w:t>59.</w:t>
      </w:r>
      <w:r w:rsidR="00F210D0">
        <w:rPr>
          <w:rFonts w:ascii="Arial" w:hAnsi="Arial" w:cs="Arial"/>
          <w:sz w:val="24"/>
          <w:szCs w:val="24"/>
        </w:rPr>
        <w:t>53</w:t>
      </w:r>
      <w:r>
        <w:rPr>
          <w:rFonts w:ascii="Arial" w:hAnsi="Arial" w:cs="Arial"/>
          <w:sz w:val="24"/>
          <w:szCs w:val="24"/>
        </w:rPr>
        <w:t xml:space="preserve"> </w:t>
      </w:r>
      <w:r w:rsidRPr="00CC2F5E">
        <w:rPr>
          <w:rFonts w:ascii="Arial" w:hAnsi="Arial" w:cs="Arial"/>
          <w:sz w:val="24"/>
          <w:szCs w:val="24"/>
        </w:rPr>
        <w:t>per hour</w:t>
      </w:r>
      <w:r w:rsidR="00C77D74">
        <w:rPr>
          <w:rFonts w:ascii="Arial" w:hAnsi="Arial" w:cs="Arial"/>
          <w:sz w:val="24"/>
          <w:szCs w:val="24"/>
        </w:rPr>
        <w:t xml:space="preserve"> which includes fringe benefits</w:t>
      </w:r>
      <w:r>
        <w:rPr>
          <w:rFonts w:ascii="Arial" w:hAnsi="Arial" w:cs="Arial"/>
          <w:sz w:val="24"/>
          <w:szCs w:val="24"/>
        </w:rPr>
        <w:t>.</w:t>
      </w:r>
      <w:r>
        <w:rPr>
          <w:rStyle w:val="FootnoteReference"/>
          <w:rFonts w:ascii="Arial" w:hAnsi="Arial" w:cs="Arial"/>
          <w:sz w:val="24"/>
          <w:szCs w:val="24"/>
        </w:rPr>
        <w:footnoteReference w:id="21"/>
      </w:r>
      <w:r w:rsidR="00E67DD1">
        <w:rPr>
          <w:rFonts w:ascii="Arial" w:hAnsi="Arial" w:cs="Arial"/>
          <w:sz w:val="24"/>
          <w:szCs w:val="24"/>
        </w:rPr>
        <w:t xml:space="preserve"> </w:t>
      </w:r>
      <w:r w:rsidRPr="00CC2F5E" w:rsidR="00E67DD1">
        <w:rPr>
          <w:rFonts w:ascii="Arial" w:eastAsia="Times New Roman" w:hAnsi="Arial" w:cs="Arial"/>
          <w:sz w:val="24"/>
          <w:szCs w:val="24"/>
        </w:rPr>
        <w:t xml:space="preserve">The </w:t>
      </w:r>
      <w:r w:rsidR="00E67DD1">
        <w:rPr>
          <w:rFonts w:ascii="Arial" w:eastAsia="Times New Roman" w:hAnsi="Arial" w:cs="Arial"/>
          <w:sz w:val="24"/>
          <w:szCs w:val="24"/>
        </w:rPr>
        <w:t>FAA</w:t>
      </w:r>
      <w:r w:rsidRPr="00CC2F5E" w:rsidR="00E67DD1">
        <w:rPr>
          <w:rFonts w:ascii="Arial" w:eastAsia="Times New Roman" w:hAnsi="Arial" w:cs="Arial"/>
          <w:sz w:val="24"/>
          <w:szCs w:val="24"/>
        </w:rPr>
        <w:t xml:space="preserve"> </w:t>
      </w:r>
      <w:r w:rsidR="00E67DD1">
        <w:rPr>
          <w:rFonts w:ascii="Arial" w:eastAsia="Times New Roman" w:hAnsi="Arial" w:cs="Arial"/>
          <w:sz w:val="24"/>
          <w:szCs w:val="24"/>
        </w:rPr>
        <w:t>manager’s</w:t>
      </w:r>
      <w:r w:rsidRPr="00CC2F5E" w:rsidR="00E67DD1">
        <w:rPr>
          <w:rFonts w:ascii="Arial" w:eastAsia="Times New Roman" w:hAnsi="Arial" w:cs="Arial"/>
          <w:sz w:val="24"/>
          <w:szCs w:val="24"/>
        </w:rPr>
        <w:t xml:space="preserve"> salary used to calculate this </w:t>
      </w:r>
      <w:r w:rsidR="009C5F77">
        <w:rPr>
          <w:rFonts w:ascii="Arial" w:eastAsia="Times New Roman" w:hAnsi="Arial" w:cs="Arial"/>
          <w:sz w:val="24"/>
          <w:szCs w:val="24"/>
        </w:rPr>
        <w:t xml:space="preserve">hourly rate </w:t>
      </w:r>
      <w:r w:rsidRPr="00CC2F5E" w:rsidR="00E67DD1">
        <w:rPr>
          <w:rFonts w:ascii="Arial" w:eastAsia="Times New Roman" w:hAnsi="Arial" w:cs="Arial"/>
          <w:sz w:val="24"/>
          <w:szCs w:val="24"/>
        </w:rPr>
        <w:t>is equivalent to a</w:t>
      </w:r>
      <w:r w:rsidR="00E67DD1">
        <w:rPr>
          <w:rFonts w:ascii="Arial" w:eastAsia="Times New Roman" w:hAnsi="Arial" w:cs="Arial"/>
          <w:sz w:val="24"/>
          <w:szCs w:val="24"/>
        </w:rPr>
        <w:t xml:space="preserve">n FAA </w:t>
      </w:r>
      <w:r w:rsidRPr="006534C8" w:rsidR="00E67DD1">
        <w:rPr>
          <w:rFonts w:ascii="Arial" w:eastAsia="Times New Roman" w:hAnsi="Arial" w:cs="Arial"/>
          <w:sz w:val="24"/>
          <w:szCs w:val="24"/>
        </w:rPr>
        <w:t xml:space="preserve">Technical Pay Band, </w:t>
      </w:r>
      <w:r w:rsidR="007828E9">
        <w:rPr>
          <w:rFonts w:ascii="Arial" w:eastAsia="Times New Roman" w:hAnsi="Arial" w:cs="Arial"/>
          <w:sz w:val="24"/>
          <w:szCs w:val="24"/>
        </w:rPr>
        <w:t>K</w:t>
      </w:r>
      <w:r w:rsidRPr="006534C8" w:rsidR="00E67DD1">
        <w:rPr>
          <w:rFonts w:ascii="Arial" w:eastAsia="Times New Roman" w:hAnsi="Arial" w:cs="Arial"/>
          <w:sz w:val="24"/>
          <w:szCs w:val="24"/>
        </w:rPr>
        <w:t xml:space="preserve"> Band with </w:t>
      </w:r>
      <w:r w:rsidR="00E67DD1">
        <w:rPr>
          <w:rFonts w:ascii="Arial" w:eastAsia="Times New Roman" w:hAnsi="Arial" w:cs="Arial"/>
          <w:sz w:val="24"/>
          <w:szCs w:val="24"/>
        </w:rPr>
        <w:t xml:space="preserve">a </w:t>
      </w:r>
      <w:r w:rsidRPr="006534C8" w:rsidR="00E67DD1">
        <w:rPr>
          <w:rFonts w:ascii="Arial" w:eastAsia="Times New Roman" w:hAnsi="Arial" w:cs="Arial"/>
          <w:sz w:val="24"/>
          <w:szCs w:val="24"/>
        </w:rPr>
        <w:t xml:space="preserve">Washington D.C. locality </w:t>
      </w:r>
      <w:r w:rsidRPr="00CC2F5E" w:rsidR="00E67DD1">
        <w:rPr>
          <w:rFonts w:ascii="Arial" w:hAnsi="Arial" w:cs="Arial"/>
          <w:sz w:val="24"/>
          <w:szCs w:val="24"/>
        </w:rPr>
        <w:t>for a wage of $</w:t>
      </w:r>
      <w:r w:rsidR="00223FAB">
        <w:rPr>
          <w:rFonts w:ascii="Arial" w:hAnsi="Arial" w:cs="Arial"/>
          <w:sz w:val="24"/>
          <w:szCs w:val="24"/>
        </w:rPr>
        <w:t>86.41</w:t>
      </w:r>
      <w:r w:rsidR="00E67DD1">
        <w:rPr>
          <w:rFonts w:ascii="Arial" w:hAnsi="Arial" w:cs="Arial"/>
          <w:sz w:val="24"/>
          <w:szCs w:val="24"/>
        </w:rPr>
        <w:t xml:space="preserve"> </w:t>
      </w:r>
      <w:r w:rsidRPr="00CC2F5E" w:rsidR="00E67DD1">
        <w:rPr>
          <w:rFonts w:ascii="Arial" w:hAnsi="Arial" w:cs="Arial"/>
          <w:sz w:val="24"/>
          <w:szCs w:val="24"/>
        </w:rPr>
        <w:t>per hour</w:t>
      </w:r>
      <w:r w:rsidR="00E67DD1">
        <w:rPr>
          <w:rFonts w:ascii="Arial" w:hAnsi="Arial" w:cs="Arial"/>
          <w:sz w:val="24"/>
          <w:szCs w:val="24"/>
        </w:rPr>
        <w:t xml:space="preserve"> which includes fringe benefits</w:t>
      </w:r>
      <w:r w:rsidR="0085399A">
        <w:rPr>
          <w:rFonts w:ascii="Arial" w:hAnsi="Arial" w:cs="Arial"/>
          <w:sz w:val="24"/>
          <w:szCs w:val="24"/>
        </w:rPr>
        <w:t>.</w:t>
      </w:r>
      <w:r>
        <w:rPr>
          <w:rStyle w:val="FootnoteReference"/>
          <w:rFonts w:ascii="Arial" w:hAnsi="Arial" w:cs="Arial"/>
          <w:sz w:val="24"/>
          <w:szCs w:val="24"/>
        </w:rPr>
        <w:footnoteReference w:id="22"/>
      </w:r>
      <w:r w:rsidR="001700D2">
        <w:rPr>
          <w:rFonts w:ascii="Arial" w:hAnsi="Arial" w:cs="Arial"/>
          <w:sz w:val="24"/>
          <w:szCs w:val="24"/>
        </w:rPr>
        <w:t xml:space="preserve"> The </w:t>
      </w:r>
      <w:r w:rsidR="00F433FF">
        <w:rPr>
          <w:rFonts w:ascii="Arial" w:hAnsi="Arial" w:cs="Arial"/>
          <w:sz w:val="24"/>
          <w:szCs w:val="24"/>
        </w:rPr>
        <w:t xml:space="preserve">weighted average of the </w:t>
      </w:r>
      <w:r w:rsidR="001700D2">
        <w:rPr>
          <w:rFonts w:ascii="Arial" w:hAnsi="Arial" w:cs="Arial"/>
          <w:sz w:val="24"/>
          <w:szCs w:val="24"/>
        </w:rPr>
        <w:t xml:space="preserve">two wages </w:t>
      </w:r>
      <w:r w:rsidR="00EB5586">
        <w:rPr>
          <w:rFonts w:ascii="Arial" w:hAnsi="Arial" w:cs="Arial"/>
          <w:sz w:val="24"/>
          <w:szCs w:val="24"/>
        </w:rPr>
        <w:t>is used to</w:t>
      </w:r>
      <w:r w:rsidR="001700D2">
        <w:rPr>
          <w:rFonts w:ascii="Arial" w:hAnsi="Arial" w:cs="Arial"/>
          <w:sz w:val="24"/>
          <w:szCs w:val="24"/>
        </w:rPr>
        <w:t xml:space="preserve"> </w:t>
      </w:r>
      <w:r w:rsidR="00EB5586">
        <w:rPr>
          <w:rFonts w:ascii="Arial" w:hAnsi="Arial" w:cs="Arial"/>
          <w:sz w:val="24"/>
          <w:szCs w:val="24"/>
        </w:rPr>
        <w:t>calculate</w:t>
      </w:r>
      <w:r w:rsidR="00890360">
        <w:rPr>
          <w:rFonts w:ascii="Arial" w:hAnsi="Arial" w:cs="Arial"/>
          <w:sz w:val="24"/>
          <w:szCs w:val="24"/>
        </w:rPr>
        <w:t xml:space="preserve"> </w:t>
      </w:r>
      <w:r w:rsidR="00BF421C">
        <w:rPr>
          <w:rFonts w:ascii="Arial" w:hAnsi="Arial" w:cs="Arial"/>
          <w:sz w:val="24"/>
          <w:szCs w:val="24"/>
        </w:rPr>
        <w:t xml:space="preserve">the </w:t>
      </w:r>
      <w:r w:rsidR="00EB5586">
        <w:rPr>
          <w:rFonts w:ascii="Arial" w:hAnsi="Arial" w:cs="Arial"/>
          <w:sz w:val="24"/>
          <w:szCs w:val="24"/>
        </w:rPr>
        <w:t>$6</w:t>
      </w:r>
      <w:r w:rsidR="0060016D">
        <w:rPr>
          <w:rFonts w:ascii="Arial" w:hAnsi="Arial" w:cs="Arial"/>
          <w:sz w:val="24"/>
          <w:szCs w:val="24"/>
        </w:rPr>
        <w:t>2</w:t>
      </w:r>
      <w:r w:rsidR="00EB5586">
        <w:rPr>
          <w:rFonts w:ascii="Arial" w:hAnsi="Arial" w:cs="Arial"/>
          <w:sz w:val="24"/>
          <w:szCs w:val="24"/>
        </w:rPr>
        <w:t>.22 hourly rate.</w:t>
      </w:r>
      <w:r>
        <w:rPr>
          <w:rStyle w:val="FootnoteReference"/>
          <w:rFonts w:ascii="Arial" w:hAnsi="Arial" w:cs="Arial"/>
          <w:sz w:val="24"/>
          <w:szCs w:val="24"/>
        </w:rPr>
        <w:footnoteReference w:id="23"/>
      </w:r>
      <w:r w:rsidR="00EB5586">
        <w:rPr>
          <w:rFonts w:ascii="Arial" w:hAnsi="Arial" w:cs="Arial"/>
          <w:sz w:val="24"/>
          <w:szCs w:val="24"/>
        </w:rPr>
        <w:t xml:space="preserve"> </w:t>
      </w:r>
    </w:p>
    <w:p w:rsidR="00A318DC" w:rsidRPr="00CC2F5E" w:rsidP="006A624E" w14:paraId="756F4EF9" w14:textId="77777777">
      <w:pPr>
        <w:shd w:val="clear" w:color="auto" w:fill="FFFFFF"/>
        <w:spacing w:after="0" w:line="240" w:lineRule="auto"/>
        <w:rPr>
          <w:rFonts w:ascii="Arial" w:eastAsia="Times New Roman" w:hAnsi="Arial" w:cs="Arial"/>
          <w:sz w:val="24"/>
          <w:szCs w:val="24"/>
        </w:rPr>
      </w:pPr>
    </w:p>
    <w:p w:rsidR="006A624E" w:rsidRPr="00CC2F5E" w:rsidP="006A624E" w14:paraId="1F15BF97" w14:textId="35E883EF">
      <w:pPr>
        <w:shd w:val="clear" w:color="auto" w:fill="FFFFFF"/>
        <w:spacing w:after="0" w:line="240" w:lineRule="auto"/>
        <w:rPr>
          <w:rFonts w:ascii="Arial" w:eastAsia="Times New Roman" w:hAnsi="Arial" w:cs="Arial"/>
          <w:b/>
          <w:bCs/>
          <w:sz w:val="24"/>
          <w:szCs w:val="24"/>
        </w:rPr>
      </w:pPr>
      <w:r w:rsidRPr="00CC2F5E">
        <w:rPr>
          <w:rFonts w:ascii="Arial" w:eastAsia="Times New Roman" w:hAnsi="Arial" w:cs="Arial"/>
          <w:b/>
          <w:bCs/>
          <w:sz w:val="24"/>
          <w:szCs w:val="24"/>
        </w:rPr>
        <w:t>15. Explain the reasons for any program changes or adjustments.</w:t>
      </w:r>
    </w:p>
    <w:p w:rsidR="001044E4" w:rsidRPr="00CC2F5E" w:rsidP="006A624E" w14:paraId="341A3992" w14:textId="77777777">
      <w:pPr>
        <w:shd w:val="clear" w:color="auto" w:fill="FFFFFF"/>
        <w:spacing w:after="0" w:line="240" w:lineRule="auto"/>
        <w:rPr>
          <w:rFonts w:ascii="Arial" w:eastAsia="Times New Roman" w:hAnsi="Arial" w:cs="Arial"/>
          <w:b/>
          <w:bCs/>
          <w:sz w:val="24"/>
          <w:szCs w:val="24"/>
        </w:rPr>
      </w:pPr>
    </w:p>
    <w:p w:rsidR="001169E7" w:rsidP="002D66DD" w14:paraId="2A9A10A3" w14:textId="4BE49896">
      <w:pPr>
        <w:rPr>
          <w:rFonts w:ascii="Arial" w:hAnsi="Arial" w:cs="Arial"/>
          <w:sz w:val="24"/>
          <w:szCs w:val="24"/>
        </w:rPr>
      </w:pPr>
      <w:r w:rsidRPr="1955B311">
        <w:rPr>
          <w:rFonts w:ascii="Arial" w:hAnsi="Arial" w:cs="Arial"/>
          <w:sz w:val="24"/>
          <w:szCs w:val="24"/>
        </w:rPr>
        <w:t>As a result of the Act</w:t>
      </w:r>
      <w:r w:rsidRPr="1955B311" w:rsidR="39CB18AF">
        <w:rPr>
          <w:rFonts w:ascii="Arial" w:hAnsi="Arial" w:cs="Arial"/>
          <w:sz w:val="24"/>
          <w:szCs w:val="24"/>
        </w:rPr>
        <w:t xml:space="preserve"> and subsequent FAA regulations</w:t>
      </w:r>
      <w:r w:rsidRPr="1955B311">
        <w:rPr>
          <w:rFonts w:ascii="Arial" w:hAnsi="Arial" w:cs="Arial"/>
          <w:sz w:val="24"/>
          <w:szCs w:val="24"/>
        </w:rPr>
        <w:t xml:space="preserve">, the burden </w:t>
      </w:r>
      <w:r w:rsidRPr="1955B311" w:rsidR="11CBFC24">
        <w:rPr>
          <w:rFonts w:ascii="Arial" w:hAnsi="Arial" w:cs="Arial"/>
          <w:sz w:val="24"/>
          <w:szCs w:val="24"/>
        </w:rPr>
        <w:t>is</w:t>
      </w:r>
      <w:r w:rsidRPr="1955B311">
        <w:rPr>
          <w:rFonts w:ascii="Arial" w:hAnsi="Arial" w:cs="Arial"/>
          <w:sz w:val="24"/>
          <w:szCs w:val="24"/>
        </w:rPr>
        <w:t xml:space="preserve"> increased by requiring approximately </w:t>
      </w:r>
      <w:r w:rsidRPr="1955B311">
        <w:rPr>
          <w:rFonts w:ascii="Arial" w:hAnsi="Arial" w:cs="Arial"/>
          <w:sz w:val="24"/>
          <w:szCs w:val="24"/>
        </w:rPr>
        <w:t>977 part</w:t>
      </w:r>
      <w:r w:rsidRPr="1955B311">
        <w:rPr>
          <w:rFonts w:ascii="Arial" w:hAnsi="Arial" w:cs="Arial"/>
          <w:sz w:val="24"/>
          <w:szCs w:val="24"/>
        </w:rPr>
        <w:t xml:space="preserve"> 145 repair stations operating outside the territory of the United States to obtain a drug and alcohol </w:t>
      </w:r>
      <w:r w:rsidRPr="1955B311" w:rsidR="2D3E9255">
        <w:rPr>
          <w:rFonts w:ascii="Arial" w:hAnsi="Arial" w:cs="Arial"/>
          <w:sz w:val="24"/>
          <w:szCs w:val="24"/>
        </w:rPr>
        <w:t xml:space="preserve">Operations Specification </w:t>
      </w:r>
      <w:r w:rsidRPr="1955B311">
        <w:rPr>
          <w:rFonts w:ascii="Arial" w:hAnsi="Arial" w:cs="Arial"/>
          <w:sz w:val="24"/>
          <w:szCs w:val="24"/>
        </w:rPr>
        <w:t xml:space="preserve">paragraph (A449) in </w:t>
      </w:r>
      <w:r w:rsidRPr="1955B311">
        <w:rPr>
          <w:rFonts w:ascii="Arial" w:hAnsi="Arial" w:cs="Arial"/>
          <w:sz w:val="24"/>
          <w:szCs w:val="24"/>
        </w:rPr>
        <w:t>FAA’s electronic database and provide annual reports which include drug and alcohol testing program statistics as shown in question #13.</w:t>
      </w:r>
    </w:p>
    <w:p w:rsidR="003074B7" w:rsidP="002D66DD" w14:paraId="25EF42CA" w14:textId="51827DB2">
      <w:pPr>
        <w:rPr>
          <w:rFonts w:ascii="Arial" w:hAnsi="Arial" w:cs="Arial"/>
          <w:sz w:val="24"/>
          <w:szCs w:val="24"/>
        </w:rPr>
      </w:pPr>
      <w:r w:rsidRPr="52F164E3">
        <w:rPr>
          <w:rFonts w:ascii="Arial" w:hAnsi="Arial" w:cs="Arial"/>
          <w:sz w:val="24"/>
          <w:szCs w:val="24"/>
        </w:rPr>
        <w:t>In the Total Burden chart in question 12, some</w:t>
      </w:r>
      <w:r w:rsidRPr="52F164E3" w:rsidR="0042237D">
        <w:rPr>
          <w:rFonts w:ascii="Arial" w:hAnsi="Arial" w:cs="Arial"/>
          <w:sz w:val="24"/>
          <w:szCs w:val="24"/>
        </w:rPr>
        <w:t xml:space="preserve"> calculations were corrected in </w:t>
      </w:r>
      <w:r w:rsidRPr="52F164E3">
        <w:rPr>
          <w:rFonts w:ascii="Arial" w:hAnsi="Arial" w:cs="Arial"/>
          <w:sz w:val="24"/>
          <w:szCs w:val="24"/>
        </w:rPr>
        <w:t>the following categories</w:t>
      </w:r>
      <w:r w:rsidRPr="52F164E3" w:rsidR="000F3885">
        <w:rPr>
          <w:rFonts w:ascii="Arial" w:hAnsi="Arial" w:cs="Arial"/>
          <w:sz w:val="24"/>
          <w:szCs w:val="24"/>
        </w:rPr>
        <w:t xml:space="preserve"> for currently regulated employers</w:t>
      </w:r>
      <w:r w:rsidRPr="52F164E3">
        <w:rPr>
          <w:rFonts w:ascii="Arial" w:hAnsi="Arial" w:cs="Arial"/>
          <w:sz w:val="24"/>
          <w:szCs w:val="24"/>
        </w:rPr>
        <w:t>: Refusal to Take Drug Test Report to FAA,</w:t>
      </w:r>
      <w:r w:rsidRPr="52F164E3" w:rsidR="00CF1DB2">
        <w:rPr>
          <w:rFonts w:ascii="Arial" w:hAnsi="Arial" w:cs="Arial"/>
          <w:sz w:val="24"/>
          <w:szCs w:val="24"/>
        </w:rPr>
        <w:t xml:space="preserve"> Positive Drug Test Report to FAA,</w:t>
      </w:r>
      <w:r w:rsidRPr="52F164E3">
        <w:rPr>
          <w:rFonts w:ascii="Arial" w:hAnsi="Arial" w:cs="Arial"/>
          <w:sz w:val="24"/>
          <w:szCs w:val="24"/>
        </w:rPr>
        <w:t xml:space="preserve"> and </w:t>
      </w:r>
      <w:r w:rsidRPr="52F164E3" w:rsidR="00CF1DB2">
        <w:rPr>
          <w:rFonts w:ascii="Arial" w:hAnsi="Arial" w:cs="Arial"/>
          <w:sz w:val="24"/>
          <w:szCs w:val="24"/>
        </w:rPr>
        <w:t>Positive Alcohol Test Report to FAA</w:t>
      </w:r>
      <w:r w:rsidRPr="52F164E3">
        <w:rPr>
          <w:rFonts w:ascii="Arial" w:hAnsi="Arial" w:cs="Arial"/>
          <w:sz w:val="24"/>
          <w:szCs w:val="24"/>
        </w:rPr>
        <w:t xml:space="preserve">. The corrections were made to </w:t>
      </w:r>
      <w:r w:rsidRPr="52F164E3" w:rsidR="00CF1DB2">
        <w:rPr>
          <w:rFonts w:ascii="Arial" w:hAnsi="Arial" w:cs="Arial"/>
          <w:sz w:val="24"/>
          <w:szCs w:val="24"/>
        </w:rPr>
        <w:t xml:space="preserve">reflect the program burden on </w:t>
      </w:r>
      <w:r w:rsidRPr="52F164E3" w:rsidR="00427D92">
        <w:rPr>
          <w:rFonts w:ascii="Arial" w:hAnsi="Arial" w:cs="Arial"/>
          <w:sz w:val="24"/>
          <w:szCs w:val="24"/>
        </w:rPr>
        <w:t xml:space="preserve">the </w:t>
      </w:r>
      <w:r w:rsidRPr="52F164E3" w:rsidR="00CF1DB2">
        <w:rPr>
          <w:rFonts w:ascii="Arial" w:hAnsi="Arial" w:cs="Arial"/>
          <w:sz w:val="24"/>
          <w:szCs w:val="24"/>
        </w:rPr>
        <w:t>respondents</w:t>
      </w:r>
      <w:r w:rsidRPr="52F164E3" w:rsidR="00427D92">
        <w:rPr>
          <w:rFonts w:ascii="Arial" w:hAnsi="Arial" w:cs="Arial"/>
          <w:sz w:val="24"/>
          <w:szCs w:val="24"/>
        </w:rPr>
        <w:t xml:space="preserve"> more accurately</w:t>
      </w:r>
      <w:r w:rsidRPr="52F164E3" w:rsidR="00CF1DB2">
        <w:rPr>
          <w:rFonts w:ascii="Arial" w:hAnsi="Arial" w:cs="Arial"/>
          <w:sz w:val="24"/>
          <w:szCs w:val="24"/>
        </w:rPr>
        <w:t xml:space="preserve"> and </w:t>
      </w:r>
      <w:r w:rsidRPr="52F164E3" w:rsidR="000F3885">
        <w:rPr>
          <w:rFonts w:ascii="Arial" w:hAnsi="Arial" w:cs="Arial"/>
          <w:sz w:val="24"/>
          <w:szCs w:val="24"/>
        </w:rPr>
        <w:t>clear</w:t>
      </w:r>
      <w:r w:rsidRPr="52F164E3" w:rsidR="00427D92">
        <w:rPr>
          <w:rFonts w:ascii="Arial" w:hAnsi="Arial" w:cs="Arial"/>
          <w:sz w:val="24"/>
          <w:szCs w:val="24"/>
        </w:rPr>
        <w:t>ly explain the totals</w:t>
      </w:r>
      <w:r w:rsidRPr="52F164E3" w:rsidR="000F3885">
        <w:rPr>
          <w:rFonts w:ascii="Arial" w:hAnsi="Arial" w:cs="Arial"/>
          <w:sz w:val="24"/>
          <w:szCs w:val="24"/>
        </w:rPr>
        <w:t xml:space="preserve">. </w:t>
      </w:r>
    </w:p>
    <w:p w:rsidR="0053134D" w:rsidP="0018164B" w14:paraId="7482D4B0" w14:textId="5254DA08">
      <w:pPr>
        <w:rPr>
          <w:rFonts w:ascii="Arial" w:hAnsi="Arial" w:cs="Arial"/>
          <w:sz w:val="24"/>
          <w:szCs w:val="24"/>
        </w:rPr>
      </w:pPr>
      <w:r w:rsidRPr="52F164E3">
        <w:rPr>
          <w:rFonts w:ascii="Arial" w:hAnsi="Arial" w:cs="Arial"/>
          <w:sz w:val="24"/>
          <w:szCs w:val="24"/>
        </w:rPr>
        <w:t xml:space="preserve">Total hour burden </w:t>
      </w:r>
      <w:r w:rsidRPr="52F164E3" w:rsidR="006319D3">
        <w:rPr>
          <w:rFonts w:ascii="Arial" w:hAnsi="Arial" w:cs="Arial"/>
          <w:sz w:val="24"/>
          <w:szCs w:val="24"/>
        </w:rPr>
        <w:t>changes</w:t>
      </w:r>
      <w:r w:rsidRPr="52F164E3">
        <w:rPr>
          <w:rFonts w:ascii="Arial" w:hAnsi="Arial" w:cs="Arial"/>
          <w:sz w:val="24"/>
          <w:szCs w:val="24"/>
        </w:rPr>
        <w:t xml:space="preserve"> were added to account for the foreign repair stations that will need to perform information collection. The </w:t>
      </w:r>
      <w:r w:rsidRPr="52F164E3" w:rsidR="007413BC">
        <w:rPr>
          <w:rFonts w:ascii="Arial" w:hAnsi="Arial" w:cs="Arial"/>
          <w:sz w:val="24"/>
          <w:szCs w:val="24"/>
        </w:rPr>
        <w:t>additions</w:t>
      </w:r>
      <w:r w:rsidRPr="52F164E3" w:rsidR="00717C3F">
        <w:rPr>
          <w:rFonts w:ascii="Arial" w:hAnsi="Arial" w:cs="Arial"/>
          <w:sz w:val="24"/>
          <w:szCs w:val="24"/>
        </w:rPr>
        <w:t xml:space="preserve"> </w:t>
      </w:r>
      <w:r w:rsidRPr="52F164E3" w:rsidR="00F40057">
        <w:rPr>
          <w:rFonts w:ascii="Arial" w:hAnsi="Arial" w:cs="Arial"/>
          <w:sz w:val="24"/>
          <w:szCs w:val="24"/>
        </w:rPr>
        <w:t>are in the following categories:</w:t>
      </w:r>
      <w:r w:rsidRPr="52F164E3" w:rsidR="00943291">
        <w:rPr>
          <w:rFonts w:ascii="Arial" w:hAnsi="Arial" w:cs="Arial"/>
          <w:sz w:val="24"/>
          <w:szCs w:val="24"/>
        </w:rPr>
        <w:t xml:space="preserve"> foreign repair station drug and alcohol testing program operations specification development and program maintenance; foreign repair station education and training records; a</w:t>
      </w:r>
      <w:r w:rsidRPr="52F164E3" w:rsidR="00F40666">
        <w:rPr>
          <w:rFonts w:ascii="Arial" w:hAnsi="Arial" w:cs="Arial"/>
          <w:sz w:val="24"/>
          <w:szCs w:val="24"/>
        </w:rPr>
        <w:t>n</w:t>
      </w:r>
      <w:r w:rsidRPr="52F164E3" w:rsidR="00943291">
        <w:rPr>
          <w:rFonts w:ascii="Arial" w:hAnsi="Arial" w:cs="Arial"/>
          <w:sz w:val="24"/>
          <w:szCs w:val="24"/>
        </w:rPr>
        <w:t>d foreign repairs station records related to the alcohol and drug collection process, test results, refusal to test, employee dispute records, SAP reports, follow-up tests</w:t>
      </w:r>
      <w:r w:rsidRPr="52F164E3" w:rsidR="001D70EA">
        <w:rPr>
          <w:rFonts w:ascii="Arial" w:hAnsi="Arial" w:cs="Arial"/>
          <w:sz w:val="24"/>
          <w:szCs w:val="24"/>
        </w:rPr>
        <w:t>.</w:t>
      </w:r>
    </w:p>
    <w:p w:rsidR="0018164B" w:rsidRPr="0018164B" w:rsidP="0018164B" w14:paraId="099F21C8" w14:textId="1A594A93">
      <w:pPr>
        <w:rPr>
          <w:rFonts w:ascii="Arial" w:hAnsi="Arial" w:cs="Arial"/>
          <w:sz w:val="24"/>
          <w:szCs w:val="24"/>
        </w:rPr>
      </w:pPr>
      <w:r w:rsidRPr="52F164E3">
        <w:rPr>
          <w:rFonts w:ascii="Arial" w:hAnsi="Arial" w:cs="Arial"/>
          <w:sz w:val="24"/>
          <w:szCs w:val="24"/>
        </w:rPr>
        <w:t xml:space="preserve">In addition, the costs to the FAA due to the foreign repair stations </w:t>
      </w:r>
      <w:r w:rsidRPr="52F164E3" w:rsidR="009131B9">
        <w:rPr>
          <w:rFonts w:ascii="Arial" w:hAnsi="Arial" w:cs="Arial"/>
          <w:sz w:val="24"/>
          <w:szCs w:val="24"/>
        </w:rPr>
        <w:t xml:space="preserve">also were updated. The additions are in the following categories: </w:t>
      </w:r>
      <w:r w:rsidRPr="52F164E3">
        <w:rPr>
          <w:rFonts w:ascii="Arial" w:hAnsi="Arial" w:cs="Arial"/>
          <w:sz w:val="24"/>
          <w:szCs w:val="24"/>
        </w:rPr>
        <w:t>1) annual staffing cost for approval, compliance, and inspections,</w:t>
      </w:r>
      <w:r w:rsidRPr="52F164E3" w:rsidR="00B742B8">
        <w:rPr>
          <w:rFonts w:ascii="Arial" w:hAnsi="Arial" w:cs="Arial"/>
          <w:sz w:val="24"/>
          <w:szCs w:val="24"/>
        </w:rPr>
        <w:t xml:space="preserve"> and 2) </w:t>
      </w:r>
      <w:r w:rsidRPr="52F164E3" w:rsidR="00487F79">
        <w:rPr>
          <w:rFonts w:ascii="Arial" w:hAnsi="Arial" w:cs="Arial"/>
          <w:sz w:val="24"/>
          <w:szCs w:val="24"/>
        </w:rPr>
        <w:t>annual MIS report tracking &amp; analysis.</w:t>
      </w:r>
    </w:p>
    <w:p w:rsidR="00A54B1B" w:rsidRPr="00A54B1B" w:rsidP="00A54B1B" w14:paraId="095FD998" w14:textId="62E2B88E">
      <w:pPr>
        <w:rPr>
          <w:rFonts w:ascii="Arial" w:hAnsi="Arial" w:cs="Arial"/>
          <w:sz w:val="24"/>
          <w:szCs w:val="24"/>
        </w:rPr>
      </w:pPr>
      <w:r w:rsidRPr="52F164E3">
        <w:rPr>
          <w:rFonts w:ascii="Arial" w:hAnsi="Arial" w:cs="Arial"/>
          <w:sz w:val="24"/>
          <w:szCs w:val="24"/>
        </w:rPr>
        <w:t>Further</w:t>
      </w:r>
      <w:r w:rsidRPr="52F164E3" w:rsidR="00635BC5">
        <w:rPr>
          <w:rFonts w:ascii="Arial" w:hAnsi="Arial" w:cs="Arial"/>
          <w:sz w:val="24"/>
          <w:szCs w:val="24"/>
        </w:rPr>
        <w:t xml:space="preserve">, the FAA has revised the burden for this supporting statement to reflect the </w:t>
      </w:r>
      <w:r w:rsidRPr="52F164E3" w:rsidR="00E229F2">
        <w:rPr>
          <w:rFonts w:ascii="Arial" w:hAnsi="Arial" w:cs="Arial"/>
          <w:sz w:val="24"/>
          <w:szCs w:val="24"/>
        </w:rPr>
        <w:t xml:space="preserve">possible </w:t>
      </w:r>
      <w:r w:rsidRPr="52F164E3" w:rsidR="00456ADB">
        <w:rPr>
          <w:rFonts w:ascii="Arial" w:hAnsi="Arial" w:cs="Arial"/>
          <w:sz w:val="24"/>
          <w:szCs w:val="24"/>
        </w:rPr>
        <w:t xml:space="preserve">use of this information collection by </w:t>
      </w:r>
      <w:r w:rsidRPr="52F164E3">
        <w:rPr>
          <w:rFonts w:ascii="Arial" w:hAnsi="Arial" w:cs="Arial"/>
          <w:sz w:val="24"/>
          <w:szCs w:val="24"/>
        </w:rPr>
        <w:t>foreign governments, on behalf of certificated repair stations within their territories, and individual foreign repair stations subject to the rule to obtain the Administrator’s recognition of a country or foreign repair station’s existing requirements or testing program(s) promulgated under the laws of the country as a compatible alternative that contains minimum elements of 14 CFR part 120.</w:t>
      </w:r>
    </w:p>
    <w:p w:rsidR="006319D3" w:rsidRPr="00A54B1B" w:rsidP="00A54B1B" w14:paraId="56A424CE" w14:textId="20F9EFE6">
      <w:pPr>
        <w:rPr>
          <w:rFonts w:ascii="Arial" w:hAnsi="Arial" w:cs="Arial"/>
          <w:sz w:val="24"/>
          <w:szCs w:val="24"/>
        </w:rPr>
      </w:pPr>
      <w:r w:rsidRPr="52F164E3">
        <w:rPr>
          <w:rFonts w:ascii="Arial" w:hAnsi="Arial" w:cs="Arial"/>
          <w:sz w:val="24"/>
          <w:szCs w:val="24"/>
        </w:rPr>
        <w:t xml:space="preserve">The FAA added the information collection </w:t>
      </w:r>
      <w:r w:rsidRPr="52F164E3" w:rsidR="00613E61">
        <w:rPr>
          <w:rFonts w:ascii="Arial" w:hAnsi="Arial" w:cs="Arial"/>
          <w:sz w:val="24"/>
          <w:szCs w:val="24"/>
        </w:rPr>
        <w:t xml:space="preserve">burden hours and annual costs due to the alternative means of compliance. The costs to the industry </w:t>
      </w:r>
      <w:r w:rsidRPr="52F164E3" w:rsidR="00C4488F">
        <w:rPr>
          <w:rFonts w:ascii="Arial" w:hAnsi="Arial" w:cs="Arial"/>
          <w:sz w:val="24"/>
          <w:szCs w:val="24"/>
        </w:rPr>
        <w:t xml:space="preserve">include the hours and cost </w:t>
      </w:r>
      <w:r w:rsidRPr="52F164E3" w:rsidR="005136AB">
        <w:rPr>
          <w:rFonts w:ascii="Arial" w:hAnsi="Arial" w:cs="Arial"/>
          <w:sz w:val="24"/>
          <w:szCs w:val="24"/>
        </w:rPr>
        <w:t>to submit the request. The cost to the FAA was also updated to include the review of the request submission.</w:t>
      </w:r>
    </w:p>
    <w:p w:rsidR="006A624E" w:rsidRPr="00CC2F5E" w:rsidP="006A624E" w14:paraId="2063D83A" w14:textId="77777777">
      <w:pPr>
        <w:shd w:val="clear" w:color="auto" w:fill="FFFFFF"/>
        <w:spacing w:after="0" w:line="240" w:lineRule="auto"/>
        <w:rPr>
          <w:rFonts w:ascii="Arial" w:eastAsia="Times New Roman" w:hAnsi="Arial" w:cs="Arial"/>
          <w:sz w:val="24"/>
          <w:szCs w:val="24"/>
        </w:rPr>
      </w:pPr>
    </w:p>
    <w:p w:rsidR="006A624E" w:rsidRPr="00CC2F5E" w:rsidP="006A624E" w14:paraId="1E46C147"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624E" w:rsidRPr="00CC2F5E" w:rsidP="006A624E" w14:paraId="1B718129" w14:textId="775FCF41">
      <w:pPr>
        <w:pStyle w:val="NormalWeb"/>
        <w:shd w:val="clear" w:color="auto" w:fill="FFFFFF"/>
        <w:spacing w:after="0" w:afterAutospacing="0"/>
      </w:pPr>
      <w:r w:rsidRPr="00CC2F5E">
        <w:br/>
        <w:t xml:space="preserve">Using the MIS Reporting Data and the required refusal, alcohol violation or positive test reports, the Drug Abatement Division responds to information requests from the media or industry about program data limited to the number of safety-sensitive employees subject to testing or data that establishes annualized random testing rates for the following year. Using the MIS reporting data, the Department of Transportation </w:t>
      </w:r>
      <w:r w:rsidRPr="00CC2F5E">
        <w:t>publishes drug and alcohol testing data for each mode of transportation, including the FAA. Information is presented annually online</w:t>
      </w:r>
      <w:r>
        <w:rPr>
          <w:rStyle w:val="FootnoteReference"/>
        </w:rPr>
        <w:footnoteReference w:id="24"/>
      </w:r>
      <w:r w:rsidRPr="00CC2F5E">
        <w:t xml:space="preserve"> and includes:</w:t>
      </w:r>
    </w:p>
    <w:p w:rsidR="006A624E" w:rsidRPr="00CC2F5E" w:rsidP="64C4EC2E" w14:paraId="6C74B67E" w14:textId="77777777">
      <w:pPr>
        <w:pStyle w:val="NormalWeb"/>
        <w:numPr>
          <w:ilvl w:val="0"/>
          <w:numId w:val="6"/>
        </w:numPr>
        <w:shd w:val="clear" w:color="auto" w:fill="FFFFFF" w:themeFill="background1"/>
        <w:spacing w:after="0" w:afterAutospacing="0"/>
      </w:pPr>
      <w:r w:rsidRPr="64C4EC2E">
        <w:t xml:space="preserve">the total number of drug and alcohol tests by type of substance </w:t>
      </w:r>
      <w:r w:rsidRPr="64C4EC2E">
        <w:t>tested;</w:t>
      </w:r>
      <w:r w:rsidRPr="64C4EC2E">
        <w:t xml:space="preserve"> </w:t>
      </w:r>
    </w:p>
    <w:p w:rsidR="006A624E" w:rsidRPr="00CC2F5E" w:rsidP="64C4EC2E" w14:paraId="5489ED3E" w14:textId="77777777">
      <w:pPr>
        <w:pStyle w:val="NormalWeb"/>
        <w:numPr>
          <w:ilvl w:val="0"/>
          <w:numId w:val="6"/>
        </w:numPr>
        <w:shd w:val="clear" w:color="auto" w:fill="FFFFFF" w:themeFill="background1"/>
        <w:spacing w:after="0" w:afterAutospacing="0"/>
      </w:pPr>
      <w:r w:rsidRPr="64C4EC2E">
        <w:t xml:space="preserve">the drug and alcohol test results by type of substance </w:t>
      </w:r>
      <w:r w:rsidRPr="64C4EC2E">
        <w:t>tested;</w:t>
      </w:r>
      <w:r w:rsidRPr="64C4EC2E">
        <w:t xml:space="preserve"> </w:t>
      </w:r>
    </w:p>
    <w:p w:rsidR="006A624E" w:rsidRPr="00CC2F5E" w:rsidP="006A624E" w14:paraId="4A5F4BE6" w14:textId="77777777">
      <w:pPr>
        <w:pStyle w:val="NormalWeb"/>
        <w:numPr>
          <w:ilvl w:val="0"/>
          <w:numId w:val="6"/>
        </w:numPr>
        <w:shd w:val="clear" w:color="auto" w:fill="FFFFFF"/>
        <w:spacing w:after="0" w:afterAutospacing="0"/>
        <w:rPr>
          <w:lang w:val="en"/>
        </w:rPr>
      </w:pPr>
      <w:r w:rsidRPr="00CC2F5E">
        <w:rPr>
          <w:lang w:val="en"/>
        </w:rPr>
        <w:t xml:space="preserve">the reason for the drug or alcohol test, such as pre-employment, random, post-accident, reasonable suspicion or cause, return-to-duty, or follow-up, by type of substance tested; and </w:t>
      </w:r>
    </w:p>
    <w:p w:rsidR="006A624E" w:rsidRPr="00CC2F5E" w:rsidP="006A624E" w14:paraId="44EF915E" w14:textId="77777777">
      <w:pPr>
        <w:pStyle w:val="NormalWeb"/>
        <w:numPr>
          <w:ilvl w:val="0"/>
          <w:numId w:val="6"/>
        </w:numPr>
        <w:shd w:val="clear" w:color="auto" w:fill="FFFFFF"/>
        <w:spacing w:after="0" w:afterAutospacing="0"/>
        <w:rPr>
          <w:lang w:val="en"/>
        </w:rPr>
      </w:pPr>
      <w:r w:rsidRPr="00CC2F5E">
        <w:rPr>
          <w:lang w:val="en"/>
        </w:rPr>
        <w:t>the number of individuals who refused testing.</w:t>
      </w:r>
    </w:p>
    <w:p w:rsidR="006A624E" w:rsidP="006A624E" w14:paraId="35A8A2AF" w14:textId="5053251C">
      <w:pPr>
        <w:shd w:val="clear" w:color="auto" w:fill="FFFFFF"/>
        <w:spacing w:after="0" w:line="240" w:lineRule="auto"/>
        <w:rPr>
          <w:rFonts w:ascii="Arial" w:eastAsia="Times New Roman" w:hAnsi="Arial" w:cs="Arial"/>
          <w:sz w:val="24"/>
          <w:szCs w:val="24"/>
        </w:rPr>
      </w:pPr>
    </w:p>
    <w:p w:rsidR="00E44681" w:rsidRPr="00CC2F5E" w:rsidP="006A624E" w14:paraId="20C382C8" w14:textId="77777777">
      <w:pPr>
        <w:shd w:val="clear" w:color="auto" w:fill="FFFFFF"/>
        <w:spacing w:after="0" w:line="240" w:lineRule="auto"/>
        <w:rPr>
          <w:rFonts w:ascii="Arial" w:eastAsia="Times New Roman" w:hAnsi="Arial" w:cs="Arial"/>
          <w:sz w:val="24"/>
          <w:szCs w:val="24"/>
        </w:rPr>
      </w:pPr>
    </w:p>
    <w:p w:rsidR="006A624E" w:rsidRPr="00CC2F5E" w:rsidP="006A624E" w14:paraId="2175DDC1"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6A624E" w:rsidRPr="00CC2F5E" w:rsidP="006A624E" w14:paraId="41C90835"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rPr>
        <w:br/>
        <w:t>No such approval is being requested.</w:t>
      </w:r>
    </w:p>
    <w:p w:rsidR="006A624E" w:rsidP="006A624E" w14:paraId="584CC3F3" w14:textId="077D03CF">
      <w:pPr>
        <w:shd w:val="clear" w:color="auto" w:fill="FFFFFF"/>
        <w:spacing w:after="0" w:line="240" w:lineRule="auto"/>
        <w:rPr>
          <w:rFonts w:ascii="Arial" w:eastAsia="Times New Roman" w:hAnsi="Arial" w:cs="Arial"/>
          <w:sz w:val="24"/>
          <w:szCs w:val="24"/>
        </w:rPr>
      </w:pPr>
    </w:p>
    <w:p w:rsidR="00E44681" w:rsidRPr="00CC2F5E" w:rsidP="006A624E" w14:paraId="6207C4CF" w14:textId="77777777">
      <w:pPr>
        <w:shd w:val="clear" w:color="auto" w:fill="FFFFFF"/>
        <w:spacing w:after="0" w:line="240" w:lineRule="auto"/>
        <w:rPr>
          <w:rFonts w:ascii="Arial" w:eastAsia="Times New Roman" w:hAnsi="Arial" w:cs="Arial"/>
          <w:sz w:val="24"/>
          <w:szCs w:val="24"/>
        </w:rPr>
      </w:pPr>
    </w:p>
    <w:p w:rsidR="006A624E" w:rsidRPr="00CC2F5E" w:rsidP="006A624E" w14:paraId="1406344C" w14:textId="77777777">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b/>
          <w:bCs/>
          <w:sz w:val="24"/>
          <w:szCs w:val="24"/>
        </w:rPr>
        <w:t>18. Explain each exception to the topics of the certification statement identified in “Certification for Paperwork Reduction Act Submissions.”</w:t>
      </w:r>
    </w:p>
    <w:p w:rsidR="005B4EB0" w:rsidRPr="00262E2F" w:rsidP="00262E2F" w14:paraId="34F02A9D" w14:textId="04945A92">
      <w:pPr>
        <w:shd w:val="clear" w:color="auto" w:fill="FFFFFF"/>
        <w:spacing w:after="0" w:line="240" w:lineRule="auto"/>
        <w:rPr>
          <w:rFonts w:ascii="Arial" w:eastAsia="Times New Roman" w:hAnsi="Arial" w:cs="Arial"/>
          <w:sz w:val="24"/>
          <w:szCs w:val="24"/>
        </w:rPr>
      </w:pPr>
      <w:r w:rsidRPr="00CC2F5E">
        <w:rPr>
          <w:rFonts w:ascii="Arial" w:eastAsia="Times New Roman" w:hAnsi="Arial" w:cs="Arial"/>
          <w:sz w:val="24"/>
          <w:szCs w:val="24"/>
        </w:rPr>
        <w:br/>
        <w:t>There are no exceptions.</w:t>
      </w:r>
    </w:p>
    <w:sectPr w:rsidSect="00E446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ACF" w14:paraId="69CCB0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839530"/>
      <w:docPartObj>
        <w:docPartGallery w:val="Page Numbers (Bottom of Page)"/>
        <w:docPartUnique/>
      </w:docPartObj>
    </w:sdtPr>
    <w:sdtEndPr>
      <w:rPr>
        <w:noProof/>
      </w:rPr>
    </w:sdtEndPr>
    <w:sdtContent>
      <w:p w:rsidR="00C871A6" w14:paraId="76C796C1" w14:textId="3EBF0EB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871A6" w14:paraId="7F2E289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ACF" w14:paraId="67A973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02E" w:rsidP="00FB0C82" w14:paraId="22DE340A" w14:textId="77777777">
      <w:pPr>
        <w:spacing w:after="0" w:line="240" w:lineRule="auto"/>
      </w:pPr>
      <w:r>
        <w:separator/>
      </w:r>
    </w:p>
  </w:footnote>
  <w:footnote w:type="continuationSeparator" w:id="1">
    <w:p w:rsidR="00CB202E" w:rsidP="00FB0C82" w14:paraId="43C8DD4B" w14:textId="77777777">
      <w:pPr>
        <w:spacing w:after="0" w:line="240" w:lineRule="auto"/>
      </w:pPr>
      <w:r>
        <w:continuationSeparator/>
      </w:r>
    </w:p>
  </w:footnote>
  <w:footnote w:type="continuationNotice" w:id="2">
    <w:p w:rsidR="00CB202E" w14:paraId="6B5E5194" w14:textId="77777777">
      <w:pPr>
        <w:spacing w:after="0" w:line="240" w:lineRule="auto"/>
      </w:pPr>
    </w:p>
  </w:footnote>
  <w:footnote w:id="3">
    <w:p w:rsidR="005B59C5" w14:paraId="08C64E4B" w14:textId="59406417">
      <w:pPr>
        <w:pStyle w:val="FootnoteText"/>
      </w:pPr>
      <w:r>
        <w:rPr>
          <w:rStyle w:val="FootnoteReference"/>
        </w:rPr>
        <w:footnoteRef/>
      </w:r>
      <w:r>
        <w:t xml:space="preserve"> </w:t>
      </w:r>
      <w:r w:rsidRPr="005B59C5">
        <w:rPr>
          <w:i/>
          <w:iCs/>
        </w:rPr>
        <w:t xml:space="preserve">See </w:t>
      </w:r>
      <w:r w:rsidRPr="005B59C5">
        <w:t>Pub. L. No. 112-95, § 308 (codified at 49 U.S.C. § 44733).</w:t>
      </w:r>
    </w:p>
  </w:footnote>
  <w:footnote w:id="4">
    <w:p w:rsidR="008E7227" w:rsidP="008E7227" w14:paraId="1FE98C01" w14:textId="68B28BB2">
      <w:pPr>
        <w:pStyle w:val="FootnoteText"/>
      </w:pPr>
      <w:r>
        <w:rPr>
          <w:rStyle w:val="FootnoteReference"/>
        </w:rPr>
        <w:footnoteRef/>
      </w:r>
      <w:r w:rsidR="52F164E3">
        <w:t xml:space="preserve"> </w:t>
      </w:r>
      <w:r w:rsidRPr="00E66981" w:rsidR="52F164E3">
        <w:t xml:space="preserve">The regulations are applicable to entities listed under 14 CFR 120.1, which include part 121 or 135 air operators, air tour operators as defined in 14 CFR 91.147, non-FAA or Military Air Traffic Control Facilities, </w:t>
      </w:r>
      <w:r w:rsidRPr="00E66981" w:rsidR="52F164E3">
        <w:t>contractors</w:t>
      </w:r>
      <w:r w:rsidRPr="00E66981" w:rsidR="52F164E3">
        <w:t xml:space="preserve"> or </w:t>
      </w:r>
      <w:r w:rsidR="52F164E3">
        <w:t xml:space="preserve">part 145 certificate holders </w:t>
      </w:r>
      <w:r w:rsidRPr="00E66981" w:rsidR="52F164E3">
        <w:t xml:space="preserve">located in the territory of the United States that elect to </w:t>
      </w:r>
      <w:r w:rsidR="52F164E3">
        <w:t>implement</w:t>
      </w:r>
      <w:r w:rsidRPr="00E66981" w:rsidR="52F164E3">
        <w:t xml:space="preserve"> their own testing</w:t>
      </w:r>
      <w:r w:rsidR="52F164E3">
        <w:t xml:space="preserve">. The final rule adds </w:t>
      </w:r>
      <w:r w:rsidRPr="00A970AE" w:rsidR="52F164E3">
        <w:t>all part 145 certificate holders outside the territory of the United States who perform safety-sensitive maintenance functions on part 121 air carrier aircraft as an entity subject to the regulations listed under 14 CFR 120.1</w:t>
      </w:r>
      <w:r w:rsidR="52F164E3">
        <w:t xml:space="preserve">. However, as discussed herein, the final rule extends an alternative option to </w:t>
      </w:r>
      <w:r w:rsidRPr="00AB3987" w:rsidR="52F164E3">
        <w:rPr>
          <w:color w:val="000000"/>
        </w:rPr>
        <w:t>part 145 certificate holders outside the territory of the United States who perform safety-sensitive maintenance functions on part 121 air carrier aircraft</w:t>
      </w:r>
      <w:r w:rsidR="52F164E3">
        <w:rPr>
          <w:color w:val="000000"/>
        </w:rPr>
        <w:t xml:space="preserve"> that have obtained </w:t>
      </w:r>
      <w:r w:rsidRPr="00CC539A" w:rsidR="52F164E3">
        <w:rPr>
          <w:color w:val="000000"/>
        </w:rPr>
        <w:t>recognition of a country</w:t>
      </w:r>
      <w:r w:rsidR="52F164E3">
        <w:rPr>
          <w:color w:val="000000"/>
        </w:rPr>
        <w:t>’s</w:t>
      </w:r>
      <w:r w:rsidRPr="00CC539A" w:rsidR="52F164E3">
        <w:rPr>
          <w:color w:val="000000"/>
        </w:rPr>
        <w:t xml:space="preserve"> or foreign repair station’s existing requirements or testing program(s) promulgated under the laws of the country as a compatible alternative to establishing a drug and alcohol testing program</w:t>
      </w:r>
      <w:r w:rsidR="52F164E3">
        <w:rPr>
          <w:color w:val="000000"/>
        </w:rPr>
        <w:t>.</w:t>
      </w:r>
    </w:p>
  </w:footnote>
  <w:footnote w:id="5">
    <w:p w:rsidR="00612127" w:rsidRPr="00BE5E8C" w14:paraId="1A44C077" w14:textId="395517EB">
      <w:pPr>
        <w:pStyle w:val="FootnoteText"/>
        <w:rPr>
          <w:rFonts w:ascii="Arial" w:hAnsi="Arial" w:cs="Arial"/>
        </w:rPr>
      </w:pPr>
      <w:r w:rsidRPr="00BE5E8C">
        <w:rPr>
          <w:rStyle w:val="FootnoteReference"/>
          <w:rFonts w:ascii="Arial" w:hAnsi="Arial" w:cs="Arial"/>
        </w:rPr>
        <w:footnoteRef/>
      </w:r>
      <w:r w:rsidRPr="00BE5E8C">
        <w:rPr>
          <w:rFonts w:ascii="Arial" w:hAnsi="Arial" w:cs="Arial"/>
        </w:rPr>
        <w:t xml:space="preserve"> For the first</w:t>
      </w:r>
      <w:r w:rsidRPr="00BE5E8C" w:rsidR="00E03456">
        <w:rPr>
          <w:rFonts w:ascii="Arial" w:hAnsi="Arial" w:cs="Arial"/>
        </w:rPr>
        <w:t>-</w:t>
      </w:r>
      <w:r w:rsidRPr="00BE5E8C">
        <w:rPr>
          <w:rFonts w:ascii="Arial" w:hAnsi="Arial" w:cs="Arial"/>
        </w:rPr>
        <w:t>year hour burden, the FAA estimates 16 hours w</w:t>
      </w:r>
      <w:r w:rsidRPr="00BE5E8C" w:rsidR="00A93911">
        <w:rPr>
          <w:rFonts w:ascii="Arial" w:hAnsi="Arial" w:cs="Arial"/>
        </w:rPr>
        <w:t>ould</w:t>
      </w:r>
      <w:r w:rsidRPr="00BE5E8C">
        <w:rPr>
          <w:rFonts w:ascii="Arial" w:hAnsi="Arial" w:cs="Arial"/>
        </w:rPr>
        <w:t xml:space="preserve"> be needed, per repair station, to create testing space, develop a testing plan, and establish recordkeeping processes. Additionally, one hour is needed to register with the FAA’s Drug Abatement Division. Each year thereafter FAA estimates 16 hours w</w:t>
      </w:r>
      <w:r w:rsidRPr="00BE5E8C" w:rsidR="00A93911">
        <w:rPr>
          <w:rFonts w:ascii="Arial" w:hAnsi="Arial" w:cs="Arial"/>
        </w:rPr>
        <w:t>ould</w:t>
      </w:r>
      <w:r w:rsidRPr="00BE5E8C">
        <w:rPr>
          <w:rFonts w:ascii="Arial" w:hAnsi="Arial" w:cs="Arial"/>
        </w:rPr>
        <w:t xml:space="preserve"> be needed to update the program and maintain testing list. Thus, the total over three years is 49 hours (17 + (16 x 2)) or 16.33 hours annually.</w:t>
      </w:r>
    </w:p>
  </w:footnote>
  <w:footnote w:id="6">
    <w:p w:rsidR="009C4815" w:rsidRPr="002413C7" w14:paraId="2258AC9E" w14:textId="6D57116A">
      <w:pPr>
        <w:pStyle w:val="FootnoteText"/>
        <w:rPr>
          <w:rFonts w:ascii="Arial" w:hAnsi="Arial" w:cs="Arial"/>
        </w:rPr>
      </w:pPr>
      <w:r w:rsidRPr="002413C7">
        <w:rPr>
          <w:rStyle w:val="FootnoteReference"/>
          <w:rFonts w:ascii="Arial" w:hAnsi="Arial" w:cs="Arial"/>
        </w:rPr>
        <w:footnoteRef/>
      </w:r>
      <w:r w:rsidRPr="002413C7">
        <w:rPr>
          <w:rFonts w:ascii="Arial" w:hAnsi="Arial" w:cs="Arial"/>
        </w:rPr>
        <w:t xml:space="preserve"> (17 + 16 + 16 = 16.33).</w:t>
      </w:r>
    </w:p>
  </w:footnote>
  <w:footnote w:id="7">
    <w:p w:rsidR="00C871A6" w:rsidRPr="00FB31AD" w:rsidP="52F164E3" w14:paraId="3574CA58" w14:textId="568F24C5">
      <w:pPr>
        <w:pStyle w:val="FootnoteText"/>
      </w:pPr>
      <w:r>
        <w:rPr>
          <w:rStyle w:val="FootnoteReference"/>
        </w:rPr>
        <w:footnoteRef/>
      </w:r>
      <w:r w:rsidR="52F164E3">
        <w:t xml:space="preserve"> </w:t>
      </w:r>
      <w:hyperlink r:id="rId1" w:history="1">
        <w:r w:rsidRPr="00656181" w:rsidR="52F164E3">
          <w:rPr>
            <w:rStyle w:val="Hyperlink"/>
          </w:rPr>
          <w:t>https://www.opm.gov/policy-data-oversight/pay-leave/salaries-wages/salary-tables/22Tables/html/GS_h.aspx</w:t>
        </w:r>
      </w:hyperlink>
      <w:r w:rsidRPr="52F164E3" w:rsidR="52F164E3">
        <w:t>, GS-12, Step 9.</w:t>
      </w:r>
    </w:p>
  </w:footnote>
  <w:footnote w:id="8">
    <w:p w:rsidR="00C820DB" w:rsidP="00FB31AD" w14:paraId="69C0973C" w14:textId="163FBA0A">
      <w:pPr>
        <w:pStyle w:val="BodyText"/>
        <w:kinsoku w:val="0"/>
        <w:overflowPunct w:val="0"/>
      </w:pPr>
      <w:r w:rsidRPr="00FB31AD">
        <w:rPr>
          <w:rStyle w:val="FootnoteReference"/>
          <w:rFonts w:asciiTheme="minorHAnsi" w:hAnsiTheme="minorHAnsi" w:cstheme="minorHAnsi"/>
        </w:rPr>
        <w:footnoteRef/>
      </w:r>
      <w:r w:rsidRPr="00FB31AD">
        <w:rPr>
          <w:rFonts w:asciiTheme="minorHAnsi" w:hAnsiTheme="minorHAnsi" w:cstheme="minorHAnsi"/>
        </w:rPr>
        <w:t xml:space="preserve"> </w:t>
      </w:r>
      <w:bookmarkStart w:id="4" w:name="bookmark4"/>
      <w:bookmarkStart w:id="5" w:name="bookmark3"/>
      <w:bookmarkStart w:id="6" w:name="bookmark2"/>
      <w:bookmarkStart w:id="7" w:name="bookmark0"/>
      <w:bookmarkStart w:id="8" w:name="bookmark1"/>
      <w:bookmarkEnd w:id="4"/>
      <w:bookmarkEnd w:id="5"/>
      <w:bookmarkEnd w:id="6"/>
      <w:bookmarkEnd w:id="7"/>
      <w:bookmarkEnd w:id="8"/>
      <w:r w:rsidRPr="003D439E" w:rsidR="003D439E">
        <w:rPr>
          <w:rFonts w:asciiTheme="minorHAnsi" w:hAnsiTheme="minorHAnsi" w:cstheme="minorHAnsi"/>
        </w:rPr>
        <w:t>MEMORANDUM FOR THE HEADS OF EXECUTIVE DEPARTMENTS AND AGENCIES, Office of Management and Budget, March 11, 2008</w:t>
      </w:r>
      <w:r w:rsidR="003D439E">
        <w:rPr>
          <w:rFonts w:asciiTheme="minorHAnsi" w:hAnsiTheme="minorHAnsi" w:cstheme="minorHAnsi"/>
        </w:rPr>
        <w:t xml:space="preserve">, </w:t>
      </w:r>
      <w:hyperlink r:id="rId2" w:history="1">
        <w:r w:rsidRPr="00126C3C">
          <w:rPr>
            <w:rStyle w:val="Hyperlink"/>
            <w:rFonts w:asciiTheme="minorHAnsi" w:hAnsiTheme="minorHAnsi" w:cstheme="minorHAnsi"/>
          </w:rPr>
          <w:t>https://www.whitehouse.gov/wp-content/uploads/legacy_drupal_files/omb/memoranda/2008/m08-13.pdf</w:t>
        </w:r>
      </w:hyperlink>
      <w:r>
        <w:rPr>
          <w:rFonts w:asciiTheme="minorHAnsi" w:hAnsiTheme="minorHAnsi" w:cstheme="minorHAnsi"/>
        </w:rPr>
        <w:t>.</w:t>
      </w:r>
    </w:p>
  </w:footnote>
  <w:footnote w:id="9">
    <w:p w:rsidR="00C871A6" w14:paraId="368238F7" w14:textId="7F635F14">
      <w:pPr>
        <w:pStyle w:val="FootnoteText"/>
      </w:pPr>
      <w:r>
        <w:rPr>
          <w:rStyle w:val="FootnoteReference"/>
        </w:rPr>
        <w:footnoteRef/>
      </w:r>
      <w:r w:rsidR="52F164E3">
        <w:t xml:space="preserve"> </w:t>
      </w:r>
      <w:hyperlink r:id="rId1" w:history="1">
        <w:r w:rsidRPr="00656181" w:rsidR="52F164E3">
          <w:rPr>
            <w:rStyle w:val="Hyperlink"/>
          </w:rPr>
          <w:t>https://www.opm.gov/policy-data-oversight/pay-leave/salaries-wages/salary-tables/22Tables/html/GS_h.aspx</w:t>
        </w:r>
      </w:hyperlink>
      <w:r w:rsidR="52F164E3">
        <w:t>,GS-14, Step 10.</w:t>
      </w:r>
    </w:p>
  </w:footnote>
  <w:footnote w:id="10">
    <w:p w:rsidR="00C871A6" w14:paraId="40471A9E" w14:textId="4F23B660">
      <w:pPr>
        <w:pStyle w:val="FootnoteText"/>
      </w:pPr>
      <w:r>
        <w:rPr>
          <w:rStyle w:val="FootnoteReference"/>
        </w:rPr>
        <w:footnoteRef/>
      </w:r>
      <w:r>
        <w:t xml:space="preserve"> </w:t>
      </w:r>
      <w:r w:rsidRPr="003D439E" w:rsidR="003D439E">
        <w:rPr>
          <w:rFonts w:cstheme="minorHAnsi"/>
        </w:rPr>
        <w:t>MEMORANDUM FOR THE HEADS OF EXECUTIVE DEPARTMENTS AND AGENCIES, Office of Management and Budget, March 11, 2008</w:t>
      </w:r>
      <w:r w:rsidR="003D439E">
        <w:rPr>
          <w:rFonts w:cstheme="minorHAnsi"/>
        </w:rPr>
        <w:t xml:space="preserve">, </w:t>
      </w:r>
      <w:hyperlink r:id="rId2" w:history="1">
        <w:r w:rsidRPr="00126C3C" w:rsidR="003D439E">
          <w:rPr>
            <w:rStyle w:val="Hyperlink"/>
            <w:rFonts w:cstheme="minorHAnsi"/>
          </w:rPr>
          <w:t>https://www.whitehouse.gov/wp-content/uploads/legacy_drupal_files/omb/memoranda/2008/m08-13.pdf</w:t>
        </w:r>
      </w:hyperlink>
      <w:r w:rsidR="003D439E">
        <w:rPr>
          <w:rFonts w:cstheme="minorHAnsi"/>
        </w:rPr>
        <w:t>.</w:t>
      </w:r>
    </w:p>
  </w:footnote>
  <w:footnote w:id="11">
    <w:p w:rsidR="00C871A6" w:rsidP="006A624E" w14:paraId="42619F1B" w14:textId="109FE0B8">
      <w:pPr>
        <w:pStyle w:val="FootnoteText"/>
      </w:pPr>
      <w:r>
        <w:rPr>
          <w:rStyle w:val="FootnoteReference"/>
        </w:rPr>
        <w:footnoteRef/>
      </w:r>
      <w:r w:rsidR="52F164E3">
        <w:t xml:space="preserve"> </w:t>
      </w:r>
      <w:hyperlink r:id="rId1" w:history="1">
        <w:r w:rsidRPr="00656181" w:rsidR="52F164E3">
          <w:rPr>
            <w:rStyle w:val="Hyperlink"/>
          </w:rPr>
          <w:t>https://www.opm.gov/policy-data-oversight/pay-leave/salaries-wages/salary-tables/22Tables/html/GS_h.aspx</w:t>
        </w:r>
      </w:hyperlink>
      <w:r w:rsidR="52F164E3">
        <w:t>, GS-14, Step 10.</w:t>
      </w:r>
    </w:p>
  </w:footnote>
  <w:footnote w:id="12">
    <w:p w:rsidR="00C871A6" w:rsidP="006A624E" w14:paraId="36219E3C" w14:textId="2E94436C">
      <w:pPr>
        <w:pStyle w:val="FootnoteText"/>
      </w:pPr>
      <w:r>
        <w:rPr>
          <w:rStyle w:val="FootnoteReference"/>
        </w:rPr>
        <w:footnoteRef/>
      </w:r>
      <w:r>
        <w:t xml:space="preserve"> </w:t>
      </w:r>
      <w:r w:rsidRPr="003D439E" w:rsidR="003D439E">
        <w:rPr>
          <w:rFonts w:cstheme="minorHAnsi"/>
        </w:rPr>
        <w:t>MEMORANDUM FOR THE HEADS OF EXECUTIVE DEPARTMENTS AND AGENCIES, Office of Management and Budget, March 11, 2008</w:t>
      </w:r>
      <w:r w:rsidR="003D439E">
        <w:rPr>
          <w:rFonts w:cstheme="minorHAnsi"/>
        </w:rPr>
        <w:t xml:space="preserve">, </w:t>
      </w:r>
      <w:hyperlink r:id="rId2" w:history="1">
        <w:r w:rsidRPr="00126C3C" w:rsidR="003D439E">
          <w:rPr>
            <w:rStyle w:val="Hyperlink"/>
            <w:rFonts w:cstheme="minorHAnsi"/>
          </w:rPr>
          <w:t>https://www.whitehouse.gov/wp-content/uploads/legacy_drupal_files/omb/memoranda/2008/m08-13.pdf</w:t>
        </w:r>
      </w:hyperlink>
      <w:r w:rsidR="003D439E">
        <w:rPr>
          <w:rFonts w:cstheme="minorHAnsi"/>
        </w:rPr>
        <w:t>.</w:t>
      </w:r>
    </w:p>
  </w:footnote>
  <w:footnote w:id="13">
    <w:p w:rsidR="0060196C" w:rsidP="006A624E" w14:paraId="40674E9E" w14:textId="33295792">
      <w:pPr>
        <w:pStyle w:val="FootnoteText"/>
      </w:pPr>
      <w:r>
        <w:rPr>
          <w:rStyle w:val="FootnoteReference"/>
        </w:rPr>
        <w:footnoteRef/>
      </w:r>
      <w:r w:rsidR="52F164E3">
        <w:t xml:space="preserve"> </w:t>
      </w:r>
      <w:hyperlink r:id="rId1" w:history="1">
        <w:r w:rsidRPr="00656181" w:rsidR="52F164E3">
          <w:rPr>
            <w:rStyle w:val="Hyperlink"/>
          </w:rPr>
          <w:t>https://www.opm.gov/policy-data-oversight/pay-leave/salaries-wages/salary-tables/22Tables/html/GS_h.aspx</w:t>
        </w:r>
      </w:hyperlink>
      <w:r w:rsidR="52F164E3">
        <w:t>,</w:t>
      </w:r>
    </w:p>
    <w:p w:rsidR="00C871A6" w:rsidP="006A624E" w14:paraId="42C02BF4" w14:textId="7499C25D">
      <w:pPr>
        <w:pStyle w:val="FootnoteText"/>
      </w:pPr>
      <w:r>
        <w:t>GS-12, Step 2.</w:t>
      </w:r>
    </w:p>
  </w:footnote>
  <w:footnote w:id="14">
    <w:p w:rsidR="00C871A6" w:rsidP="006A624E" w14:paraId="61630668" w14:textId="42FC88D3">
      <w:pPr>
        <w:pStyle w:val="FootnoteText"/>
      </w:pPr>
      <w:r>
        <w:rPr>
          <w:rStyle w:val="FootnoteReference"/>
        </w:rPr>
        <w:footnoteRef/>
      </w:r>
      <w:r>
        <w:t xml:space="preserve"> </w:t>
      </w:r>
      <w:r w:rsidRPr="003D439E" w:rsidR="00E226AF">
        <w:rPr>
          <w:rFonts w:cstheme="minorHAnsi"/>
        </w:rPr>
        <w:t>MEMORANDUM FOR THE HEADS OF EXECUTIVE DEPARTMENTS AND AGENCIES, Office of Management and Budget, March 11, 2008</w:t>
      </w:r>
      <w:r w:rsidR="00E226AF">
        <w:rPr>
          <w:rFonts w:cstheme="minorHAnsi"/>
        </w:rPr>
        <w:t xml:space="preserve">, </w:t>
      </w:r>
      <w:hyperlink r:id="rId2" w:history="1">
        <w:r w:rsidRPr="00126C3C" w:rsidR="00E226AF">
          <w:rPr>
            <w:rStyle w:val="Hyperlink"/>
            <w:rFonts w:cstheme="minorHAnsi"/>
          </w:rPr>
          <w:t>https://www.whitehouse.gov/wp-content/uploads/legacy_drupal_files/omb/memoranda/2008/m08-13.pdf</w:t>
        </w:r>
      </w:hyperlink>
      <w:r w:rsidR="00E226AF">
        <w:rPr>
          <w:rFonts w:cstheme="minorHAnsi"/>
        </w:rPr>
        <w:t>.</w:t>
      </w:r>
    </w:p>
  </w:footnote>
  <w:footnote w:id="15">
    <w:p w:rsidR="00456DA7" w14:paraId="6625585D" w14:textId="2D030C0E">
      <w:pPr>
        <w:pStyle w:val="FootnoteText"/>
      </w:pPr>
      <w:r>
        <w:rPr>
          <w:rStyle w:val="FootnoteReference"/>
        </w:rPr>
        <w:footnoteRef/>
      </w:r>
      <w:r>
        <w:t xml:space="preserve"> </w:t>
      </w:r>
      <w:r w:rsidR="004106E6">
        <w:t xml:space="preserve">A fringe benefit factor of 36.25 </w:t>
      </w:r>
      <w:r w:rsidR="0025551F">
        <w:t>percent</w:t>
      </w:r>
      <w:r w:rsidR="004106E6">
        <w:t xml:space="preserve"> was used to calculate the total </w:t>
      </w:r>
      <w:r w:rsidR="0025551F">
        <w:t xml:space="preserve">salary with fringe benefits. </w:t>
      </w:r>
      <w:r w:rsidRPr="003D439E">
        <w:rPr>
          <w:rFonts w:cstheme="minorHAnsi"/>
        </w:rPr>
        <w:t>MEMORANDUM FOR THE HEADS OF EXECUTIVE DEPARTMENTS AND AGENCIES, Office of Management and Budget, March 11, 2008</w:t>
      </w:r>
      <w:r>
        <w:rPr>
          <w:rFonts w:cstheme="minorHAnsi"/>
        </w:rPr>
        <w:t xml:space="preserve">, </w:t>
      </w:r>
      <w:hyperlink r:id="rId2" w:history="1">
        <w:r w:rsidRPr="00126C3C">
          <w:rPr>
            <w:rStyle w:val="Hyperlink"/>
            <w:rFonts w:cstheme="minorHAnsi"/>
          </w:rPr>
          <w:t>https://www.whitehouse.gov/wp-content/uploads/legacy_drupal_files/omb/memoranda/2008/m08-13.pdf</w:t>
        </w:r>
      </w:hyperlink>
      <w:r>
        <w:rPr>
          <w:rFonts w:cstheme="minorHAnsi"/>
        </w:rPr>
        <w:t>.</w:t>
      </w:r>
    </w:p>
  </w:footnote>
  <w:footnote w:id="16">
    <w:p w:rsidR="00FF0188" w:rsidRPr="00A970AE" w:rsidP="52F164E3" w14:paraId="49B0B68F" w14:textId="02D82755">
      <w:pPr>
        <w:pStyle w:val="FootnoteText"/>
        <w:rPr>
          <w:rStyle w:val="Hyperlink"/>
        </w:rPr>
      </w:pPr>
      <w:r w:rsidRPr="00E66981">
        <w:rPr>
          <w:rStyle w:val="FootnoteReference"/>
        </w:rPr>
        <w:footnoteRef/>
      </w:r>
      <w:r w:rsidRPr="00E66981" w:rsidR="52F164E3">
        <w:t xml:space="preserve"> 20</w:t>
      </w:r>
      <w:r w:rsidR="52F164E3">
        <w:t>22</w:t>
      </w:r>
      <w:r w:rsidRPr="00E66981" w:rsidR="52F164E3">
        <w:t xml:space="preserve"> FAA Bay Band:</w:t>
      </w:r>
      <w:r w:rsidRPr="00E66981" w:rsidR="52F164E3">
        <w:rPr>
          <w:rStyle w:val="Hyperlink"/>
        </w:rPr>
        <w:t xml:space="preserve"> </w:t>
      </w:r>
      <w:r w:rsidR="52F164E3">
        <w:rPr>
          <w:rStyle w:val="Hyperlink"/>
        </w:rPr>
        <w:t>https://web.archive.org/web/20220402230925/https://www.faa.gov/sites/faa.gov/files/2022-02/core_salary_with_conversion.xlsx</w:t>
      </w:r>
    </w:p>
  </w:footnote>
  <w:footnote w:id="17">
    <w:p w:rsidR="00FF0188" w:rsidRPr="00E66981" w:rsidP="00FF0188" w14:paraId="1B586232" w14:textId="69DE1FE1">
      <w:pPr>
        <w:pStyle w:val="FootnoteText"/>
      </w:pPr>
      <w:r w:rsidRPr="00E66981">
        <w:rPr>
          <w:rStyle w:val="FootnoteReference"/>
        </w:rPr>
        <w:footnoteRef/>
      </w:r>
      <w:r w:rsidRPr="00E66981" w:rsidR="52F164E3">
        <w:t xml:space="preserve"> 20</w:t>
      </w:r>
      <w:r w:rsidR="52F164E3">
        <w:t>22</w:t>
      </w:r>
      <w:r w:rsidRPr="00E66981" w:rsidR="52F164E3">
        <w:t xml:space="preserve"> FAA Bay Band:</w:t>
      </w:r>
      <w:r w:rsidRPr="00E66981" w:rsidR="52F164E3">
        <w:rPr>
          <w:rStyle w:val="Hyperlink"/>
        </w:rPr>
        <w:t xml:space="preserve"> </w:t>
      </w:r>
      <w:r w:rsidRPr="52F164E3" w:rsidR="52F164E3">
        <w:rPr>
          <w:rStyle w:val="Hyperlink"/>
        </w:rPr>
        <w:t>https://web.archive.org/web/20220402230925/https://www.faa.gov/sites/faa.gov/files/2022-02/core_salary_with_conversion.xlsx</w:t>
      </w:r>
    </w:p>
  </w:footnote>
  <w:footnote w:id="18">
    <w:p w:rsidR="00FF0188" w:rsidRPr="00E66981" w:rsidP="00FF0188" w14:paraId="28BBCE44" w14:textId="6588F202">
      <w:pPr>
        <w:pStyle w:val="FootnoteText"/>
      </w:pPr>
      <w:r w:rsidRPr="00E66981">
        <w:rPr>
          <w:rStyle w:val="FootnoteReference"/>
        </w:rPr>
        <w:footnoteRef/>
      </w:r>
      <w:r w:rsidRPr="00E66981" w:rsidR="52F164E3">
        <w:t xml:space="preserve"> 20</w:t>
      </w:r>
      <w:r w:rsidR="52F164E3">
        <w:t>22</w:t>
      </w:r>
      <w:r w:rsidRPr="00E66981" w:rsidR="52F164E3">
        <w:t xml:space="preserve"> FAA Bay Band:</w:t>
      </w:r>
      <w:r w:rsidRPr="00E66981" w:rsidR="52F164E3">
        <w:rPr>
          <w:rStyle w:val="Hyperlink"/>
        </w:rPr>
        <w:t xml:space="preserve"> </w:t>
      </w:r>
      <w:r w:rsidRPr="0059659D" w:rsidR="52F164E3">
        <w:rPr>
          <w:rStyle w:val="Hyperlink"/>
        </w:rPr>
        <w:t>https://web.archive.org/web/20220402230925/https://www.faa.gov/sites/faa.gov/files/2022-02/core_salary_with_conversion.xlsx</w:t>
      </w:r>
    </w:p>
  </w:footnote>
  <w:footnote w:id="19">
    <w:p w:rsidR="00C94BFF" w:rsidP="00C94BFF" w14:paraId="0004F182" w14:textId="68B6D358">
      <w:pPr>
        <w:pStyle w:val="FootnoteText"/>
      </w:pPr>
      <w:r>
        <w:rPr>
          <w:rStyle w:val="FootnoteReference"/>
        </w:rPr>
        <w:footnoteRef/>
      </w:r>
      <w:r w:rsidR="52F164E3">
        <w:t xml:space="preserve"> </w:t>
      </w:r>
      <w:hyperlink r:id="rId1" w:history="1">
        <w:r w:rsidRPr="00656181" w:rsidR="52F164E3">
          <w:rPr>
            <w:rStyle w:val="Hyperlink"/>
          </w:rPr>
          <w:t>https://www.opm.gov/policy-data-oversight/pay-leave/salaries-wages/salary-tables/22Tables/html/GS_h.aspx</w:t>
        </w:r>
      </w:hyperlink>
      <w:r w:rsidR="52F164E3">
        <w:t>, GS-14, Step 10.</w:t>
      </w:r>
    </w:p>
  </w:footnote>
  <w:footnote w:id="20">
    <w:p w:rsidR="00C94BFF" w:rsidP="00C94BFF" w14:paraId="58B1B495" w14:textId="0C3AFF39">
      <w:pPr>
        <w:pStyle w:val="FootnoteText"/>
      </w:pPr>
      <w:r>
        <w:rPr>
          <w:rStyle w:val="FootnoteReference"/>
        </w:rPr>
        <w:footnoteRef/>
      </w:r>
      <w:r>
        <w:t xml:space="preserve"> </w:t>
      </w:r>
      <w:r w:rsidRPr="003D439E" w:rsidR="005B04EA">
        <w:rPr>
          <w:rFonts w:cstheme="minorHAnsi"/>
        </w:rPr>
        <w:t>MEMORANDUM FOR THE HEADS OF EXECUTIVE DEPARTMENTS AND AGENCIES, Office of Management and Budget, March 11, 2008</w:t>
      </w:r>
      <w:r w:rsidR="005B04EA">
        <w:rPr>
          <w:rFonts w:cstheme="minorHAnsi"/>
        </w:rPr>
        <w:t xml:space="preserve">, </w:t>
      </w:r>
      <w:hyperlink r:id="rId2" w:history="1">
        <w:r w:rsidRPr="00126C3C" w:rsidR="005B04EA">
          <w:rPr>
            <w:rStyle w:val="Hyperlink"/>
            <w:rFonts w:cstheme="minorHAnsi"/>
          </w:rPr>
          <w:t>https://www.whitehouse.gov/wp-content/uploads/legacy_drupal_files/omb/memoranda/2008/m08-13.pdf</w:t>
        </w:r>
      </w:hyperlink>
      <w:r w:rsidR="005B04EA">
        <w:rPr>
          <w:rFonts w:cstheme="minorHAnsi"/>
        </w:rPr>
        <w:t>.</w:t>
      </w:r>
    </w:p>
  </w:footnote>
  <w:footnote w:id="21">
    <w:p w:rsidR="00F210D0" w:rsidRPr="00A80FA8" w:rsidP="00A80FA8" w14:paraId="5AA6E550" w14:textId="485EFAA8">
      <w:pPr>
        <w:spacing w:after="0" w:line="240" w:lineRule="auto"/>
        <w:rPr>
          <w:sz w:val="18"/>
          <w:szCs w:val="18"/>
        </w:rPr>
      </w:pPr>
      <w:r>
        <w:rPr>
          <w:rStyle w:val="FootnoteReference"/>
        </w:rPr>
        <w:footnoteRef/>
      </w:r>
      <w:r w:rsidR="45F23ED8">
        <w:t xml:space="preserve"> </w:t>
      </w:r>
      <w:r w:rsidRPr="00B545D3" w:rsidR="45F23ED8">
        <w:rPr>
          <w:sz w:val="18"/>
          <w:szCs w:val="18"/>
        </w:rPr>
        <w:t xml:space="preserve">FAA Technical Pay Band, I Band with Washington D.C. locality; effective Jan. 2022, minimum salary $90,877. The total loaded salary of $123,820 is divided by 2,080 hours to get the hourly wage.        </w:t>
      </w:r>
      <w:hyperlink r:id="rId3" w:history="1">
        <w:r w:rsidRPr="00656181" w:rsidR="45F23ED8">
          <w:rPr>
            <w:rStyle w:val="Hyperlink"/>
            <w:sz w:val="18"/>
            <w:szCs w:val="18"/>
          </w:rPr>
          <w:t>https://web.archive.org/web/20220402230925/https://www.faa.gov/sites/faa.gov/files/2022-02/core_salary_with_conversion.xlsx</w:t>
        </w:r>
      </w:hyperlink>
      <w:r w:rsidRPr="00B545D3" w:rsidR="45F23ED8">
        <w:rPr>
          <w:sz w:val="18"/>
          <w:szCs w:val="18"/>
        </w:rPr>
        <w:t>.</w:t>
      </w:r>
    </w:p>
  </w:footnote>
  <w:footnote w:id="22">
    <w:p w:rsidR="001700D2" w:rsidP="001700D2" w14:paraId="14E5C5E9" w14:textId="519149BC">
      <w:pPr>
        <w:pStyle w:val="FootnoteText"/>
      </w:pPr>
      <w:r>
        <w:rPr>
          <w:rStyle w:val="FootnoteReference"/>
        </w:rPr>
        <w:footnoteRef/>
      </w:r>
      <w:r w:rsidR="45F23ED8">
        <w:t xml:space="preserve"> </w:t>
      </w:r>
      <w:r w:rsidRPr="00BD4822" w:rsidR="45F23ED8">
        <w:rPr>
          <w:sz w:val="18"/>
          <w:szCs w:val="18"/>
        </w:rPr>
        <w:t xml:space="preserve">FAA Technical Pay Band, K Band with Washington D.C. locality; effective Jan. 2022, minimum salary $131,917. The total loaded salary of $179,737 is divided by 2,080 hours to get the hourly wage.   </w:t>
      </w:r>
      <w:hyperlink r:id="rId3" w:history="1">
        <w:r w:rsidRPr="00656181" w:rsidR="45F23ED8">
          <w:rPr>
            <w:rStyle w:val="Hyperlink"/>
            <w:sz w:val="18"/>
            <w:szCs w:val="18"/>
          </w:rPr>
          <w:t>https://web.archive.org/web/20220402230925/https://www.faa.gov/sites/faa.gov/files/2022-02/core_salary_with_conversion.xlsx</w:t>
        </w:r>
      </w:hyperlink>
      <w:r w:rsidRPr="00BD4822" w:rsidR="45F23ED8">
        <w:rPr>
          <w:sz w:val="18"/>
          <w:szCs w:val="18"/>
        </w:rPr>
        <w:t>.</w:t>
      </w:r>
    </w:p>
  </w:footnote>
  <w:footnote w:id="23">
    <w:p w:rsidR="00EB5586" w14:paraId="26A9A8FD" w14:textId="66BC8912">
      <w:pPr>
        <w:pStyle w:val="FootnoteText"/>
      </w:pPr>
      <w:r>
        <w:rPr>
          <w:rStyle w:val="FootnoteReference"/>
        </w:rPr>
        <w:footnoteRef/>
      </w:r>
      <w:r w:rsidR="45F23ED8">
        <w:t xml:space="preserve"> </w:t>
      </w:r>
      <w:r w:rsidR="45F23ED8">
        <w:rPr>
          <w:sz w:val="18"/>
          <w:szCs w:val="18"/>
        </w:rPr>
        <w:t>The calculation of the hourly rate is as follows: ((59.53*(18/20)) + (86.41*(2/20))) = $62.22.</w:t>
      </w:r>
    </w:p>
  </w:footnote>
  <w:footnote w:id="24">
    <w:p w:rsidR="00C871A6" w14:paraId="5F9846DA" w14:textId="442CB386">
      <w:pPr>
        <w:pStyle w:val="FootnoteText"/>
      </w:pPr>
      <w:r>
        <w:rPr>
          <w:rStyle w:val="FootnoteReference"/>
        </w:rPr>
        <w:footnoteRef/>
      </w:r>
      <w:r>
        <w:t xml:space="preserve"> </w:t>
      </w:r>
      <w:hyperlink r:id="rId4" w:history="1">
        <w:r w:rsidRPr="00E1075A">
          <w:rPr>
            <w:rStyle w:val="Hyperlink"/>
          </w:rPr>
          <w:t>https://www.transportation.gov/odapc/DOT_Agency_MIS_Data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ACF" w14:paraId="51AFFD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ACF" w14:paraId="345171E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5ACF" w14:paraId="67F1A5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2562B"/>
    <w:multiLevelType w:val="hybridMultilevel"/>
    <w:tmpl w:val="07C0A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AF404D"/>
    <w:multiLevelType w:val="hybridMultilevel"/>
    <w:tmpl w:val="FF8677C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3855DB4"/>
    <w:multiLevelType w:val="hybridMultilevel"/>
    <w:tmpl w:val="6E0E8C66"/>
    <w:lvl w:ilvl="0">
      <w:start w:val="5"/>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8F5E60"/>
    <w:multiLevelType w:val="hybridMultilevel"/>
    <w:tmpl w:val="8B9EA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8D5B58"/>
    <w:multiLevelType w:val="hybridMultilevel"/>
    <w:tmpl w:val="2C4267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8355451">
    <w:abstractNumId w:val="1"/>
  </w:num>
  <w:num w:numId="2" w16cid:durableId="1703169825">
    <w:abstractNumId w:val="5"/>
  </w:num>
  <w:num w:numId="3" w16cid:durableId="931350727">
    <w:abstractNumId w:val="6"/>
  </w:num>
  <w:num w:numId="4" w16cid:durableId="403064231">
    <w:abstractNumId w:val="7"/>
  </w:num>
  <w:num w:numId="5" w16cid:durableId="257753729">
    <w:abstractNumId w:val="4"/>
  </w:num>
  <w:num w:numId="6" w16cid:durableId="354599">
    <w:abstractNumId w:val="2"/>
  </w:num>
  <w:num w:numId="7" w16cid:durableId="1780831375">
    <w:abstractNumId w:val="0"/>
  </w:num>
  <w:num w:numId="8" w16cid:durableId="807279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07"/>
    <w:rsid w:val="00000506"/>
    <w:rsid w:val="00000FA1"/>
    <w:rsid w:val="00001517"/>
    <w:rsid w:val="0000206A"/>
    <w:rsid w:val="00003A6B"/>
    <w:rsid w:val="00006BF0"/>
    <w:rsid w:val="00007177"/>
    <w:rsid w:val="00007800"/>
    <w:rsid w:val="000079A2"/>
    <w:rsid w:val="00010462"/>
    <w:rsid w:val="00010DCC"/>
    <w:rsid w:val="00010FFF"/>
    <w:rsid w:val="00011CF5"/>
    <w:rsid w:val="00012081"/>
    <w:rsid w:val="000124DC"/>
    <w:rsid w:val="00013679"/>
    <w:rsid w:val="000158B4"/>
    <w:rsid w:val="00015C37"/>
    <w:rsid w:val="00021A68"/>
    <w:rsid w:val="00023FC1"/>
    <w:rsid w:val="000246BC"/>
    <w:rsid w:val="000258A6"/>
    <w:rsid w:val="0002652F"/>
    <w:rsid w:val="00030943"/>
    <w:rsid w:val="00031B21"/>
    <w:rsid w:val="00032DF8"/>
    <w:rsid w:val="000330F8"/>
    <w:rsid w:val="000337BB"/>
    <w:rsid w:val="00033AE3"/>
    <w:rsid w:val="000355A6"/>
    <w:rsid w:val="000358FB"/>
    <w:rsid w:val="00036A87"/>
    <w:rsid w:val="00036FC7"/>
    <w:rsid w:val="00037362"/>
    <w:rsid w:val="000373D7"/>
    <w:rsid w:val="00037DEF"/>
    <w:rsid w:val="00040215"/>
    <w:rsid w:val="00040AC2"/>
    <w:rsid w:val="000421BE"/>
    <w:rsid w:val="00042453"/>
    <w:rsid w:val="0004483F"/>
    <w:rsid w:val="00046CEE"/>
    <w:rsid w:val="00050F8D"/>
    <w:rsid w:val="00051051"/>
    <w:rsid w:val="0005331C"/>
    <w:rsid w:val="000544F5"/>
    <w:rsid w:val="000557BD"/>
    <w:rsid w:val="000567AB"/>
    <w:rsid w:val="00056E81"/>
    <w:rsid w:val="00060DA8"/>
    <w:rsid w:val="00061126"/>
    <w:rsid w:val="0006121C"/>
    <w:rsid w:val="0006160E"/>
    <w:rsid w:val="000621A3"/>
    <w:rsid w:val="00063C03"/>
    <w:rsid w:val="00064B70"/>
    <w:rsid w:val="000654B2"/>
    <w:rsid w:val="00066A02"/>
    <w:rsid w:val="0006765F"/>
    <w:rsid w:val="000677D8"/>
    <w:rsid w:val="000724C9"/>
    <w:rsid w:val="00074781"/>
    <w:rsid w:val="00074E64"/>
    <w:rsid w:val="00076A2A"/>
    <w:rsid w:val="00076F6A"/>
    <w:rsid w:val="00076F85"/>
    <w:rsid w:val="00077997"/>
    <w:rsid w:val="00080861"/>
    <w:rsid w:val="00081039"/>
    <w:rsid w:val="000828D3"/>
    <w:rsid w:val="00083690"/>
    <w:rsid w:val="00083C3D"/>
    <w:rsid w:val="00083CD3"/>
    <w:rsid w:val="00085376"/>
    <w:rsid w:val="00086031"/>
    <w:rsid w:val="000902FE"/>
    <w:rsid w:val="00090A0A"/>
    <w:rsid w:val="00091788"/>
    <w:rsid w:val="00091BD5"/>
    <w:rsid w:val="00092E72"/>
    <w:rsid w:val="00094DAC"/>
    <w:rsid w:val="00097675"/>
    <w:rsid w:val="000A0916"/>
    <w:rsid w:val="000A09CE"/>
    <w:rsid w:val="000A1A80"/>
    <w:rsid w:val="000A311B"/>
    <w:rsid w:val="000A3322"/>
    <w:rsid w:val="000A33B1"/>
    <w:rsid w:val="000A5A44"/>
    <w:rsid w:val="000B3079"/>
    <w:rsid w:val="000B3C31"/>
    <w:rsid w:val="000B4412"/>
    <w:rsid w:val="000B4E55"/>
    <w:rsid w:val="000B5E40"/>
    <w:rsid w:val="000B5F87"/>
    <w:rsid w:val="000C199B"/>
    <w:rsid w:val="000C2E95"/>
    <w:rsid w:val="000C301D"/>
    <w:rsid w:val="000C38FE"/>
    <w:rsid w:val="000C3B47"/>
    <w:rsid w:val="000C3E5B"/>
    <w:rsid w:val="000C5BC0"/>
    <w:rsid w:val="000D022E"/>
    <w:rsid w:val="000D1686"/>
    <w:rsid w:val="000D1C18"/>
    <w:rsid w:val="000D3218"/>
    <w:rsid w:val="000D340C"/>
    <w:rsid w:val="000D4A58"/>
    <w:rsid w:val="000D6956"/>
    <w:rsid w:val="000D6D8F"/>
    <w:rsid w:val="000D7914"/>
    <w:rsid w:val="000E0111"/>
    <w:rsid w:val="000E0306"/>
    <w:rsid w:val="000E155A"/>
    <w:rsid w:val="000E2332"/>
    <w:rsid w:val="000E3478"/>
    <w:rsid w:val="000E5127"/>
    <w:rsid w:val="000E573F"/>
    <w:rsid w:val="000E64A7"/>
    <w:rsid w:val="000F345E"/>
    <w:rsid w:val="000F3885"/>
    <w:rsid w:val="000F3CCF"/>
    <w:rsid w:val="000F4E38"/>
    <w:rsid w:val="000F5DC3"/>
    <w:rsid w:val="000F6830"/>
    <w:rsid w:val="00100984"/>
    <w:rsid w:val="00100C36"/>
    <w:rsid w:val="001014B4"/>
    <w:rsid w:val="00101A67"/>
    <w:rsid w:val="0010211F"/>
    <w:rsid w:val="00102B50"/>
    <w:rsid w:val="001032E6"/>
    <w:rsid w:val="001034B5"/>
    <w:rsid w:val="001044E4"/>
    <w:rsid w:val="00106605"/>
    <w:rsid w:val="00107370"/>
    <w:rsid w:val="0010759B"/>
    <w:rsid w:val="00111C6B"/>
    <w:rsid w:val="00113793"/>
    <w:rsid w:val="00114184"/>
    <w:rsid w:val="00115077"/>
    <w:rsid w:val="00115B29"/>
    <w:rsid w:val="001169E7"/>
    <w:rsid w:val="00117270"/>
    <w:rsid w:val="00117CF0"/>
    <w:rsid w:val="00121374"/>
    <w:rsid w:val="0012151C"/>
    <w:rsid w:val="00122687"/>
    <w:rsid w:val="001233E8"/>
    <w:rsid w:val="00123430"/>
    <w:rsid w:val="00123836"/>
    <w:rsid w:val="00123D9D"/>
    <w:rsid w:val="0012414B"/>
    <w:rsid w:val="001244F8"/>
    <w:rsid w:val="0012499C"/>
    <w:rsid w:val="00125398"/>
    <w:rsid w:val="00125517"/>
    <w:rsid w:val="0012578B"/>
    <w:rsid w:val="00125C81"/>
    <w:rsid w:val="00126632"/>
    <w:rsid w:val="00126C3C"/>
    <w:rsid w:val="00126ED8"/>
    <w:rsid w:val="00130660"/>
    <w:rsid w:val="00130D1D"/>
    <w:rsid w:val="00131BA8"/>
    <w:rsid w:val="00131ED5"/>
    <w:rsid w:val="001321ED"/>
    <w:rsid w:val="00132245"/>
    <w:rsid w:val="0013520F"/>
    <w:rsid w:val="00135903"/>
    <w:rsid w:val="00135F95"/>
    <w:rsid w:val="001419AC"/>
    <w:rsid w:val="001430C4"/>
    <w:rsid w:val="001434B7"/>
    <w:rsid w:val="0014381B"/>
    <w:rsid w:val="00143E7E"/>
    <w:rsid w:val="00145FEB"/>
    <w:rsid w:val="00147AAD"/>
    <w:rsid w:val="00147CE9"/>
    <w:rsid w:val="00150C3B"/>
    <w:rsid w:val="0015216C"/>
    <w:rsid w:val="00153E47"/>
    <w:rsid w:val="00156E02"/>
    <w:rsid w:val="00160B46"/>
    <w:rsid w:val="00161C88"/>
    <w:rsid w:val="00161D3D"/>
    <w:rsid w:val="001631C0"/>
    <w:rsid w:val="00163851"/>
    <w:rsid w:val="00164F58"/>
    <w:rsid w:val="00165B58"/>
    <w:rsid w:val="0016696F"/>
    <w:rsid w:val="0016718A"/>
    <w:rsid w:val="00167998"/>
    <w:rsid w:val="00167D49"/>
    <w:rsid w:val="001700D2"/>
    <w:rsid w:val="0017236D"/>
    <w:rsid w:val="001750C2"/>
    <w:rsid w:val="00175245"/>
    <w:rsid w:val="00175718"/>
    <w:rsid w:val="0017683B"/>
    <w:rsid w:val="0018001B"/>
    <w:rsid w:val="001806A4"/>
    <w:rsid w:val="001814B3"/>
    <w:rsid w:val="00181540"/>
    <w:rsid w:val="0018164B"/>
    <w:rsid w:val="00181DB4"/>
    <w:rsid w:val="001857CA"/>
    <w:rsid w:val="00185B3A"/>
    <w:rsid w:val="001863A5"/>
    <w:rsid w:val="0019064E"/>
    <w:rsid w:val="0019177D"/>
    <w:rsid w:val="00192622"/>
    <w:rsid w:val="00193E76"/>
    <w:rsid w:val="00194B3A"/>
    <w:rsid w:val="001954DF"/>
    <w:rsid w:val="00195DDF"/>
    <w:rsid w:val="00195F3C"/>
    <w:rsid w:val="001969ED"/>
    <w:rsid w:val="001A088D"/>
    <w:rsid w:val="001A0B9C"/>
    <w:rsid w:val="001A31B6"/>
    <w:rsid w:val="001A6E62"/>
    <w:rsid w:val="001B3A9A"/>
    <w:rsid w:val="001B49AC"/>
    <w:rsid w:val="001B5885"/>
    <w:rsid w:val="001B733F"/>
    <w:rsid w:val="001C0185"/>
    <w:rsid w:val="001C04E1"/>
    <w:rsid w:val="001C1C58"/>
    <w:rsid w:val="001C29D2"/>
    <w:rsid w:val="001C4397"/>
    <w:rsid w:val="001C538D"/>
    <w:rsid w:val="001C56F4"/>
    <w:rsid w:val="001C598F"/>
    <w:rsid w:val="001C59EA"/>
    <w:rsid w:val="001C5E63"/>
    <w:rsid w:val="001C6AB5"/>
    <w:rsid w:val="001C7029"/>
    <w:rsid w:val="001C7BFE"/>
    <w:rsid w:val="001D03D3"/>
    <w:rsid w:val="001D16AD"/>
    <w:rsid w:val="001D1EE4"/>
    <w:rsid w:val="001D2617"/>
    <w:rsid w:val="001D27FE"/>
    <w:rsid w:val="001D286C"/>
    <w:rsid w:val="001D3BA3"/>
    <w:rsid w:val="001D47A9"/>
    <w:rsid w:val="001D70EA"/>
    <w:rsid w:val="001D7598"/>
    <w:rsid w:val="001D7EB7"/>
    <w:rsid w:val="001E0679"/>
    <w:rsid w:val="001E21CB"/>
    <w:rsid w:val="001E256E"/>
    <w:rsid w:val="001E2A68"/>
    <w:rsid w:val="001E4A28"/>
    <w:rsid w:val="001E5E79"/>
    <w:rsid w:val="001E6329"/>
    <w:rsid w:val="001E705E"/>
    <w:rsid w:val="001F0616"/>
    <w:rsid w:val="001F0724"/>
    <w:rsid w:val="001F1843"/>
    <w:rsid w:val="001F27BB"/>
    <w:rsid w:val="001F33F3"/>
    <w:rsid w:val="001F4E3F"/>
    <w:rsid w:val="001F5891"/>
    <w:rsid w:val="001F74E7"/>
    <w:rsid w:val="001F7583"/>
    <w:rsid w:val="00200DCD"/>
    <w:rsid w:val="00200E50"/>
    <w:rsid w:val="0020170A"/>
    <w:rsid w:val="00202714"/>
    <w:rsid w:val="00202991"/>
    <w:rsid w:val="00203EEF"/>
    <w:rsid w:val="0020470C"/>
    <w:rsid w:val="00204C4E"/>
    <w:rsid w:val="00204E57"/>
    <w:rsid w:val="00205B1C"/>
    <w:rsid w:val="0020676B"/>
    <w:rsid w:val="002079D8"/>
    <w:rsid w:val="00210F01"/>
    <w:rsid w:val="00210F39"/>
    <w:rsid w:val="00211380"/>
    <w:rsid w:val="00211D54"/>
    <w:rsid w:val="00212F95"/>
    <w:rsid w:val="0021386E"/>
    <w:rsid w:val="00213EBA"/>
    <w:rsid w:val="00214D05"/>
    <w:rsid w:val="002152DE"/>
    <w:rsid w:val="00216CFB"/>
    <w:rsid w:val="00217A6D"/>
    <w:rsid w:val="00220C4D"/>
    <w:rsid w:val="00221A38"/>
    <w:rsid w:val="00222143"/>
    <w:rsid w:val="00223427"/>
    <w:rsid w:val="00223FAB"/>
    <w:rsid w:val="002277B1"/>
    <w:rsid w:val="00231E34"/>
    <w:rsid w:val="00232CD2"/>
    <w:rsid w:val="00232F93"/>
    <w:rsid w:val="00233868"/>
    <w:rsid w:val="00234410"/>
    <w:rsid w:val="002357B1"/>
    <w:rsid w:val="0023799D"/>
    <w:rsid w:val="002379D3"/>
    <w:rsid w:val="00237D69"/>
    <w:rsid w:val="00237FA0"/>
    <w:rsid w:val="0024005A"/>
    <w:rsid w:val="002413C7"/>
    <w:rsid w:val="00241DD0"/>
    <w:rsid w:val="00242108"/>
    <w:rsid w:val="002428BE"/>
    <w:rsid w:val="002467DE"/>
    <w:rsid w:val="00246E05"/>
    <w:rsid w:val="0024739A"/>
    <w:rsid w:val="002477CF"/>
    <w:rsid w:val="002514D4"/>
    <w:rsid w:val="00252173"/>
    <w:rsid w:val="00252A7E"/>
    <w:rsid w:val="0025373C"/>
    <w:rsid w:val="00253B94"/>
    <w:rsid w:val="00254CDF"/>
    <w:rsid w:val="0025551F"/>
    <w:rsid w:val="00255D57"/>
    <w:rsid w:val="00256A29"/>
    <w:rsid w:val="00256B0E"/>
    <w:rsid w:val="0026228C"/>
    <w:rsid w:val="00262412"/>
    <w:rsid w:val="00262E2F"/>
    <w:rsid w:val="00263119"/>
    <w:rsid w:val="00264E41"/>
    <w:rsid w:val="002656E4"/>
    <w:rsid w:val="00267E87"/>
    <w:rsid w:val="002710F5"/>
    <w:rsid w:val="00271968"/>
    <w:rsid w:val="00272CE9"/>
    <w:rsid w:val="00273C7B"/>
    <w:rsid w:val="00274BCF"/>
    <w:rsid w:val="002750E7"/>
    <w:rsid w:val="00276698"/>
    <w:rsid w:val="002766CA"/>
    <w:rsid w:val="00280351"/>
    <w:rsid w:val="00280D5E"/>
    <w:rsid w:val="00281871"/>
    <w:rsid w:val="0028212A"/>
    <w:rsid w:val="00282634"/>
    <w:rsid w:val="002837D2"/>
    <w:rsid w:val="00285FAF"/>
    <w:rsid w:val="0028795A"/>
    <w:rsid w:val="0029087C"/>
    <w:rsid w:val="00291183"/>
    <w:rsid w:val="00291403"/>
    <w:rsid w:val="002924A5"/>
    <w:rsid w:val="0029250B"/>
    <w:rsid w:val="00292DE5"/>
    <w:rsid w:val="00293595"/>
    <w:rsid w:val="00293D41"/>
    <w:rsid w:val="00294E74"/>
    <w:rsid w:val="002964CE"/>
    <w:rsid w:val="0029679D"/>
    <w:rsid w:val="002A18A8"/>
    <w:rsid w:val="002A1C89"/>
    <w:rsid w:val="002A1E81"/>
    <w:rsid w:val="002A2805"/>
    <w:rsid w:val="002A4FC9"/>
    <w:rsid w:val="002A6BFD"/>
    <w:rsid w:val="002A7235"/>
    <w:rsid w:val="002A7EAE"/>
    <w:rsid w:val="002B13A9"/>
    <w:rsid w:val="002B3777"/>
    <w:rsid w:val="002B3A1B"/>
    <w:rsid w:val="002B612C"/>
    <w:rsid w:val="002B6509"/>
    <w:rsid w:val="002B6945"/>
    <w:rsid w:val="002B7B27"/>
    <w:rsid w:val="002B7E31"/>
    <w:rsid w:val="002C00CC"/>
    <w:rsid w:val="002C00CD"/>
    <w:rsid w:val="002C1007"/>
    <w:rsid w:val="002C220C"/>
    <w:rsid w:val="002C239D"/>
    <w:rsid w:val="002C3730"/>
    <w:rsid w:val="002C3EF6"/>
    <w:rsid w:val="002C411E"/>
    <w:rsid w:val="002C44E4"/>
    <w:rsid w:val="002C4A9F"/>
    <w:rsid w:val="002C5286"/>
    <w:rsid w:val="002C67AF"/>
    <w:rsid w:val="002C6CAF"/>
    <w:rsid w:val="002C7AD7"/>
    <w:rsid w:val="002D0423"/>
    <w:rsid w:val="002D0560"/>
    <w:rsid w:val="002D06A5"/>
    <w:rsid w:val="002D0C68"/>
    <w:rsid w:val="002D1193"/>
    <w:rsid w:val="002D4222"/>
    <w:rsid w:val="002D464C"/>
    <w:rsid w:val="002D5963"/>
    <w:rsid w:val="002D64C0"/>
    <w:rsid w:val="002D66DD"/>
    <w:rsid w:val="002D67CD"/>
    <w:rsid w:val="002E0AE3"/>
    <w:rsid w:val="002E174C"/>
    <w:rsid w:val="002E1E9D"/>
    <w:rsid w:val="002E24ED"/>
    <w:rsid w:val="002E299E"/>
    <w:rsid w:val="002E2D4E"/>
    <w:rsid w:val="002E3542"/>
    <w:rsid w:val="002E380E"/>
    <w:rsid w:val="002F10DC"/>
    <w:rsid w:val="002F1DE6"/>
    <w:rsid w:val="002F1E88"/>
    <w:rsid w:val="002F1FB7"/>
    <w:rsid w:val="002F3822"/>
    <w:rsid w:val="002F3D35"/>
    <w:rsid w:val="002F58D6"/>
    <w:rsid w:val="002F60A9"/>
    <w:rsid w:val="002F6AB8"/>
    <w:rsid w:val="002F6C7E"/>
    <w:rsid w:val="002F7217"/>
    <w:rsid w:val="003003FD"/>
    <w:rsid w:val="00300A57"/>
    <w:rsid w:val="0030201C"/>
    <w:rsid w:val="003029B8"/>
    <w:rsid w:val="00303640"/>
    <w:rsid w:val="00304085"/>
    <w:rsid w:val="00304CC4"/>
    <w:rsid w:val="00306CC7"/>
    <w:rsid w:val="00306F21"/>
    <w:rsid w:val="00306F4F"/>
    <w:rsid w:val="003074B7"/>
    <w:rsid w:val="003116EB"/>
    <w:rsid w:val="00312922"/>
    <w:rsid w:val="003139D1"/>
    <w:rsid w:val="003140DE"/>
    <w:rsid w:val="00314645"/>
    <w:rsid w:val="003149EA"/>
    <w:rsid w:val="00314C22"/>
    <w:rsid w:val="00315338"/>
    <w:rsid w:val="00316C72"/>
    <w:rsid w:val="0032193B"/>
    <w:rsid w:val="00321982"/>
    <w:rsid w:val="00322502"/>
    <w:rsid w:val="003233CC"/>
    <w:rsid w:val="00323D97"/>
    <w:rsid w:val="003248A9"/>
    <w:rsid w:val="0032544D"/>
    <w:rsid w:val="00325E1B"/>
    <w:rsid w:val="00326A09"/>
    <w:rsid w:val="00330D7B"/>
    <w:rsid w:val="0033232C"/>
    <w:rsid w:val="003327E3"/>
    <w:rsid w:val="00332964"/>
    <w:rsid w:val="0033347D"/>
    <w:rsid w:val="00337584"/>
    <w:rsid w:val="00337C31"/>
    <w:rsid w:val="00337DD0"/>
    <w:rsid w:val="00342366"/>
    <w:rsid w:val="003426B2"/>
    <w:rsid w:val="00342F9C"/>
    <w:rsid w:val="00343244"/>
    <w:rsid w:val="00344691"/>
    <w:rsid w:val="003449E3"/>
    <w:rsid w:val="00344D18"/>
    <w:rsid w:val="00345707"/>
    <w:rsid w:val="00346F23"/>
    <w:rsid w:val="0034734B"/>
    <w:rsid w:val="00350030"/>
    <w:rsid w:val="00350983"/>
    <w:rsid w:val="0035249E"/>
    <w:rsid w:val="00354927"/>
    <w:rsid w:val="003552E6"/>
    <w:rsid w:val="00357A76"/>
    <w:rsid w:val="00362DA7"/>
    <w:rsid w:val="00363535"/>
    <w:rsid w:val="00363714"/>
    <w:rsid w:val="0036472B"/>
    <w:rsid w:val="00364745"/>
    <w:rsid w:val="00365D08"/>
    <w:rsid w:val="0036734B"/>
    <w:rsid w:val="003677EC"/>
    <w:rsid w:val="00367AEA"/>
    <w:rsid w:val="00370D8F"/>
    <w:rsid w:val="00370E85"/>
    <w:rsid w:val="0037176B"/>
    <w:rsid w:val="00372113"/>
    <w:rsid w:val="003735B9"/>
    <w:rsid w:val="00373ADC"/>
    <w:rsid w:val="00373DBE"/>
    <w:rsid w:val="00374A53"/>
    <w:rsid w:val="00374CCF"/>
    <w:rsid w:val="00375854"/>
    <w:rsid w:val="0037632D"/>
    <w:rsid w:val="003765A8"/>
    <w:rsid w:val="00377B9D"/>
    <w:rsid w:val="00380AD0"/>
    <w:rsid w:val="00381CA3"/>
    <w:rsid w:val="00382BE4"/>
    <w:rsid w:val="0038497E"/>
    <w:rsid w:val="003849D3"/>
    <w:rsid w:val="003859AD"/>
    <w:rsid w:val="003874DC"/>
    <w:rsid w:val="0039066F"/>
    <w:rsid w:val="003917F5"/>
    <w:rsid w:val="003919D2"/>
    <w:rsid w:val="00392DBE"/>
    <w:rsid w:val="00394FA8"/>
    <w:rsid w:val="00395DD8"/>
    <w:rsid w:val="003A0617"/>
    <w:rsid w:val="003A111E"/>
    <w:rsid w:val="003A175E"/>
    <w:rsid w:val="003A1769"/>
    <w:rsid w:val="003A1E26"/>
    <w:rsid w:val="003A21B7"/>
    <w:rsid w:val="003A2B4C"/>
    <w:rsid w:val="003A2E74"/>
    <w:rsid w:val="003A74FC"/>
    <w:rsid w:val="003A7A28"/>
    <w:rsid w:val="003B1EF0"/>
    <w:rsid w:val="003B3B21"/>
    <w:rsid w:val="003B5402"/>
    <w:rsid w:val="003B5724"/>
    <w:rsid w:val="003B5DC2"/>
    <w:rsid w:val="003C027E"/>
    <w:rsid w:val="003C045A"/>
    <w:rsid w:val="003C0576"/>
    <w:rsid w:val="003C2C6F"/>
    <w:rsid w:val="003C39A6"/>
    <w:rsid w:val="003C3E31"/>
    <w:rsid w:val="003C4805"/>
    <w:rsid w:val="003C50DB"/>
    <w:rsid w:val="003D015F"/>
    <w:rsid w:val="003D1896"/>
    <w:rsid w:val="003D236C"/>
    <w:rsid w:val="003D2D17"/>
    <w:rsid w:val="003D30B9"/>
    <w:rsid w:val="003D3E61"/>
    <w:rsid w:val="003D439E"/>
    <w:rsid w:val="003D610E"/>
    <w:rsid w:val="003D6533"/>
    <w:rsid w:val="003D6B33"/>
    <w:rsid w:val="003D719C"/>
    <w:rsid w:val="003D725A"/>
    <w:rsid w:val="003E0104"/>
    <w:rsid w:val="003E117C"/>
    <w:rsid w:val="003E11C2"/>
    <w:rsid w:val="003E1312"/>
    <w:rsid w:val="003E1714"/>
    <w:rsid w:val="003E3B9C"/>
    <w:rsid w:val="003E4069"/>
    <w:rsid w:val="003E4DD2"/>
    <w:rsid w:val="003E5E4F"/>
    <w:rsid w:val="003E7ECC"/>
    <w:rsid w:val="003F0352"/>
    <w:rsid w:val="003F0C43"/>
    <w:rsid w:val="003F14A5"/>
    <w:rsid w:val="003F1882"/>
    <w:rsid w:val="003F1D44"/>
    <w:rsid w:val="003F3A5C"/>
    <w:rsid w:val="003F4958"/>
    <w:rsid w:val="003F4BDC"/>
    <w:rsid w:val="003F52E6"/>
    <w:rsid w:val="003F62E2"/>
    <w:rsid w:val="003F64B3"/>
    <w:rsid w:val="003F6685"/>
    <w:rsid w:val="00402AF8"/>
    <w:rsid w:val="00404152"/>
    <w:rsid w:val="0040680B"/>
    <w:rsid w:val="00407371"/>
    <w:rsid w:val="00410069"/>
    <w:rsid w:val="004106E6"/>
    <w:rsid w:val="0041299A"/>
    <w:rsid w:val="00412B11"/>
    <w:rsid w:val="0041309D"/>
    <w:rsid w:val="00414531"/>
    <w:rsid w:val="004147ED"/>
    <w:rsid w:val="004164CC"/>
    <w:rsid w:val="0041736D"/>
    <w:rsid w:val="00417CA7"/>
    <w:rsid w:val="004206C8"/>
    <w:rsid w:val="00420C93"/>
    <w:rsid w:val="0042237D"/>
    <w:rsid w:val="0042267C"/>
    <w:rsid w:val="00424303"/>
    <w:rsid w:val="0042619B"/>
    <w:rsid w:val="00426CF7"/>
    <w:rsid w:val="00427D92"/>
    <w:rsid w:val="00427EAE"/>
    <w:rsid w:val="004321F4"/>
    <w:rsid w:val="00433FBB"/>
    <w:rsid w:val="00434A3A"/>
    <w:rsid w:val="00436CE7"/>
    <w:rsid w:val="00441F6F"/>
    <w:rsid w:val="00442743"/>
    <w:rsid w:val="004428B2"/>
    <w:rsid w:val="00444566"/>
    <w:rsid w:val="00444895"/>
    <w:rsid w:val="004459CE"/>
    <w:rsid w:val="00445F23"/>
    <w:rsid w:val="00447188"/>
    <w:rsid w:val="004504D2"/>
    <w:rsid w:val="00451ED9"/>
    <w:rsid w:val="004521C3"/>
    <w:rsid w:val="00452844"/>
    <w:rsid w:val="00452A69"/>
    <w:rsid w:val="00453017"/>
    <w:rsid w:val="004538D5"/>
    <w:rsid w:val="00453981"/>
    <w:rsid w:val="00453E6E"/>
    <w:rsid w:val="00454751"/>
    <w:rsid w:val="004553EF"/>
    <w:rsid w:val="004557F2"/>
    <w:rsid w:val="00455BF6"/>
    <w:rsid w:val="00456ADB"/>
    <w:rsid w:val="00456AEB"/>
    <w:rsid w:val="00456B34"/>
    <w:rsid w:val="00456DA7"/>
    <w:rsid w:val="00456DE8"/>
    <w:rsid w:val="00457D4F"/>
    <w:rsid w:val="00461BEC"/>
    <w:rsid w:val="00463489"/>
    <w:rsid w:val="004647F8"/>
    <w:rsid w:val="00465876"/>
    <w:rsid w:val="00466125"/>
    <w:rsid w:val="00466EDB"/>
    <w:rsid w:val="004713D6"/>
    <w:rsid w:val="004715F2"/>
    <w:rsid w:val="00471D6D"/>
    <w:rsid w:val="00473289"/>
    <w:rsid w:val="00473F4D"/>
    <w:rsid w:val="004748D2"/>
    <w:rsid w:val="00476220"/>
    <w:rsid w:val="004764A1"/>
    <w:rsid w:val="0047691D"/>
    <w:rsid w:val="00476A8C"/>
    <w:rsid w:val="00481964"/>
    <w:rsid w:val="0048293F"/>
    <w:rsid w:val="00483D2C"/>
    <w:rsid w:val="004845D9"/>
    <w:rsid w:val="00485DED"/>
    <w:rsid w:val="00486923"/>
    <w:rsid w:val="00487B2C"/>
    <w:rsid w:val="00487F79"/>
    <w:rsid w:val="00491C00"/>
    <w:rsid w:val="0049224E"/>
    <w:rsid w:val="00492BD1"/>
    <w:rsid w:val="00492E7F"/>
    <w:rsid w:val="004961FA"/>
    <w:rsid w:val="00496B01"/>
    <w:rsid w:val="004979CA"/>
    <w:rsid w:val="00497E75"/>
    <w:rsid w:val="00497FB2"/>
    <w:rsid w:val="004A0C05"/>
    <w:rsid w:val="004A3079"/>
    <w:rsid w:val="004A3380"/>
    <w:rsid w:val="004A3724"/>
    <w:rsid w:val="004A3F2C"/>
    <w:rsid w:val="004A41A3"/>
    <w:rsid w:val="004A45CB"/>
    <w:rsid w:val="004A5ACF"/>
    <w:rsid w:val="004A687A"/>
    <w:rsid w:val="004A731C"/>
    <w:rsid w:val="004A7716"/>
    <w:rsid w:val="004B040D"/>
    <w:rsid w:val="004B23ED"/>
    <w:rsid w:val="004B2B2D"/>
    <w:rsid w:val="004B32FD"/>
    <w:rsid w:val="004B4587"/>
    <w:rsid w:val="004B4946"/>
    <w:rsid w:val="004B5B1A"/>
    <w:rsid w:val="004B5F8F"/>
    <w:rsid w:val="004B63AA"/>
    <w:rsid w:val="004B6440"/>
    <w:rsid w:val="004C4053"/>
    <w:rsid w:val="004C4358"/>
    <w:rsid w:val="004C474D"/>
    <w:rsid w:val="004C4BEB"/>
    <w:rsid w:val="004C55F8"/>
    <w:rsid w:val="004C57DF"/>
    <w:rsid w:val="004C6651"/>
    <w:rsid w:val="004D0092"/>
    <w:rsid w:val="004D172A"/>
    <w:rsid w:val="004D1D77"/>
    <w:rsid w:val="004D2C88"/>
    <w:rsid w:val="004D31E8"/>
    <w:rsid w:val="004D38E0"/>
    <w:rsid w:val="004D767A"/>
    <w:rsid w:val="004E0867"/>
    <w:rsid w:val="004E0BF7"/>
    <w:rsid w:val="004E0E11"/>
    <w:rsid w:val="004E13DE"/>
    <w:rsid w:val="004E1537"/>
    <w:rsid w:val="004E1795"/>
    <w:rsid w:val="004E33F5"/>
    <w:rsid w:val="004E341C"/>
    <w:rsid w:val="004E373E"/>
    <w:rsid w:val="004E4233"/>
    <w:rsid w:val="004E6248"/>
    <w:rsid w:val="004E630D"/>
    <w:rsid w:val="004E7071"/>
    <w:rsid w:val="004F1369"/>
    <w:rsid w:val="004F157A"/>
    <w:rsid w:val="004F1989"/>
    <w:rsid w:val="004F210C"/>
    <w:rsid w:val="004F3272"/>
    <w:rsid w:val="004F3368"/>
    <w:rsid w:val="004F4041"/>
    <w:rsid w:val="004F4298"/>
    <w:rsid w:val="004F5A40"/>
    <w:rsid w:val="004F5A6E"/>
    <w:rsid w:val="004F697A"/>
    <w:rsid w:val="005007B9"/>
    <w:rsid w:val="0050086C"/>
    <w:rsid w:val="00500890"/>
    <w:rsid w:val="005014C9"/>
    <w:rsid w:val="00501DB4"/>
    <w:rsid w:val="0050253F"/>
    <w:rsid w:val="0050270B"/>
    <w:rsid w:val="0050290C"/>
    <w:rsid w:val="0050436F"/>
    <w:rsid w:val="00504633"/>
    <w:rsid w:val="00505893"/>
    <w:rsid w:val="005073F9"/>
    <w:rsid w:val="005101B3"/>
    <w:rsid w:val="00510233"/>
    <w:rsid w:val="00511C5A"/>
    <w:rsid w:val="005136AB"/>
    <w:rsid w:val="00513F86"/>
    <w:rsid w:val="00515025"/>
    <w:rsid w:val="005206CF"/>
    <w:rsid w:val="00520E0A"/>
    <w:rsid w:val="00522160"/>
    <w:rsid w:val="00522F66"/>
    <w:rsid w:val="005230AC"/>
    <w:rsid w:val="00525C13"/>
    <w:rsid w:val="00526E2B"/>
    <w:rsid w:val="0052756B"/>
    <w:rsid w:val="00527829"/>
    <w:rsid w:val="005304BD"/>
    <w:rsid w:val="00530EFF"/>
    <w:rsid w:val="0053134D"/>
    <w:rsid w:val="005319B6"/>
    <w:rsid w:val="0053240C"/>
    <w:rsid w:val="0053264B"/>
    <w:rsid w:val="00532779"/>
    <w:rsid w:val="00533158"/>
    <w:rsid w:val="005342D6"/>
    <w:rsid w:val="00535DF1"/>
    <w:rsid w:val="00536E3E"/>
    <w:rsid w:val="005402EB"/>
    <w:rsid w:val="00541029"/>
    <w:rsid w:val="005414C1"/>
    <w:rsid w:val="00546A19"/>
    <w:rsid w:val="00547037"/>
    <w:rsid w:val="00547434"/>
    <w:rsid w:val="0054778F"/>
    <w:rsid w:val="00551250"/>
    <w:rsid w:val="00551F9A"/>
    <w:rsid w:val="00552437"/>
    <w:rsid w:val="0055276C"/>
    <w:rsid w:val="00556640"/>
    <w:rsid w:val="0055721D"/>
    <w:rsid w:val="00560202"/>
    <w:rsid w:val="00560B1D"/>
    <w:rsid w:val="00561F40"/>
    <w:rsid w:val="00562412"/>
    <w:rsid w:val="0056379A"/>
    <w:rsid w:val="005646E5"/>
    <w:rsid w:val="00574D2E"/>
    <w:rsid w:val="00574D77"/>
    <w:rsid w:val="00575F64"/>
    <w:rsid w:val="005771E4"/>
    <w:rsid w:val="0058213C"/>
    <w:rsid w:val="00582A60"/>
    <w:rsid w:val="00582F32"/>
    <w:rsid w:val="005839BF"/>
    <w:rsid w:val="00583D10"/>
    <w:rsid w:val="005853BA"/>
    <w:rsid w:val="00586392"/>
    <w:rsid w:val="00586502"/>
    <w:rsid w:val="0058742D"/>
    <w:rsid w:val="00587ED5"/>
    <w:rsid w:val="005919BC"/>
    <w:rsid w:val="00593787"/>
    <w:rsid w:val="00595845"/>
    <w:rsid w:val="00595FA0"/>
    <w:rsid w:val="0059659D"/>
    <w:rsid w:val="0059659E"/>
    <w:rsid w:val="005A3BD7"/>
    <w:rsid w:val="005A55E9"/>
    <w:rsid w:val="005A5E3E"/>
    <w:rsid w:val="005B04EA"/>
    <w:rsid w:val="005B0D85"/>
    <w:rsid w:val="005B25CC"/>
    <w:rsid w:val="005B3194"/>
    <w:rsid w:val="005B3463"/>
    <w:rsid w:val="005B3594"/>
    <w:rsid w:val="005B4EB0"/>
    <w:rsid w:val="005B59C5"/>
    <w:rsid w:val="005B5B48"/>
    <w:rsid w:val="005B673D"/>
    <w:rsid w:val="005B752F"/>
    <w:rsid w:val="005C0F14"/>
    <w:rsid w:val="005C2088"/>
    <w:rsid w:val="005C64C9"/>
    <w:rsid w:val="005C6AD1"/>
    <w:rsid w:val="005C795E"/>
    <w:rsid w:val="005D0CD5"/>
    <w:rsid w:val="005D102E"/>
    <w:rsid w:val="005D1C55"/>
    <w:rsid w:val="005D2A6C"/>
    <w:rsid w:val="005D30D6"/>
    <w:rsid w:val="005D333C"/>
    <w:rsid w:val="005D6185"/>
    <w:rsid w:val="005D7FA9"/>
    <w:rsid w:val="005E0848"/>
    <w:rsid w:val="005E0988"/>
    <w:rsid w:val="005E1314"/>
    <w:rsid w:val="005E18D6"/>
    <w:rsid w:val="005E22E3"/>
    <w:rsid w:val="005E2ABF"/>
    <w:rsid w:val="005E4231"/>
    <w:rsid w:val="005E5613"/>
    <w:rsid w:val="005F4EB0"/>
    <w:rsid w:val="005F507F"/>
    <w:rsid w:val="005F62E5"/>
    <w:rsid w:val="005F6A97"/>
    <w:rsid w:val="005F6FAB"/>
    <w:rsid w:val="005F7AA8"/>
    <w:rsid w:val="0060016D"/>
    <w:rsid w:val="00600FEE"/>
    <w:rsid w:val="00601483"/>
    <w:rsid w:val="006018D4"/>
    <w:rsid w:val="0060196C"/>
    <w:rsid w:val="00602AD6"/>
    <w:rsid w:val="00603957"/>
    <w:rsid w:val="0060519B"/>
    <w:rsid w:val="00605281"/>
    <w:rsid w:val="00610DD7"/>
    <w:rsid w:val="00612127"/>
    <w:rsid w:val="006128A3"/>
    <w:rsid w:val="00613E61"/>
    <w:rsid w:val="00614145"/>
    <w:rsid w:val="00614A4C"/>
    <w:rsid w:val="00614E2B"/>
    <w:rsid w:val="00615A52"/>
    <w:rsid w:val="006164E7"/>
    <w:rsid w:val="00616EA9"/>
    <w:rsid w:val="006173B0"/>
    <w:rsid w:val="00621357"/>
    <w:rsid w:val="006226B8"/>
    <w:rsid w:val="00622EB7"/>
    <w:rsid w:val="00622FD9"/>
    <w:rsid w:val="006233A8"/>
    <w:rsid w:val="00624820"/>
    <w:rsid w:val="00624A0C"/>
    <w:rsid w:val="00625C54"/>
    <w:rsid w:val="00625E7C"/>
    <w:rsid w:val="00626068"/>
    <w:rsid w:val="00627B2F"/>
    <w:rsid w:val="00631034"/>
    <w:rsid w:val="006319D3"/>
    <w:rsid w:val="006323E9"/>
    <w:rsid w:val="00632665"/>
    <w:rsid w:val="00632E75"/>
    <w:rsid w:val="0063482D"/>
    <w:rsid w:val="006356D1"/>
    <w:rsid w:val="00635817"/>
    <w:rsid w:val="00635BC5"/>
    <w:rsid w:val="00636546"/>
    <w:rsid w:val="00637111"/>
    <w:rsid w:val="006376BD"/>
    <w:rsid w:val="006400FD"/>
    <w:rsid w:val="00640116"/>
    <w:rsid w:val="006409CD"/>
    <w:rsid w:val="00640AEE"/>
    <w:rsid w:val="00644540"/>
    <w:rsid w:val="00644930"/>
    <w:rsid w:val="00644ADB"/>
    <w:rsid w:val="006450B0"/>
    <w:rsid w:val="0064573A"/>
    <w:rsid w:val="00646235"/>
    <w:rsid w:val="006476CF"/>
    <w:rsid w:val="006523E0"/>
    <w:rsid w:val="00652613"/>
    <w:rsid w:val="006526D9"/>
    <w:rsid w:val="006534C8"/>
    <w:rsid w:val="006545C0"/>
    <w:rsid w:val="00654D8E"/>
    <w:rsid w:val="006553D4"/>
    <w:rsid w:val="00656181"/>
    <w:rsid w:val="00657B54"/>
    <w:rsid w:val="00660422"/>
    <w:rsid w:val="00660FEC"/>
    <w:rsid w:val="00661976"/>
    <w:rsid w:val="00662776"/>
    <w:rsid w:val="00662C72"/>
    <w:rsid w:val="0066321C"/>
    <w:rsid w:val="00663EBE"/>
    <w:rsid w:val="00663F06"/>
    <w:rsid w:val="006642FF"/>
    <w:rsid w:val="00664547"/>
    <w:rsid w:val="006653D2"/>
    <w:rsid w:val="00665AD7"/>
    <w:rsid w:val="00665D4A"/>
    <w:rsid w:val="00670328"/>
    <w:rsid w:val="00670D4D"/>
    <w:rsid w:val="00671159"/>
    <w:rsid w:val="006712D6"/>
    <w:rsid w:val="00671FD0"/>
    <w:rsid w:val="0067513C"/>
    <w:rsid w:val="00675D5B"/>
    <w:rsid w:val="00677833"/>
    <w:rsid w:val="0068000B"/>
    <w:rsid w:val="00680084"/>
    <w:rsid w:val="006806FC"/>
    <w:rsid w:val="00680D48"/>
    <w:rsid w:val="0068122E"/>
    <w:rsid w:val="006817E1"/>
    <w:rsid w:val="0068234D"/>
    <w:rsid w:val="00682815"/>
    <w:rsid w:val="006836AB"/>
    <w:rsid w:val="00684071"/>
    <w:rsid w:val="00685EB7"/>
    <w:rsid w:val="00686E5E"/>
    <w:rsid w:val="00690166"/>
    <w:rsid w:val="006910F8"/>
    <w:rsid w:val="00692C96"/>
    <w:rsid w:val="00692FEA"/>
    <w:rsid w:val="00695062"/>
    <w:rsid w:val="00695868"/>
    <w:rsid w:val="006965BA"/>
    <w:rsid w:val="00696F3A"/>
    <w:rsid w:val="006A0230"/>
    <w:rsid w:val="006A1798"/>
    <w:rsid w:val="006A28C2"/>
    <w:rsid w:val="006A4579"/>
    <w:rsid w:val="006A5132"/>
    <w:rsid w:val="006A5E03"/>
    <w:rsid w:val="006A624E"/>
    <w:rsid w:val="006B0D4C"/>
    <w:rsid w:val="006B3BEA"/>
    <w:rsid w:val="006B5308"/>
    <w:rsid w:val="006B53EF"/>
    <w:rsid w:val="006B5EC8"/>
    <w:rsid w:val="006B6151"/>
    <w:rsid w:val="006B6633"/>
    <w:rsid w:val="006B746D"/>
    <w:rsid w:val="006C144E"/>
    <w:rsid w:val="006C1D2C"/>
    <w:rsid w:val="006C29B9"/>
    <w:rsid w:val="006C413C"/>
    <w:rsid w:val="006C42B7"/>
    <w:rsid w:val="006C58D8"/>
    <w:rsid w:val="006C68E2"/>
    <w:rsid w:val="006D041E"/>
    <w:rsid w:val="006D2455"/>
    <w:rsid w:val="006D718D"/>
    <w:rsid w:val="006E00BB"/>
    <w:rsid w:val="006E1686"/>
    <w:rsid w:val="006E22FE"/>
    <w:rsid w:val="006E41BB"/>
    <w:rsid w:val="006E4B8E"/>
    <w:rsid w:val="006E6682"/>
    <w:rsid w:val="006F166B"/>
    <w:rsid w:val="006F2427"/>
    <w:rsid w:val="006F2485"/>
    <w:rsid w:val="006F39B8"/>
    <w:rsid w:val="006F3D11"/>
    <w:rsid w:val="006F3D50"/>
    <w:rsid w:val="006F4643"/>
    <w:rsid w:val="006F567C"/>
    <w:rsid w:val="006F6315"/>
    <w:rsid w:val="007027D4"/>
    <w:rsid w:val="00702D33"/>
    <w:rsid w:val="0070345A"/>
    <w:rsid w:val="00703BC1"/>
    <w:rsid w:val="0070570C"/>
    <w:rsid w:val="00706342"/>
    <w:rsid w:val="0070725A"/>
    <w:rsid w:val="00710690"/>
    <w:rsid w:val="007132DE"/>
    <w:rsid w:val="00713A23"/>
    <w:rsid w:val="00714042"/>
    <w:rsid w:val="00714CA2"/>
    <w:rsid w:val="00717C3F"/>
    <w:rsid w:val="00717CBF"/>
    <w:rsid w:val="00717E62"/>
    <w:rsid w:val="007214C1"/>
    <w:rsid w:val="00721D8F"/>
    <w:rsid w:val="007230C6"/>
    <w:rsid w:val="00724C77"/>
    <w:rsid w:val="007255F4"/>
    <w:rsid w:val="00725A6A"/>
    <w:rsid w:val="00725DC8"/>
    <w:rsid w:val="00726AC1"/>
    <w:rsid w:val="007270D4"/>
    <w:rsid w:val="007275E9"/>
    <w:rsid w:val="00727B53"/>
    <w:rsid w:val="007305B7"/>
    <w:rsid w:val="00730FB8"/>
    <w:rsid w:val="007315EC"/>
    <w:rsid w:val="0073238B"/>
    <w:rsid w:val="0073313C"/>
    <w:rsid w:val="00733586"/>
    <w:rsid w:val="00734B27"/>
    <w:rsid w:val="00736C3D"/>
    <w:rsid w:val="00736FB9"/>
    <w:rsid w:val="00737652"/>
    <w:rsid w:val="00740393"/>
    <w:rsid w:val="007413BC"/>
    <w:rsid w:val="00741749"/>
    <w:rsid w:val="00742351"/>
    <w:rsid w:val="007424A6"/>
    <w:rsid w:val="007434C8"/>
    <w:rsid w:val="00743CCC"/>
    <w:rsid w:val="007442EF"/>
    <w:rsid w:val="007444EA"/>
    <w:rsid w:val="00744C09"/>
    <w:rsid w:val="0074684D"/>
    <w:rsid w:val="00746ACD"/>
    <w:rsid w:val="00752907"/>
    <w:rsid w:val="00752970"/>
    <w:rsid w:val="00753423"/>
    <w:rsid w:val="00754577"/>
    <w:rsid w:val="007569D6"/>
    <w:rsid w:val="007574E0"/>
    <w:rsid w:val="007610C8"/>
    <w:rsid w:val="00761460"/>
    <w:rsid w:val="00761BC4"/>
    <w:rsid w:val="00761D77"/>
    <w:rsid w:val="00764073"/>
    <w:rsid w:val="00765589"/>
    <w:rsid w:val="007664BA"/>
    <w:rsid w:val="007664D3"/>
    <w:rsid w:val="00766C2A"/>
    <w:rsid w:val="0076711F"/>
    <w:rsid w:val="0076727D"/>
    <w:rsid w:val="00771C53"/>
    <w:rsid w:val="00772D17"/>
    <w:rsid w:val="00773B79"/>
    <w:rsid w:val="00773FF1"/>
    <w:rsid w:val="0077408A"/>
    <w:rsid w:val="00774A69"/>
    <w:rsid w:val="00774CDE"/>
    <w:rsid w:val="00776333"/>
    <w:rsid w:val="00781149"/>
    <w:rsid w:val="00781186"/>
    <w:rsid w:val="007817F4"/>
    <w:rsid w:val="00781EF3"/>
    <w:rsid w:val="0078236C"/>
    <w:rsid w:val="007828E9"/>
    <w:rsid w:val="007835F9"/>
    <w:rsid w:val="007838AF"/>
    <w:rsid w:val="00784287"/>
    <w:rsid w:val="00784BDE"/>
    <w:rsid w:val="007850FC"/>
    <w:rsid w:val="007855F1"/>
    <w:rsid w:val="00785B30"/>
    <w:rsid w:val="007876A1"/>
    <w:rsid w:val="00790E40"/>
    <w:rsid w:val="00793CD6"/>
    <w:rsid w:val="00793D00"/>
    <w:rsid w:val="00795D2A"/>
    <w:rsid w:val="00795DB4"/>
    <w:rsid w:val="00796960"/>
    <w:rsid w:val="00797B24"/>
    <w:rsid w:val="00797D75"/>
    <w:rsid w:val="007A0DA5"/>
    <w:rsid w:val="007A1008"/>
    <w:rsid w:val="007A37AD"/>
    <w:rsid w:val="007A467D"/>
    <w:rsid w:val="007A5018"/>
    <w:rsid w:val="007A5492"/>
    <w:rsid w:val="007A5925"/>
    <w:rsid w:val="007A63DE"/>
    <w:rsid w:val="007A6B33"/>
    <w:rsid w:val="007A72AB"/>
    <w:rsid w:val="007A7EDA"/>
    <w:rsid w:val="007B0586"/>
    <w:rsid w:val="007B5EBD"/>
    <w:rsid w:val="007B62A8"/>
    <w:rsid w:val="007B7232"/>
    <w:rsid w:val="007C1261"/>
    <w:rsid w:val="007C1E00"/>
    <w:rsid w:val="007C5768"/>
    <w:rsid w:val="007C7481"/>
    <w:rsid w:val="007C777C"/>
    <w:rsid w:val="007C78AE"/>
    <w:rsid w:val="007C7F4A"/>
    <w:rsid w:val="007C7FAA"/>
    <w:rsid w:val="007D0611"/>
    <w:rsid w:val="007D0C33"/>
    <w:rsid w:val="007D289C"/>
    <w:rsid w:val="007D2FB5"/>
    <w:rsid w:val="007D3444"/>
    <w:rsid w:val="007D6D22"/>
    <w:rsid w:val="007D759F"/>
    <w:rsid w:val="007D7F96"/>
    <w:rsid w:val="007E0689"/>
    <w:rsid w:val="007E17E8"/>
    <w:rsid w:val="007E2649"/>
    <w:rsid w:val="007E3D7C"/>
    <w:rsid w:val="007E3FAE"/>
    <w:rsid w:val="007E45B8"/>
    <w:rsid w:val="007E486F"/>
    <w:rsid w:val="007E623B"/>
    <w:rsid w:val="007E78F4"/>
    <w:rsid w:val="007E7E3A"/>
    <w:rsid w:val="007F111C"/>
    <w:rsid w:val="007F27A2"/>
    <w:rsid w:val="007F2DAF"/>
    <w:rsid w:val="007F2F9E"/>
    <w:rsid w:val="007F3D38"/>
    <w:rsid w:val="007F5FEE"/>
    <w:rsid w:val="007F6363"/>
    <w:rsid w:val="007F6B53"/>
    <w:rsid w:val="0080327C"/>
    <w:rsid w:val="00803FA2"/>
    <w:rsid w:val="008054E4"/>
    <w:rsid w:val="00805F54"/>
    <w:rsid w:val="0080609F"/>
    <w:rsid w:val="008071B2"/>
    <w:rsid w:val="00807D01"/>
    <w:rsid w:val="00807DAD"/>
    <w:rsid w:val="00812379"/>
    <w:rsid w:val="008127F6"/>
    <w:rsid w:val="0081295A"/>
    <w:rsid w:val="00813A91"/>
    <w:rsid w:val="008145D7"/>
    <w:rsid w:val="008146AD"/>
    <w:rsid w:val="00814C63"/>
    <w:rsid w:val="00816488"/>
    <w:rsid w:val="00817DA8"/>
    <w:rsid w:val="00820642"/>
    <w:rsid w:val="00820728"/>
    <w:rsid w:val="00820A81"/>
    <w:rsid w:val="00821874"/>
    <w:rsid w:val="00824E7B"/>
    <w:rsid w:val="008259F5"/>
    <w:rsid w:val="008260A5"/>
    <w:rsid w:val="00826E54"/>
    <w:rsid w:val="00830C4A"/>
    <w:rsid w:val="00830F6C"/>
    <w:rsid w:val="00831035"/>
    <w:rsid w:val="0083151D"/>
    <w:rsid w:val="00831B8F"/>
    <w:rsid w:val="00831C29"/>
    <w:rsid w:val="00832413"/>
    <w:rsid w:val="0083364B"/>
    <w:rsid w:val="008337EF"/>
    <w:rsid w:val="00834BAF"/>
    <w:rsid w:val="00836331"/>
    <w:rsid w:val="00836C01"/>
    <w:rsid w:val="00840947"/>
    <w:rsid w:val="00840D47"/>
    <w:rsid w:val="008412AD"/>
    <w:rsid w:val="00842201"/>
    <w:rsid w:val="00842AD2"/>
    <w:rsid w:val="00842AE5"/>
    <w:rsid w:val="00842C52"/>
    <w:rsid w:val="00843BDB"/>
    <w:rsid w:val="00843D86"/>
    <w:rsid w:val="008454A6"/>
    <w:rsid w:val="00845BF3"/>
    <w:rsid w:val="008476A4"/>
    <w:rsid w:val="00847964"/>
    <w:rsid w:val="00850966"/>
    <w:rsid w:val="008520DD"/>
    <w:rsid w:val="008522D0"/>
    <w:rsid w:val="00852E99"/>
    <w:rsid w:val="0085399A"/>
    <w:rsid w:val="0085400C"/>
    <w:rsid w:val="0086072F"/>
    <w:rsid w:val="008627A5"/>
    <w:rsid w:val="008627A6"/>
    <w:rsid w:val="0086325A"/>
    <w:rsid w:val="00865B90"/>
    <w:rsid w:val="00865DA4"/>
    <w:rsid w:val="008661D6"/>
    <w:rsid w:val="008673B1"/>
    <w:rsid w:val="0086755E"/>
    <w:rsid w:val="0086773E"/>
    <w:rsid w:val="0087109E"/>
    <w:rsid w:val="00873187"/>
    <w:rsid w:val="0087431B"/>
    <w:rsid w:val="00874424"/>
    <w:rsid w:val="00875312"/>
    <w:rsid w:val="008764FD"/>
    <w:rsid w:val="008817D9"/>
    <w:rsid w:val="00882876"/>
    <w:rsid w:val="008832C2"/>
    <w:rsid w:val="00884CD9"/>
    <w:rsid w:val="0088536E"/>
    <w:rsid w:val="00886361"/>
    <w:rsid w:val="008865FF"/>
    <w:rsid w:val="00890360"/>
    <w:rsid w:val="00890AA5"/>
    <w:rsid w:val="00891B49"/>
    <w:rsid w:val="00891D1D"/>
    <w:rsid w:val="00892C74"/>
    <w:rsid w:val="008946B2"/>
    <w:rsid w:val="00894821"/>
    <w:rsid w:val="00896841"/>
    <w:rsid w:val="0089721F"/>
    <w:rsid w:val="00897E73"/>
    <w:rsid w:val="008A0405"/>
    <w:rsid w:val="008A1002"/>
    <w:rsid w:val="008A232D"/>
    <w:rsid w:val="008A2D65"/>
    <w:rsid w:val="008A2E03"/>
    <w:rsid w:val="008A2FDE"/>
    <w:rsid w:val="008A5690"/>
    <w:rsid w:val="008B073D"/>
    <w:rsid w:val="008B3BAC"/>
    <w:rsid w:val="008B6CCF"/>
    <w:rsid w:val="008C0345"/>
    <w:rsid w:val="008C0836"/>
    <w:rsid w:val="008C0E25"/>
    <w:rsid w:val="008C2CE5"/>
    <w:rsid w:val="008C5774"/>
    <w:rsid w:val="008C66B4"/>
    <w:rsid w:val="008C6DC8"/>
    <w:rsid w:val="008D0342"/>
    <w:rsid w:val="008D0F27"/>
    <w:rsid w:val="008D1719"/>
    <w:rsid w:val="008D3B7A"/>
    <w:rsid w:val="008D3C0F"/>
    <w:rsid w:val="008D62F4"/>
    <w:rsid w:val="008D71BC"/>
    <w:rsid w:val="008D78F7"/>
    <w:rsid w:val="008E0EC5"/>
    <w:rsid w:val="008E1192"/>
    <w:rsid w:val="008E1FCF"/>
    <w:rsid w:val="008E435A"/>
    <w:rsid w:val="008E5060"/>
    <w:rsid w:val="008E6D03"/>
    <w:rsid w:val="008E7227"/>
    <w:rsid w:val="008E7592"/>
    <w:rsid w:val="008E7888"/>
    <w:rsid w:val="008E7B77"/>
    <w:rsid w:val="008F02EA"/>
    <w:rsid w:val="008F117B"/>
    <w:rsid w:val="008F20D7"/>
    <w:rsid w:val="008F215B"/>
    <w:rsid w:val="008F42A5"/>
    <w:rsid w:val="008F4FBD"/>
    <w:rsid w:val="008F5B59"/>
    <w:rsid w:val="008F7031"/>
    <w:rsid w:val="008F7F2F"/>
    <w:rsid w:val="009005DB"/>
    <w:rsid w:val="00901684"/>
    <w:rsid w:val="00901DD7"/>
    <w:rsid w:val="009029B5"/>
    <w:rsid w:val="00904888"/>
    <w:rsid w:val="00905211"/>
    <w:rsid w:val="009059C8"/>
    <w:rsid w:val="00905F27"/>
    <w:rsid w:val="00906C4D"/>
    <w:rsid w:val="00907516"/>
    <w:rsid w:val="009112D9"/>
    <w:rsid w:val="009119C5"/>
    <w:rsid w:val="0091238A"/>
    <w:rsid w:val="00912CE3"/>
    <w:rsid w:val="009131B9"/>
    <w:rsid w:val="0091480B"/>
    <w:rsid w:val="00915899"/>
    <w:rsid w:val="00916862"/>
    <w:rsid w:val="0091692A"/>
    <w:rsid w:val="0091721F"/>
    <w:rsid w:val="00920293"/>
    <w:rsid w:val="00921A5A"/>
    <w:rsid w:val="00921DED"/>
    <w:rsid w:val="00923178"/>
    <w:rsid w:val="00925F61"/>
    <w:rsid w:val="00926165"/>
    <w:rsid w:val="00927545"/>
    <w:rsid w:val="00930517"/>
    <w:rsid w:val="0093060A"/>
    <w:rsid w:val="00931C12"/>
    <w:rsid w:val="00932196"/>
    <w:rsid w:val="00932653"/>
    <w:rsid w:val="009338B9"/>
    <w:rsid w:val="0093649F"/>
    <w:rsid w:val="009367EA"/>
    <w:rsid w:val="00937A01"/>
    <w:rsid w:val="00937B45"/>
    <w:rsid w:val="00941243"/>
    <w:rsid w:val="00943291"/>
    <w:rsid w:val="00945070"/>
    <w:rsid w:val="0094607B"/>
    <w:rsid w:val="00946BA4"/>
    <w:rsid w:val="0094719C"/>
    <w:rsid w:val="0095023F"/>
    <w:rsid w:val="009504C6"/>
    <w:rsid w:val="00951C34"/>
    <w:rsid w:val="00953096"/>
    <w:rsid w:val="00953F96"/>
    <w:rsid w:val="0095457C"/>
    <w:rsid w:val="00955451"/>
    <w:rsid w:val="0095566E"/>
    <w:rsid w:val="0095604E"/>
    <w:rsid w:val="0096093E"/>
    <w:rsid w:val="00961A75"/>
    <w:rsid w:val="00961B1C"/>
    <w:rsid w:val="00961DFF"/>
    <w:rsid w:val="00962827"/>
    <w:rsid w:val="00963C0B"/>
    <w:rsid w:val="00964340"/>
    <w:rsid w:val="00964F8D"/>
    <w:rsid w:val="00967B79"/>
    <w:rsid w:val="009704B9"/>
    <w:rsid w:val="00970CCC"/>
    <w:rsid w:val="00970E7D"/>
    <w:rsid w:val="009710A1"/>
    <w:rsid w:val="00973686"/>
    <w:rsid w:val="00973831"/>
    <w:rsid w:val="00974248"/>
    <w:rsid w:val="0097462C"/>
    <w:rsid w:val="009749E3"/>
    <w:rsid w:val="009761E5"/>
    <w:rsid w:val="00976B76"/>
    <w:rsid w:val="00977FA3"/>
    <w:rsid w:val="009809B5"/>
    <w:rsid w:val="00980F4F"/>
    <w:rsid w:val="0098105C"/>
    <w:rsid w:val="009827C5"/>
    <w:rsid w:val="00984859"/>
    <w:rsid w:val="00984DC9"/>
    <w:rsid w:val="009863A4"/>
    <w:rsid w:val="00986DF7"/>
    <w:rsid w:val="00987047"/>
    <w:rsid w:val="00987234"/>
    <w:rsid w:val="00990454"/>
    <w:rsid w:val="00990693"/>
    <w:rsid w:val="00992BAD"/>
    <w:rsid w:val="00992CED"/>
    <w:rsid w:val="0099763D"/>
    <w:rsid w:val="009A278C"/>
    <w:rsid w:val="009A2D60"/>
    <w:rsid w:val="009A333A"/>
    <w:rsid w:val="009A4E63"/>
    <w:rsid w:val="009A4F59"/>
    <w:rsid w:val="009A50AC"/>
    <w:rsid w:val="009A51DF"/>
    <w:rsid w:val="009A552C"/>
    <w:rsid w:val="009A660E"/>
    <w:rsid w:val="009A79C0"/>
    <w:rsid w:val="009B06F2"/>
    <w:rsid w:val="009B1683"/>
    <w:rsid w:val="009B2B32"/>
    <w:rsid w:val="009B3113"/>
    <w:rsid w:val="009B3246"/>
    <w:rsid w:val="009B40EC"/>
    <w:rsid w:val="009B6D65"/>
    <w:rsid w:val="009B7BCA"/>
    <w:rsid w:val="009C11ED"/>
    <w:rsid w:val="009C21DC"/>
    <w:rsid w:val="009C3D4B"/>
    <w:rsid w:val="009C4815"/>
    <w:rsid w:val="009C4AB9"/>
    <w:rsid w:val="009C4FCD"/>
    <w:rsid w:val="009C5514"/>
    <w:rsid w:val="009C5584"/>
    <w:rsid w:val="009C5F77"/>
    <w:rsid w:val="009C66A6"/>
    <w:rsid w:val="009C6C9D"/>
    <w:rsid w:val="009C6EF0"/>
    <w:rsid w:val="009C76EF"/>
    <w:rsid w:val="009D0B6A"/>
    <w:rsid w:val="009D3C7C"/>
    <w:rsid w:val="009D4D0D"/>
    <w:rsid w:val="009D51B8"/>
    <w:rsid w:val="009D6BA1"/>
    <w:rsid w:val="009E3331"/>
    <w:rsid w:val="009E35D6"/>
    <w:rsid w:val="009E5EE4"/>
    <w:rsid w:val="009F1587"/>
    <w:rsid w:val="009F3566"/>
    <w:rsid w:val="009F57BB"/>
    <w:rsid w:val="009F6427"/>
    <w:rsid w:val="009F6A5B"/>
    <w:rsid w:val="009F741E"/>
    <w:rsid w:val="00A00D40"/>
    <w:rsid w:val="00A011D2"/>
    <w:rsid w:val="00A01E15"/>
    <w:rsid w:val="00A02461"/>
    <w:rsid w:val="00A036D1"/>
    <w:rsid w:val="00A047D0"/>
    <w:rsid w:val="00A056E4"/>
    <w:rsid w:val="00A06AF5"/>
    <w:rsid w:val="00A07FB4"/>
    <w:rsid w:val="00A10930"/>
    <w:rsid w:val="00A10A9A"/>
    <w:rsid w:val="00A10F8B"/>
    <w:rsid w:val="00A11E1D"/>
    <w:rsid w:val="00A1266F"/>
    <w:rsid w:val="00A12A70"/>
    <w:rsid w:val="00A15B4A"/>
    <w:rsid w:val="00A176E3"/>
    <w:rsid w:val="00A20DED"/>
    <w:rsid w:val="00A21C75"/>
    <w:rsid w:val="00A25E52"/>
    <w:rsid w:val="00A26081"/>
    <w:rsid w:val="00A26410"/>
    <w:rsid w:val="00A26B3F"/>
    <w:rsid w:val="00A26D84"/>
    <w:rsid w:val="00A30EC0"/>
    <w:rsid w:val="00A318DC"/>
    <w:rsid w:val="00A3206A"/>
    <w:rsid w:val="00A32B97"/>
    <w:rsid w:val="00A339AD"/>
    <w:rsid w:val="00A35402"/>
    <w:rsid w:val="00A35E17"/>
    <w:rsid w:val="00A36057"/>
    <w:rsid w:val="00A364C1"/>
    <w:rsid w:val="00A375A3"/>
    <w:rsid w:val="00A37C6C"/>
    <w:rsid w:val="00A40318"/>
    <w:rsid w:val="00A404D5"/>
    <w:rsid w:val="00A45614"/>
    <w:rsid w:val="00A4601C"/>
    <w:rsid w:val="00A4711E"/>
    <w:rsid w:val="00A476DF"/>
    <w:rsid w:val="00A51B30"/>
    <w:rsid w:val="00A51DFD"/>
    <w:rsid w:val="00A52868"/>
    <w:rsid w:val="00A529D3"/>
    <w:rsid w:val="00A531AD"/>
    <w:rsid w:val="00A53227"/>
    <w:rsid w:val="00A54B1B"/>
    <w:rsid w:val="00A5663F"/>
    <w:rsid w:val="00A566D7"/>
    <w:rsid w:val="00A57352"/>
    <w:rsid w:val="00A61243"/>
    <w:rsid w:val="00A61632"/>
    <w:rsid w:val="00A6248C"/>
    <w:rsid w:val="00A632C0"/>
    <w:rsid w:val="00A65DAE"/>
    <w:rsid w:val="00A65FF0"/>
    <w:rsid w:val="00A664FC"/>
    <w:rsid w:val="00A66974"/>
    <w:rsid w:val="00A70873"/>
    <w:rsid w:val="00A71875"/>
    <w:rsid w:val="00A736A3"/>
    <w:rsid w:val="00A75183"/>
    <w:rsid w:val="00A8023F"/>
    <w:rsid w:val="00A80FA8"/>
    <w:rsid w:val="00A81F6A"/>
    <w:rsid w:val="00A83247"/>
    <w:rsid w:val="00A835A3"/>
    <w:rsid w:val="00A83C5B"/>
    <w:rsid w:val="00A84971"/>
    <w:rsid w:val="00A84C14"/>
    <w:rsid w:val="00A86DB4"/>
    <w:rsid w:val="00A90AE4"/>
    <w:rsid w:val="00A9383F"/>
    <w:rsid w:val="00A93911"/>
    <w:rsid w:val="00A94F2E"/>
    <w:rsid w:val="00A95B95"/>
    <w:rsid w:val="00A95F47"/>
    <w:rsid w:val="00A9607C"/>
    <w:rsid w:val="00A9651D"/>
    <w:rsid w:val="00A970AE"/>
    <w:rsid w:val="00A972A2"/>
    <w:rsid w:val="00AA123B"/>
    <w:rsid w:val="00AA1F20"/>
    <w:rsid w:val="00AA539C"/>
    <w:rsid w:val="00AB019D"/>
    <w:rsid w:val="00AB1FA9"/>
    <w:rsid w:val="00AB2214"/>
    <w:rsid w:val="00AB2A78"/>
    <w:rsid w:val="00AB3170"/>
    <w:rsid w:val="00AB3987"/>
    <w:rsid w:val="00AB3F22"/>
    <w:rsid w:val="00AB5595"/>
    <w:rsid w:val="00AB581B"/>
    <w:rsid w:val="00AB5A32"/>
    <w:rsid w:val="00AB6282"/>
    <w:rsid w:val="00AB686F"/>
    <w:rsid w:val="00AB7AEA"/>
    <w:rsid w:val="00AC48B9"/>
    <w:rsid w:val="00AC4FF4"/>
    <w:rsid w:val="00AC6656"/>
    <w:rsid w:val="00AC67F5"/>
    <w:rsid w:val="00AC7DF5"/>
    <w:rsid w:val="00AD014B"/>
    <w:rsid w:val="00AD1C60"/>
    <w:rsid w:val="00AD2480"/>
    <w:rsid w:val="00AD317A"/>
    <w:rsid w:val="00AD5350"/>
    <w:rsid w:val="00AD633C"/>
    <w:rsid w:val="00AD6920"/>
    <w:rsid w:val="00AD787D"/>
    <w:rsid w:val="00AE169F"/>
    <w:rsid w:val="00AE1EC7"/>
    <w:rsid w:val="00AE4146"/>
    <w:rsid w:val="00AE693D"/>
    <w:rsid w:val="00AE6B34"/>
    <w:rsid w:val="00AE6F89"/>
    <w:rsid w:val="00AE7777"/>
    <w:rsid w:val="00AE7997"/>
    <w:rsid w:val="00AE7D48"/>
    <w:rsid w:val="00AF095E"/>
    <w:rsid w:val="00AF0FF2"/>
    <w:rsid w:val="00AF101C"/>
    <w:rsid w:val="00AF10A3"/>
    <w:rsid w:val="00AF19C8"/>
    <w:rsid w:val="00AF3154"/>
    <w:rsid w:val="00AF32BD"/>
    <w:rsid w:val="00AF3552"/>
    <w:rsid w:val="00AF35F6"/>
    <w:rsid w:val="00AF3E81"/>
    <w:rsid w:val="00AF403D"/>
    <w:rsid w:val="00AF53A8"/>
    <w:rsid w:val="00AF5FEA"/>
    <w:rsid w:val="00AF6119"/>
    <w:rsid w:val="00AF66E5"/>
    <w:rsid w:val="00AF758E"/>
    <w:rsid w:val="00AF7D72"/>
    <w:rsid w:val="00B0019B"/>
    <w:rsid w:val="00B0088E"/>
    <w:rsid w:val="00B01C87"/>
    <w:rsid w:val="00B03BD4"/>
    <w:rsid w:val="00B044E2"/>
    <w:rsid w:val="00B044E8"/>
    <w:rsid w:val="00B0460A"/>
    <w:rsid w:val="00B10C3E"/>
    <w:rsid w:val="00B10D32"/>
    <w:rsid w:val="00B10D79"/>
    <w:rsid w:val="00B10E87"/>
    <w:rsid w:val="00B11473"/>
    <w:rsid w:val="00B11AAA"/>
    <w:rsid w:val="00B139F2"/>
    <w:rsid w:val="00B13E9B"/>
    <w:rsid w:val="00B156A7"/>
    <w:rsid w:val="00B15E1F"/>
    <w:rsid w:val="00B17B4A"/>
    <w:rsid w:val="00B17D62"/>
    <w:rsid w:val="00B20335"/>
    <w:rsid w:val="00B206B4"/>
    <w:rsid w:val="00B2153A"/>
    <w:rsid w:val="00B23545"/>
    <w:rsid w:val="00B303C0"/>
    <w:rsid w:val="00B30547"/>
    <w:rsid w:val="00B30F78"/>
    <w:rsid w:val="00B322AC"/>
    <w:rsid w:val="00B354A5"/>
    <w:rsid w:val="00B359B3"/>
    <w:rsid w:val="00B35CCD"/>
    <w:rsid w:val="00B36CAF"/>
    <w:rsid w:val="00B37039"/>
    <w:rsid w:val="00B37C89"/>
    <w:rsid w:val="00B401CB"/>
    <w:rsid w:val="00B40361"/>
    <w:rsid w:val="00B43876"/>
    <w:rsid w:val="00B43D1B"/>
    <w:rsid w:val="00B445B3"/>
    <w:rsid w:val="00B450D4"/>
    <w:rsid w:val="00B45148"/>
    <w:rsid w:val="00B4561A"/>
    <w:rsid w:val="00B47A14"/>
    <w:rsid w:val="00B5013E"/>
    <w:rsid w:val="00B50487"/>
    <w:rsid w:val="00B50813"/>
    <w:rsid w:val="00B5105B"/>
    <w:rsid w:val="00B517B1"/>
    <w:rsid w:val="00B518C0"/>
    <w:rsid w:val="00B52F5E"/>
    <w:rsid w:val="00B545D3"/>
    <w:rsid w:val="00B547E7"/>
    <w:rsid w:val="00B5565B"/>
    <w:rsid w:val="00B5597C"/>
    <w:rsid w:val="00B55A36"/>
    <w:rsid w:val="00B64BFC"/>
    <w:rsid w:val="00B65810"/>
    <w:rsid w:val="00B663A9"/>
    <w:rsid w:val="00B66438"/>
    <w:rsid w:val="00B6643F"/>
    <w:rsid w:val="00B701E8"/>
    <w:rsid w:val="00B706AA"/>
    <w:rsid w:val="00B7136C"/>
    <w:rsid w:val="00B72190"/>
    <w:rsid w:val="00B73CDD"/>
    <w:rsid w:val="00B742B8"/>
    <w:rsid w:val="00B745DD"/>
    <w:rsid w:val="00B76763"/>
    <w:rsid w:val="00B76A5B"/>
    <w:rsid w:val="00B77126"/>
    <w:rsid w:val="00B77CF2"/>
    <w:rsid w:val="00B81A95"/>
    <w:rsid w:val="00B81D00"/>
    <w:rsid w:val="00B82ACD"/>
    <w:rsid w:val="00B837DD"/>
    <w:rsid w:val="00B83E3B"/>
    <w:rsid w:val="00B85F89"/>
    <w:rsid w:val="00B90D85"/>
    <w:rsid w:val="00B92112"/>
    <w:rsid w:val="00B94051"/>
    <w:rsid w:val="00B943C8"/>
    <w:rsid w:val="00B94B3F"/>
    <w:rsid w:val="00B94BBE"/>
    <w:rsid w:val="00B950B1"/>
    <w:rsid w:val="00B95A26"/>
    <w:rsid w:val="00B96B28"/>
    <w:rsid w:val="00BA1D4D"/>
    <w:rsid w:val="00BA201E"/>
    <w:rsid w:val="00BA309C"/>
    <w:rsid w:val="00BA3C45"/>
    <w:rsid w:val="00BA59EA"/>
    <w:rsid w:val="00BA624F"/>
    <w:rsid w:val="00BA6AA6"/>
    <w:rsid w:val="00BA6FFB"/>
    <w:rsid w:val="00BA7100"/>
    <w:rsid w:val="00BA7FDD"/>
    <w:rsid w:val="00BB01EE"/>
    <w:rsid w:val="00BB02C4"/>
    <w:rsid w:val="00BB038B"/>
    <w:rsid w:val="00BB0C74"/>
    <w:rsid w:val="00BB1ABC"/>
    <w:rsid w:val="00BB318D"/>
    <w:rsid w:val="00BB5A8A"/>
    <w:rsid w:val="00BB5D3D"/>
    <w:rsid w:val="00BC0362"/>
    <w:rsid w:val="00BC0570"/>
    <w:rsid w:val="00BC26A6"/>
    <w:rsid w:val="00BC377A"/>
    <w:rsid w:val="00BC3B72"/>
    <w:rsid w:val="00BC631C"/>
    <w:rsid w:val="00BC773F"/>
    <w:rsid w:val="00BD015B"/>
    <w:rsid w:val="00BD0E95"/>
    <w:rsid w:val="00BD1F06"/>
    <w:rsid w:val="00BD22F2"/>
    <w:rsid w:val="00BD3C31"/>
    <w:rsid w:val="00BD3F82"/>
    <w:rsid w:val="00BD4822"/>
    <w:rsid w:val="00BD4E2C"/>
    <w:rsid w:val="00BD64F1"/>
    <w:rsid w:val="00BD68B7"/>
    <w:rsid w:val="00BE1A30"/>
    <w:rsid w:val="00BE2CC5"/>
    <w:rsid w:val="00BE36AF"/>
    <w:rsid w:val="00BE5E8C"/>
    <w:rsid w:val="00BE70CB"/>
    <w:rsid w:val="00BE7373"/>
    <w:rsid w:val="00BE7623"/>
    <w:rsid w:val="00BF1EF1"/>
    <w:rsid w:val="00BF219E"/>
    <w:rsid w:val="00BF21DB"/>
    <w:rsid w:val="00BF3537"/>
    <w:rsid w:val="00BF421C"/>
    <w:rsid w:val="00BF42EA"/>
    <w:rsid w:val="00BF58D9"/>
    <w:rsid w:val="00BF71B9"/>
    <w:rsid w:val="00C002B7"/>
    <w:rsid w:val="00C00989"/>
    <w:rsid w:val="00C0447D"/>
    <w:rsid w:val="00C04F1B"/>
    <w:rsid w:val="00C05FDF"/>
    <w:rsid w:val="00C0744C"/>
    <w:rsid w:val="00C1096C"/>
    <w:rsid w:val="00C113C2"/>
    <w:rsid w:val="00C139A8"/>
    <w:rsid w:val="00C14576"/>
    <w:rsid w:val="00C157BE"/>
    <w:rsid w:val="00C20984"/>
    <w:rsid w:val="00C21FD7"/>
    <w:rsid w:val="00C22DE3"/>
    <w:rsid w:val="00C2344D"/>
    <w:rsid w:val="00C25CB3"/>
    <w:rsid w:val="00C27501"/>
    <w:rsid w:val="00C3191A"/>
    <w:rsid w:val="00C319F0"/>
    <w:rsid w:val="00C32E41"/>
    <w:rsid w:val="00C36E42"/>
    <w:rsid w:val="00C379F5"/>
    <w:rsid w:val="00C408F6"/>
    <w:rsid w:val="00C42C57"/>
    <w:rsid w:val="00C42D61"/>
    <w:rsid w:val="00C440D7"/>
    <w:rsid w:val="00C447AF"/>
    <w:rsid w:val="00C4488F"/>
    <w:rsid w:val="00C506CB"/>
    <w:rsid w:val="00C52069"/>
    <w:rsid w:val="00C522CE"/>
    <w:rsid w:val="00C52A2B"/>
    <w:rsid w:val="00C530B3"/>
    <w:rsid w:val="00C53D9A"/>
    <w:rsid w:val="00C567FF"/>
    <w:rsid w:val="00C56A36"/>
    <w:rsid w:val="00C56B1E"/>
    <w:rsid w:val="00C56F2A"/>
    <w:rsid w:val="00C57D6F"/>
    <w:rsid w:val="00C57E81"/>
    <w:rsid w:val="00C6003A"/>
    <w:rsid w:val="00C613DC"/>
    <w:rsid w:val="00C623C3"/>
    <w:rsid w:val="00C62B98"/>
    <w:rsid w:val="00C630B6"/>
    <w:rsid w:val="00C6455C"/>
    <w:rsid w:val="00C64707"/>
    <w:rsid w:val="00C65658"/>
    <w:rsid w:val="00C667B5"/>
    <w:rsid w:val="00C66828"/>
    <w:rsid w:val="00C73912"/>
    <w:rsid w:val="00C7497F"/>
    <w:rsid w:val="00C762FF"/>
    <w:rsid w:val="00C77343"/>
    <w:rsid w:val="00C77D74"/>
    <w:rsid w:val="00C77E22"/>
    <w:rsid w:val="00C800ED"/>
    <w:rsid w:val="00C80A69"/>
    <w:rsid w:val="00C820DB"/>
    <w:rsid w:val="00C84615"/>
    <w:rsid w:val="00C854FC"/>
    <w:rsid w:val="00C86B9E"/>
    <w:rsid w:val="00C871A6"/>
    <w:rsid w:val="00C87421"/>
    <w:rsid w:val="00C900DF"/>
    <w:rsid w:val="00C90E6C"/>
    <w:rsid w:val="00C91B6A"/>
    <w:rsid w:val="00C91E53"/>
    <w:rsid w:val="00C940C1"/>
    <w:rsid w:val="00C94BFF"/>
    <w:rsid w:val="00C95FF6"/>
    <w:rsid w:val="00C963D6"/>
    <w:rsid w:val="00CA05D2"/>
    <w:rsid w:val="00CA0B26"/>
    <w:rsid w:val="00CA1325"/>
    <w:rsid w:val="00CA1AA0"/>
    <w:rsid w:val="00CA2585"/>
    <w:rsid w:val="00CA30AA"/>
    <w:rsid w:val="00CA3E08"/>
    <w:rsid w:val="00CA6B8A"/>
    <w:rsid w:val="00CB0339"/>
    <w:rsid w:val="00CB1626"/>
    <w:rsid w:val="00CB1688"/>
    <w:rsid w:val="00CB202E"/>
    <w:rsid w:val="00CB3C5A"/>
    <w:rsid w:val="00CB42EC"/>
    <w:rsid w:val="00CB6A6F"/>
    <w:rsid w:val="00CC0343"/>
    <w:rsid w:val="00CC0C0B"/>
    <w:rsid w:val="00CC2F5E"/>
    <w:rsid w:val="00CC39D9"/>
    <w:rsid w:val="00CC3F55"/>
    <w:rsid w:val="00CC539A"/>
    <w:rsid w:val="00CC68FF"/>
    <w:rsid w:val="00CC6D5F"/>
    <w:rsid w:val="00CD16AD"/>
    <w:rsid w:val="00CD18AE"/>
    <w:rsid w:val="00CD1A3F"/>
    <w:rsid w:val="00CD1FD1"/>
    <w:rsid w:val="00CD240C"/>
    <w:rsid w:val="00CD2772"/>
    <w:rsid w:val="00CD279A"/>
    <w:rsid w:val="00CD2BB2"/>
    <w:rsid w:val="00CD3767"/>
    <w:rsid w:val="00CD584F"/>
    <w:rsid w:val="00CD6760"/>
    <w:rsid w:val="00CD76DA"/>
    <w:rsid w:val="00CE044D"/>
    <w:rsid w:val="00CE135A"/>
    <w:rsid w:val="00CE1D23"/>
    <w:rsid w:val="00CE308F"/>
    <w:rsid w:val="00CE37E6"/>
    <w:rsid w:val="00CE65A2"/>
    <w:rsid w:val="00CE685C"/>
    <w:rsid w:val="00CF098B"/>
    <w:rsid w:val="00CF1413"/>
    <w:rsid w:val="00CF1A5A"/>
    <w:rsid w:val="00CF1DB2"/>
    <w:rsid w:val="00CF3778"/>
    <w:rsid w:val="00CF4891"/>
    <w:rsid w:val="00CF5309"/>
    <w:rsid w:val="00CF530F"/>
    <w:rsid w:val="00CF718B"/>
    <w:rsid w:val="00D00B76"/>
    <w:rsid w:val="00D0152E"/>
    <w:rsid w:val="00D03DC2"/>
    <w:rsid w:val="00D05B89"/>
    <w:rsid w:val="00D06138"/>
    <w:rsid w:val="00D0625D"/>
    <w:rsid w:val="00D102FD"/>
    <w:rsid w:val="00D10670"/>
    <w:rsid w:val="00D1171B"/>
    <w:rsid w:val="00D13528"/>
    <w:rsid w:val="00D13862"/>
    <w:rsid w:val="00D13A97"/>
    <w:rsid w:val="00D2012D"/>
    <w:rsid w:val="00D22F0E"/>
    <w:rsid w:val="00D23091"/>
    <w:rsid w:val="00D23942"/>
    <w:rsid w:val="00D23E8F"/>
    <w:rsid w:val="00D24513"/>
    <w:rsid w:val="00D254DB"/>
    <w:rsid w:val="00D26611"/>
    <w:rsid w:val="00D275FE"/>
    <w:rsid w:val="00D31772"/>
    <w:rsid w:val="00D31DE5"/>
    <w:rsid w:val="00D33013"/>
    <w:rsid w:val="00D337F3"/>
    <w:rsid w:val="00D35167"/>
    <w:rsid w:val="00D35F6E"/>
    <w:rsid w:val="00D37AFB"/>
    <w:rsid w:val="00D40206"/>
    <w:rsid w:val="00D403CA"/>
    <w:rsid w:val="00D445AF"/>
    <w:rsid w:val="00D4522A"/>
    <w:rsid w:val="00D47B98"/>
    <w:rsid w:val="00D5177B"/>
    <w:rsid w:val="00D51D31"/>
    <w:rsid w:val="00D53754"/>
    <w:rsid w:val="00D539E7"/>
    <w:rsid w:val="00D543FA"/>
    <w:rsid w:val="00D55AF8"/>
    <w:rsid w:val="00D5603A"/>
    <w:rsid w:val="00D56464"/>
    <w:rsid w:val="00D57457"/>
    <w:rsid w:val="00D57D49"/>
    <w:rsid w:val="00D6040A"/>
    <w:rsid w:val="00D615E4"/>
    <w:rsid w:val="00D61E8E"/>
    <w:rsid w:val="00D63137"/>
    <w:rsid w:val="00D648B4"/>
    <w:rsid w:val="00D64AA9"/>
    <w:rsid w:val="00D6504A"/>
    <w:rsid w:val="00D657D6"/>
    <w:rsid w:val="00D66897"/>
    <w:rsid w:val="00D66E02"/>
    <w:rsid w:val="00D674E2"/>
    <w:rsid w:val="00D70153"/>
    <w:rsid w:val="00D70349"/>
    <w:rsid w:val="00D71F3E"/>
    <w:rsid w:val="00D736E7"/>
    <w:rsid w:val="00D73C66"/>
    <w:rsid w:val="00D74C9E"/>
    <w:rsid w:val="00D77523"/>
    <w:rsid w:val="00D80B1E"/>
    <w:rsid w:val="00D8162F"/>
    <w:rsid w:val="00D82F88"/>
    <w:rsid w:val="00D83C6F"/>
    <w:rsid w:val="00D83EA0"/>
    <w:rsid w:val="00D84634"/>
    <w:rsid w:val="00D85636"/>
    <w:rsid w:val="00D869B0"/>
    <w:rsid w:val="00D87250"/>
    <w:rsid w:val="00D8763B"/>
    <w:rsid w:val="00D87A9A"/>
    <w:rsid w:val="00D9044B"/>
    <w:rsid w:val="00D90FE2"/>
    <w:rsid w:val="00D94259"/>
    <w:rsid w:val="00D945A0"/>
    <w:rsid w:val="00D95B41"/>
    <w:rsid w:val="00D96E40"/>
    <w:rsid w:val="00DA18BD"/>
    <w:rsid w:val="00DA1F1E"/>
    <w:rsid w:val="00DA2BED"/>
    <w:rsid w:val="00DB028A"/>
    <w:rsid w:val="00DB0653"/>
    <w:rsid w:val="00DB0E61"/>
    <w:rsid w:val="00DB0E84"/>
    <w:rsid w:val="00DB18C6"/>
    <w:rsid w:val="00DB22E7"/>
    <w:rsid w:val="00DB454E"/>
    <w:rsid w:val="00DB47B7"/>
    <w:rsid w:val="00DB4DBA"/>
    <w:rsid w:val="00DB610B"/>
    <w:rsid w:val="00DB69D0"/>
    <w:rsid w:val="00DB77D4"/>
    <w:rsid w:val="00DC0ABE"/>
    <w:rsid w:val="00DC1935"/>
    <w:rsid w:val="00DC3A6A"/>
    <w:rsid w:val="00DC6434"/>
    <w:rsid w:val="00DC6910"/>
    <w:rsid w:val="00DC71E0"/>
    <w:rsid w:val="00DC7B62"/>
    <w:rsid w:val="00DD0E35"/>
    <w:rsid w:val="00DD1EA6"/>
    <w:rsid w:val="00DD40DC"/>
    <w:rsid w:val="00DD45B2"/>
    <w:rsid w:val="00DD4716"/>
    <w:rsid w:val="00DD4B06"/>
    <w:rsid w:val="00DD5661"/>
    <w:rsid w:val="00DD56A4"/>
    <w:rsid w:val="00DD668F"/>
    <w:rsid w:val="00DD71AF"/>
    <w:rsid w:val="00DE006A"/>
    <w:rsid w:val="00DE0B38"/>
    <w:rsid w:val="00DE1773"/>
    <w:rsid w:val="00DE2736"/>
    <w:rsid w:val="00DE366D"/>
    <w:rsid w:val="00DE3A8E"/>
    <w:rsid w:val="00DE4D49"/>
    <w:rsid w:val="00DE6A31"/>
    <w:rsid w:val="00DF028D"/>
    <w:rsid w:val="00DF0A9C"/>
    <w:rsid w:val="00DF148D"/>
    <w:rsid w:val="00DF1618"/>
    <w:rsid w:val="00DF17A4"/>
    <w:rsid w:val="00DF18D9"/>
    <w:rsid w:val="00DF1C12"/>
    <w:rsid w:val="00DF2AE1"/>
    <w:rsid w:val="00DF3A3A"/>
    <w:rsid w:val="00DF46AA"/>
    <w:rsid w:val="00DF5108"/>
    <w:rsid w:val="00E0012D"/>
    <w:rsid w:val="00E00974"/>
    <w:rsid w:val="00E00D31"/>
    <w:rsid w:val="00E020F7"/>
    <w:rsid w:val="00E0233D"/>
    <w:rsid w:val="00E033FC"/>
    <w:rsid w:val="00E03456"/>
    <w:rsid w:val="00E03D7B"/>
    <w:rsid w:val="00E0428C"/>
    <w:rsid w:val="00E053B7"/>
    <w:rsid w:val="00E05B48"/>
    <w:rsid w:val="00E06C95"/>
    <w:rsid w:val="00E1075A"/>
    <w:rsid w:val="00E12068"/>
    <w:rsid w:val="00E14227"/>
    <w:rsid w:val="00E149A3"/>
    <w:rsid w:val="00E1531D"/>
    <w:rsid w:val="00E1564E"/>
    <w:rsid w:val="00E15B01"/>
    <w:rsid w:val="00E1604C"/>
    <w:rsid w:val="00E171F7"/>
    <w:rsid w:val="00E17439"/>
    <w:rsid w:val="00E17C2A"/>
    <w:rsid w:val="00E2047A"/>
    <w:rsid w:val="00E21143"/>
    <w:rsid w:val="00E226AF"/>
    <w:rsid w:val="00E229F2"/>
    <w:rsid w:val="00E23408"/>
    <w:rsid w:val="00E23F54"/>
    <w:rsid w:val="00E2468C"/>
    <w:rsid w:val="00E25192"/>
    <w:rsid w:val="00E26848"/>
    <w:rsid w:val="00E27271"/>
    <w:rsid w:val="00E27347"/>
    <w:rsid w:val="00E279BE"/>
    <w:rsid w:val="00E30422"/>
    <w:rsid w:val="00E3095E"/>
    <w:rsid w:val="00E30B5A"/>
    <w:rsid w:val="00E3228B"/>
    <w:rsid w:val="00E35D0D"/>
    <w:rsid w:val="00E361C0"/>
    <w:rsid w:val="00E367CC"/>
    <w:rsid w:val="00E378E8"/>
    <w:rsid w:val="00E40247"/>
    <w:rsid w:val="00E40902"/>
    <w:rsid w:val="00E409DA"/>
    <w:rsid w:val="00E43426"/>
    <w:rsid w:val="00E43741"/>
    <w:rsid w:val="00E44681"/>
    <w:rsid w:val="00E44854"/>
    <w:rsid w:val="00E45679"/>
    <w:rsid w:val="00E46583"/>
    <w:rsid w:val="00E46BCC"/>
    <w:rsid w:val="00E476B1"/>
    <w:rsid w:val="00E51378"/>
    <w:rsid w:val="00E51427"/>
    <w:rsid w:val="00E520BF"/>
    <w:rsid w:val="00E52763"/>
    <w:rsid w:val="00E52BB2"/>
    <w:rsid w:val="00E53618"/>
    <w:rsid w:val="00E55908"/>
    <w:rsid w:val="00E55B2D"/>
    <w:rsid w:val="00E562FD"/>
    <w:rsid w:val="00E57463"/>
    <w:rsid w:val="00E60AC2"/>
    <w:rsid w:val="00E60AFB"/>
    <w:rsid w:val="00E6104F"/>
    <w:rsid w:val="00E61D5B"/>
    <w:rsid w:val="00E62460"/>
    <w:rsid w:val="00E629BB"/>
    <w:rsid w:val="00E64258"/>
    <w:rsid w:val="00E64418"/>
    <w:rsid w:val="00E64F15"/>
    <w:rsid w:val="00E6568F"/>
    <w:rsid w:val="00E66981"/>
    <w:rsid w:val="00E67DD1"/>
    <w:rsid w:val="00E700B2"/>
    <w:rsid w:val="00E7184A"/>
    <w:rsid w:val="00E761E4"/>
    <w:rsid w:val="00E76442"/>
    <w:rsid w:val="00E7763E"/>
    <w:rsid w:val="00E77710"/>
    <w:rsid w:val="00E77DC5"/>
    <w:rsid w:val="00E81632"/>
    <w:rsid w:val="00E81C50"/>
    <w:rsid w:val="00E8246A"/>
    <w:rsid w:val="00E8301E"/>
    <w:rsid w:val="00E831BE"/>
    <w:rsid w:val="00E836C7"/>
    <w:rsid w:val="00E8463A"/>
    <w:rsid w:val="00E84BAB"/>
    <w:rsid w:val="00E85848"/>
    <w:rsid w:val="00E85CE0"/>
    <w:rsid w:val="00E86AEB"/>
    <w:rsid w:val="00E87D7F"/>
    <w:rsid w:val="00E9059F"/>
    <w:rsid w:val="00E929BF"/>
    <w:rsid w:val="00E9300D"/>
    <w:rsid w:val="00E971F7"/>
    <w:rsid w:val="00EA00A3"/>
    <w:rsid w:val="00EA0D09"/>
    <w:rsid w:val="00EA1364"/>
    <w:rsid w:val="00EA1645"/>
    <w:rsid w:val="00EA1875"/>
    <w:rsid w:val="00EA24A1"/>
    <w:rsid w:val="00EA3477"/>
    <w:rsid w:val="00EA4056"/>
    <w:rsid w:val="00EA4AD2"/>
    <w:rsid w:val="00EA5C68"/>
    <w:rsid w:val="00EA6686"/>
    <w:rsid w:val="00EA69C6"/>
    <w:rsid w:val="00EA77C9"/>
    <w:rsid w:val="00EB16EC"/>
    <w:rsid w:val="00EB1CE6"/>
    <w:rsid w:val="00EB340D"/>
    <w:rsid w:val="00EB38E8"/>
    <w:rsid w:val="00EB40B9"/>
    <w:rsid w:val="00EB4886"/>
    <w:rsid w:val="00EB5586"/>
    <w:rsid w:val="00EB5E66"/>
    <w:rsid w:val="00EB6381"/>
    <w:rsid w:val="00EB6ADE"/>
    <w:rsid w:val="00EB72AD"/>
    <w:rsid w:val="00EB7ACD"/>
    <w:rsid w:val="00EC0727"/>
    <w:rsid w:val="00EC14DC"/>
    <w:rsid w:val="00EC2989"/>
    <w:rsid w:val="00EC4256"/>
    <w:rsid w:val="00EC44D5"/>
    <w:rsid w:val="00EC4853"/>
    <w:rsid w:val="00EC5563"/>
    <w:rsid w:val="00EC6CE8"/>
    <w:rsid w:val="00EC7274"/>
    <w:rsid w:val="00ED03F4"/>
    <w:rsid w:val="00ED200F"/>
    <w:rsid w:val="00ED3D01"/>
    <w:rsid w:val="00ED556A"/>
    <w:rsid w:val="00ED5954"/>
    <w:rsid w:val="00EE1867"/>
    <w:rsid w:val="00EE33C2"/>
    <w:rsid w:val="00EE4096"/>
    <w:rsid w:val="00EE53CB"/>
    <w:rsid w:val="00EE5671"/>
    <w:rsid w:val="00EE584D"/>
    <w:rsid w:val="00EE6A49"/>
    <w:rsid w:val="00EE6A68"/>
    <w:rsid w:val="00EE7EB7"/>
    <w:rsid w:val="00EF2559"/>
    <w:rsid w:val="00EF2EEB"/>
    <w:rsid w:val="00EF3E9F"/>
    <w:rsid w:val="00EF4D3A"/>
    <w:rsid w:val="00EF5341"/>
    <w:rsid w:val="00EF70AC"/>
    <w:rsid w:val="00F01049"/>
    <w:rsid w:val="00F032A1"/>
    <w:rsid w:val="00F03443"/>
    <w:rsid w:val="00F04696"/>
    <w:rsid w:val="00F0559C"/>
    <w:rsid w:val="00F05F4F"/>
    <w:rsid w:val="00F061A4"/>
    <w:rsid w:val="00F12ED2"/>
    <w:rsid w:val="00F1397E"/>
    <w:rsid w:val="00F14BF4"/>
    <w:rsid w:val="00F17416"/>
    <w:rsid w:val="00F17C58"/>
    <w:rsid w:val="00F17DD1"/>
    <w:rsid w:val="00F2010C"/>
    <w:rsid w:val="00F210D0"/>
    <w:rsid w:val="00F2186A"/>
    <w:rsid w:val="00F21B75"/>
    <w:rsid w:val="00F2301A"/>
    <w:rsid w:val="00F23765"/>
    <w:rsid w:val="00F23F96"/>
    <w:rsid w:val="00F24979"/>
    <w:rsid w:val="00F24A5D"/>
    <w:rsid w:val="00F25B8E"/>
    <w:rsid w:val="00F2716F"/>
    <w:rsid w:val="00F2717A"/>
    <w:rsid w:val="00F31AD2"/>
    <w:rsid w:val="00F33B54"/>
    <w:rsid w:val="00F34207"/>
    <w:rsid w:val="00F3677A"/>
    <w:rsid w:val="00F37849"/>
    <w:rsid w:val="00F37EE5"/>
    <w:rsid w:val="00F40057"/>
    <w:rsid w:val="00F40666"/>
    <w:rsid w:val="00F4189F"/>
    <w:rsid w:val="00F418E9"/>
    <w:rsid w:val="00F41BDA"/>
    <w:rsid w:val="00F42BB6"/>
    <w:rsid w:val="00F433FF"/>
    <w:rsid w:val="00F438BB"/>
    <w:rsid w:val="00F44BA2"/>
    <w:rsid w:val="00F55896"/>
    <w:rsid w:val="00F56BFF"/>
    <w:rsid w:val="00F57320"/>
    <w:rsid w:val="00F57401"/>
    <w:rsid w:val="00F57D25"/>
    <w:rsid w:val="00F60F76"/>
    <w:rsid w:val="00F629D7"/>
    <w:rsid w:val="00F63216"/>
    <w:rsid w:val="00F6397B"/>
    <w:rsid w:val="00F6460D"/>
    <w:rsid w:val="00F65921"/>
    <w:rsid w:val="00F65D01"/>
    <w:rsid w:val="00F669BC"/>
    <w:rsid w:val="00F7208B"/>
    <w:rsid w:val="00F74475"/>
    <w:rsid w:val="00F7533D"/>
    <w:rsid w:val="00F766BC"/>
    <w:rsid w:val="00F76711"/>
    <w:rsid w:val="00F768D9"/>
    <w:rsid w:val="00F768EB"/>
    <w:rsid w:val="00F77A1D"/>
    <w:rsid w:val="00F803C2"/>
    <w:rsid w:val="00F8259E"/>
    <w:rsid w:val="00F8262E"/>
    <w:rsid w:val="00F84232"/>
    <w:rsid w:val="00F8659A"/>
    <w:rsid w:val="00F87069"/>
    <w:rsid w:val="00F874D6"/>
    <w:rsid w:val="00F879F1"/>
    <w:rsid w:val="00F93389"/>
    <w:rsid w:val="00FA2837"/>
    <w:rsid w:val="00FA2A72"/>
    <w:rsid w:val="00FA4B94"/>
    <w:rsid w:val="00FA5BF3"/>
    <w:rsid w:val="00FB07D5"/>
    <w:rsid w:val="00FB0C82"/>
    <w:rsid w:val="00FB150D"/>
    <w:rsid w:val="00FB1966"/>
    <w:rsid w:val="00FB27FB"/>
    <w:rsid w:val="00FB31AD"/>
    <w:rsid w:val="00FB38D1"/>
    <w:rsid w:val="00FB4131"/>
    <w:rsid w:val="00FB6305"/>
    <w:rsid w:val="00FB65CA"/>
    <w:rsid w:val="00FB6FAF"/>
    <w:rsid w:val="00FB73D1"/>
    <w:rsid w:val="00FC1BEA"/>
    <w:rsid w:val="00FC2F78"/>
    <w:rsid w:val="00FC32B3"/>
    <w:rsid w:val="00FC6A2E"/>
    <w:rsid w:val="00FC6FF4"/>
    <w:rsid w:val="00FC7E0F"/>
    <w:rsid w:val="00FD0D3D"/>
    <w:rsid w:val="00FD1696"/>
    <w:rsid w:val="00FD24A2"/>
    <w:rsid w:val="00FD2930"/>
    <w:rsid w:val="00FD67F3"/>
    <w:rsid w:val="00FE0160"/>
    <w:rsid w:val="00FE032E"/>
    <w:rsid w:val="00FE1025"/>
    <w:rsid w:val="00FE15E3"/>
    <w:rsid w:val="00FE2E2E"/>
    <w:rsid w:val="00FE31C9"/>
    <w:rsid w:val="00FE414C"/>
    <w:rsid w:val="00FE5DA3"/>
    <w:rsid w:val="00FF0188"/>
    <w:rsid w:val="00FF03B9"/>
    <w:rsid w:val="00FF3F05"/>
    <w:rsid w:val="00FF4644"/>
    <w:rsid w:val="00FF4991"/>
    <w:rsid w:val="00FF4AC3"/>
    <w:rsid w:val="00FF50A8"/>
    <w:rsid w:val="00FF59AA"/>
    <w:rsid w:val="00FF6304"/>
    <w:rsid w:val="00FF6393"/>
    <w:rsid w:val="00FF686F"/>
    <w:rsid w:val="00FF73C9"/>
    <w:rsid w:val="014B72B8"/>
    <w:rsid w:val="0191DAED"/>
    <w:rsid w:val="01AA966C"/>
    <w:rsid w:val="0270F0F8"/>
    <w:rsid w:val="028C6F37"/>
    <w:rsid w:val="02B0B4EE"/>
    <w:rsid w:val="034820E6"/>
    <w:rsid w:val="036C1D27"/>
    <w:rsid w:val="042DBC41"/>
    <w:rsid w:val="04401839"/>
    <w:rsid w:val="0565BC6A"/>
    <w:rsid w:val="05A778D0"/>
    <w:rsid w:val="063D679B"/>
    <w:rsid w:val="069A654F"/>
    <w:rsid w:val="079FCA13"/>
    <w:rsid w:val="0851E3A1"/>
    <w:rsid w:val="0892090A"/>
    <w:rsid w:val="0913C93D"/>
    <w:rsid w:val="09E793E9"/>
    <w:rsid w:val="09FF7E14"/>
    <w:rsid w:val="0A4F6D1B"/>
    <w:rsid w:val="0A98419B"/>
    <w:rsid w:val="0A9F4F53"/>
    <w:rsid w:val="0AA468F7"/>
    <w:rsid w:val="0AE56F30"/>
    <w:rsid w:val="0B70F1A0"/>
    <w:rsid w:val="0BB7A31D"/>
    <w:rsid w:val="0C4B913D"/>
    <w:rsid w:val="0D371ED6"/>
    <w:rsid w:val="0D7050F3"/>
    <w:rsid w:val="0D71134D"/>
    <w:rsid w:val="0DEDA12F"/>
    <w:rsid w:val="0E14F529"/>
    <w:rsid w:val="0E214372"/>
    <w:rsid w:val="0E4CD2D4"/>
    <w:rsid w:val="0E5F88EB"/>
    <w:rsid w:val="0E6B3964"/>
    <w:rsid w:val="0ED9C2D0"/>
    <w:rsid w:val="0EFEFB51"/>
    <w:rsid w:val="0F0FE532"/>
    <w:rsid w:val="0F3A0BA2"/>
    <w:rsid w:val="0F503289"/>
    <w:rsid w:val="0F8D443F"/>
    <w:rsid w:val="0FA5AC5C"/>
    <w:rsid w:val="100571FB"/>
    <w:rsid w:val="104CB77F"/>
    <w:rsid w:val="1069E0CC"/>
    <w:rsid w:val="11072570"/>
    <w:rsid w:val="112C98E9"/>
    <w:rsid w:val="11BA69B8"/>
    <w:rsid w:val="11CBFC24"/>
    <w:rsid w:val="11E00D32"/>
    <w:rsid w:val="11F00F13"/>
    <w:rsid w:val="122BBE75"/>
    <w:rsid w:val="12663492"/>
    <w:rsid w:val="13261DC3"/>
    <w:rsid w:val="132F15EA"/>
    <w:rsid w:val="14403150"/>
    <w:rsid w:val="14AF762E"/>
    <w:rsid w:val="1531B9B2"/>
    <w:rsid w:val="15EABFE9"/>
    <w:rsid w:val="162C6F13"/>
    <w:rsid w:val="16664D77"/>
    <w:rsid w:val="16A080D1"/>
    <w:rsid w:val="16D38266"/>
    <w:rsid w:val="16DA8631"/>
    <w:rsid w:val="17774B72"/>
    <w:rsid w:val="1797959D"/>
    <w:rsid w:val="18212772"/>
    <w:rsid w:val="1845A098"/>
    <w:rsid w:val="186BC523"/>
    <w:rsid w:val="187A4C22"/>
    <w:rsid w:val="18C13BB3"/>
    <w:rsid w:val="19015495"/>
    <w:rsid w:val="19462EC3"/>
    <w:rsid w:val="1955B311"/>
    <w:rsid w:val="1973D44D"/>
    <w:rsid w:val="1A0E4ECF"/>
    <w:rsid w:val="1A224CDE"/>
    <w:rsid w:val="1A9E43F9"/>
    <w:rsid w:val="1BA661A5"/>
    <w:rsid w:val="1BBF5F53"/>
    <w:rsid w:val="1C0AB362"/>
    <w:rsid w:val="1C4224EB"/>
    <w:rsid w:val="1C89BF66"/>
    <w:rsid w:val="1CB4EFD9"/>
    <w:rsid w:val="1CDA73F4"/>
    <w:rsid w:val="1DFAA682"/>
    <w:rsid w:val="1E44AC7E"/>
    <w:rsid w:val="1EED7C1B"/>
    <w:rsid w:val="1F510E1B"/>
    <w:rsid w:val="1F6296A0"/>
    <w:rsid w:val="1F6DD315"/>
    <w:rsid w:val="1FAF3AEA"/>
    <w:rsid w:val="20615DB9"/>
    <w:rsid w:val="20C123D8"/>
    <w:rsid w:val="216EE127"/>
    <w:rsid w:val="219BE354"/>
    <w:rsid w:val="21EFF572"/>
    <w:rsid w:val="227F852B"/>
    <w:rsid w:val="22C41BAC"/>
    <w:rsid w:val="230A2C0A"/>
    <w:rsid w:val="232BAE20"/>
    <w:rsid w:val="23A3C7A1"/>
    <w:rsid w:val="23B15ACD"/>
    <w:rsid w:val="242F0E75"/>
    <w:rsid w:val="24C7D673"/>
    <w:rsid w:val="24E97786"/>
    <w:rsid w:val="24FC4AAC"/>
    <w:rsid w:val="25C7FFB4"/>
    <w:rsid w:val="26248C9A"/>
    <w:rsid w:val="27289A02"/>
    <w:rsid w:val="286DC669"/>
    <w:rsid w:val="2969BC8F"/>
    <w:rsid w:val="297E3B69"/>
    <w:rsid w:val="2A715044"/>
    <w:rsid w:val="2AA42233"/>
    <w:rsid w:val="2ADE2609"/>
    <w:rsid w:val="2B364E62"/>
    <w:rsid w:val="2BA3F9A8"/>
    <w:rsid w:val="2BE0E7AD"/>
    <w:rsid w:val="2C2F87E3"/>
    <w:rsid w:val="2C4844AF"/>
    <w:rsid w:val="2CC61BB6"/>
    <w:rsid w:val="2D3E9255"/>
    <w:rsid w:val="2D4F2087"/>
    <w:rsid w:val="2D6970B5"/>
    <w:rsid w:val="2DBEC0A7"/>
    <w:rsid w:val="2DF9E24D"/>
    <w:rsid w:val="2E461C31"/>
    <w:rsid w:val="2EA1E84A"/>
    <w:rsid w:val="2EBD4809"/>
    <w:rsid w:val="2F575A60"/>
    <w:rsid w:val="2FC7AD87"/>
    <w:rsid w:val="2FD12171"/>
    <w:rsid w:val="304C4077"/>
    <w:rsid w:val="30570224"/>
    <w:rsid w:val="3140E97A"/>
    <w:rsid w:val="315B91C0"/>
    <w:rsid w:val="31EBC469"/>
    <w:rsid w:val="31EC4A81"/>
    <w:rsid w:val="322EBA63"/>
    <w:rsid w:val="3249A3A0"/>
    <w:rsid w:val="329697E3"/>
    <w:rsid w:val="32A4AD43"/>
    <w:rsid w:val="33F05537"/>
    <w:rsid w:val="35186CA4"/>
    <w:rsid w:val="351A8B60"/>
    <w:rsid w:val="358BC65C"/>
    <w:rsid w:val="359071CB"/>
    <w:rsid w:val="35B038E2"/>
    <w:rsid w:val="35B34699"/>
    <w:rsid w:val="380F85F3"/>
    <w:rsid w:val="3837D10B"/>
    <w:rsid w:val="38EDD13F"/>
    <w:rsid w:val="38FCA582"/>
    <w:rsid w:val="392AB3FF"/>
    <w:rsid w:val="3939C20D"/>
    <w:rsid w:val="39CB18AF"/>
    <w:rsid w:val="39DBDF1E"/>
    <w:rsid w:val="39DBF399"/>
    <w:rsid w:val="3A4CBF97"/>
    <w:rsid w:val="3AD6FFBC"/>
    <w:rsid w:val="3BA2C846"/>
    <w:rsid w:val="3BC8DEC9"/>
    <w:rsid w:val="3BFDF10E"/>
    <w:rsid w:val="3C9BA615"/>
    <w:rsid w:val="3CD0C57E"/>
    <w:rsid w:val="3CDB3B90"/>
    <w:rsid w:val="3CE5FF61"/>
    <w:rsid w:val="3CE76B0F"/>
    <w:rsid w:val="3D41403F"/>
    <w:rsid w:val="3D5EBD00"/>
    <w:rsid w:val="3D73192A"/>
    <w:rsid w:val="3D9CB7F0"/>
    <w:rsid w:val="3E68A12E"/>
    <w:rsid w:val="3E769FFC"/>
    <w:rsid w:val="3E78E61D"/>
    <w:rsid w:val="3E914797"/>
    <w:rsid w:val="3F4F859F"/>
    <w:rsid w:val="3FDEBA54"/>
    <w:rsid w:val="3FFF27A2"/>
    <w:rsid w:val="4042FA05"/>
    <w:rsid w:val="406B9E35"/>
    <w:rsid w:val="40970EA7"/>
    <w:rsid w:val="409B9D08"/>
    <w:rsid w:val="41218EF7"/>
    <w:rsid w:val="412712A0"/>
    <w:rsid w:val="418B9E7E"/>
    <w:rsid w:val="418FC226"/>
    <w:rsid w:val="41E278FC"/>
    <w:rsid w:val="42017BDD"/>
    <w:rsid w:val="42CB443C"/>
    <w:rsid w:val="42CC1D50"/>
    <w:rsid w:val="435211CA"/>
    <w:rsid w:val="436226E5"/>
    <w:rsid w:val="43AAF962"/>
    <w:rsid w:val="43CD3E7E"/>
    <w:rsid w:val="43DCE933"/>
    <w:rsid w:val="4404A461"/>
    <w:rsid w:val="4494A065"/>
    <w:rsid w:val="4554E92D"/>
    <w:rsid w:val="45F23ED8"/>
    <w:rsid w:val="4627AAB1"/>
    <w:rsid w:val="465512BA"/>
    <w:rsid w:val="4675B283"/>
    <w:rsid w:val="4679068F"/>
    <w:rsid w:val="4702FA9D"/>
    <w:rsid w:val="47528AE5"/>
    <w:rsid w:val="476C6360"/>
    <w:rsid w:val="48261647"/>
    <w:rsid w:val="48CDFCEF"/>
    <w:rsid w:val="497B8D3D"/>
    <w:rsid w:val="49D5724A"/>
    <w:rsid w:val="4A3CAA05"/>
    <w:rsid w:val="4A62DCE4"/>
    <w:rsid w:val="4AFFC141"/>
    <w:rsid w:val="4B0EEE74"/>
    <w:rsid w:val="4B1648CC"/>
    <w:rsid w:val="4B7C7C21"/>
    <w:rsid w:val="4BF4C394"/>
    <w:rsid w:val="4C0DA2B0"/>
    <w:rsid w:val="4C68BFDE"/>
    <w:rsid w:val="4D414AD6"/>
    <w:rsid w:val="4DFF36E6"/>
    <w:rsid w:val="4FD50E81"/>
    <w:rsid w:val="4FEBC6A2"/>
    <w:rsid w:val="500C3580"/>
    <w:rsid w:val="502865A2"/>
    <w:rsid w:val="50537954"/>
    <w:rsid w:val="50A9A5B7"/>
    <w:rsid w:val="50ABBBBB"/>
    <w:rsid w:val="51CFF02B"/>
    <w:rsid w:val="524F32B5"/>
    <w:rsid w:val="526FA89E"/>
    <w:rsid w:val="52BB37E5"/>
    <w:rsid w:val="52C3E197"/>
    <w:rsid w:val="52F164E3"/>
    <w:rsid w:val="5324FBB5"/>
    <w:rsid w:val="535BED43"/>
    <w:rsid w:val="54469A1F"/>
    <w:rsid w:val="54F6C22D"/>
    <w:rsid w:val="577AA698"/>
    <w:rsid w:val="57CE578D"/>
    <w:rsid w:val="5860002F"/>
    <w:rsid w:val="58634F51"/>
    <w:rsid w:val="59EA7618"/>
    <w:rsid w:val="5AA68591"/>
    <w:rsid w:val="5AEB1A4F"/>
    <w:rsid w:val="5BE94BC5"/>
    <w:rsid w:val="5C0894A3"/>
    <w:rsid w:val="5C70365C"/>
    <w:rsid w:val="5D029FDC"/>
    <w:rsid w:val="5D2112C5"/>
    <w:rsid w:val="5DE544B9"/>
    <w:rsid w:val="5E214E6B"/>
    <w:rsid w:val="5EFA6447"/>
    <w:rsid w:val="5F49112C"/>
    <w:rsid w:val="5F49C966"/>
    <w:rsid w:val="5F8EA83A"/>
    <w:rsid w:val="5FA190D4"/>
    <w:rsid w:val="5FF1ADED"/>
    <w:rsid w:val="60238448"/>
    <w:rsid w:val="61155CCA"/>
    <w:rsid w:val="61DDB35E"/>
    <w:rsid w:val="61E75A7C"/>
    <w:rsid w:val="61FEC914"/>
    <w:rsid w:val="6201B1ED"/>
    <w:rsid w:val="628FB0FE"/>
    <w:rsid w:val="62F34EB6"/>
    <w:rsid w:val="63B462A3"/>
    <w:rsid w:val="63B60C97"/>
    <w:rsid w:val="63EAB113"/>
    <w:rsid w:val="641F367A"/>
    <w:rsid w:val="64820526"/>
    <w:rsid w:val="64C4EC2E"/>
    <w:rsid w:val="64C66789"/>
    <w:rsid w:val="659A772F"/>
    <w:rsid w:val="65C77B1A"/>
    <w:rsid w:val="66DC4DBE"/>
    <w:rsid w:val="694B0AB3"/>
    <w:rsid w:val="6A24970D"/>
    <w:rsid w:val="6B3C70D1"/>
    <w:rsid w:val="6BB3F77A"/>
    <w:rsid w:val="6C253E36"/>
    <w:rsid w:val="6C480496"/>
    <w:rsid w:val="6C4CBABC"/>
    <w:rsid w:val="6C7DE198"/>
    <w:rsid w:val="6CEDFFB1"/>
    <w:rsid w:val="6D0C1B34"/>
    <w:rsid w:val="6E4C6E8F"/>
    <w:rsid w:val="6E92D4B8"/>
    <w:rsid w:val="6EDB4143"/>
    <w:rsid w:val="6EEB62EA"/>
    <w:rsid w:val="6EF967E7"/>
    <w:rsid w:val="6F365057"/>
    <w:rsid w:val="6F37BFD8"/>
    <w:rsid w:val="6F40D09B"/>
    <w:rsid w:val="6F67DD6D"/>
    <w:rsid w:val="6F894E78"/>
    <w:rsid w:val="6F8DFA35"/>
    <w:rsid w:val="6FFB9CBF"/>
    <w:rsid w:val="71959E35"/>
    <w:rsid w:val="729F7E2F"/>
    <w:rsid w:val="72B9EDE4"/>
    <w:rsid w:val="7303DFD8"/>
    <w:rsid w:val="730E20DE"/>
    <w:rsid w:val="737B5CB8"/>
    <w:rsid w:val="7389F791"/>
    <w:rsid w:val="7433A53D"/>
    <w:rsid w:val="744968D8"/>
    <w:rsid w:val="74630BC7"/>
    <w:rsid w:val="746F4DA6"/>
    <w:rsid w:val="74880066"/>
    <w:rsid w:val="74FF94A4"/>
    <w:rsid w:val="768561AA"/>
    <w:rsid w:val="773B952A"/>
    <w:rsid w:val="7773AED0"/>
    <w:rsid w:val="77746F99"/>
    <w:rsid w:val="77B476BA"/>
    <w:rsid w:val="77FD7588"/>
    <w:rsid w:val="781C7A52"/>
    <w:rsid w:val="7A2286E2"/>
    <w:rsid w:val="7A406925"/>
    <w:rsid w:val="7AC3A164"/>
    <w:rsid w:val="7B029B17"/>
    <w:rsid w:val="7C5B7EFB"/>
    <w:rsid w:val="7C6CE830"/>
    <w:rsid w:val="7D3AE96D"/>
    <w:rsid w:val="7D852361"/>
    <w:rsid w:val="7E2CE2D9"/>
    <w:rsid w:val="7E31DAC9"/>
    <w:rsid w:val="7E51FB59"/>
    <w:rsid w:val="7F959C24"/>
    <w:rsid w:val="7FFDA2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BA4BA1"/>
  <w15:docId w15:val="{9C695427-D55D-44D5-BCC6-E2A9A437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194B3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194B3A"/>
    <w:rPr>
      <w:rFonts w:ascii="Times New Roman" w:eastAsia="Times New Roman" w:hAnsi="Times New Roman" w:cs="Times New Roman"/>
      <w:b/>
      <w:sz w:val="24"/>
      <w:szCs w:val="20"/>
    </w:rPr>
  </w:style>
  <w:style w:type="paragraph" w:styleId="CommentSubject">
    <w:name w:val="annotation subject"/>
    <w:basedOn w:val="CommentText"/>
    <w:next w:val="CommentText"/>
    <w:link w:val="CommentSubjectChar"/>
    <w:uiPriority w:val="99"/>
    <w:semiHidden/>
    <w:unhideWhenUsed/>
    <w:rsid w:val="00EE5671"/>
    <w:rPr>
      <w:b/>
      <w:bCs/>
    </w:rPr>
  </w:style>
  <w:style w:type="character" w:customStyle="1" w:styleId="CommentSubjectChar">
    <w:name w:val="Comment Subject Char"/>
    <w:basedOn w:val="CommentTextChar"/>
    <w:link w:val="CommentSubject"/>
    <w:uiPriority w:val="99"/>
    <w:semiHidden/>
    <w:rsid w:val="00EE5671"/>
    <w:rPr>
      <w:b/>
      <w:bCs/>
      <w:sz w:val="20"/>
      <w:szCs w:val="20"/>
    </w:rPr>
  </w:style>
  <w:style w:type="paragraph" w:styleId="FootnoteText">
    <w:name w:val="footnote text"/>
    <w:basedOn w:val="Normal"/>
    <w:link w:val="FootnoteTextChar"/>
    <w:unhideWhenUsed/>
    <w:rsid w:val="00FB0C82"/>
    <w:pPr>
      <w:spacing w:after="0" w:line="240" w:lineRule="auto"/>
    </w:pPr>
    <w:rPr>
      <w:sz w:val="20"/>
      <w:szCs w:val="20"/>
    </w:rPr>
  </w:style>
  <w:style w:type="character" w:customStyle="1" w:styleId="FootnoteTextChar">
    <w:name w:val="Footnote Text Char"/>
    <w:basedOn w:val="DefaultParagraphFont"/>
    <w:link w:val="FootnoteText"/>
    <w:rsid w:val="00FB0C82"/>
    <w:rPr>
      <w:sz w:val="20"/>
      <w:szCs w:val="20"/>
    </w:rPr>
  </w:style>
  <w:style w:type="character" w:styleId="FootnoteReference">
    <w:name w:val="footnote reference"/>
    <w:basedOn w:val="DefaultParagraphFont"/>
    <w:uiPriority w:val="99"/>
    <w:unhideWhenUsed/>
    <w:rsid w:val="00FB0C82"/>
    <w:rPr>
      <w:vertAlign w:val="superscript"/>
    </w:rPr>
  </w:style>
  <w:style w:type="paragraph" w:styleId="Revision">
    <w:name w:val="Revision"/>
    <w:hidden/>
    <w:uiPriority w:val="99"/>
    <w:semiHidden/>
    <w:rsid w:val="00453E6E"/>
    <w:pPr>
      <w:spacing w:after="0" w:line="240" w:lineRule="auto"/>
    </w:pPr>
  </w:style>
  <w:style w:type="paragraph" w:styleId="ListParagraph">
    <w:name w:val="List Paragraph"/>
    <w:basedOn w:val="Normal"/>
    <w:uiPriority w:val="34"/>
    <w:qFormat/>
    <w:rsid w:val="00654D8E"/>
    <w:pPr>
      <w:ind w:left="720"/>
      <w:contextualSpacing/>
    </w:pPr>
  </w:style>
  <w:style w:type="paragraph" w:styleId="Header">
    <w:name w:val="header"/>
    <w:basedOn w:val="Normal"/>
    <w:link w:val="HeaderChar"/>
    <w:uiPriority w:val="99"/>
    <w:unhideWhenUsed/>
    <w:rsid w:val="008F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D7"/>
  </w:style>
  <w:style w:type="paragraph" w:styleId="Footer">
    <w:name w:val="footer"/>
    <w:basedOn w:val="Normal"/>
    <w:link w:val="FooterChar"/>
    <w:uiPriority w:val="99"/>
    <w:unhideWhenUsed/>
    <w:rsid w:val="008F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7"/>
  </w:style>
  <w:style w:type="character" w:styleId="Hyperlink">
    <w:name w:val="Hyperlink"/>
    <w:basedOn w:val="DefaultParagraphFont"/>
    <w:uiPriority w:val="99"/>
    <w:unhideWhenUsed/>
    <w:rsid w:val="00E1075A"/>
    <w:rPr>
      <w:color w:val="0563C1" w:themeColor="hyperlink"/>
      <w:u w:val="single"/>
    </w:rPr>
  </w:style>
  <w:style w:type="paragraph" w:styleId="NormalWeb">
    <w:name w:val="Normal (Web)"/>
    <w:basedOn w:val="Normal"/>
    <w:uiPriority w:val="99"/>
    <w:semiHidden/>
    <w:unhideWhenUsed/>
    <w:rsid w:val="00E1075A"/>
    <w:pPr>
      <w:spacing w:after="100" w:afterAutospacing="1"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6A624E"/>
    <w:rPr>
      <w:color w:val="954F72" w:themeColor="followedHyperlink"/>
      <w:u w:val="single"/>
    </w:rPr>
  </w:style>
  <w:style w:type="paragraph" w:styleId="BodyText">
    <w:name w:val="Body Text"/>
    <w:basedOn w:val="Normal"/>
    <w:link w:val="BodyTextChar"/>
    <w:uiPriority w:val="1"/>
    <w:qFormat/>
    <w:rsid w:val="00FB31AD"/>
    <w:pPr>
      <w:autoSpaceDE w:val="0"/>
      <w:autoSpaceDN w:val="0"/>
      <w:adjustRightInd w:val="0"/>
      <w:spacing w:after="0" w:line="240" w:lineRule="auto"/>
      <w:ind w:left="39" w:hanging="1"/>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FB31AD"/>
    <w:rPr>
      <w:rFonts w:ascii="Times New Roman" w:hAnsi="Times New Roman" w:cs="Times New Roman"/>
      <w:sz w:val="20"/>
      <w:szCs w:val="20"/>
    </w:rPr>
  </w:style>
  <w:style w:type="table" w:styleId="TableGrid">
    <w:name w:val="Table Grid"/>
    <w:basedOn w:val="TableNormal"/>
    <w:uiPriority w:val="39"/>
    <w:rsid w:val="0088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4A4C"/>
    <w:rPr>
      <w:color w:val="605E5C"/>
      <w:shd w:val="clear" w:color="auto" w:fill="E1DFDD"/>
    </w:rPr>
  </w:style>
  <w:style w:type="paragraph" w:customStyle="1" w:styleId="paragraph">
    <w:name w:val="paragraph"/>
    <w:basedOn w:val="Normal"/>
    <w:rsid w:val="00614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4A4C"/>
  </w:style>
  <w:style w:type="character" w:customStyle="1" w:styleId="eop">
    <w:name w:val="eop"/>
    <w:basedOn w:val="DefaultParagraphFont"/>
    <w:rsid w:val="00614A4C"/>
  </w:style>
  <w:style w:type="character" w:customStyle="1" w:styleId="superscript">
    <w:name w:val="superscript"/>
    <w:basedOn w:val="DefaultParagraphFont"/>
    <w:rsid w:val="00614A4C"/>
  </w:style>
  <w:style w:type="paragraph" w:styleId="EndnoteText">
    <w:name w:val="endnote text"/>
    <w:basedOn w:val="Normal"/>
    <w:link w:val="EndnoteTextChar"/>
    <w:uiPriority w:val="99"/>
    <w:semiHidden/>
    <w:unhideWhenUsed/>
    <w:rsid w:val="005B59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9C5"/>
    <w:rPr>
      <w:sz w:val="20"/>
      <w:szCs w:val="20"/>
    </w:rPr>
  </w:style>
  <w:style w:type="character" w:styleId="EndnoteReference">
    <w:name w:val="endnote reference"/>
    <w:basedOn w:val="DefaultParagraphFont"/>
    <w:uiPriority w:val="99"/>
    <w:semiHidden/>
    <w:unhideWhenUsed/>
    <w:rsid w:val="005B59C5"/>
    <w:rPr>
      <w:vertAlign w:val="superscript"/>
    </w:rPr>
  </w:style>
  <w:style w:type="character" w:styleId="Mention">
    <w:name w:val="Mention"/>
    <w:basedOn w:val="DefaultParagraphFont"/>
    <w:uiPriority w:val="99"/>
    <w:unhideWhenUsed/>
    <w:rsid w:val="000510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2022/may/naics3_481000.htm#43-4000" TargetMode="External" /><Relationship Id="rId7" Type="http://schemas.openxmlformats.org/officeDocument/2006/relationships/hyperlink" Target="https://www.bls.gov/oes/2022/may/oes439199.htm" TargetMode="External" /><Relationship Id="rId8" Type="http://schemas.openxmlformats.org/officeDocument/2006/relationships/hyperlink" Target="https://web.archive.org/web/20220402230925/https://www.faa.gov/sites/faa.gov/files/2022-02/core_salary_with_conversion.xlsx"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2Tables/html/GS_h.aspx" TargetMode="External" /><Relationship Id="rId2" Type="http://schemas.openxmlformats.org/officeDocument/2006/relationships/hyperlink" Target="https://www.whitehouse.gov/wp-content/uploads/legacy_drupal_files/omb/memoranda/2008/m08-13.pdf" TargetMode="External" /><Relationship Id="rId3" Type="http://schemas.openxmlformats.org/officeDocument/2006/relationships/hyperlink" Target="https://web.archive.org/web/20220402230925/https://www.faa.gov/sites/faa.gov/files/2022-02/core_salary_with_conversion.xlsx" TargetMode="External" /><Relationship Id="rId4" Type="http://schemas.openxmlformats.org/officeDocument/2006/relationships/hyperlink" Target="https://www.transportation.gov/odapc/DOT_Agency_MIS_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318-9C61-4768-93B6-EC28CB6C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9117</Words>
  <Characters>50424</Characters>
  <Application>Microsoft Office Word</Application>
  <DocSecurity>0</DocSecurity>
  <Lines>420</Lines>
  <Paragraphs>118</Paragraphs>
  <ScaleCrop>false</ScaleCrop>
  <Company>FAA</Company>
  <LinksUpToDate>false</LinksUpToDate>
  <CharactersWithSpaces>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Brady, Julia (FAA)</cp:lastModifiedBy>
  <cp:revision>2</cp:revision>
  <dcterms:created xsi:type="dcterms:W3CDTF">2024-12-16T19:26:00Z</dcterms:created>
  <dcterms:modified xsi:type="dcterms:W3CDTF">2024-12-16T19:26:00Z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bc0915abcab5dd03d8a16a996f8c587940f829f5cf7c64647b0c8f249e1b8ba9</vt:lpwstr>
  </property>
</Properties>
</file>