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ind w:left="105"/>
        <w:rPr>
          <w:rFonts w:ascii="Times New Roman"/>
          <w:sz w:val="20"/>
        </w:rPr>
      </w:pPr>
      <w:r>
        <w:rPr>
          <w:rFonts w:ascii="Times New Roman"/>
          <w:sz w:val="20"/>
        </w:rPr>
        <w:drawing>
          <wp:inline distT="0" distB="0" distL="0" distR="0">
            <wp:extent cx="496229" cy="23802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496229" cy="238029"/>
                    </a:xfrm>
                    <a:prstGeom prst="rect">
                      <a:avLst/>
                    </a:prstGeom>
                  </pic:spPr>
                </pic:pic>
              </a:graphicData>
            </a:graphic>
          </wp:inline>
        </w:drawing>
      </w:r>
    </w:p>
    <w:p>
      <w:pPr>
        <w:tabs>
          <w:tab w:val="left" w:pos="9988"/>
        </w:tabs>
        <w:spacing w:before="0"/>
        <w:ind w:left="2038" w:right="0" w:firstLine="0"/>
        <w:jc w:val="left"/>
        <w:rPr>
          <w:rFonts w:ascii="Book Antiqua"/>
          <w:b/>
          <w:sz w:val="22"/>
        </w:rPr>
      </w:pPr>
      <w:r>
        <mc:AlternateContent>
          <mc:Choice Requires="wpg">
            <w:drawing>
              <wp:anchor distT="0" distB="0" distL="0" distR="0" simplePos="0" relativeHeight="251662336" behindDoc="1" locked="0" layoutInCell="1" allowOverlap="1">
                <wp:simplePos x="0" y="0"/>
                <wp:positionH relativeFrom="page">
                  <wp:posOffset>571500</wp:posOffset>
                </wp:positionH>
                <wp:positionV relativeFrom="paragraph">
                  <wp:posOffset>192404</wp:posOffset>
                </wp:positionV>
                <wp:extent cx="6629400" cy="66675"/>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3" name="Graphic 3"/>
                        <wps:cNvSpPr/>
                        <wps:spPr>
                          <a:xfrm>
                            <a:off x="0" y="1397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64769"/>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25" style="width:522pt;height:5.25pt;margin-top:15.15pt;margin-left:45pt;mso-position-horizontal-relative:page;mso-wrap-distance-left:0;mso-wrap-distance-right:0;position:absolute;z-index:-251653120" coordorigin="900,303" coordsize="10440,105">
                <v:line id="_x0000_s1026" style="position:absolute" from="900,325" to="11340,325" stroked="t" strokecolor="black" strokeweight="2.2pt">
                  <v:stroke dashstyle="solid"/>
                </v:line>
                <v:line id="_x0000_s1027" style="position:absolute" from="900,405" to="11340,405" stroked="t" strokecolor="black" strokeweight="0.3pt">
                  <v:stroke dashstyle="solid"/>
                </v:line>
                <w10:wrap type="topAndBottom"/>
              </v:group>
            </w:pict>
          </mc:Fallback>
        </mc:AlternateContent>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5"/>
          <w:sz w:val="20"/>
        </w:rPr>
        <w:t xml:space="preserve"> </w:t>
      </w:r>
      <w:r>
        <w:rPr>
          <w:sz w:val="20"/>
        </w:rPr>
        <w:t>/</w:t>
      </w:r>
      <w:r>
        <w:rPr>
          <w:spacing w:val="-9"/>
          <w:sz w:val="20"/>
        </w:rPr>
        <w:t xml:space="preserve"> </w:t>
      </w:r>
      <w:r>
        <w:rPr>
          <w:sz w:val="20"/>
        </w:rPr>
        <w:t>Vol.</w:t>
      </w:r>
      <w:r>
        <w:rPr>
          <w:spacing w:val="62"/>
          <w:sz w:val="20"/>
        </w:rPr>
        <w:t xml:space="preserve"> </w:t>
      </w:r>
      <w:r>
        <w:rPr>
          <w:sz w:val="20"/>
        </w:rPr>
        <w:t>89,</w:t>
      </w:r>
      <w:r>
        <w:rPr>
          <w:spacing w:val="62"/>
          <w:sz w:val="20"/>
        </w:rPr>
        <w:t xml:space="preserve"> </w:t>
      </w:r>
      <w:r>
        <w:rPr>
          <w:sz w:val="20"/>
        </w:rPr>
        <w:t>No.</w:t>
      </w:r>
      <w:r>
        <w:rPr>
          <w:spacing w:val="61"/>
          <w:sz w:val="20"/>
        </w:rPr>
        <w:t xml:space="preserve"> </w:t>
      </w:r>
      <w:r>
        <w:rPr>
          <w:sz w:val="20"/>
        </w:rPr>
        <w:t>217</w:t>
      </w:r>
      <w:r>
        <w:rPr>
          <w:spacing w:val="-9"/>
          <w:sz w:val="20"/>
        </w:rPr>
        <w:t xml:space="preserve"> </w:t>
      </w:r>
      <w:r>
        <w:rPr>
          <w:sz w:val="20"/>
        </w:rPr>
        <w:t>/</w:t>
      </w:r>
      <w:r>
        <w:rPr>
          <w:spacing w:val="-9"/>
          <w:sz w:val="20"/>
        </w:rPr>
        <w:t xml:space="preserve"> </w:t>
      </w:r>
      <w:r>
        <w:rPr>
          <w:sz w:val="20"/>
        </w:rPr>
        <w:t>Friday,</w:t>
      </w:r>
      <w:r>
        <w:rPr>
          <w:spacing w:val="62"/>
          <w:sz w:val="20"/>
        </w:rPr>
        <w:t xml:space="preserve"> </w:t>
      </w:r>
      <w:r>
        <w:rPr>
          <w:sz w:val="20"/>
        </w:rPr>
        <w:t>November</w:t>
      </w:r>
      <w:r>
        <w:rPr>
          <w:spacing w:val="62"/>
          <w:sz w:val="20"/>
        </w:rPr>
        <w:t xml:space="preserve"> </w:t>
      </w:r>
      <w:r>
        <w:rPr>
          <w:sz w:val="20"/>
        </w:rPr>
        <w:t>8,</w:t>
      </w:r>
      <w:r>
        <w:rPr>
          <w:spacing w:val="61"/>
          <w:sz w:val="20"/>
        </w:rPr>
        <w:t xml:space="preserve"> </w:t>
      </w:r>
      <w:r>
        <w:rPr>
          <w:sz w:val="20"/>
        </w:rPr>
        <w:t>2024</w:t>
      </w:r>
      <w:r>
        <w:rPr>
          <w:spacing w:val="-9"/>
          <w:sz w:val="20"/>
        </w:rPr>
        <w:t xml:space="preserve"> </w:t>
      </w:r>
      <w:r>
        <w:rPr>
          <w:sz w:val="20"/>
        </w:rPr>
        <w:t>/</w:t>
      </w:r>
      <w:r>
        <w:rPr>
          <w:spacing w:val="-9"/>
          <w:sz w:val="20"/>
        </w:rPr>
        <w:t xml:space="preserve"> </w:t>
      </w:r>
      <w:r>
        <w:rPr>
          <w:spacing w:val="-2"/>
          <w:sz w:val="20"/>
        </w:rPr>
        <w:t>Notices</w:t>
      </w:r>
      <w:r>
        <w:rPr>
          <w:sz w:val="20"/>
        </w:rPr>
        <w:tab/>
      </w:r>
      <w:r>
        <w:rPr>
          <w:rFonts w:ascii="Book Antiqua"/>
          <w:b/>
          <w:spacing w:val="-2"/>
          <w:sz w:val="22"/>
        </w:rPr>
        <w:t>88863</w:t>
      </w:r>
    </w:p>
    <w:p>
      <w:pPr>
        <w:pStyle w:val="BodyText"/>
        <w:spacing w:before="9"/>
        <w:ind w:left="0"/>
        <w:rPr>
          <w:rFonts w:ascii="Book Antiqua"/>
          <w:b/>
          <w:sz w:val="5"/>
        </w:rPr>
      </w:pPr>
    </w:p>
    <w:p>
      <w:pPr>
        <w:spacing w:after="0"/>
        <w:rPr>
          <w:rFonts w:ascii="Book Antiqua"/>
          <w:sz w:val="5"/>
        </w:rPr>
        <w:sectPr>
          <w:type w:val="continuous"/>
          <w:pgSz w:w="12240" w:h="15840"/>
          <w:pgMar w:top="260" w:right="780" w:bottom="280" w:left="740" w:header="720" w:footer="720"/>
          <w:cols w:space="720"/>
        </w:sectPr>
      </w:pPr>
    </w:p>
    <w:p>
      <w:pPr>
        <w:pStyle w:val="BodyText"/>
        <w:spacing w:before="58" w:line="237" w:lineRule="auto"/>
        <w:ind w:right="81"/>
      </w:pPr>
      <w:r>
        <w:rPr>
          <w:w w:val="105"/>
        </w:rPr>
        <w:t xml:space="preserve">process the data and to submit </w:t>
      </w:r>
      <w:r>
        <w:rPr>
          <w:w w:val="105"/>
        </w:rPr>
        <w:t>the report through DOT’s electronic submission system.</w:t>
      </w:r>
    </w:p>
    <w:p>
      <w:pPr>
        <w:pStyle w:val="BodyText"/>
        <w:spacing w:before="54" w:line="237" w:lineRule="auto"/>
        <w:ind w:right="15" w:firstLine="180"/>
      </w:pPr>
      <w:r>
        <w:rPr>
          <w:w w:val="105"/>
        </w:rPr>
        <w:t xml:space="preserve">In addition, the estimated total </w:t>
      </w:r>
      <w:r>
        <w:rPr>
          <w:w w:val="105"/>
        </w:rPr>
        <w:t>annual burden is based on the assumption that most respondents employ automated processes to record that an item</w:t>
      </w:r>
      <w:r>
        <w:rPr>
          <w:spacing w:val="40"/>
          <w:w w:val="105"/>
        </w:rPr>
        <w:t xml:space="preserve"> </w:t>
      </w:r>
      <w:r>
        <w:rPr>
          <w:w w:val="105"/>
        </w:rPr>
        <w:t>enplaned is a wheelchair or scooter for the purposes of reporting data on wheelchairs and scooters to DOT. For a carrier that manually records this information, such as by having their</w:t>
      </w:r>
      <w:r>
        <w:rPr>
          <w:spacing w:val="40"/>
          <w:w w:val="105"/>
        </w:rPr>
        <w:t xml:space="preserve"> </w:t>
      </w:r>
      <w:r>
        <w:rPr>
          <w:w w:val="105"/>
        </w:rPr>
        <w:t>agent type information describing a wheelchair or scooter into the airline’s system, DOT estimates that the airline would spend approximately 5 seconds (.00138 hours) per item to manually enter the data.</w:t>
      </w:r>
      <w:r>
        <w:rPr>
          <w:w w:val="105"/>
          <w:position w:val="5"/>
          <w:sz w:val="11"/>
        </w:rPr>
        <w:t>3</w:t>
      </w:r>
      <w:r>
        <w:rPr>
          <w:spacing w:val="40"/>
          <w:w w:val="105"/>
          <w:position w:val="5"/>
          <w:sz w:val="11"/>
        </w:rPr>
        <w:t xml:space="preserve"> </w:t>
      </w:r>
      <w:r>
        <w:rPr>
          <w:w w:val="105"/>
        </w:rPr>
        <w:t>DOT estimates that 12,000 Wheelchairs and scooters total are recorded manually per year.</w:t>
      </w:r>
    </w:p>
    <w:p>
      <w:pPr>
        <w:pStyle w:val="Heading1"/>
        <w:spacing w:before="92"/>
        <w:rPr>
          <w:rFonts w:ascii="Book Antiqua"/>
        </w:rPr>
      </w:pPr>
      <w:r>
        <w:rPr>
          <w:rFonts w:ascii="Book Antiqua"/>
        </w:rPr>
        <w:t>Administrative</w:t>
      </w:r>
      <w:r>
        <w:rPr>
          <w:rFonts w:ascii="Book Antiqua"/>
          <w:spacing w:val="16"/>
        </w:rPr>
        <w:t xml:space="preserve"> </w:t>
      </w:r>
      <w:r>
        <w:rPr>
          <w:rFonts w:ascii="Book Antiqua"/>
          <w:spacing w:val="-2"/>
        </w:rPr>
        <w:t>Issues</w:t>
      </w:r>
    </w:p>
    <w:p>
      <w:pPr>
        <w:pStyle w:val="BodyText"/>
        <w:spacing w:before="129" w:line="235" w:lineRule="auto"/>
        <w:ind w:right="83" w:firstLine="180"/>
      </w:pPr>
      <w:r>
        <w:rPr>
          <w:w w:val="105"/>
        </w:rPr>
        <w:t>The</w:t>
      </w:r>
      <w:r>
        <w:rPr>
          <w:spacing w:val="35"/>
          <w:w w:val="105"/>
        </w:rPr>
        <w:t xml:space="preserve"> </w:t>
      </w:r>
      <w:r>
        <w:rPr>
          <w:rFonts w:ascii="Book Antiqua" w:hAnsi="Book Antiqua"/>
          <w:i/>
          <w:w w:val="105"/>
        </w:rPr>
        <w:t>Confidential</w:t>
      </w:r>
      <w:r>
        <w:rPr>
          <w:rFonts w:ascii="Book Antiqua" w:hAnsi="Book Antiqua"/>
          <w:i/>
          <w:spacing w:val="30"/>
          <w:w w:val="105"/>
        </w:rPr>
        <w:t xml:space="preserve"> </w:t>
      </w:r>
      <w:r>
        <w:rPr>
          <w:rFonts w:ascii="Book Antiqua" w:hAnsi="Book Antiqua"/>
          <w:i/>
          <w:w w:val="105"/>
        </w:rPr>
        <w:t>Information</w:t>
      </w:r>
      <w:r>
        <w:rPr>
          <w:rFonts w:ascii="Book Antiqua" w:hAnsi="Book Antiqua"/>
          <w:i/>
          <w:spacing w:val="40"/>
          <w:w w:val="105"/>
        </w:rPr>
        <w:t xml:space="preserve"> </w:t>
      </w:r>
      <w:r>
        <w:rPr>
          <w:rFonts w:ascii="Book Antiqua" w:hAnsi="Book Antiqua"/>
          <w:i/>
          <w:w w:val="105"/>
        </w:rPr>
        <w:t>Protection</w:t>
      </w:r>
      <w:r>
        <w:rPr>
          <w:rFonts w:ascii="Book Antiqua" w:hAnsi="Book Antiqua"/>
          <w:i/>
          <w:spacing w:val="40"/>
          <w:w w:val="105"/>
        </w:rPr>
        <w:t xml:space="preserve"> </w:t>
      </w:r>
      <w:r>
        <w:rPr>
          <w:rFonts w:ascii="Book Antiqua" w:hAnsi="Book Antiqua"/>
          <w:i/>
          <w:w w:val="105"/>
        </w:rPr>
        <w:t>and</w:t>
      </w:r>
      <w:r>
        <w:rPr>
          <w:rFonts w:ascii="Book Antiqua" w:hAnsi="Book Antiqua"/>
          <w:i/>
          <w:spacing w:val="40"/>
          <w:w w:val="105"/>
        </w:rPr>
        <w:t xml:space="preserve"> </w:t>
      </w:r>
      <w:r>
        <w:rPr>
          <w:rFonts w:ascii="Book Antiqua" w:hAnsi="Book Antiqua"/>
          <w:i/>
          <w:w w:val="105"/>
        </w:rPr>
        <w:t>Statistical</w:t>
      </w:r>
      <w:r>
        <w:rPr>
          <w:rFonts w:ascii="Book Antiqua" w:hAnsi="Book Antiqua"/>
          <w:i/>
          <w:spacing w:val="40"/>
          <w:w w:val="105"/>
        </w:rPr>
        <w:t xml:space="preserve"> </w:t>
      </w:r>
      <w:r>
        <w:rPr>
          <w:rFonts w:ascii="Book Antiqua" w:hAnsi="Book Antiqua"/>
          <w:i/>
          <w:w w:val="105"/>
        </w:rPr>
        <w:t>Efficiency</w:t>
      </w:r>
      <w:r>
        <w:rPr>
          <w:rFonts w:ascii="Book Antiqua" w:hAnsi="Book Antiqua"/>
          <w:i/>
          <w:spacing w:val="40"/>
          <w:w w:val="105"/>
        </w:rPr>
        <w:t xml:space="preserve"> </w:t>
      </w:r>
      <w:r>
        <w:rPr>
          <w:rFonts w:ascii="Book Antiqua" w:hAnsi="Book Antiqua"/>
          <w:i/>
          <w:w w:val="105"/>
        </w:rPr>
        <w:t xml:space="preserve">Act of 2002 </w:t>
      </w:r>
      <w:r>
        <w:rPr>
          <w:w w:val="105"/>
        </w:rPr>
        <w:t>(44 U.S.C. 3501) requires a statistical agency to clearly identify information it collects for non-</w:t>
      </w:r>
      <w:r>
        <w:rPr>
          <w:w w:val="105"/>
        </w:rPr>
        <w:t>statistical purposes. BTS hereby notifies the respondents and the public that BTS</w:t>
      </w:r>
      <w:r>
        <w:rPr>
          <w:spacing w:val="80"/>
          <w:w w:val="105"/>
        </w:rPr>
        <w:t xml:space="preserve"> </w:t>
      </w:r>
      <w:r>
        <w:rPr>
          <w:w w:val="105"/>
        </w:rPr>
        <w:t>uses the information it collects under</w:t>
      </w:r>
      <w:r>
        <w:rPr>
          <w:spacing w:val="40"/>
          <w:w w:val="105"/>
        </w:rPr>
        <w:t xml:space="preserve"> </w:t>
      </w:r>
      <w:r>
        <w:rPr>
          <w:w w:val="105"/>
        </w:rPr>
        <w:t>this OMB approval for non-statistical purposes including, but not limited to, publication of both respondent’s</w:t>
      </w:r>
      <w:r>
        <w:rPr>
          <w:spacing w:val="80"/>
          <w:w w:val="105"/>
        </w:rPr>
        <w:t xml:space="preserve"> </w:t>
      </w:r>
      <w:r>
        <w:rPr>
          <w:w w:val="105"/>
        </w:rPr>
        <w:t xml:space="preserve">identity and its data, submission of the information to agencies outside BTS for review, analysis and possible use in regulatory and other administrative </w:t>
      </w:r>
      <w:r>
        <w:rPr>
          <w:spacing w:val="-2"/>
          <w:w w:val="105"/>
        </w:rPr>
        <w:t>matters.</w:t>
      </w:r>
    </w:p>
    <w:p>
      <w:pPr>
        <w:pStyle w:val="Heading1"/>
        <w:spacing w:before="100"/>
        <w:rPr>
          <w:rFonts w:ascii="Book Antiqua"/>
        </w:rPr>
      </w:pPr>
      <w:r>
        <w:rPr>
          <w:rFonts w:ascii="Book Antiqua"/>
          <w:spacing w:val="-2"/>
        </w:rPr>
        <w:t>Comments</w:t>
      </w:r>
      <w:r>
        <w:rPr>
          <w:rFonts w:ascii="Book Antiqua"/>
          <w:spacing w:val="2"/>
        </w:rPr>
        <w:t xml:space="preserve"> </w:t>
      </w:r>
      <w:r>
        <w:rPr>
          <w:rFonts w:ascii="Book Antiqua"/>
          <w:spacing w:val="-2"/>
        </w:rPr>
        <w:t>Invited</w:t>
      </w:r>
    </w:p>
    <w:p>
      <w:pPr>
        <w:pStyle w:val="BodyText"/>
        <w:spacing w:before="129" w:line="235" w:lineRule="auto"/>
        <w:ind w:right="88" w:firstLine="180"/>
      </w:pPr>
      <w:r>
        <w:rPr>
          <w:rFonts w:ascii="Book Antiqua" w:hAnsi="Book Antiqua"/>
          <w:i/>
          <w:w w:val="105"/>
        </w:rPr>
        <w:t xml:space="preserve">We invite comments on: </w:t>
      </w:r>
      <w:r>
        <w:rPr>
          <w:w w:val="105"/>
        </w:rPr>
        <w:t>(a) Whether the collection of information is</w:t>
      </w:r>
      <w:r>
        <w:rPr>
          <w:spacing w:val="40"/>
          <w:w w:val="105"/>
        </w:rPr>
        <w:t xml:space="preserve"> </w:t>
      </w:r>
      <w:r>
        <w:rPr>
          <w:w w:val="105"/>
        </w:rPr>
        <w:t>necessary</w:t>
      </w:r>
      <w:r>
        <w:rPr>
          <w:spacing w:val="-3"/>
          <w:w w:val="105"/>
        </w:rPr>
        <w:t xml:space="preserve"> </w:t>
      </w:r>
      <w:r>
        <w:rPr>
          <w:w w:val="105"/>
        </w:rPr>
        <w:t>for</w:t>
      </w:r>
      <w:r>
        <w:rPr>
          <w:spacing w:val="-4"/>
          <w:w w:val="105"/>
        </w:rPr>
        <w:t xml:space="preserve"> </w:t>
      </w:r>
      <w:r>
        <w:rPr>
          <w:w w:val="105"/>
        </w:rPr>
        <w:t>the</w:t>
      </w:r>
      <w:r>
        <w:rPr>
          <w:spacing w:val="-3"/>
          <w:w w:val="105"/>
        </w:rPr>
        <w:t xml:space="preserve"> </w:t>
      </w:r>
      <w:r>
        <w:rPr>
          <w:w w:val="105"/>
        </w:rPr>
        <w:t>proper</w:t>
      </w:r>
      <w:r>
        <w:rPr>
          <w:spacing w:val="-4"/>
          <w:w w:val="105"/>
        </w:rPr>
        <w:t xml:space="preserve"> </w:t>
      </w:r>
      <w:r>
        <w:rPr>
          <w:w w:val="105"/>
        </w:rPr>
        <w:t>performance</w:t>
      </w:r>
      <w:r>
        <w:rPr>
          <w:spacing w:val="-3"/>
          <w:w w:val="105"/>
        </w:rPr>
        <w:t xml:space="preserve"> </w:t>
      </w:r>
      <w:r>
        <w:rPr>
          <w:w w:val="105"/>
        </w:rPr>
        <w:t>of the</w:t>
      </w:r>
      <w:r>
        <w:rPr>
          <w:spacing w:val="40"/>
          <w:w w:val="105"/>
        </w:rPr>
        <w:t xml:space="preserve"> </w:t>
      </w:r>
      <w:r>
        <w:rPr>
          <w:w w:val="105"/>
        </w:rPr>
        <w:t>functions</w:t>
      </w:r>
      <w:r>
        <w:rPr>
          <w:spacing w:val="40"/>
          <w:w w:val="105"/>
        </w:rPr>
        <w:t xml:space="preserve"> </w:t>
      </w:r>
      <w:r>
        <w:rPr>
          <w:w w:val="105"/>
        </w:rPr>
        <w:t>of</w:t>
      </w:r>
      <w:r>
        <w:rPr>
          <w:spacing w:val="40"/>
          <w:w w:val="105"/>
        </w:rPr>
        <w:t xml:space="preserve"> </w:t>
      </w:r>
      <w:r>
        <w:rPr>
          <w:w w:val="105"/>
        </w:rPr>
        <w:t>DOT,</w:t>
      </w:r>
      <w:r>
        <w:rPr>
          <w:spacing w:val="40"/>
          <w:w w:val="105"/>
        </w:rPr>
        <w:t xml:space="preserve"> </w:t>
      </w:r>
      <w:r>
        <w:rPr>
          <w:w w:val="105"/>
        </w:rPr>
        <w:t>including whether the information will have practical utility; (b) the accuracy of DOT’s estimate of the burden of the proposed information collection; (c) ways to enhance the quality, utility and clarity of the information to be</w:t>
      </w:r>
      <w:r>
        <w:rPr>
          <w:spacing w:val="80"/>
          <w:w w:val="105"/>
        </w:rPr>
        <w:t xml:space="preserve"> </w:t>
      </w:r>
      <w:r>
        <w:rPr>
          <w:w w:val="105"/>
        </w:rPr>
        <w:t>collected; and (d) ways to minimize the burden of the collection of information on respondents.</w:t>
      </w:r>
    </w:p>
    <w:p>
      <w:pPr>
        <w:pStyle w:val="BodyText"/>
        <w:spacing w:before="60" w:line="237" w:lineRule="auto"/>
        <w:ind w:firstLine="180"/>
      </w:pPr>
      <w:r>
        <w:rPr>
          <w:w w:val="105"/>
        </w:rPr>
        <w:t>All responses to this notice will be summarized and included in the request for OMB approval. All comments will</w:t>
      </w:r>
      <w:r>
        <w:rPr>
          <w:spacing w:val="80"/>
          <w:w w:val="105"/>
        </w:rPr>
        <w:t xml:space="preserve"> </w:t>
      </w:r>
      <w:r>
        <w:rPr>
          <w:w w:val="105"/>
        </w:rPr>
        <w:t xml:space="preserve">also become a matter of public record </w:t>
      </w:r>
      <w:r>
        <w:rPr>
          <w:w w:val="105"/>
        </w:rPr>
        <w:t>on the docket.</w:t>
      </w:r>
    </w:p>
    <w:p>
      <w:pPr>
        <w:pStyle w:val="BodyText"/>
        <w:spacing w:before="40"/>
        <w:ind w:left="0"/>
        <w:rPr>
          <w:sz w:val="20"/>
        </w:rPr>
      </w:pPr>
      <w:r>
        <mc:AlternateContent>
          <mc:Choice Requires="wps">
            <w:drawing>
              <wp:anchor distT="0" distB="0" distL="0" distR="0" simplePos="0" relativeHeight="251664384" behindDoc="1" locked="0" layoutInCell="1" allowOverlap="1">
                <wp:simplePos x="0" y="0"/>
                <wp:positionH relativeFrom="page">
                  <wp:posOffset>571500</wp:posOffset>
                </wp:positionH>
                <wp:positionV relativeFrom="paragraph">
                  <wp:posOffset>189792</wp:posOffset>
                </wp:positionV>
                <wp:extent cx="63500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35000" cy="1270"/>
                        </a:xfrm>
                        <a:custGeom>
                          <a:avLst/>
                          <a:gdLst/>
                          <a:rect l="l" t="t" r="r" b="b"/>
                          <a:pathLst>
                            <a:path fill="norm" h="0" w="635000" stroke="1">
                              <a:moveTo>
                                <a:pt x="0" y="0"/>
                              </a:moveTo>
                              <a:lnTo>
                                <a:pt x="635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_x0000_s1028" style="width:50pt;height:0.1pt;margin-top:14.94pt;margin-left:45pt;mso-position-horizontal-relative:page;mso-wrap-distance-left:0;mso-wrap-distance-right:0;position:absolute;z-index:-251651072" coordorigin="900,299" coordsize="1000,0" path="m900,299l1900,299e" filled="f" stroked="t" strokecolor="black" strokeweight="0.5pt">
                <v:stroke dashstyle="solid"/>
                <v:path arrowok="t"/>
                <w10:wrap type="topAndBottom"/>
              </v:shape>
            </w:pict>
          </mc:Fallback>
        </mc:AlternateContent>
      </w:r>
    </w:p>
    <w:p>
      <w:pPr>
        <w:spacing w:before="36" w:line="256" w:lineRule="auto"/>
        <w:ind w:left="160" w:right="38" w:firstLine="139"/>
        <w:jc w:val="left"/>
        <w:rPr>
          <w:sz w:val="14"/>
        </w:rPr>
      </w:pPr>
      <w:r>
        <w:rPr>
          <w:w w:val="105"/>
          <w:position w:val="4"/>
          <w:sz w:val="9"/>
        </w:rPr>
        <w:t xml:space="preserve">3 </w:t>
      </w:r>
      <w:r>
        <w:rPr>
          <w:w w:val="105"/>
          <w:sz w:val="14"/>
        </w:rPr>
        <w:t>The Final Rule to Amend Rules Requiring</w:t>
      </w:r>
      <w:r>
        <w:rPr>
          <w:spacing w:val="40"/>
          <w:w w:val="105"/>
          <w:sz w:val="14"/>
        </w:rPr>
        <w:t xml:space="preserve"> </w:t>
      </w:r>
      <w:r>
        <w:rPr>
          <w:w w:val="105"/>
          <w:sz w:val="14"/>
        </w:rPr>
        <w:t>Reporting of Mishandled Baggage, Regulatory</w:t>
      </w:r>
      <w:r>
        <w:rPr>
          <w:spacing w:val="80"/>
          <w:w w:val="105"/>
          <w:sz w:val="14"/>
        </w:rPr>
        <w:t xml:space="preserve"> </w:t>
      </w:r>
      <w:r>
        <w:rPr>
          <w:w w:val="105"/>
          <w:sz w:val="14"/>
        </w:rPr>
        <w:t>Impact Analysis, October 18, 2016, estimated a data</w:t>
      </w:r>
      <w:r>
        <w:rPr>
          <w:spacing w:val="40"/>
          <w:w w:val="105"/>
          <w:sz w:val="14"/>
        </w:rPr>
        <w:t xml:space="preserve"> </w:t>
      </w:r>
      <w:r>
        <w:rPr>
          <w:w w:val="105"/>
          <w:sz w:val="14"/>
        </w:rPr>
        <w:t xml:space="preserve">entry burden of 5 seconds per wheelchair or </w:t>
      </w:r>
      <w:r>
        <w:rPr>
          <w:w w:val="105"/>
          <w:sz w:val="14"/>
        </w:rPr>
        <w:t>scooter</w:t>
      </w:r>
      <w:r>
        <w:rPr>
          <w:spacing w:val="40"/>
          <w:w w:val="105"/>
          <w:sz w:val="14"/>
        </w:rPr>
        <w:t xml:space="preserve"> </w:t>
      </w:r>
      <w:r>
        <w:rPr>
          <w:w w:val="105"/>
          <w:sz w:val="14"/>
        </w:rPr>
        <w:t>recorded manually. See Docket No. RITA–2011–</w:t>
      </w:r>
      <w:r>
        <w:rPr>
          <w:spacing w:val="40"/>
          <w:w w:val="105"/>
          <w:sz w:val="14"/>
        </w:rPr>
        <w:t xml:space="preserve"> </w:t>
      </w:r>
      <w:r>
        <w:rPr>
          <w:spacing w:val="-2"/>
          <w:w w:val="105"/>
          <w:sz w:val="14"/>
        </w:rPr>
        <w:t>0001.</w:t>
      </w:r>
    </w:p>
    <w:p>
      <w:pPr>
        <w:spacing w:before="61" w:line="230" w:lineRule="auto"/>
        <w:ind w:left="145" w:right="0" w:firstLine="160"/>
        <w:jc w:val="left"/>
        <w:rPr>
          <w:sz w:val="16"/>
        </w:rPr>
      </w:pPr>
      <w:r>
        <w:br w:type="column"/>
      </w:r>
      <w:r>
        <w:rPr>
          <w:w w:val="105"/>
          <w:sz w:val="16"/>
        </w:rPr>
        <w:t xml:space="preserve">Issued this 4th day of November 2024 </w:t>
      </w:r>
      <w:r>
        <w:rPr>
          <w:w w:val="105"/>
          <w:sz w:val="16"/>
        </w:rPr>
        <w:t>at</w:t>
      </w:r>
      <w:r>
        <w:rPr>
          <w:spacing w:val="40"/>
          <w:w w:val="105"/>
          <w:sz w:val="16"/>
        </w:rPr>
        <w:t xml:space="preserve"> </w:t>
      </w:r>
      <w:r>
        <w:rPr>
          <w:w w:val="105"/>
          <w:sz w:val="16"/>
        </w:rPr>
        <w:t>Washington, DC.</w:t>
      </w:r>
    </w:p>
    <w:p>
      <w:pPr>
        <w:spacing w:before="36"/>
        <w:ind w:left="145" w:right="0" w:firstLine="0"/>
        <w:jc w:val="left"/>
        <w:rPr>
          <w:rFonts w:ascii="Book Antiqua"/>
          <w:b/>
          <w:sz w:val="16"/>
        </w:rPr>
      </w:pPr>
      <w:r>
        <w:rPr>
          <w:rFonts w:ascii="Book Antiqua"/>
          <w:b/>
          <w:sz w:val="16"/>
        </w:rPr>
        <w:t>Rolf</w:t>
      </w:r>
      <w:r>
        <w:rPr>
          <w:rFonts w:ascii="Book Antiqua"/>
          <w:b/>
          <w:spacing w:val="-6"/>
          <w:sz w:val="16"/>
        </w:rPr>
        <w:t xml:space="preserve"> </w:t>
      </w:r>
      <w:r>
        <w:rPr>
          <w:rFonts w:ascii="Book Antiqua"/>
          <w:b/>
          <w:spacing w:val="-2"/>
          <w:sz w:val="16"/>
        </w:rPr>
        <w:t>Schmitt,</w:t>
      </w:r>
    </w:p>
    <w:p>
      <w:pPr>
        <w:spacing w:before="40" w:line="223" w:lineRule="auto"/>
        <w:ind w:left="145" w:right="0" w:firstLine="0"/>
        <w:jc w:val="left"/>
        <w:rPr>
          <w:rFonts w:ascii="Book Antiqua"/>
          <w:i/>
          <w:sz w:val="16"/>
        </w:rPr>
      </w:pPr>
      <w:r>
        <w:rPr>
          <w:rFonts w:ascii="Book Antiqua"/>
          <w:i/>
          <w:w w:val="110"/>
          <w:sz w:val="16"/>
        </w:rPr>
        <w:t>Acting</w:t>
      </w:r>
      <w:r>
        <w:rPr>
          <w:rFonts w:ascii="Book Antiqua"/>
          <w:i/>
          <w:spacing w:val="-7"/>
          <w:w w:val="110"/>
          <w:sz w:val="16"/>
        </w:rPr>
        <w:t xml:space="preserve"> </w:t>
      </w:r>
      <w:r>
        <w:rPr>
          <w:rFonts w:ascii="Book Antiqua"/>
          <w:i/>
          <w:w w:val="110"/>
          <w:sz w:val="16"/>
        </w:rPr>
        <w:t>Director,</w:t>
      </w:r>
      <w:r>
        <w:rPr>
          <w:rFonts w:ascii="Book Antiqua"/>
          <w:i/>
          <w:spacing w:val="-7"/>
          <w:w w:val="110"/>
          <w:sz w:val="16"/>
        </w:rPr>
        <w:t xml:space="preserve"> </w:t>
      </w:r>
      <w:r>
        <w:rPr>
          <w:rFonts w:ascii="Book Antiqua"/>
          <w:i/>
          <w:w w:val="110"/>
          <w:sz w:val="16"/>
        </w:rPr>
        <w:t>Office</w:t>
      </w:r>
      <w:r>
        <w:rPr>
          <w:rFonts w:ascii="Book Antiqua"/>
          <w:i/>
          <w:spacing w:val="-7"/>
          <w:w w:val="110"/>
          <w:sz w:val="16"/>
        </w:rPr>
        <w:t xml:space="preserve"> </w:t>
      </w:r>
      <w:r>
        <w:rPr>
          <w:rFonts w:ascii="Book Antiqua"/>
          <w:i/>
          <w:w w:val="110"/>
          <w:sz w:val="16"/>
        </w:rPr>
        <w:t>of</w:t>
      </w:r>
      <w:r>
        <w:rPr>
          <w:rFonts w:ascii="Book Antiqua"/>
          <w:i/>
          <w:spacing w:val="-7"/>
          <w:w w:val="110"/>
          <w:sz w:val="16"/>
        </w:rPr>
        <w:t xml:space="preserve"> </w:t>
      </w:r>
      <w:r>
        <w:rPr>
          <w:rFonts w:ascii="Book Antiqua"/>
          <w:i/>
          <w:w w:val="110"/>
          <w:sz w:val="16"/>
        </w:rPr>
        <w:t>Airline</w:t>
      </w:r>
      <w:r>
        <w:rPr>
          <w:rFonts w:ascii="Book Antiqua"/>
          <w:i/>
          <w:spacing w:val="-7"/>
          <w:w w:val="110"/>
          <w:sz w:val="16"/>
        </w:rPr>
        <w:t xml:space="preserve"> </w:t>
      </w:r>
      <w:r>
        <w:rPr>
          <w:rFonts w:ascii="Book Antiqua"/>
          <w:i/>
          <w:w w:val="110"/>
          <w:sz w:val="16"/>
        </w:rPr>
        <w:t>Information,</w:t>
      </w:r>
      <w:r>
        <w:rPr>
          <w:rFonts w:ascii="Book Antiqua"/>
          <w:i/>
          <w:w w:val="110"/>
          <w:sz w:val="16"/>
        </w:rPr>
        <w:t xml:space="preserve"> </w:t>
      </w:r>
      <w:r>
        <w:rPr>
          <w:rFonts w:ascii="Book Antiqua"/>
          <w:i/>
          <w:w w:val="115"/>
          <w:sz w:val="16"/>
        </w:rPr>
        <w:t>Bureau</w:t>
      </w:r>
      <w:r>
        <w:rPr>
          <w:rFonts w:ascii="Book Antiqua"/>
          <w:i/>
          <w:spacing w:val="-12"/>
          <w:w w:val="115"/>
          <w:sz w:val="16"/>
        </w:rPr>
        <w:t xml:space="preserve"> </w:t>
      </w:r>
      <w:r>
        <w:rPr>
          <w:rFonts w:ascii="Book Antiqua"/>
          <w:i/>
          <w:w w:val="115"/>
          <w:sz w:val="16"/>
        </w:rPr>
        <w:t>of</w:t>
      </w:r>
      <w:r>
        <w:rPr>
          <w:rFonts w:ascii="Book Antiqua"/>
          <w:i/>
          <w:spacing w:val="-11"/>
          <w:w w:val="115"/>
          <w:sz w:val="16"/>
        </w:rPr>
        <w:t xml:space="preserve"> </w:t>
      </w:r>
      <w:r>
        <w:rPr>
          <w:rFonts w:ascii="Book Antiqua"/>
          <w:i/>
          <w:w w:val="115"/>
          <w:sz w:val="16"/>
        </w:rPr>
        <w:t>Transportation</w:t>
      </w:r>
      <w:r>
        <w:rPr>
          <w:rFonts w:ascii="Book Antiqua"/>
          <w:i/>
          <w:spacing w:val="-12"/>
          <w:w w:val="115"/>
          <w:sz w:val="16"/>
        </w:rPr>
        <w:t xml:space="preserve"> </w:t>
      </w:r>
      <w:r>
        <w:rPr>
          <w:rFonts w:ascii="Book Antiqua"/>
          <w:i/>
          <w:w w:val="115"/>
          <w:sz w:val="16"/>
        </w:rPr>
        <w:t>Statistics,</w:t>
      </w:r>
      <w:r>
        <w:rPr>
          <w:rFonts w:ascii="Book Antiqua"/>
          <w:i/>
          <w:spacing w:val="-11"/>
          <w:w w:val="115"/>
          <w:sz w:val="16"/>
        </w:rPr>
        <w:t xml:space="preserve"> </w:t>
      </w:r>
      <w:r>
        <w:rPr>
          <w:rFonts w:ascii="Book Antiqua"/>
          <w:i/>
          <w:w w:val="115"/>
          <w:sz w:val="16"/>
        </w:rPr>
        <w:t>Office</w:t>
      </w:r>
      <w:r>
        <w:rPr>
          <w:rFonts w:ascii="Book Antiqua"/>
          <w:i/>
          <w:spacing w:val="-12"/>
          <w:w w:val="115"/>
          <w:sz w:val="16"/>
        </w:rPr>
        <w:t xml:space="preserve"> </w:t>
      </w:r>
      <w:r>
        <w:rPr>
          <w:rFonts w:ascii="Book Antiqua"/>
          <w:i/>
          <w:w w:val="115"/>
          <w:sz w:val="16"/>
        </w:rPr>
        <w:t xml:space="preserve">of the Assistant Secretary for Research and </w:t>
      </w:r>
      <w:r>
        <w:rPr>
          <w:rFonts w:ascii="Book Antiqua"/>
          <w:i/>
          <w:spacing w:val="-2"/>
          <w:w w:val="115"/>
          <w:sz w:val="16"/>
        </w:rPr>
        <w:t>Technology.</w:t>
      </w:r>
    </w:p>
    <w:p>
      <w:pPr>
        <w:spacing w:before="47"/>
        <w:ind w:left="145" w:right="0" w:firstLine="0"/>
        <w:jc w:val="left"/>
        <w:rPr>
          <w:sz w:val="14"/>
        </w:rPr>
      </w:pPr>
      <w:r>
        <w:rPr>
          <w:w w:val="105"/>
          <w:sz w:val="14"/>
        </w:rPr>
        <w:t>[FR</w:t>
      </w:r>
      <w:r>
        <w:rPr>
          <w:spacing w:val="3"/>
          <w:w w:val="105"/>
          <w:sz w:val="14"/>
        </w:rPr>
        <w:t xml:space="preserve"> </w:t>
      </w:r>
      <w:r>
        <w:rPr>
          <w:w w:val="105"/>
          <w:sz w:val="14"/>
        </w:rPr>
        <w:t>Doc.</w:t>
      </w:r>
      <w:r>
        <w:rPr>
          <w:spacing w:val="3"/>
          <w:w w:val="105"/>
          <w:sz w:val="14"/>
        </w:rPr>
        <w:t xml:space="preserve"> </w:t>
      </w:r>
      <w:r>
        <w:rPr>
          <w:w w:val="105"/>
          <w:sz w:val="14"/>
        </w:rPr>
        <w:t>2024–25927</w:t>
      </w:r>
      <w:r>
        <w:rPr>
          <w:spacing w:val="3"/>
          <w:w w:val="105"/>
          <w:sz w:val="14"/>
        </w:rPr>
        <w:t xml:space="preserve"> </w:t>
      </w:r>
      <w:r>
        <w:rPr>
          <w:w w:val="105"/>
          <w:sz w:val="14"/>
        </w:rPr>
        <w:t>Filed</w:t>
      </w:r>
      <w:r>
        <w:rPr>
          <w:spacing w:val="3"/>
          <w:w w:val="105"/>
          <w:sz w:val="14"/>
        </w:rPr>
        <w:t xml:space="preserve"> </w:t>
      </w:r>
      <w:r>
        <w:rPr>
          <w:w w:val="105"/>
          <w:sz w:val="14"/>
        </w:rPr>
        <w:t>11–7–24;</w:t>
      </w:r>
      <w:r>
        <w:rPr>
          <w:spacing w:val="3"/>
          <w:w w:val="105"/>
          <w:sz w:val="14"/>
        </w:rPr>
        <w:t xml:space="preserve"> </w:t>
      </w:r>
      <w:r>
        <w:rPr>
          <w:w w:val="105"/>
          <w:sz w:val="14"/>
        </w:rPr>
        <w:t>8:45</w:t>
      </w:r>
      <w:r>
        <w:rPr>
          <w:spacing w:val="3"/>
          <w:w w:val="105"/>
          <w:sz w:val="14"/>
        </w:rPr>
        <w:t xml:space="preserve"> </w:t>
      </w:r>
      <w:r>
        <w:rPr>
          <w:spacing w:val="-5"/>
          <w:w w:val="105"/>
          <w:sz w:val="14"/>
        </w:rPr>
        <w:t>am]</w:t>
      </w:r>
    </w:p>
    <w:p>
      <w:pPr>
        <w:spacing w:before="76"/>
        <w:ind w:left="145" w:right="0" w:firstLine="0"/>
        <w:jc w:val="left"/>
        <w:rPr>
          <w:rFonts w:ascii="Arial" w:hAnsi="Arial"/>
          <w:b/>
          <w:sz w:val="12"/>
        </w:rPr>
      </w:pPr>
      <w:r>
        <mc:AlternateContent>
          <mc:Choice Requires="wps">
            <w:drawing>
              <wp:anchor distT="0" distB="0" distL="0" distR="0" simplePos="0" relativeHeight="251658240" behindDoc="0" locked="0" layoutInCell="1" allowOverlap="1">
                <wp:simplePos x="0" y="0"/>
                <wp:positionH relativeFrom="page">
                  <wp:posOffset>2819400</wp:posOffset>
                </wp:positionH>
                <wp:positionV relativeFrom="paragraph">
                  <wp:posOffset>249045</wp:posOffset>
                </wp:positionV>
                <wp:extent cx="2133600"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h="0"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1029" style="mso-position-horizontal-relative:page;position:absolute;z-index:251659264" from="222pt,19.6pt" to="390pt,19.6pt" stroked="t" strokecolor="black" strokeweight="0.3pt">
                <v:stroke dashstyle="solid"/>
              </v:line>
            </w:pict>
          </mc:Fallback>
        </mc:AlternateContent>
      </w: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4910–9X–P</w:t>
      </w:r>
    </w:p>
    <w:p>
      <w:pPr>
        <w:pStyle w:val="BodyText"/>
        <w:ind w:left="0"/>
        <w:rPr>
          <w:rFonts w:ascii="Arial"/>
          <w:b/>
          <w:sz w:val="12"/>
        </w:rPr>
      </w:pPr>
    </w:p>
    <w:p>
      <w:pPr>
        <w:pStyle w:val="BodyText"/>
        <w:spacing w:before="96"/>
        <w:ind w:left="0"/>
        <w:rPr>
          <w:rFonts w:ascii="Arial"/>
          <w:b/>
          <w:sz w:val="12"/>
        </w:rPr>
      </w:pPr>
    </w:p>
    <w:p>
      <w:pPr>
        <w:pStyle w:val="Heading1"/>
        <w:ind w:left="145"/>
      </w:pPr>
      <w:r>
        <w:t>DEPARTMENT</w:t>
      </w:r>
      <w:r>
        <w:rPr>
          <w:spacing w:val="-8"/>
        </w:rPr>
        <w:t xml:space="preserve"> </w:t>
      </w:r>
      <w:r>
        <w:t>OF</w:t>
      </w:r>
      <w:r>
        <w:rPr>
          <w:spacing w:val="-7"/>
        </w:rPr>
        <w:t xml:space="preserve"> </w:t>
      </w:r>
      <w:r>
        <w:rPr>
          <w:spacing w:val="-2"/>
        </w:rPr>
        <w:t>TRANSPORTATION</w:t>
      </w:r>
    </w:p>
    <w:p>
      <w:pPr>
        <w:spacing w:before="153"/>
        <w:ind w:left="145" w:right="0" w:firstLine="0"/>
        <w:jc w:val="left"/>
        <w:rPr>
          <w:rFonts w:ascii="Arial"/>
          <w:b/>
          <w:sz w:val="18"/>
        </w:rPr>
      </w:pPr>
      <w:r>
        <w:rPr>
          <w:rFonts w:ascii="Arial"/>
          <w:b/>
          <w:sz w:val="18"/>
        </w:rPr>
        <w:t>Bureau</w:t>
      </w:r>
      <w:r>
        <w:rPr>
          <w:rFonts w:ascii="Arial"/>
          <w:b/>
          <w:spacing w:val="-4"/>
          <w:sz w:val="18"/>
        </w:rPr>
        <w:t xml:space="preserve"> </w:t>
      </w:r>
      <w:r>
        <w:rPr>
          <w:rFonts w:ascii="Arial"/>
          <w:b/>
          <w:sz w:val="18"/>
        </w:rPr>
        <w:t>of</w:t>
      </w:r>
      <w:r>
        <w:rPr>
          <w:rFonts w:ascii="Arial"/>
          <w:b/>
          <w:spacing w:val="-3"/>
          <w:sz w:val="18"/>
        </w:rPr>
        <w:t xml:space="preserve"> </w:t>
      </w:r>
      <w:r>
        <w:rPr>
          <w:rFonts w:ascii="Arial"/>
          <w:b/>
          <w:sz w:val="18"/>
        </w:rPr>
        <w:t>Transportation</w:t>
      </w:r>
      <w:r>
        <w:rPr>
          <w:rFonts w:ascii="Arial"/>
          <w:b/>
          <w:spacing w:val="-3"/>
          <w:sz w:val="18"/>
        </w:rPr>
        <w:t xml:space="preserve"> </w:t>
      </w:r>
      <w:r>
        <w:rPr>
          <w:rFonts w:ascii="Arial"/>
          <w:b/>
          <w:spacing w:val="-2"/>
          <w:sz w:val="18"/>
        </w:rPr>
        <w:t>Statistics</w:t>
      </w:r>
    </w:p>
    <w:p>
      <w:pPr>
        <w:spacing w:before="160"/>
        <w:ind w:left="145" w:right="0" w:firstLine="0"/>
        <w:jc w:val="left"/>
        <w:rPr>
          <w:rFonts w:ascii="Arial" w:hAnsi="Arial"/>
          <w:b/>
          <w:sz w:val="16"/>
        </w:rPr>
      </w:pPr>
      <w:r>
        <w:rPr>
          <w:rFonts w:ascii="Arial" w:hAnsi="Arial"/>
          <w:b/>
          <w:sz w:val="16"/>
        </w:rPr>
        <w:t>[Docket</w:t>
      </w:r>
      <w:r>
        <w:rPr>
          <w:rFonts w:ascii="Arial" w:hAnsi="Arial"/>
          <w:b/>
          <w:spacing w:val="-3"/>
          <w:sz w:val="16"/>
        </w:rPr>
        <w:t xml:space="preserve"> </w:t>
      </w:r>
      <w:r>
        <w:rPr>
          <w:rFonts w:ascii="Arial" w:hAnsi="Arial"/>
          <w:b/>
          <w:sz w:val="16"/>
        </w:rPr>
        <w:t>ID</w:t>
      </w:r>
      <w:r>
        <w:rPr>
          <w:rFonts w:ascii="Arial" w:hAnsi="Arial"/>
          <w:b/>
          <w:spacing w:val="-3"/>
          <w:sz w:val="16"/>
        </w:rPr>
        <w:t xml:space="preserve"> </w:t>
      </w:r>
      <w:r>
        <w:rPr>
          <w:rFonts w:ascii="Arial" w:hAnsi="Arial"/>
          <w:b/>
          <w:sz w:val="16"/>
        </w:rPr>
        <w:t>Number</w:t>
      </w:r>
      <w:r>
        <w:rPr>
          <w:rFonts w:ascii="Arial" w:hAnsi="Arial"/>
          <w:b/>
          <w:spacing w:val="-3"/>
          <w:sz w:val="16"/>
        </w:rPr>
        <w:t xml:space="preserve"> </w:t>
      </w:r>
      <w:r>
        <w:rPr>
          <w:rFonts w:ascii="Arial" w:hAnsi="Arial"/>
          <w:b/>
          <w:spacing w:val="-2"/>
          <w:sz w:val="16"/>
        </w:rPr>
        <w:t>DOT–OST–2014–0031]</w:t>
      </w:r>
    </w:p>
    <w:p>
      <w:pPr>
        <w:pStyle w:val="Heading1"/>
        <w:spacing w:before="162" w:line="232" w:lineRule="auto"/>
        <w:ind w:left="145" w:right="35"/>
      </w:pPr>
      <w:r>
        <w:t>Agency Information Collection; Activity</w:t>
      </w:r>
      <w:r>
        <w:rPr>
          <w:spacing w:val="-9"/>
        </w:rPr>
        <w:t xml:space="preserve"> </w:t>
      </w:r>
      <w:r>
        <w:t>Under</w:t>
      </w:r>
      <w:r>
        <w:rPr>
          <w:spacing w:val="-9"/>
        </w:rPr>
        <w:t xml:space="preserve"> </w:t>
      </w:r>
      <w:r>
        <w:t>OMB</w:t>
      </w:r>
      <w:r>
        <w:rPr>
          <w:spacing w:val="-9"/>
        </w:rPr>
        <w:t xml:space="preserve"> </w:t>
      </w:r>
      <w:r>
        <w:t>Review;</w:t>
      </w:r>
      <w:r>
        <w:rPr>
          <w:spacing w:val="-9"/>
        </w:rPr>
        <w:t xml:space="preserve"> </w:t>
      </w:r>
      <w:r>
        <w:t>Report</w:t>
      </w:r>
      <w:r>
        <w:rPr>
          <w:spacing w:val="-9"/>
        </w:rPr>
        <w:t xml:space="preserve"> </w:t>
      </w:r>
      <w:r>
        <w:t>of Financial and Operating Statistics for Small Aircraft Operators</w:t>
      </w:r>
    </w:p>
    <w:p>
      <w:pPr>
        <w:pStyle w:val="BodyText"/>
        <w:spacing w:before="118" w:line="228" w:lineRule="auto"/>
        <w:ind w:left="145" w:hanging="1"/>
      </w:pPr>
      <w:r>
        <w:rPr>
          <w:rFonts w:ascii="Arial"/>
          <w:b/>
          <w:spacing w:val="-2"/>
          <w:w w:val="105"/>
          <w:sz w:val="15"/>
        </w:rPr>
        <w:t>AGENCY</w:t>
      </w:r>
      <w:r>
        <w:rPr>
          <w:rFonts w:ascii="Arial"/>
          <w:b/>
          <w:spacing w:val="-2"/>
          <w:w w:val="105"/>
        </w:rPr>
        <w:t>:</w:t>
      </w:r>
      <w:r>
        <w:rPr>
          <w:rFonts w:ascii="Arial"/>
          <w:b/>
          <w:spacing w:val="-12"/>
          <w:w w:val="105"/>
        </w:rPr>
        <w:t xml:space="preserve"> </w:t>
      </w:r>
      <w:r>
        <w:rPr>
          <w:spacing w:val="-2"/>
          <w:w w:val="105"/>
        </w:rPr>
        <w:t>Bureau</w:t>
      </w:r>
      <w:r>
        <w:rPr>
          <w:spacing w:val="-7"/>
          <w:w w:val="105"/>
        </w:rPr>
        <w:t xml:space="preserve"> </w:t>
      </w:r>
      <w:r>
        <w:rPr>
          <w:spacing w:val="-2"/>
          <w:w w:val="105"/>
        </w:rPr>
        <w:t>of</w:t>
      </w:r>
      <w:r>
        <w:rPr>
          <w:spacing w:val="-4"/>
          <w:w w:val="105"/>
        </w:rPr>
        <w:t xml:space="preserve"> </w:t>
      </w:r>
      <w:r>
        <w:rPr>
          <w:spacing w:val="-2"/>
          <w:w w:val="105"/>
        </w:rPr>
        <w:t>Transportation</w:t>
      </w:r>
      <w:r>
        <w:rPr>
          <w:w w:val="105"/>
        </w:rPr>
        <w:t xml:space="preserve"> Statistics (BTS), DOT.</w:t>
      </w:r>
    </w:p>
    <w:p>
      <w:pPr>
        <w:spacing w:before="31"/>
        <w:ind w:left="145" w:right="0" w:firstLine="0"/>
        <w:jc w:val="left"/>
        <w:rPr>
          <w:sz w:val="18"/>
        </w:rPr>
      </w:pPr>
      <w:r>
        <mc:AlternateContent>
          <mc:Choice Requires="wps">
            <w:drawing>
              <wp:anchor distT="0" distB="0" distL="0" distR="0" simplePos="0" relativeHeight="251660288" behindDoc="0" locked="0" layoutInCell="1" allowOverlap="1">
                <wp:simplePos x="0" y="0"/>
                <wp:positionH relativeFrom="page">
                  <wp:posOffset>2819400</wp:posOffset>
                </wp:positionH>
                <wp:positionV relativeFrom="paragraph">
                  <wp:posOffset>193829</wp:posOffset>
                </wp:positionV>
                <wp:extent cx="2133600" cy="127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2133600" cy="1270"/>
                        </a:xfrm>
                        <a:custGeom>
                          <a:avLst/>
                          <a:gdLst/>
                          <a:rect l="l" t="t" r="r" b="b"/>
                          <a:pathLst>
                            <a:path fill="norm" h="0" w="2133600" stroke="1">
                              <a:moveTo>
                                <a:pt x="0" y="0"/>
                              </a:moveTo>
                              <a:lnTo>
                                <a:pt x="2133600" y="0"/>
                              </a:lnTo>
                            </a:path>
                          </a:pathLst>
                        </a:custGeom>
                        <a:ln w="3810">
                          <a:solidFill>
                            <a:srgbClr val="000000"/>
                          </a:solidFill>
                          <a:prstDash val="solid"/>
                        </a:ln>
                      </wps:spPr>
                      <wps:bodyPr wrap="square" lIns="0" tIns="0" rIns="0" bIns="0" rtlCol="0">
                        <a:prstTxWarp prst="textNoShape">
                          <a:avLst/>
                        </a:prstTxWarp>
                      </wps:bodyPr>
                    </wps:wsp>
                  </a:graphicData>
                </a:graphic>
              </wp:anchor>
            </w:drawing>
          </mc:Choice>
          <mc:Fallback>
            <w:pict>
              <v:line id="_x0000_s1030" style="mso-position-horizontal-relative:page;position:absolute;z-index:251661312" from="222pt,15.25pt" to="390pt,15.25pt" stroked="t" strokecolor="black" strokeweight="0.3pt">
                <v:stroke dashstyle="solid"/>
              </v:line>
            </w:pict>
          </mc:Fallback>
        </mc:AlternateContent>
      </w:r>
      <w:r>
        <w:rPr>
          <w:rFonts w:ascii="Arial"/>
          <w:b/>
          <w:spacing w:val="-4"/>
          <w:sz w:val="15"/>
        </w:rPr>
        <w:t>ACTION</w:t>
      </w:r>
      <w:r>
        <w:rPr>
          <w:rFonts w:ascii="Arial"/>
          <w:b/>
          <w:spacing w:val="-4"/>
          <w:sz w:val="18"/>
        </w:rPr>
        <w:t>:</w:t>
      </w:r>
      <w:r>
        <w:rPr>
          <w:rFonts w:ascii="Arial"/>
          <w:b/>
          <w:spacing w:val="2"/>
          <w:sz w:val="18"/>
        </w:rPr>
        <w:t xml:space="preserve"> </w:t>
      </w:r>
      <w:r>
        <w:rPr>
          <w:spacing w:val="-2"/>
          <w:sz w:val="18"/>
        </w:rPr>
        <w:t>Notice.</w:t>
      </w:r>
    </w:p>
    <w:p>
      <w:pPr>
        <w:pStyle w:val="BodyText"/>
        <w:spacing w:before="143" w:line="228" w:lineRule="auto"/>
        <w:ind w:left="145" w:right="35" w:hanging="1"/>
      </w:pPr>
      <w:r>
        <w:rPr>
          <w:rFonts w:ascii="Arial" w:hAnsi="Arial"/>
          <w:b/>
          <w:w w:val="105"/>
          <w:sz w:val="15"/>
        </w:rPr>
        <w:t>SUMMARY</w:t>
      </w:r>
      <w:r>
        <w:rPr>
          <w:rFonts w:ascii="Arial" w:hAnsi="Arial"/>
          <w:b/>
          <w:w w:val="105"/>
        </w:rPr>
        <w:t xml:space="preserve">: </w:t>
      </w:r>
      <w:r>
        <w:rPr>
          <w:w w:val="105"/>
        </w:rPr>
        <w:t>In compliance with the Paperwork Reduction Act of 1995, the Bureau of Transportation Statistics invites the general public, industry and other governmental parties to comment on the continuing need for and usefulness of BTS collecting financial, traffic and operating statistics from</w:t>
      </w:r>
      <w:r>
        <w:rPr>
          <w:spacing w:val="40"/>
          <w:w w:val="105"/>
        </w:rPr>
        <w:t xml:space="preserve"> </w:t>
      </w:r>
      <w:r>
        <w:rPr>
          <w:w w:val="105"/>
        </w:rPr>
        <w:t xml:space="preserve">small certificated and commuter air carriers. Small certificated air carriers (operate aircraft with 60 seats or less or with 18,000 pounds of payload </w:t>
      </w:r>
      <w:r>
        <w:rPr>
          <w:w w:val="105"/>
        </w:rPr>
        <w:t>capacity or less) currently must file the two quarterly schedules: F–1 ‘‘Report of Financial Data’’, F–2 ‘‘Report of Aircraft Operating Expenses and Related Statistics’’, and Commuter air carriers must file the Schedule F–1 ‘‘Report of Financial Data’’. Commenters should address whether BTS accurately estimated the reporting burden and if there are other ways to enhance the quality, utility, and clarity of the information collected.</w:t>
      </w:r>
    </w:p>
    <w:p>
      <w:pPr>
        <w:pStyle w:val="BodyText"/>
        <w:spacing w:before="29" w:line="228" w:lineRule="auto"/>
        <w:ind w:left="145" w:right="327" w:hanging="1"/>
      </w:pPr>
      <w:r>
        <w:rPr>
          <w:rFonts w:ascii="Arial"/>
          <w:b/>
          <w:w w:val="105"/>
          <w:sz w:val="15"/>
        </w:rPr>
        <w:t>DATES</w:t>
      </w:r>
      <w:r>
        <w:rPr>
          <w:rFonts w:ascii="Arial"/>
          <w:b/>
          <w:w w:val="105"/>
        </w:rPr>
        <w:t>:</w:t>
      </w:r>
      <w:r>
        <w:rPr>
          <w:rFonts w:ascii="Arial"/>
          <w:b/>
          <w:spacing w:val="-14"/>
          <w:w w:val="105"/>
        </w:rPr>
        <w:t xml:space="preserve"> </w:t>
      </w:r>
      <w:r>
        <w:rPr>
          <w:w w:val="105"/>
        </w:rPr>
        <w:t>Written</w:t>
      </w:r>
      <w:r>
        <w:rPr>
          <w:spacing w:val="-10"/>
          <w:w w:val="105"/>
        </w:rPr>
        <w:t xml:space="preserve"> </w:t>
      </w:r>
      <w:r>
        <w:rPr>
          <w:w w:val="105"/>
        </w:rPr>
        <w:t>comments</w:t>
      </w:r>
      <w:r>
        <w:rPr>
          <w:spacing w:val="-8"/>
          <w:w w:val="105"/>
        </w:rPr>
        <w:t xml:space="preserve"> </w:t>
      </w:r>
      <w:r>
        <w:rPr>
          <w:w w:val="105"/>
        </w:rPr>
        <w:t>should</w:t>
      </w:r>
      <w:r>
        <w:rPr>
          <w:spacing w:val="-7"/>
          <w:w w:val="105"/>
        </w:rPr>
        <w:t xml:space="preserve"> </w:t>
      </w:r>
      <w:r>
        <w:rPr>
          <w:w w:val="105"/>
        </w:rPr>
        <w:t>be submitted by January 7, 2025.</w:t>
      </w:r>
    </w:p>
    <w:p>
      <w:pPr>
        <w:spacing w:before="33" w:line="202" w:lineRule="exact"/>
        <w:ind w:left="145" w:right="0" w:firstLine="0"/>
        <w:jc w:val="left"/>
        <w:rPr>
          <w:rFonts w:ascii="Arial"/>
          <w:b/>
          <w:sz w:val="18"/>
        </w:rPr>
      </w:pPr>
      <w:r>
        <w:rPr>
          <w:rFonts w:ascii="Arial"/>
          <w:b/>
          <w:spacing w:val="-4"/>
          <w:sz w:val="15"/>
        </w:rPr>
        <w:t>FOR</w:t>
      </w:r>
      <w:r>
        <w:rPr>
          <w:rFonts w:ascii="Arial"/>
          <w:b/>
          <w:spacing w:val="4"/>
          <w:sz w:val="15"/>
        </w:rPr>
        <w:t xml:space="preserve"> </w:t>
      </w:r>
      <w:r>
        <w:rPr>
          <w:rFonts w:ascii="Arial"/>
          <w:b/>
          <w:spacing w:val="-4"/>
          <w:sz w:val="15"/>
        </w:rPr>
        <w:t>FURTHER</w:t>
      </w:r>
      <w:r>
        <w:rPr>
          <w:rFonts w:ascii="Arial"/>
          <w:b/>
          <w:spacing w:val="5"/>
          <w:sz w:val="15"/>
        </w:rPr>
        <w:t xml:space="preserve"> </w:t>
      </w:r>
      <w:r>
        <w:rPr>
          <w:rFonts w:ascii="Arial"/>
          <w:b/>
          <w:spacing w:val="-4"/>
          <w:sz w:val="15"/>
        </w:rPr>
        <w:t>INFORMATION</w:t>
      </w:r>
      <w:r>
        <w:rPr>
          <w:rFonts w:ascii="Arial"/>
          <w:b/>
          <w:spacing w:val="5"/>
          <w:sz w:val="15"/>
        </w:rPr>
        <w:t xml:space="preserve"> </w:t>
      </w:r>
      <w:r>
        <w:rPr>
          <w:rFonts w:ascii="Arial"/>
          <w:b/>
          <w:spacing w:val="-4"/>
          <w:sz w:val="15"/>
        </w:rPr>
        <w:t>CONTACT</w:t>
      </w:r>
      <w:r>
        <w:rPr>
          <w:rFonts w:ascii="Arial"/>
          <w:b/>
          <w:spacing w:val="-4"/>
          <w:sz w:val="18"/>
        </w:rPr>
        <w:t>:</w:t>
      </w:r>
    </w:p>
    <w:p>
      <w:pPr>
        <w:pStyle w:val="BodyText"/>
        <w:spacing w:before="4" w:line="228" w:lineRule="auto"/>
        <w:ind w:left="145" w:right="55" w:firstLine="180"/>
      </w:pPr>
      <w:r>
        <w:rPr>
          <w:w w:val="105"/>
        </w:rPr>
        <w:t xml:space="preserve">Cecelia Robinson, Office of Airline Information, RTS–42, Room E34–110, OST–R, BTS, 1200 New Jersey </w:t>
      </w:r>
      <w:r>
        <w:rPr>
          <w:w w:val="105"/>
        </w:rPr>
        <w:t>Avenue SE, Washington, DC 20590–0001, telephone</w:t>
      </w:r>
      <w:r>
        <w:rPr>
          <w:spacing w:val="-5"/>
          <w:w w:val="105"/>
        </w:rPr>
        <w:t xml:space="preserve"> </w:t>
      </w:r>
      <w:r>
        <w:rPr>
          <w:w w:val="105"/>
        </w:rPr>
        <w:t>number</w:t>
      </w:r>
      <w:r>
        <w:rPr>
          <w:spacing w:val="-5"/>
          <w:w w:val="105"/>
        </w:rPr>
        <w:t xml:space="preserve"> </w:t>
      </w:r>
      <w:r>
        <w:rPr>
          <w:w w:val="105"/>
        </w:rPr>
        <w:t>(202)</w:t>
      </w:r>
      <w:r>
        <w:rPr>
          <w:spacing w:val="-5"/>
          <w:w w:val="105"/>
        </w:rPr>
        <w:t xml:space="preserve"> </w:t>
      </w:r>
      <w:r>
        <w:rPr>
          <w:w w:val="105"/>
        </w:rPr>
        <w:t>893–0515,</w:t>
      </w:r>
      <w:r>
        <w:rPr>
          <w:spacing w:val="-5"/>
          <w:w w:val="105"/>
        </w:rPr>
        <w:t xml:space="preserve"> </w:t>
      </w:r>
      <w:r>
        <w:rPr>
          <w:w w:val="105"/>
        </w:rPr>
        <w:t>fax</w:t>
      </w:r>
    </w:p>
    <w:p>
      <w:pPr>
        <w:pStyle w:val="BodyText"/>
        <w:spacing w:line="197" w:lineRule="exact"/>
        <w:ind w:left="145"/>
      </w:pPr>
      <w:r>
        <w:t>number</w:t>
      </w:r>
      <w:r>
        <w:rPr>
          <w:spacing w:val="12"/>
        </w:rPr>
        <w:t xml:space="preserve"> </w:t>
      </w:r>
      <w:r>
        <w:t>(202)</w:t>
      </w:r>
      <w:r>
        <w:rPr>
          <w:spacing w:val="13"/>
        </w:rPr>
        <w:t xml:space="preserve"> </w:t>
      </w:r>
      <w:r>
        <w:t>366–3383</w:t>
      </w:r>
      <w:r>
        <w:rPr>
          <w:spacing w:val="13"/>
        </w:rPr>
        <w:t xml:space="preserve"> </w:t>
      </w:r>
      <w:r>
        <w:t>or</w:t>
      </w:r>
      <w:r>
        <w:rPr>
          <w:spacing w:val="12"/>
        </w:rPr>
        <w:t xml:space="preserve"> </w:t>
      </w:r>
      <w:r>
        <w:rPr>
          <w:spacing w:val="-2"/>
        </w:rPr>
        <w:t>email</w:t>
      </w:r>
    </w:p>
    <w:p>
      <w:pPr>
        <w:spacing w:before="0" w:line="203" w:lineRule="exact"/>
        <w:ind w:left="145" w:right="0" w:firstLine="0"/>
        <w:jc w:val="left"/>
        <w:rPr>
          <w:rFonts w:ascii="Book Antiqua"/>
          <w:i/>
          <w:sz w:val="18"/>
        </w:rPr>
      </w:pPr>
      <w:hyperlink r:id="rId5">
        <w:r>
          <w:rPr>
            <w:rFonts w:ascii="Book Antiqua"/>
            <w:i/>
            <w:spacing w:val="-2"/>
            <w:w w:val="115"/>
            <w:sz w:val="18"/>
          </w:rPr>
          <w:t>cecelia.robinson@dot.gov.</w:t>
        </w:r>
      </w:hyperlink>
    </w:p>
    <w:p>
      <w:pPr>
        <w:pStyle w:val="BodyText"/>
        <w:spacing w:line="228" w:lineRule="auto"/>
        <w:ind w:left="145" w:right="55" w:firstLine="180"/>
      </w:pPr>
      <w:r>
        <w:rPr>
          <w:w w:val="105"/>
        </w:rPr>
        <w:t xml:space="preserve">Jennifer Rodes, Office of Airline Information, RTS–42, Room E32–103, OST–R, BTS, 1200 New Jersey </w:t>
      </w:r>
      <w:r>
        <w:rPr>
          <w:w w:val="105"/>
        </w:rPr>
        <w:t>Avenue SE, Washington, DC 20590–0001, telephone</w:t>
      </w:r>
      <w:r>
        <w:rPr>
          <w:spacing w:val="-5"/>
          <w:w w:val="105"/>
        </w:rPr>
        <w:t xml:space="preserve"> </w:t>
      </w:r>
      <w:r>
        <w:rPr>
          <w:w w:val="105"/>
        </w:rPr>
        <w:t>number</w:t>
      </w:r>
      <w:r>
        <w:rPr>
          <w:spacing w:val="-5"/>
          <w:w w:val="105"/>
        </w:rPr>
        <w:t xml:space="preserve"> </w:t>
      </w:r>
      <w:r>
        <w:rPr>
          <w:w w:val="105"/>
        </w:rPr>
        <w:t>(202)</w:t>
      </w:r>
      <w:r>
        <w:rPr>
          <w:spacing w:val="-5"/>
          <w:w w:val="105"/>
        </w:rPr>
        <w:t xml:space="preserve"> </w:t>
      </w:r>
      <w:r>
        <w:rPr>
          <w:w w:val="105"/>
        </w:rPr>
        <w:t>366–8513,</w:t>
      </w:r>
      <w:r>
        <w:rPr>
          <w:spacing w:val="-5"/>
          <w:w w:val="105"/>
        </w:rPr>
        <w:t xml:space="preserve"> </w:t>
      </w:r>
      <w:r>
        <w:rPr>
          <w:w w:val="105"/>
        </w:rPr>
        <w:t>fax</w:t>
      </w:r>
    </w:p>
    <w:p>
      <w:pPr>
        <w:pStyle w:val="BodyText"/>
        <w:spacing w:line="194" w:lineRule="exact"/>
        <w:ind w:left="145"/>
      </w:pPr>
      <w:r>
        <w:t>number</w:t>
      </w:r>
      <w:r>
        <w:rPr>
          <w:spacing w:val="12"/>
        </w:rPr>
        <w:t xml:space="preserve"> </w:t>
      </w:r>
      <w:r>
        <w:t>(202)</w:t>
      </w:r>
      <w:r>
        <w:rPr>
          <w:spacing w:val="13"/>
        </w:rPr>
        <w:t xml:space="preserve"> </w:t>
      </w:r>
      <w:r>
        <w:t>366–3383</w:t>
      </w:r>
      <w:r>
        <w:rPr>
          <w:spacing w:val="13"/>
        </w:rPr>
        <w:t xml:space="preserve"> </w:t>
      </w:r>
      <w:r>
        <w:t>or</w:t>
      </w:r>
      <w:r>
        <w:rPr>
          <w:spacing w:val="12"/>
        </w:rPr>
        <w:t xml:space="preserve"> </w:t>
      </w:r>
      <w:r>
        <w:rPr>
          <w:spacing w:val="-2"/>
        </w:rPr>
        <w:t>email</w:t>
      </w:r>
    </w:p>
    <w:p>
      <w:pPr>
        <w:spacing w:before="0" w:line="216" w:lineRule="exact"/>
        <w:ind w:left="145" w:right="0" w:firstLine="0"/>
        <w:jc w:val="left"/>
        <w:rPr>
          <w:sz w:val="18"/>
        </w:rPr>
      </w:pPr>
      <w:hyperlink r:id="rId6">
        <w:r>
          <w:rPr>
            <w:rFonts w:ascii="Book Antiqua"/>
            <w:i/>
            <w:spacing w:val="-2"/>
            <w:w w:val="115"/>
            <w:sz w:val="18"/>
          </w:rPr>
          <w:t>Jennifer.rodes@dot.gov</w:t>
        </w:r>
        <w:r>
          <w:rPr>
            <w:spacing w:val="-2"/>
            <w:w w:val="115"/>
            <w:sz w:val="18"/>
          </w:rPr>
          <w:t>.</w:t>
        </w:r>
      </w:hyperlink>
    </w:p>
    <w:p>
      <w:pPr>
        <w:pStyle w:val="BodyText"/>
        <w:spacing w:before="25" w:line="228" w:lineRule="auto"/>
        <w:ind w:left="145" w:hanging="1"/>
      </w:pPr>
      <w:r>
        <w:rPr>
          <w:rFonts w:ascii="Arial"/>
          <w:b/>
          <w:sz w:val="15"/>
        </w:rPr>
        <w:t>ADDRESSES</w:t>
      </w:r>
      <w:r>
        <w:rPr>
          <w:rFonts w:ascii="Arial"/>
          <w:b/>
        </w:rPr>
        <w:t xml:space="preserve">: </w:t>
      </w:r>
      <w:r>
        <w:t xml:space="preserve">You may submit </w:t>
      </w:r>
      <w:r>
        <w:t>comments</w:t>
      </w:r>
      <w:r>
        <w:rPr>
          <w:w w:val="110"/>
        </w:rPr>
        <w:t xml:space="preserve"> identified by DOT Docket ID Number</w:t>
      </w:r>
    </w:p>
    <w:p>
      <w:pPr>
        <w:pStyle w:val="BodyText"/>
        <w:spacing w:before="65" w:line="228" w:lineRule="auto"/>
        <w:ind w:right="98"/>
      </w:pPr>
      <w:r>
        <w:br w:type="column"/>
      </w:r>
      <w:r>
        <w:rPr>
          <w:w w:val="105"/>
        </w:rPr>
        <w:t xml:space="preserve">DOT–OST–2014–0031 by any of </w:t>
      </w:r>
      <w:r>
        <w:rPr>
          <w:w w:val="105"/>
        </w:rPr>
        <w:t>the following methods:</w:t>
      </w:r>
    </w:p>
    <w:p>
      <w:pPr>
        <w:spacing w:before="20" w:line="220" w:lineRule="auto"/>
        <w:ind w:left="160" w:right="98" w:firstLine="180"/>
        <w:jc w:val="left"/>
        <w:rPr>
          <w:sz w:val="18"/>
        </w:rPr>
      </w:pPr>
      <w:r>
        <w:rPr>
          <w:rFonts w:ascii="Book Antiqua"/>
          <w:i/>
          <w:w w:val="110"/>
          <w:sz w:val="18"/>
        </w:rPr>
        <w:t xml:space="preserve">Federal eRulemaking Portal: </w:t>
      </w:r>
      <w:r>
        <w:rPr>
          <w:w w:val="110"/>
          <w:sz w:val="18"/>
        </w:rPr>
        <w:t xml:space="preserve">Go to </w:t>
      </w:r>
      <w:hyperlink r:id="rId7">
        <w:r>
          <w:rPr>
            <w:rFonts w:ascii="Book Antiqua"/>
            <w:i/>
            <w:w w:val="110"/>
            <w:sz w:val="18"/>
          </w:rPr>
          <w:t>http://www.regulations.gov.</w:t>
        </w:r>
      </w:hyperlink>
      <w:r>
        <w:rPr>
          <w:rFonts w:ascii="Book Antiqua"/>
          <w:i/>
          <w:spacing w:val="-7"/>
          <w:w w:val="110"/>
          <w:sz w:val="18"/>
        </w:rPr>
        <w:t xml:space="preserve"> </w:t>
      </w:r>
      <w:r>
        <w:rPr>
          <w:w w:val="110"/>
          <w:sz w:val="18"/>
        </w:rPr>
        <w:t>Follow</w:t>
      </w:r>
      <w:r>
        <w:rPr>
          <w:spacing w:val="-1"/>
          <w:w w:val="110"/>
          <w:sz w:val="18"/>
        </w:rPr>
        <w:t xml:space="preserve"> </w:t>
      </w:r>
      <w:r>
        <w:rPr>
          <w:w w:val="110"/>
          <w:sz w:val="18"/>
        </w:rPr>
        <w:t xml:space="preserve">the online instructions for submitting </w:t>
      </w:r>
      <w:r>
        <w:rPr>
          <w:spacing w:val="-2"/>
          <w:w w:val="110"/>
          <w:sz w:val="18"/>
        </w:rPr>
        <w:t>comments.</w:t>
      </w:r>
    </w:p>
    <w:p>
      <w:pPr>
        <w:pStyle w:val="BodyText"/>
        <w:spacing w:before="16" w:line="225" w:lineRule="auto"/>
        <w:ind w:right="236" w:firstLine="180"/>
      </w:pPr>
      <w:r>
        <w:rPr>
          <w:rFonts w:ascii="Book Antiqua" w:hAnsi="Book Antiqua"/>
          <w:i/>
          <w:w w:val="105"/>
        </w:rPr>
        <w:t xml:space="preserve">Mail: </w:t>
      </w:r>
      <w:r>
        <w:rPr>
          <w:w w:val="105"/>
        </w:rPr>
        <w:t xml:space="preserve">Docket Services: U.S. Department of Transportation, 1200 New Jersey Avenue SE, West </w:t>
      </w:r>
      <w:r>
        <w:rPr>
          <w:w w:val="105"/>
        </w:rPr>
        <w:t>Building Ground Floor, Room W12–140, Washington, DC 20590–0001.</w:t>
      </w:r>
    </w:p>
    <w:p>
      <w:pPr>
        <w:spacing w:before="17" w:line="220" w:lineRule="auto"/>
        <w:ind w:left="160" w:right="96" w:firstLine="180"/>
        <w:jc w:val="left"/>
        <w:rPr>
          <w:sz w:val="18"/>
        </w:rPr>
      </w:pPr>
      <w:r>
        <w:rPr>
          <w:rFonts w:ascii="Book Antiqua" w:hAnsi="Book Antiqua"/>
          <w:i/>
          <w:w w:val="110"/>
          <w:sz w:val="18"/>
        </w:rPr>
        <w:t xml:space="preserve">Hand Delivery or Courier: </w:t>
      </w:r>
      <w:r>
        <w:rPr>
          <w:w w:val="110"/>
          <w:sz w:val="18"/>
        </w:rPr>
        <w:t xml:space="preserve">West </w:t>
      </w:r>
      <w:r>
        <w:rPr>
          <w:spacing w:val="-2"/>
          <w:w w:val="110"/>
          <w:sz w:val="18"/>
        </w:rPr>
        <w:t>Building</w:t>
      </w:r>
      <w:r>
        <w:rPr>
          <w:spacing w:val="-3"/>
          <w:w w:val="110"/>
          <w:sz w:val="18"/>
        </w:rPr>
        <w:t xml:space="preserve"> </w:t>
      </w:r>
      <w:r>
        <w:rPr>
          <w:spacing w:val="-2"/>
          <w:w w:val="110"/>
          <w:sz w:val="18"/>
        </w:rPr>
        <w:t>Ground</w:t>
      </w:r>
      <w:r>
        <w:rPr>
          <w:spacing w:val="-3"/>
          <w:w w:val="110"/>
          <w:sz w:val="18"/>
        </w:rPr>
        <w:t xml:space="preserve"> </w:t>
      </w:r>
      <w:r>
        <w:rPr>
          <w:spacing w:val="-2"/>
          <w:w w:val="110"/>
          <w:sz w:val="18"/>
        </w:rPr>
        <w:t>Floor,</w:t>
      </w:r>
      <w:r>
        <w:rPr>
          <w:spacing w:val="-3"/>
          <w:w w:val="110"/>
          <w:sz w:val="18"/>
        </w:rPr>
        <w:t xml:space="preserve"> </w:t>
      </w:r>
      <w:r>
        <w:rPr>
          <w:spacing w:val="-2"/>
          <w:w w:val="110"/>
          <w:sz w:val="18"/>
        </w:rPr>
        <w:t>Room</w:t>
      </w:r>
      <w:r>
        <w:rPr>
          <w:spacing w:val="-3"/>
          <w:w w:val="110"/>
          <w:sz w:val="18"/>
        </w:rPr>
        <w:t xml:space="preserve"> </w:t>
      </w:r>
      <w:r>
        <w:rPr>
          <w:spacing w:val="-2"/>
          <w:w w:val="110"/>
          <w:sz w:val="18"/>
        </w:rPr>
        <w:t xml:space="preserve">W12–140, </w:t>
      </w:r>
      <w:r>
        <w:rPr>
          <w:w w:val="110"/>
          <w:sz w:val="18"/>
        </w:rPr>
        <w:t>1200</w:t>
      </w:r>
      <w:r>
        <w:rPr>
          <w:spacing w:val="-4"/>
          <w:w w:val="110"/>
          <w:sz w:val="18"/>
        </w:rPr>
        <w:t xml:space="preserve"> </w:t>
      </w:r>
      <w:r>
        <w:rPr>
          <w:w w:val="110"/>
          <w:sz w:val="18"/>
        </w:rPr>
        <w:t>New</w:t>
      </w:r>
      <w:r>
        <w:rPr>
          <w:spacing w:val="-4"/>
          <w:w w:val="110"/>
          <w:sz w:val="18"/>
        </w:rPr>
        <w:t xml:space="preserve"> </w:t>
      </w:r>
      <w:r>
        <w:rPr>
          <w:w w:val="110"/>
          <w:sz w:val="18"/>
        </w:rPr>
        <w:t>Jersey</w:t>
      </w:r>
      <w:r>
        <w:rPr>
          <w:spacing w:val="-4"/>
          <w:w w:val="110"/>
          <w:sz w:val="18"/>
        </w:rPr>
        <w:t xml:space="preserve"> </w:t>
      </w:r>
      <w:r>
        <w:rPr>
          <w:w w:val="110"/>
          <w:sz w:val="18"/>
        </w:rPr>
        <w:t>Avenue</w:t>
      </w:r>
      <w:r>
        <w:rPr>
          <w:spacing w:val="-4"/>
          <w:w w:val="110"/>
          <w:sz w:val="18"/>
        </w:rPr>
        <w:t xml:space="preserve"> </w:t>
      </w:r>
      <w:r>
        <w:rPr>
          <w:w w:val="110"/>
          <w:sz w:val="18"/>
        </w:rPr>
        <w:t>SE,</w:t>
      </w:r>
      <w:r>
        <w:rPr>
          <w:spacing w:val="-4"/>
          <w:w w:val="110"/>
          <w:sz w:val="18"/>
        </w:rPr>
        <w:t xml:space="preserve"> </w:t>
      </w:r>
      <w:r>
        <w:rPr>
          <w:w w:val="110"/>
          <w:sz w:val="18"/>
        </w:rPr>
        <w:t>between</w:t>
      </w:r>
      <w:r>
        <w:rPr>
          <w:spacing w:val="-4"/>
          <w:w w:val="110"/>
          <w:sz w:val="18"/>
        </w:rPr>
        <w:t xml:space="preserve"> </w:t>
      </w:r>
      <w:r>
        <w:rPr>
          <w:w w:val="110"/>
          <w:sz w:val="18"/>
        </w:rPr>
        <w:t>9</w:t>
      </w:r>
    </w:p>
    <w:p>
      <w:pPr>
        <w:pStyle w:val="BodyText"/>
        <w:spacing w:before="3" w:line="228" w:lineRule="auto"/>
        <w:ind w:right="98"/>
      </w:pPr>
      <w:r>
        <w:rPr>
          <w:w w:val="110"/>
        </w:rPr>
        <w:t>a.m.</w:t>
      </w:r>
      <w:r>
        <w:rPr>
          <w:spacing w:val="-4"/>
          <w:w w:val="110"/>
        </w:rPr>
        <w:t xml:space="preserve"> </w:t>
      </w:r>
      <w:r>
        <w:rPr>
          <w:w w:val="110"/>
        </w:rPr>
        <w:t>and</w:t>
      </w:r>
      <w:r>
        <w:rPr>
          <w:spacing w:val="-4"/>
          <w:w w:val="110"/>
        </w:rPr>
        <w:t xml:space="preserve"> </w:t>
      </w:r>
      <w:r>
        <w:rPr>
          <w:w w:val="110"/>
        </w:rPr>
        <w:t>5</w:t>
      </w:r>
      <w:r>
        <w:rPr>
          <w:spacing w:val="-5"/>
          <w:w w:val="110"/>
        </w:rPr>
        <w:t xml:space="preserve"> </w:t>
      </w:r>
      <w:r>
        <w:rPr>
          <w:w w:val="110"/>
        </w:rPr>
        <w:t>p.m.</w:t>
      </w:r>
      <w:r>
        <w:rPr>
          <w:spacing w:val="-4"/>
          <w:w w:val="110"/>
        </w:rPr>
        <w:t xml:space="preserve"> </w:t>
      </w:r>
      <w:r>
        <w:rPr>
          <w:w w:val="110"/>
        </w:rPr>
        <w:t>ET,</w:t>
      </w:r>
      <w:r>
        <w:rPr>
          <w:spacing w:val="-4"/>
          <w:w w:val="110"/>
        </w:rPr>
        <w:t xml:space="preserve"> </w:t>
      </w:r>
      <w:r>
        <w:rPr>
          <w:w w:val="110"/>
        </w:rPr>
        <w:t>Monday</w:t>
      </w:r>
      <w:r>
        <w:rPr>
          <w:spacing w:val="-5"/>
          <w:w w:val="110"/>
        </w:rPr>
        <w:t xml:space="preserve"> </w:t>
      </w:r>
      <w:r>
        <w:rPr>
          <w:w w:val="110"/>
        </w:rPr>
        <w:t>through</w:t>
      </w:r>
      <w:r>
        <w:rPr>
          <w:w w:val="110"/>
        </w:rPr>
        <w:t xml:space="preserve"> Friday, except Federal holidays.</w:t>
      </w:r>
    </w:p>
    <w:p>
      <w:pPr>
        <w:spacing w:before="7" w:line="219" w:lineRule="exact"/>
        <w:ind w:left="340" w:right="0" w:firstLine="0"/>
        <w:jc w:val="left"/>
        <w:rPr>
          <w:sz w:val="18"/>
        </w:rPr>
      </w:pPr>
      <w:r>
        <w:rPr>
          <w:rFonts w:ascii="Book Antiqua" w:hAnsi="Book Antiqua"/>
          <w:i/>
          <w:w w:val="105"/>
          <w:sz w:val="18"/>
        </w:rPr>
        <w:t>Fax:</w:t>
      </w:r>
      <w:r>
        <w:rPr>
          <w:rFonts w:ascii="Book Antiqua" w:hAnsi="Book Antiqua"/>
          <w:i/>
          <w:spacing w:val="26"/>
          <w:w w:val="105"/>
          <w:sz w:val="18"/>
        </w:rPr>
        <w:t xml:space="preserve"> </w:t>
      </w:r>
      <w:r>
        <w:rPr>
          <w:spacing w:val="-2"/>
          <w:w w:val="105"/>
          <w:sz w:val="18"/>
        </w:rPr>
        <w:t>202–366–3383.</w:t>
      </w:r>
    </w:p>
    <w:p>
      <w:pPr>
        <w:pStyle w:val="BodyText"/>
        <w:spacing w:before="7" w:line="225" w:lineRule="auto"/>
        <w:ind w:right="152" w:firstLine="180"/>
      </w:pPr>
      <w:r>
        <w:rPr>
          <w:rFonts w:ascii="Book Antiqua" w:hAnsi="Book Antiqua"/>
          <w:i/>
          <w:w w:val="110"/>
        </w:rPr>
        <w:t>Instructions:</w:t>
      </w:r>
      <w:r>
        <w:rPr>
          <w:rFonts w:ascii="Book Antiqua" w:hAnsi="Book Antiqua"/>
          <w:i/>
          <w:spacing w:val="-6"/>
          <w:w w:val="110"/>
        </w:rPr>
        <w:t xml:space="preserve"> </w:t>
      </w:r>
      <w:r>
        <w:rPr>
          <w:w w:val="110"/>
        </w:rPr>
        <w:t>Identify</w:t>
      </w:r>
      <w:r>
        <w:rPr>
          <w:spacing w:val="-1"/>
          <w:w w:val="110"/>
        </w:rPr>
        <w:t xml:space="preserve"> </w:t>
      </w:r>
      <w:r>
        <w:rPr>
          <w:w w:val="110"/>
        </w:rPr>
        <w:t>docket</w:t>
      </w:r>
      <w:r>
        <w:rPr>
          <w:spacing w:val="-1"/>
          <w:w w:val="110"/>
        </w:rPr>
        <w:t xml:space="preserve"> </w:t>
      </w:r>
      <w:r>
        <w:rPr>
          <w:w w:val="110"/>
        </w:rPr>
        <w:t>number, DOT–OST–2014–0031,</w:t>
      </w:r>
      <w:r>
        <w:rPr>
          <w:spacing w:val="-11"/>
          <w:w w:val="110"/>
        </w:rPr>
        <w:t xml:space="preserve"> </w:t>
      </w:r>
      <w:r>
        <w:rPr>
          <w:w w:val="110"/>
        </w:rPr>
        <w:t>at</w:t>
      </w:r>
      <w:r>
        <w:rPr>
          <w:spacing w:val="-11"/>
          <w:w w:val="110"/>
        </w:rPr>
        <w:t xml:space="preserve"> </w:t>
      </w:r>
      <w:r>
        <w:rPr>
          <w:w w:val="110"/>
        </w:rPr>
        <w:t>the</w:t>
      </w:r>
      <w:r>
        <w:rPr>
          <w:spacing w:val="-11"/>
          <w:w w:val="110"/>
        </w:rPr>
        <w:t xml:space="preserve"> </w:t>
      </w:r>
      <w:r>
        <w:rPr>
          <w:w w:val="110"/>
        </w:rPr>
        <w:t>beginning of</w:t>
      </w:r>
      <w:r>
        <w:rPr>
          <w:spacing w:val="-11"/>
          <w:w w:val="110"/>
        </w:rPr>
        <w:t xml:space="preserve"> </w:t>
      </w:r>
      <w:r>
        <w:rPr>
          <w:w w:val="110"/>
        </w:rPr>
        <w:t>your</w:t>
      </w:r>
      <w:r>
        <w:rPr>
          <w:spacing w:val="-11"/>
          <w:w w:val="110"/>
        </w:rPr>
        <w:t xml:space="preserve"> </w:t>
      </w:r>
      <w:r>
        <w:rPr>
          <w:w w:val="110"/>
        </w:rPr>
        <w:t>comments,</w:t>
      </w:r>
      <w:r>
        <w:rPr>
          <w:spacing w:val="-11"/>
          <w:w w:val="110"/>
        </w:rPr>
        <w:t xml:space="preserve"> </w:t>
      </w:r>
      <w:r>
        <w:rPr>
          <w:w w:val="110"/>
        </w:rPr>
        <w:t>and</w:t>
      </w:r>
      <w:r>
        <w:rPr>
          <w:spacing w:val="-11"/>
          <w:w w:val="110"/>
        </w:rPr>
        <w:t xml:space="preserve"> </w:t>
      </w:r>
      <w:r>
        <w:rPr>
          <w:w w:val="110"/>
        </w:rPr>
        <w:t>send</w:t>
      </w:r>
      <w:r>
        <w:rPr>
          <w:spacing w:val="-11"/>
          <w:w w:val="110"/>
        </w:rPr>
        <w:t xml:space="preserve"> </w:t>
      </w:r>
      <w:r>
        <w:rPr>
          <w:w w:val="110"/>
        </w:rPr>
        <w:t>two</w:t>
      </w:r>
      <w:r>
        <w:rPr>
          <w:spacing w:val="-11"/>
          <w:w w:val="110"/>
        </w:rPr>
        <w:t xml:space="preserve"> </w:t>
      </w:r>
      <w:r>
        <w:rPr>
          <w:w w:val="110"/>
        </w:rPr>
        <w:t>copies. To receive confirmation that DOT received</w:t>
      </w:r>
      <w:r>
        <w:rPr>
          <w:spacing w:val="-11"/>
          <w:w w:val="110"/>
        </w:rPr>
        <w:t xml:space="preserve"> </w:t>
      </w:r>
      <w:r>
        <w:rPr>
          <w:w w:val="110"/>
        </w:rPr>
        <w:t>your</w:t>
      </w:r>
      <w:r>
        <w:rPr>
          <w:spacing w:val="-11"/>
          <w:w w:val="110"/>
        </w:rPr>
        <w:t xml:space="preserve"> </w:t>
      </w:r>
      <w:r>
        <w:rPr>
          <w:w w:val="110"/>
        </w:rPr>
        <w:t>comments,</w:t>
      </w:r>
      <w:r>
        <w:rPr>
          <w:spacing w:val="-11"/>
          <w:w w:val="110"/>
        </w:rPr>
        <w:t xml:space="preserve"> </w:t>
      </w:r>
      <w:r>
        <w:rPr>
          <w:w w:val="110"/>
        </w:rPr>
        <w:t>include</w:t>
      </w:r>
      <w:r>
        <w:rPr>
          <w:spacing w:val="-11"/>
          <w:w w:val="110"/>
        </w:rPr>
        <w:t xml:space="preserve"> </w:t>
      </w:r>
      <w:r>
        <w:rPr>
          <w:w w:val="110"/>
        </w:rPr>
        <w:t>a</w:t>
      </w:r>
      <w:r>
        <w:rPr>
          <w:spacing w:val="-10"/>
          <w:w w:val="110"/>
        </w:rPr>
        <w:t xml:space="preserve"> </w:t>
      </w:r>
      <w:r>
        <w:rPr>
          <w:w w:val="110"/>
        </w:rPr>
        <w:t xml:space="preserve">self- addressed stamped postcard. Internet </w:t>
      </w:r>
      <w:r>
        <w:t>users may access all comments received</w:t>
      </w:r>
      <w:r>
        <w:rPr>
          <w:spacing w:val="80"/>
          <w:w w:val="110"/>
        </w:rPr>
        <w:t xml:space="preserve"> </w:t>
      </w:r>
      <w:r>
        <w:rPr>
          <w:w w:val="110"/>
        </w:rPr>
        <w:t xml:space="preserve">by DOT at </w:t>
      </w:r>
      <w:hyperlink r:id="rId7">
        <w:r>
          <w:rPr>
            <w:rFonts w:ascii="Book Antiqua" w:hAnsi="Book Antiqua"/>
            <w:i/>
            <w:w w:val="110"/>
          </w:rPr>
          <w:t>http://www.regulations.gov.</w:t>
        </w:r>
      </w:hyperlink>
      <w:r>
        <w:rPr>
          <w:rFonts w:ascii="Book Antiqua" w:hAnsi="Book Antiqua"/>
          <w:i/>
          <w:w w:val="110"/>
        </w:rPr>
        <w:t xml:space="preserve"> </w:t>
      </w:r>
      <w:r>
        <w:rPr>
          <w:w w:val="110"/>
        </w:rPr>
        <w:t>All comments are posted electronically without charge or edits, including any personal information provided.</w:t>
      </w:r>
    </w:p>
    <w:p>
      <w:pPr>
        <w:pStyle w:val="BodyText"/>
        <w:spacing w:before="14" w:line="225" w:lineRule="auto"/>
        <w:ind w:right="96" w:firstLine="180"/>
      </w:pPr>
      <w:r>
        <w:rPr>
          <w:rFonts w:ascii="Book Antiqua" w:hAnsi="Book Antiqua"/>
          <w:i/>
          <w:w w:val="105"/>
        </w:rPr>
        <w:t xml:space="preserve">Comments: </w:t>
      </w:r>
      <w:r>
        <w:rPr>
          <w:w w:val="105"/>
        </w:rPr>
        <w:t xml:space="preserve">Comments should </w:t>
      </w:r>
      <w:r>
        <w:rPr>
          <w:w w:val="105"/>
        </w:rPr>
        <w:t>identify the associated OMB approval #2138– 0009 and Docket ID Number DOT–OST– 2014–0031. Persons wishing the Department to acknowledge receipt of their comments must submit with those comments a self-addressed stamped postcard on which the following statement is made: Comments on OMB #2138–0009, Docket—DOT–OST–2014–</w:t>
      </w:r>
    </w:p>
    <w:p>
      <w:pPr>
        <w:pStyle w:val="BodyText"/>
        <w:spacing w:before="4" w:line="228" w:lineRule="auto"/>
        <w:ind w:right="236"/>
      </w:pPr>
      <w:r>
        <w:rPr>
          <w:w w:val="105"/>
        </w:rPr>
        <w:t xml:space="preserve">0031. The postcard will be </w:t>
      </w:r>
      <w:r>
        <w:rPr>
          <w:w w:val="105"/>
        </w:rPr>
        <w:t>date/time stamped and returned.</w:t>
      </w:r>
    </w:p>
    <w:p>
      <w:pPr>
        <w:pStyle w:val="BodyText"/>
        <w:spacing w:before="17" w:line="225" w:lineRule="auto"/>
        <w:ind w:right="98" w:firstLine="180"/>
      </w:pPr>
      <w:r>
        <w:rPr>
          <w:rFonts w:ascii="Book Antiqua" w:hAnsi="Book Antiqua"/>
          <w:i/>
          <w:w w:val="105"/>
        </w:rPr>
        <w:t xml:space="preserve">Privacy Act: </w:t>
      </w:r>
      <w:r>
        <w:rPr>
          <w:w w:val="105"/>
        </w:rPr>
        <w:t xml:space="preserve">Anyone is able to </w:t>
      </w:r>
      <w:r>
        <w:rPr>
          <w:w w:val="105"/>
        </w:rPr>
        <w:t xml:space="preserve">search the electronic form of all comments received into any of our dockets by the name of the individual submitting the comment (or signing the comment, if submitted on behalf of an association, business, labor union, etc.). You may review DOT’s complete Privacy Act Statement in the </w:t>
      </w:r>
      <w:r>
        <w:rPr>
          <w:rFonts w:ascii="Book Antiqua" w:hAnsi="Book Antiqua"/>
          <w:b/>
          <w:w w:val="105"/>
        </w:rPr>
        <w:t xml:space="preserve">Federal Register </w:t>
      </w:r>
      <w:r>
        <w:rPr>
          <w:w w:val="105"/>
        </w:rPr>
        <w:t>published on April 11, 2000 (65 FR</w:t>
      </w:r>
    </w:p>
    <w:p>
      <w:pPr>
        <w:pStyle w:val="BodyText"/>
        <w:spacing w:line="200" w:lineRule="exact"/>
      </w:pPr>
      <w:r>
        <w:rPr>
          <w:spacing w:val="-2"/>
        </w:rPr>
        <w:t>19477–78).</w:t>
      </w:r>
    </w:p>
    <w:p>
      <w:pPr>
        <w:pStyle w:val="BodyText"/>
        <w:spacing w:before="18" w:line="220" w:lineRule="auto"/>
        <w:ind w:right="236" w:firstLine="180"/>
      </w:pPr>
      <w:r>
        <w:rPr>
          <w:rFonts w:ascii="Book Antiqua"/>
          <w:i/>
          <w:w w:val="110"/>
        </w:rPr>
        <w:t xml:space="preserve">Docket: </w:t>
      </w:r>
      <w:r>
        <w:rPr>
          <w:w w:val="110"/>
        </w:rPr>
        <w:t xml:space="preserve">For access to the docket to read background documents or comments received, go to </w:t>
      </w:r>
      <w:hyperlink r:id="rId7">
        <w:r>
          <w:rPr>
            <w:rFonts w:ascii="Book Antiqua"/>
            <w:i/>
            <w:w w:val="110"/>
          </w:rPr>
          <w:t>http://</w:t>
        </w:r>
      </w:hyperlink>
      <w:r>
        <w:rPr>
          <w:rFonts w:ascii="Book Antiqua"/>
          <w:i/>
          <w:w w:val="110"/>
        </w:rPr>
        <w:t xml:space="preserve"> </w:t>
      </w:r>
      <w:hyperlink r:id="rId7">
        <w:r>
          <w:rPr>
            <w:rFonts w:ascii="Book Antiqua"/>
            <w:i/>
            <w:w w:val="110"/>
          </w:rPr>
          <w:t>www.regulations.gov</w:t>
        </w:r>
      </w:hyperlink>
      <w:r>
        <w:rPr>
          <w:rFonts w:ascii="Book Antiqua"/>
          <w:i/>
          <w:w w:val="110"/>
        </w:rPr>
        <w:t xml:space="preserve"> </w:t>
      </w:r>
      <w:r>
        <w:rPr>
          <w:w w:val="110"/>
        </w:rPr>
        <w:t>or the street address</w:t>
      </w:r>
      <w:r>
        <w:rPr>
          <w:spacing w:val="-11"/>
          <w:w w:val="110"/>
        </w:rPr>
        <w:t xml:space="preserve"> </w:t>
      </w:r>
      <w:r>
        <w:rPr>
          <w:w w:val="110"/>
        </w:rPr>
        <w:t>listed</w:t>
      </w:r>
      <w:r>
        <w:rPr>
          <w:spacing w:val="-11"/>
          <w:w w:val="110"/>
        </w:rPr>
        <w:t xml:space="preserve"> </w:t>
      </w:r>
      <w:r>
        <w:rPr>
          <w:w w:val="110"/>
        </w:rPr>
        <w:t>above.</w:t>
      </w:r>
      <w:r>
        <w:rPr>
          <w:spacing w:val="-11"/>
          <w:w w:val="110"/>
        </w:rPr>
        <w:t xml:space="preserve"> </w:t>
      </w:r>
      <w:r>
        <w:rPr>
          <w:w w:val="110"/>
        </w:rPr>
        <w:t>Follow</w:t>
      </w:r>
      <w:r>
        <w:rPr>
          <w:spacing w:val="-11"/>
          <w:w w:val="110"/>
        </w:rPr>
        <w:t xml:space="preserve"> </w:t>
      </w:r>
      <w:r>
        <w:rPr>
          <w:w w:val="110"/>
        </w:rPr>
        <w:t>the</w:t>
      </w:r>
      <w:r>
        <w:rPr>
          <w:spacing w:val="-11"/>
          <w:w w:val="110"/>
        </w:rPr>
        <w:t xml:space="preserve"> </w:t>
      </w:r>
      <w:r>
        <w:rPr>
          <w:w w:val="110"/>
        </w:rPr>
        <w:t>online instructions</w:t>
      </w:r>
      <w:r>
        <w:rPr>
          <w:spacing w:val="-3"/>
          <w:w w:val="110"/>
        </w:rPr>
        <w:t xml:space="preserve"> </w:t>
      </w:r>
      <w:r>
        <w:rPr>
          <w:w w:val="110"/>
        </w:rPr>
        <w:t>for</w:t>
      </w:r>
      <w:r>
        <w:rPr>
          <w:spacing w:val="-3"/>
          <w:w w:val="110"/>
        </w:rPr>
        <w:t xml:space="preserve"> </w:t>
      </w:r>
      <w:r>
        <w:rPr>
          <w:w w:val="110"/>
        </w:rPr>
        <w:t>accessing</w:t>
      </w:r>
      <w:r>
        <w:rPr>
          <w:spacing w:val="-3"/>
          <w:w w:val="110"/>
        </w:rPr>
        <w:t xml:space="preserve"> </w:t>
      </w:r>
      <w:r>
        <w:rPr>
          <w:w w:val="110"/>
        </w:rPr>
        <w:t>the</w:t>
      </w:r>
      <w:r>
        <w:rPr>
          <w:spacing w:val="-3"/>
          <w:w w:val="110"/>
        </w:rPr>
        <w:t xml:space="preserve"> </w:t>
      </w:r>
      <w:r>
        <w:rPr>
          <w:w w:val="110"/>
        </w:rPr>
        <w:t>dockets.</w:t>
      </w:r>
    </w:p>
    <w:p>
      <w:pPr>
        <w:spacing w:before="22" w:line="220" w:lineRule="auto"/>
        <w:ind w:left="160" w:right="236" w:firstLine="180"/>
        <w:jc w:val="left"/>
        <w:rPr>
          <w:sz w:val="18"/>
        </w:rPr>
      </w:pPr>
      <w:r>
        <w:rPr>
          <w:rFonts w:ascii="Book Antiqua" w:hAnsi="Book Antiqua"/>
          <w:i/>
          <w:w w:val="110"/>
          <w:sz w:val="18"/>
        </w:rPr>
        <w:t xml:space="preserve">Electronic Access: </w:t>
      </w:r>
      <w:r>
        <w:rPr>
          <w:w w:val="110"/>
          <w:sz w:val="18"/>
        </w:rPr>
        <w:t xml:space="preserve">You may access comments received for this notice at </w:t>
      </w:r>
      <w:hyperlink r:id="rId7">
        <w:r>
          <w:rPr>
            <w:rFonts w:ascii="Book Antiqua" w:hAnsi="Book Antiqua"/>
            <w:i/>
            <w:w w:val="110"/>
            <w:sz w:val="18"/>
          </w:rPr>
          <w:t>http://www.regulations.gov,</w:t>
        </w:r>
      </w:hyperlink>
      <w:r>
        <w:rPr>
          <w:rFonts w:ascii="Book Antiqua" w:hAnsi="Book Antiqua"/>
          <w:i/>
          <w:w w:val="110"/>
          <w:sz w:val="18"/>
        </w:rPr>
        <w:t xml:space="preserve"> </w:t>
      </w:r>
      <w:r>
        <w:rPr>
          <w:w w:val="110"/>
          <w:sz w:val="18"/>
        </w:rPr>
        <w:t>by</w:t>
      </w:r>
      <w:r>
        <w:rPr>
          <w:spacing w:val="80"/>
          <w:w w:val="150"/>
          <w:sz w:val="18"/>
        </w:rPr>
        <w:t xml:space="preserve"> </w:t>
      </w:r>
      <w:r>
        <w:rPr>
          <w:sz w:val="18"/>
        </w:rPr>
        <w:t>searching</w:t>
      </w:r>
      <w:r>
        <w:rPr>
          <w:spacing w:val="37"/>
          <w:sz w:val="18"/>
        </w:rPr>
        <w:t xml:space="preserve"> </w:t>
      </w:r>
      <w:r>
        <w:rPr>
          <w:sz w:val="18"/>
        </w:rPr>
        <w:t>docket</w:t>
      </w:r>
      <w:r>
        <w:rPr>
          <w:spacing w:val="37"/>
          <w:sz w:val="18"/>
        </w:rPr>
        <w:t xml:space="preserve"> </w:t>
      </w:r>
      <w:r>
        <w:rPr>
          <w:sz w:val="18"/>
        </w:rPr>
        <w:t>DOT–OST–2014–0031.</w:t>
      </w:r>
    </w:p>
    <w:p>
      <w:pPr>
        <w:spacing w:before="47"/>
        <w:ind w:left="160" w:right="0" w:firstLine="0"/>
        <w:jc w:val="left"/>
        <w:rPr>
          <w:rFonts w:ascii="Arial"/>
          <w:b/>
          <w:sz w:val="18"/>
        </w:rPr>
      </w:pPr>
      <w:r>
        <w:rPr>
          <w:rFonts w:ascii="Arial"/>
          <w:b/>
          <w:spacing w:val="-5"/>
          <w:sz w:val="15"/>
        </w:rPr>
        <w:t>SUPPLEMENTARY</w:t>
      </w:r>
      <w:r>
        <w:rPr>
          <w:rFonts w:ascii="Arial"/>
          <w:b/>
          <w:spacing w:val="4"/>
          <w:sz w:val="15"/>
        </w:rPr>
        <w:t xml:space="preserve"> </w:t>
      </w:r>
      <w:r>
        <w:rPr>
          <w:rFonts w:ascii="Arial"/>
          <w:b/>
          <w:spacing w:val="-2"/>
          <w:sz w:val="15"/>
        </w:rPr>
        <w:t>INFORMATION</w:t>
      </w:r>
      <w:r>
        <w:rPr>
          <w:rFonts w:ascii="Arial"/>
          <w:b/>
          <w:spacing w:val="-2"/>
          <w:sz w:val="18"/>
        </w:rPr>
        <w:t>:</w:t>
      </w:r>
    </w:p>
    <w:p>
      <w:pPr>
        <w:spacing w:before="5" w:line="218" w:lineRule="exact"/>
        <w:ind w:left="340" w:right="0" w:firstLine="0"/>
        <w:jc w:val="left"/>
        <w:rPr>
          <w:sz w:val="18"/>
        </w:rPr>
      </w:pPr>
      <w:r>
        <w:rPr>
          <w:rFonts w:ascii="Book Antiqua" w:hAnsi="Book Antiqua"/>
          <w:i/>
          <w:w w:val="105"/>
          <w:sz w:val="18"/>
        </w:rPr>
        <w:t>OMB</w:t>
      </w:r>
      <w:r>
        <w:rPr>
          <w:rFonts w:ascii="Book Antiqua" w:hAnsi="Book Antiqua"/>
          <w:i/>
          <w:spacing w:val="17"/>
          <w:w w:val="105"/>
          <w:sz w:val="18"/>
        </w:rPr>
        <w:t xml:space="preserve"> </w:t>
      </w:r>
      <w:r>
        <w:rPr>
          <w:rFonts w:ascii="Book Antiqua" w:hAnsi="Book Antiqua"/>
          <w:i/>
          <w:w w:val="105"/>
          <w:sz w:val="18"/>
        </w:rPr>
        <w:t>Approval</w:t>
      </w:r>
      <w:r>
        <w:rPr>
          <w:rFonts w:ascii="Book Antiqua" w:hAnsi="Book Antiqua"/>
          <w:i/>
          <w:spacing w:val="18"/>
          <w:w w:val="105"/>
          <w:sz w:val="18"/>
        </w:rPr>
        <w:t xml:space="preserve"> </w:t>
      </w:r>
      <w:r>
        <w:rPr>
          <w:rFonts w:ascii="Book Antiqua" w:hAnsi="Book Antiqua"/>
          <w:i/>
          <w:w w:val="105"/>
          <w:sz w:val="18"/>
        </w:rPr>
        <w:t>No.:</w:t>
      </w:r>
      <w:r>
        <w:rPr>
          <w:rFonts w:ascii="Book Antiqua" w:hAnsi="Book Antiqua"/>
          <w:i/>
          <w:spacing w:val="18"/>
          <w:w w:val="105"/>
          <w:sz w:val="18"/>
        </w:rPr>
        <w:t xml:space="preserve"> </w:t>
      </w:r>
      <w:r>
        <w:rPr>
          <w:spacing w:val="-2"/>
          <w:w w:val="105"/>
          <w:sz w:val="18"/>
        </w:rPr>
        <w:t>2138–0009.</w:t>
      </w:r>
    </w:p>
    <w:p>
      <w:pPr>
        <w:pStyle w:val="BodyText"/>
        <w:spacing w:before="10" w:line="220" w:lineRule="auto"/>
        <w:ind w:right="236" w:firstLine="180"/>
      </w:pPr>
      <w:r>
        <w:rPr>
          <w:rFonts w:ascii="Book Antiqua"/>
          <w:i/>
          <w:w w:val="105"/>
        </w:rPr>
        <w:t xml:space="preserve">Title: </w:t>
      </w:r>
      <w:r>
        <w:rPr>
          <w:w w:val="105"/>
        </w:rPr>
        <w:t xml:space="preserve">Report of Financial and Operating Statistics for Small </w:t>
      </w:r>
      <w:r>
        <w:rPr>
          <w:w w:val="105"/>
        </w:rPr>
        <w:t xml:space="preserve">Aircraft </w:t>
      </w:r>
      <w:r>
        <w:rPr>
          <w:spacing w:val="-2"/>
          <w:w w:val="105"/>
        </w:rPr>
        <w:t>Operators.</w:t>
      </w:r>
    </w:p>
    <w:p>
      <w:pPr>
        <w:spacing w:before="8"/>
        <w:ind w:left="340" w:right="0" w:firstLine="0"/>
        <w:jc w:val="left"/>
        <w:rPr>
          <w:sz w:val="18"/>
        </w:rPr>
      </w:pPr>
      <w:r>
        <w:rPr>
          <w:rFonts w:ascii="Book Antiqua" w:hAnsi="Book Antiqua"/>
          <w:i/>
          <w:w w:val="110"/>
          <w:sz w:val="18"/>
        </w:rPr>
        <w:t>Form</w:t>
      </w:r>
      <w:r>
        <w:rPr>
          <w:rFonts w:ascii="Book Antiqua" w:hAnsi="Book Antiqua"/>
          <w:i/>
          <w:spacing w:val="-3"/>
          <w:w w:val="110"/>
          <w:sz w:val="18"/>
        </w:rPr>
        <w:t xml:space="preserve"> </w:t>
      </w:r>
      <w:r>
        <w:rPr>
          <w:rFonts w:ascii="Book Antiqua" w:hAnsi="Book Antiqua"/>
          <w:i/>
          <w:w w:val="110"/>
          <w:sz w:val="18"/>
        </w:rPr>
        <w:t>No.:</w:t>
      </w:r>
      <w:r>
        <w:rPr>
          <w:rFonts w:ascii="Book Antiqua" w:hAnsi="Book Antiqua"/>
          <w:i/>
          <w:spacing w:val="-2"/>
          <w:w w:val="110"/>
          <w:sz w:val="18"/>
        </w:rPr>
        <w:t xml:space="preserve"> </w:t>
      </w:r>
      <w:r>
        <w:rPr>
          <w:w w:val="110"/>
          <w:sz w:val="18"/>
        </w:rPr>
        <w:t>BTS</w:t>
      </w:r>
      <w:r>
        <w:rPr>
          <w:spacing w:val="3"/>
          <w:w w:val="110"/>
          <w:sz w:val="18"/>
        </w:rPr>
        <w:t xml:space="preserve"> </w:t>
      </w:r>
      <w:r>
        <w:rPr>
          <w:w w:val="110"/>
          <w:sz w:val="18"/>
        </w:rPr>
        <w:t>Form</w:t>
      </w:r>
      <w:r>
        <w:rPr>
          <w:spacing w:val="3"/>
          <w:w w:val="110"/>
          <w:sz w:val="18"/>
        </w:rPr>
        <w:t xml:space="preserve"> </w:t>
      </w:r>
      <w:r>
        <w:rPr>
          <w:spacing w:val="-2"/>
          <w:w w:val="110"/>
          <w:sz w:val="18"/>
        </w:rPr>
        <w:t>298–C.</w:t>
      </w:r>
    </w:p>
    <w:p>
      <w:pPr>
        <w:spacing w:after="0"/>
        <w:jc w:val="left"/>
        <w:rPr>
          <w:sz w:val="18"/>
        </w:rPr>
        <w:sectPr>
          <w:type w:val="continuous"/>
          <w:pgSz w:w="12240" w:h="15840"/>
          <w:pgMar w:top="260" w:right="780" w:bottom="280" w:left="740" w:header="720" w:footer="720"/>
          <w:cols w:num="3" w:space="720" w:equalWidth="0">
            <w:col w:w="3515" w:space="40"/>
            <w:col w:w="3460" w:space="65"/>
            <w:col w:w="3640"/>
          </w:cols>
        </w:sectPr>
      </w:pPr>
    </w:p>
    <w:p>
      <w:pPr>
        <w:tabs>
          <w:tab w:val="left" w:pos="2037"/>
        </w:tabs>
        <w:spacing w:before="93"/>
        <w:ind w:left="160" w:right="0" w:firstLine="0"/>
        <w:jc w:val="left"/>
        <w:rPr>
          <w:sz w:val="20"/>
        </w:rPr>
      </w:pPr>
      <w:r>
        <mc:AlternateContent>
          <mc:Choice Requires="wpg">
            <w:drawing>
              <wp:anchor distT="0" distB="0" distL="0" distR="0" simplePos="0" relativeHeight="251666432" behindDoc="1" locked="0" layoutInCell="1" allowOverlap="1">
                <wp:simplePos x="0" y="0"/>
                <wp:positionH relativeFrom="page">
                  <wp:posOffset>571500</wp:posOffset>
                </wp:positionH>
                <wp:positionV relativeFrom="paragraph">
                  <wp:posOffset>252729</wp:posOffset>
                </wp:positionV>
                <wp:extent cx="6629400" cy="66675"/>
                <wp:effectExtent l="0" t="0" r="0" b="0"/>
                <wp:wrapTopAndBottom/>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66675"/>
                          <a:chOff x="0" y="0"/>
                          <a:chExt cx="6629400" cy="66675"/>
                        </a:xfrm>
                      </wpg:grpSpPr>
                      <wps:wsp xmlns:wps="http://schemas.microsoft.com/office/word/2010/wordprocessingShape">
                        <wps:cNvPr id="9" name="Graphic 9"/>
                        <wps:cNvSpPr/>
                        <wps:spPr>
                          <a:xfrm>
                            <a:off x="0" y="13970"/>
                            <a:ext cx="6629400" cy="1270"/>
                          </a:xfrm>
                          <a:custGeom>
                            <a:avLst/>
                            <a:gdLst/>
                            <a:rect l="l" t="t" r="r" b="b"/>
                            <a:pathLst>
                              <a:path fill="norm" h="0" w="6629400" stroke="1">
                                <a:moveTo>
                                  <a:pt x="0" y="0"/>
                                </a:moveTo>
                                <a:lnTo>
                                  <a:pt x="6629400" y="0"/>
                                </a:lnTo>
                              </a:path>
                            </a:pathLst>
                          </a:custGeom>
                          <a:ln w="2794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0" y="64769"/>
                            <a:ext cx="6629400" cy="1270"/>
                          </a:xfrm>
                          <a:custGeom>
                            <a:avLst/>
                            <a:gdLst/>
                            <a:rect l="l" t="t" r="r" b="b"/>
                            <a:pathLst>
                              <a:path fill="norm" h="0" w="6629400" stroke="1">
                                <a:moveTo>
                                  <a:pt x="0" y="0"/>
                                </a:moveTo>
                                <a:lnTo>
                                  <a:pt x="6629400" y="0"/>
                                </a:lnTo>
                              </a:path>
                            </a:pathLst>
                          </a:custGeom>
                          <a:ln w="3810">
                            <a:solidFill>
                              <a:srgbClr val="000000"/>
                            </a:solidFill>
                            <a:prstDash val="solid"/>
                          </a:ln>
                        </wps:spPr>
                        <wps:bodyPr wrap="square" lIns="0" tIns="0" rIns="0" bIns="0" rtlCol="0">
                          <a:prstTxWarp prst="textNoShape">
                            <a:avLst/>
                          </a:prstTxWarp>
                        </wps:bodyPr>
                      </wps:wsp>
                    </wpg:wgp>
                  </a:graphicData>
                </a:graphic>
              </wp:anchor>
            </w:drawing>
          </mc:Choice>
          <mc:Fallback>
            <w:pict>
              <v:group id="_x0000_s1031" style="width:522pt;height:5.25pt;margin-top:19.9pt;margin-left:45pt;mso-position-horizontal-relative:page;mso-wrap-distance-left:0;mso-wrap-distance-right:0;position:absolute;z-index:-251649024" coordorigin="900,398" coordsize="10440,105">
                <v:line id="_x0000_s1032" style="position:absolute" from="900,420" to="11340,420" stroked="t" strokecolor="black" strokeweight="2.2pt">
                  <v:stroke dashstyle="solid"/>
                </v:line>
                <v:line id="_x0000_s1033" style="position:absolute" from="900,500" to="11340,500" stroked="t" strokecolor="black" strokeweight="0.3pt">
                  <v:stroke dashstyle="solid"/>
                </v:line>
                <w10:wrap type="topAndBottom"/>
              </v:group>
            </w:pict>
          </mc:Fallback>
        </mc:AlternateContent>
      </w:r>
      <w:r>
        <w:rPr>
          <w:rFonts w:ascii="Book Antiqua"/>
          <w:b/>
          <w:spacing w:val="-2"/>
          <w:sz w:val="22"/>
        </w:rPr>
        <w:t>88864</w:t>
      </w:r>
      <w:r>
        <w:rPr>
          <w:rFonts w:ascii="Book Antiqua"/>
          <w:b/>
          <w:sz w:val="22"/>
        </w:rPr>
        <w:tab/>
      </w:r>
      <w:r>
        <w:rPr>
          <w:rFonts w:ascii="Book Antiqua"/>
          <w:b/>
          <w:sz w:val="20"/>
        </w:rPr>
        <w:t>Federal</w:t>
      </w:r>
      <w:r>
        <w:rPr>
          <w:rFonts w:ascii="Book Antiqua"/>
          <w:b/>
          <w:spacing w:val="55"/>
          <w:sz w:val="20"/>
        </w:rPr>
        <w:t xml:space="preserve"> </w:t>
      </w:r>
      <w:r>
        <w:rPr>
          <w:rFonts w:ascii="Book Antiqua"/>
          <w:b/>
          <w:sz w:val="20"/>
        </w:rPr>
        <w:t>Register</w:t>
      </w:r>
      <w:r>
        <w:rPr>
          <w:rFonts w:ascii="Book Antiqua"/>
          <w:b/>
          <w:spacing w:val="-15"/>
          <w:sz w:val="20"/>
        </w:rPr>
        <w:t xml:space="preserve"> </w:t>
      </w:r>
      <w:r>
        <w:rPr>
          <w:sz w:val="20"/>
        </w:rPr>
        <w:t>/</w:t>
      </w:r>
      <w:r>
        <w:rPr>
          <w:spacing w:val="-9"/>
          <w:sz w:val="20"/>
        </w:rPr>
        <w:t xml:space="preserve"> </w:t>
      </w:r>
      <w:r>
        <w:rPr>
          <w:sz w:val="20"/>
        </w:rPr>
        <w:t>Vol.</w:t>
      </w:r>
      <w:r>
        <w:rPr>
          <w:spacing w:val="62"/>
          <w:sz w:val="20"/>
        </w:rPr>
        <w:t xml:space="preserve"> </w:t>
      </w:r>
      <w:r>
        <w:rPr>
          <w:sz w:val="20"/>
        </w:rPr>
        <w:t>89,</w:t>
      </w:r>
      <w:r>
        <w:rPr>
          <w:spacing w:val="62"/>
          <w:sz w:val="20"/>
        </w:rPr>
        <w:t xml:space="preserve"> </w:t>
      </w:r>
      <w:r>
        <w:rPr>
          <w:sz w:val="20"/>
        </w:rPr>
        <w:t>No.</w:t>
      </w:r>
      <w:r>
        <w:rPr>
          <w:spacing w:val="61"/>
          <w:sz w:val="20"/>
        </w:rPr>
        <w:t xml:space="preserve"> </w:t>
      </w:r>
      <w:r>
        <w:rPr>
          <w:sz w:val="20"/>
        </w:rPr>
        <w:t>217</w:t>
      </w:r>
      <w:r>
        <w:rPr>
          <w:spacing w:val="-9"/>
          <w:sz w:val="20"/>
        </w:rPr>
        <w:t xml:space="preserve"> </w:t>
      </w:r>
      <w:r>
        <w:rPr>
          <w:sz w:val="20"/>
        </w:rPr>
        <w:t>/</w:t>
      </w:r>
      <w:r>
        <w:rPr>
          <w:spacing w:val="-9"/>
          <w:sz w:val="20"/>
        </w:rPr>
        <w:t xml:space="preserve"> </w:t>
      </w:r>
      <w:r>
        <w:rPr>
          <w:sz w:val="20"/>
        </w:rPr>
        <w:t>Friday,</w:t>
      </w:r>
      <w:r>
        <w:rPr>
          <w:spacing w:val="62"/>
          <w:sz w:val="20"/>
        </w:rPr>
        <w:t xml:space="preserve"> </w:t>
      </w:r>
      <w:r>
        <w:rPr>
          <w:sz w:val="20"/>
        </w:rPr>
        <w:t>November</w:t>
      </w:r>
      <w:r>
        <w:rPr>
          <w:spacing w:val="62"/>
          <w:sz w:val="20"/>
        </w:rPr>
        <w:t xml:space="preserve"> </w:t>
      </w:r>
      <w:r>
        <w:rPr>
          <w:sz w:val="20"/>
        </w:rPr>
        <w:t>8,</w:t>
      </w:r>
      <w:r>
        <w:rPr>
          <w:spacing w:val="61"/>
          <w:sz w:val="20"/>
        </w:rPr>
        <w:t xml:space="preserve"> </w:t>
      </w:r>
      <w:r>
        <w:rPr>
          <w:sz w:val="20"/>
        </w:rPr>
        <w:t>2024</w:t>
      </w:r>
      <w:r>
        <w:rPr>
          <w:spacing w:val="-9"/>
          <w:sz w:val="20"/>
        </w:rPr>
        <w:t xml:space="preserve"> </w:t>
      </w:r>
      <w:r>
        <w:rPr>
          <w:sz w:val="20"/>
        </w:rPr>
        <w:t>/</w:t>
      </w:r>
      <w:r>
        <w:rPr>
          <w:spacing w:val="-9"/>
          <w:sz w:val="20"/>
        </w:rPr>
        <w:t xml:space="preserve"> </w:t>
      </w:r>
      <w:r>
        <w:rPr>
          <w:spacing w:val="-2"/>
          <w:sz w:val="20"/>
        </w:rPr>
        <w:t>Notices</w:t>
      </w:r>
    </w:p>
    <w:p>
      <w:pPr>
        <w:pStyle w:val="BodyText"/>
        <w:spacing w:before="11"/>
        <w:ind w:left="0"/>
        <w:rPr>
          <w:sz w:val="5"/>
        </w:rPr>
      </w:pPr>
    </w:p>
    <w:p>
      <w:pPr>
        <w:spacing w:after="0"/>
        <w:rPr>
          <w:sz w:val="5"/>
        </w:rPr>
        <w:sectPr>
          <w:pgSz w:w="12240" w:h="15840"/>
          <w:pgMar w:top="540" w:right="780" w:bottom="280" w:left="740" w:header="720" w:footer="720"/>
          <w:cols w:space="720"/>
        </w:sectPr>
      </w:pPr>
    </w:p>
    <w:p>
      <w:pPr>
        <w:pStyle w:val="BodyText"/>
        <w:spacing w:before="69" w:line="220" w:lineRule="auto"/>
        <w:ind w:right="92" w:firstLine="180"/>
      </w:pPr>
      <w:r>
        <w:rPr>
          <w:rFonts w:ascii="Book Antiqua"/>
          <w:i/>
          <w:w w:val="110"/>
        </w:rPr>
        <w:t xml:space="preserve">Type of Review: </w:t>
      </w:r>
      <w:r>
        <w:rPr>
          <w:w w:val="110"/>
        </w:rPr>
        <w:t xml:space="preserve">Extension of a </w:t>
      </w:r>
      <w:r>
        <w:t xml:space="preserve">currently approved collection for </w:t>
      </w:r>
      <w:r>
        <w:t>the</w:t>
      </w:r>
      <w:r>
        <w:rPr>
          <w:w w:val="110"/>
        </w:rPr>
        <w:t xml:space="preserve"> financial data.</w:t>
      </w:r>
    </w:p>
    <w:p>
      <w:pPr>
        <w:pStyle w:val="BodyText"/>
        <w:spacing w:line="213" w:lineRule="auto"/>
        <w:ind w:right="92" w:firstLine="180"/>
      </w:pPr>
      <w:r>
        <w:rPr>
          <w:rFonts w:ascii="Book Antiqua"/>
          <w:i/>
          <w:w w:val="105"/>
        </w:rPr>
        <w:t xml:space="preserve">Respondents: </w:t>
      </w:r>
      <w:r>
        <w:rPr>
          <w:w w:val="105"/>
        </w:rPr>
        <w:t xml:space="preserve">Small certificated </w:t>
      </w:r>
      <w:r>
        <w:rPr>
          <w:w w:val="105"/>
        </w:rPr>
        <w:t>(28) and commuter air carriers (33).</w:t>
      </w:r>
    </w:p>
    <w:p>
      <w:pPr>
        <w:pStyle w:val="Heading1"/>
        <w:spacing w:before="85"/>
        <w:rPr>
          <w:rFonts w:ascii="Book Antiqua"/>
        </w:rPr>
      </w:pPr>
      <w:r>
        <w:rPr>
          <w:rFonts w:ascii="Book Antiqua"/>
        </w:rPr>
        <w:t>Schedule</w:t>
      </w:r>
      <w:r>
        <w:rPr>
          <w:rFonts w:ascii="Book Antiqua"/>
          <w:spacing w:val="11"/>
        </w:rPr>
        <w:t xml:space="preserve"> </w:t>
      </w:r>
      <w:r>
        <w:rPr>
          <w:rFonts w:ascii="Book Antiqua"/>
          <w:spacing w:val="-5"/>
        </w:rPr>
        <w:t>F1</w:t>
      </w:r>
    </w:p>
    <w:p>
      <w:pPr>
        <w:spacing w:before="74" w:line="199" w:lineRule="auto"/>
        <w:ind w:left="340" w:right="92" w:firstLine="0"/>
        <w:jc w:val="left"/>
        <w:rPr>
          <w:sz w:val="18"/>
        </w:rPr>
      </w:pPr>
      <w:r>
        <w:rPr>
          <w:rFonts w:ascii="Book Antiqua"/>
          <w:i/>
          <w:w w:val="115"/>
          <w:sz w:val="18"/>
        </w:rPr>
        <w:t xml:space="preserve">Number of Respondents: </w:t>
      </w:r>
      <w:r>
        <w:rPr>
          <w:w w:val="115"/>
          <w:sz w:val="18"/>
        </w:rPr>
        <w:t xml:space="preserve">61. </w:t>
      </w:r>
      <w:r>
        <w:rPr>
          <w:rFonts w:ascii="Book Antiqua"/>
          <w:i/>
          <w:w w:val="115"/>
          <w:sz w:val="18"/>
        </w:rPr>
        <w:t xml:space="preserve">Number of Annual responses: </w:t>
      </w:r>
      <w:r>
        <w:rPr>
          <w:w w:val="115"/>
          <w:sz w:val="18"/>
        </w:rPr>
        <w:t xml:space="preserve">244. </w:t>
      </w:r>
      <w:r>
        <w:rPr>
          <w:rFonts w:ascii="Book Antiqua"/>
          <w:i/>
          <w:spacing w:val="-2"/>
          <w:w w:val="115"/>
          <w:sz w:val="18"/>
        </w:rPr>
        <w:t>Total</w:t>
      </w:r>
      <w:r>
        <w:rPr>
          <w:rFonts w:ascii="Book Antiqua"/>
          <w:i/>
          <w:spacing w:val="-9"/>
          <w:w w:val="115"/>
          <w:sz w:val="18"/>
        </w:rPr>
        <w:t xml:space="preserve"> </w:t>
      </w:r>
      <w:r>
        <w:rPr>
          <w:rFonts w:ascii="Book Antiqua"/>
          <w:i/>
          <w:spacing w:val="-2"/>
          <w:w w:val="115"/>
          <w:sz w:val="18"/>
        </w:rPr>
        <w:t>Burden</w:t>
      </w:r>
      <w:r>
        <w:rPr>
          <w:rFonts w:ascii="Book Antiqua"/>
          <w:i/>
          <w:spacing w:val="-9"/>
          <w:w w:val="115"/>
          <w:sz w:val="18"/>
        </w:rPr>
        <w:t xml:space="preserve"> </w:t>
      </w:r>
      <w:r>
        <w:rPr>
          <w:rFonts w:ascii="Book Antiqua"/>
          <w:i/>
          <w:spacing w:val="-2"/>
          <w:w w:val="115"/>
          <w:sz w:val="18"/>
        </w:rPr>
        <w:t>per</w:t>
      </w:r>
      <w:r>
        <w:rPr>
          <w:rFonts w:ascii="Book Antiqua"/>
          <w:i/>
          <w:spacing w:val="-9"/>
          <w:w w:val="115"/>
          <w:sz w:val="18"/>
        </w:rPr>
        <w:t xml:space="preserve"> </w:t>
      </w:r>
      <w:r>
        <w:rPr>
          <w:rFonts w:ascii="Book Antiqua"/>
          <w:i/>
          <w:spacing w:val="-2"/>
          <w:w w:val="115"/>
          <w:sz w:val="18"/>
        </w:rPr>
        <w:t>Response:</w:t>
      </w:r>
      <w:r>
        <w:rPr>
          <w:rFonts w:ascii="Book Antiqua"/>
          <w:i/>
          <w:spacing w:val="-9"/>
          <w:w w:val="115"/>
          <w:sz w:val="18"/>
        </w:rPr>
        <w:t xml:space="preserve"> </w:t>
      </w:r>
      <w:r>
        <w:rPr>
          <w:spacing w:val="-2"/>
          <w:w w:val="115"/>
          <w:sz w:val="18"/>
        </w:rPr>
        <w:t>4</w:t>
      </w:r>
      <w:r>
        <w:rPr>
          <w:spacing w:val="-3"/>
          <w:w w:val="115"/>
          <w:sz w:val="18"/>
        </w:rPr>
        <w:t xml:space="preserve"> </w:t>
      </w:r>
      <w:r>
        <w:rPr>
          <w:spacing w:val="-2"/>
          <w:w w:val="115"/>
          <w:sz w:val="18"/>
        </w:rPr>
        <w:t xml:space="preserve">hours. </w:t>
      </w:r>
      <w:r>
        <w:rPr>
          <w:rFonts w:ascii="Book Antiqua"/>
          <w:i/>
          <w:w w:val="115"/>
          <w:sz w:val="18"/>
        </w:rPr>
        <w:t xml:space="preserve">Total Annual Burden: </w:t>
      </w:r>
      <w:r>
        <w:rPr>
          <w:w w:val="115"/>
          <w:sz w:val="18"/>
        </w:rPr>
        <w:t>976 hours.</w:t>
      </w:r>
    </w:p>
    <w:p>
      <w:pPr>
        <w:pStyle w:val="Heading1"/>
        <w:spacing w:before="83"/>
        <w:rPr>
          <w:rFonts w:ascii="Book Antiqua"/>
        </w:rPr>
      </w:pPr>
      <w:r>
        <w:rPr>
          <w:rFonts w:ascii="Book Antiqua"/>
        </w:rPr>
        <w:t>Schedule</w:t>
      </w:r>
      <w:r>
        <w:rPr>
          <w:rFonts w:ascii="Book Antiqua"/>
          <w:spacing w:val="11"/>
        </w:rPr>
        <w:t xml:space="preserve"> </w:t>
      </w:r>
      <w:r>
        <w:rPr>
          <w:rFonts w:ascii="Book Antiqua"/>
          <w:spacing w:val="-5"/>
        </w:rPr>
        <w:t>F2</w:t>
      </w:r>
    </w:p>
    <w:p>
      <w:pPr>
        <w:spacing w:before="45" w:line="203" w:lineRule="exact"/>
        <w:ind w:left="340" w:right="0" w:firstLine="0"/>
        <w:jc w:val="left"/>
        <w:rPr>
          <w:sz w:val="18"/>
        </w:rPr>
      </w:pPr>
      <w:r>
        <w:rPr>
          <w:rFonts w:ascii="Book Antiqua"/>
          <w:i/>
          <w:w w:val="115"/>
          <w:sz w:val="18"/>
        </w:rPr>
        <w:t>Number</w:t>
      </w:r>
      <w:r>
        <w:rPr>
          <w:rFonts w:ascii="Book Antiqua"/>
          <w:i/>
          <w:spacing w:val="-11"/>
          <w:w w:val="115"/>
          <w:sz w:val="18"/>
        </w:rPr>
        <w:t xml:space="preserve"> </w:t>
      </w:r>
      <w:r>
        <w:rPr>
          <w:rFonts w:ascii="Book Antiqua"/>
          <w:i/>
          <w:w w:val="115"/>
          <w:sz w:val="18"/>
        </w:rPr>
        <w:t>of</w:t>
      </w:r>
      <w:r>
        <w:rPr>
          <w:rFonts w:ascii="Book Antiqua"/>
          <w:i/>
          <w:spacing w:val="-11"/>
          <w:w w:val="115"/>
          <w:sz w:val="18"/>
        </w:rPr>
        <w:t xml:space="preserve"> </w:t>
      </w:r>
      <w:r>
        <w:rPr>
          <w:rFonts w:ascii="Book Antiqua"/>
          <w:i/>
          <w:w w:val="115"/>
          <w:sz w:val="18"/>
        </w:rPr>
        <w:t>Respondents:</w:t>
      </w:r>
      <w:r>
        <w:rPr>
          <w:rFonts w:ascii="Book Antiqua"/>
          <w:i/>
          <w:spacing w:val="-10"/>
          <w:w w:val="115"/>
          <w:sz w:val="18"/>
        </w:rPr>
        <w:t xml:space="preserve"> </w:t>
      </w:r>
      <w:r>
        <w:rPr>
          <w:spacing w:val="-5"/>
          <w:w w:val="115"/>
          <w:sz w:val="18"/>
        </w:rPr>
        <w:t>28.</w:t>
      </w:r>
    </w:p>
    <w:p>
      <w:pPr>
        <w:spacing w:before="10" w:line="199" w:lineRule="auto"/>
        <w:ind w:left="340" w:right="0" w:firstLine="0"/>
        <w:jc w:val="left"/>
        <w:rPr>
          <w:sz w:val="18"/>
        </w:rPr>
      </w:pPr>
      <w:r>
        <w:rPr>
          <w:rFonts w:ascii="Book Antiqua"/>
          <w:i/>
          <w:w w:val="110"/>
          <w:sz w:val="18"/>
        </w:rPr>
        <w:t xml:space="preserve">Number of Annual responses: </w:t>
      </w:r>
      <w:r>
        <w:rPr>
          <w:w w:val="110"/>
          <w:sz w:val="18"/>
        </w:rPr>
        <w:t xml:space="preserve">112. </w:t>
      </w:r>
      <w:r>
        <w:rPr>
          <w:rFonts w:ascii="Book Antiqua"/>
          <w:i/>
          <w:w w:val="110"/>
          <w:sz w:val="18"/>
        </w:rPr>
        <w:t xml:space="preserve">Total Burden per Response: </w:t>
      </w:r>
      <w:r>
        <w:rPr>
          <w:w w:val="110"/>
          <w:sz w:val="18"/>
        </w:rPr>
        <w:t xml:space="preserve">12 </w:t>
      </w:r>
      <w:r>
        <w:rPr>
          <w:w w:val="110"/>
          <w:sz w:val="18"/>
        </w:rPr>
        <w:t xml:space="preserve">hours. </w:t>
      </w:r>
      <w:r>
        <w:rPr>
          <w:rFonts w:ascii="Book Antiqua"/>
          <w:i/>
          <w:w w:val="110"/>
          <w:sz w:val="18"/>
        </w:rPr>
        <w:t xml:space="preserve">Total Annual Burden: </w:t>
      </w:r>
      <w:r>
        <w:rPr>
          <w:w w:val="110"/>
          <w:sz w:val="18"/>
        </w:rPr>
        <w:t>1,344 hours.</w:t>
      </w:r>
    </w:p>
    <w:p>
      <w:pPr>
        <w:spacing w:before="0" w:line="180" w:lineRule="exact"/>
        <w:ind w:left="340" w:right="0" w:firstLine="0"/>
        <w:jc w:val="left"/>
        <w:rPr>
          <w:sz w:val="18"/>
        </w:rPr>
      </w:pPr>
      <w:r>
        <w:rPr>
          <w:rFonts w:ascii="Book Antiqua"/>
          <w:i/>
          <w:w w:val="110"/>
          <w:sz w:val="18"/>
        </w:rPr>
        <w:t>Needs</w:t>
      </w:r>
      <w:r>
        <w:rPr>
          <w:rFonts w:ascii="Book Antiqua"/>
          <w:i/>
          <w:spacing w:val="-6"/>
          <w:w w:val="110"/>
          <w:sz w:val="18"/>
        </w:rPr>
        <w:t xml:space="preserve"> </w:t>
      </w:r>
      <w:r>
        <w:rPr>
          <w:rFonts w:ascii="Book Antiqua"/>
          <w:i/>
          <w:w w:val="110"/>
          <w:sz w:val="18"/>
        </w:rPr>
        <w:t>and</w:t>
      </w:r>
      <w:r>
        <w:rPr>
          <w:rFonts w:ascii="Book Antiqua"/>
          <w:i/>
          <w:spacing w:val="-5"/>
          <w:w w:val="110"/>
          <w:sz w:val="18"/>
        </w:rPr>
        <w:t xml:space="preserve"> </w:t>
      </w:r>
      <w:r>
        <w:rPr>
          <w:rFonts w:ascii="Book Antiqua"/>
          <w:i/>
          <w:w w:val="110"/>
          <w:sz w:val="18"/>
        </w:rPr>
        <w:t>Uses:</w:t>
      </w:r>
      <w:r>
        <w:rPr>
          <w:rFonts w:ascii="Book Antiqua"/>
          <w:i/>
          <w:spacing w:val="-5"/>
          <w:w w:val="110"/>
          <w:sz w:val="18"/>
        </w:rPr>
        <w:t xml:space="preserve"> </w:t>
      </w:r>
      <w:r>
        <w:rPr>
          <w:w w:val="110"/>
          <w:sz w:val="18"/>
        </w:rPr>
        <w:t>Program uses</w:t>
      </w:r>
      <w:r>
        <w:rPr>
          <w:spacing w:val="1"/>
          <w:w w:val="110"/>
          <w:sz w:val="18"/>
        </w:rPr>
        <w:t xml:space="preserve"> </w:t>
      </w:r>
      <w:r>
        <w:rPr>
          <w:spacing w:val="-5"/>
          <w:w w:val="110"/>
          <w:sz w:val="18"/>
        </w:rPr>
        <w:t>for</w:t>
      </w:r>
    </w:p>
    <w:p>
      <w:pPr>
        <w:pStyle w:val="BodyText"/>
        <w:spacing w:line="225" w:lineRule="auto"/>
        <w:ind w:right="92"/>
      </w:pPr>
      <w:r>
        <w:rPr>
          <w:w w:val="105"/>
        </w:rPr>
        <w:t xml:space="preserve">Form 298–C financial data are </w:t>
      </w:r>
      <w:r>
        <w:rPr>
          <w:w w:val="105"/>
        </w:rPr>
        <w:t xml:space="preserve">as </w:t>
      </w:r>
      <w:r>
        <w:rPr>
          <w:spacing w:val="-2"/>
          <w:w w:val="105"/>
        </w:rPr>
        <w:t>follows:</w:t>
      </w:r>
    </w:p>
    <w:p>
      <w:pPr>
        <w:pStyle w:val="Heading1"/>
        <w:spacing w:before="87"/>
        <w:rPr>
          <w:rFonts w:ascii="Book Antiqua"/>
        </w:rPr>
      </w:pPr>
      <w:r>
        <w:rPr>
          <w:rFonts w:ascii="Book Antiqua"/>
        </w:rPr>
        <w:t>Mail</w:t>
      </w:r>
      <w:r>
        <w:rPr>
          <w:rFonts w:ascii="Book Antiqua"/>
          <w:spacing w:val="-1"/>
        </w:rPr>
        <w:t xml:space="preserve"> </w:t>
      </w:r>
      <w:r>
        <w:rPr>
          <w:rFonts w:ascii="Book Antiqua"/>
          <w:spacing w:val="-2"/>
        </w:rPr>
        <w:t>Rates</w:t>
      </w:r>
    </w:p>
    <w:p>
      <w:pPr>
        <w:pStyle w:val="BodyText"/>
        <w:spacing w:before="56" w:line="225" w:lineRule="auto"/>
        <w:ind w:right="10" w:firstLine="180"/>
      </w:pPr>
      <w:r>
        <w:rPr>
          <w:w w:val="105"/>
        </w:rPr>
        <w:t>The Department of Transportation</w:t>
      </w:r>
      <w:r>
        <w:rPr>
          <w:spacing w:val="40"/>
          <w:w w:val="105"/>
        </w:rPr>
        <w:t xml:space="preserve"> </w:t>
      </w:r>
      <w:r>
        <w:rPr>
          <w:w w:val="105"/>
        </w:rPr>
        <w:t xml:space="preserve">sets and updates the Intra-Alaska Bush mail rates based on carrier aircraft operating expense, traffic, and operational data. Form 298–C cost data, especially fuel costs, terminal expenses, and line haul expenses are used in arriving at rate levels. DOT revises the established rates based on the percentage of unit cost changes in the carriers’ operations. These updating procedures have resulted in the </w:t>
      </w:r>
      <w:r>
        <w:rPr>
          <w:w w:val="105"/>
        </w:rPr>
        <w:t>carrier’s receiving rates of compensation that more closely parallel their costs of providing mail service and contribute to the carriers’ economic well-being.</w:t>
      </w:r>
    </w:p>
    <w:p>
      <w:pPr>
        <w:pStyle w:val="Heading1"/>
        <w:spacing w:before="97"/>
        <w:rPr>
          <w:rFonts w:ascii="Book Antiqua"/>
        </w:rPr>
      </w:pPr>
      <w:r>
        <w:rPr>
          <w:rFonts w:ascii="Book Antiqua"/>
        </w:rPr>
        <w:t>Essential</w:t>
      </w:r>
      <w:r>
        <w:rPr>
          <w:rFonts w:ascii="Book Antiqua"/>
          <w:spacing w:val="11"/>
        </w:rPr>
        <w:t xml:space="preserve"> </w:t>
      </w:r>
      <w:r>
        <w:rPr>
          <w:rFonts w:ascii="Book Antiqua"/>
        </w:rPr>
        <w:t>Air</w:t>
      </w:r>
      <w:r>
        <w:rPr>
          <w:rFonts w:ascii="Book Antiqua"/>
          <w:spacing w:val="12"/>
        </w:rPr>
        <w:t xml:space="preserve"> </w:t>
      </w:r>
      <w:r>
        <w:rPr>
          <w:rFonts w:ascii="Book Antiqua"/>
          <w:spacing w:val="-2"/>
        </w:rPr>
        <w:t>Service</w:t>
      </w:r>
    </w:p>
    <w:p>
      <w:pPr>
        <w:pStyle w:val="BodyText"/>
        <w:spacing w:before="54" w:line="228" w:lineRule="auto"/>
        <w:ind w:right="92" w:firstLine="180"/>
      </w:pPr>
      <w:r>
        <w:rPr>
          <w:w w:val="105"/>
        </w:rPr>
        <w:t xml:space="preserve">DOT often has to select a carrier </w:t>
      </w:r>
      <w:r>
        <w:rPr>
          <w:w w:val="105"/>
        </w:rPr>
        <w:t>to provide a community’s essential air</w:t>
      </w:r>
    </w:p>
    <w:p>
      <w:pPr>
        <w:pStyle w:val="BodyText"/>
        <w:spacing w:before="66" w:line="225" w:lineRule="auto"/>
        <w:ind w:right="84"/>
      </w:pPr>
      <w:r>
        <w:br w:type="column"/>
      </w:r>
      <w:r>
        <w:rPr>
          <w:w w:val="105"/>
        </w:rPr>
        <w:t xml:space="preserve">service. The selection criteria include historic presence in the community, reliability of service, financial </w:t>
      </w:r>
      <w:r>
        <w:rPr>
          <w:w w:val="105"/>
        </w:rPr>
        <w:t>stability and cost structure of the air carrier.</w:t>
      </w:r>
    </w:p>
    <w:p>
      <w:pPr>
        <w:pStyle w:val="Heading1"/>
        <w:spacing w:before="88"/>
        <w:rPr>
          <w:rFonts w:ascii="Book Antiqua"/>
        </w:rPr>
      </w:pPr>
      <w:r>
        <w:rPr>
          <w:rFonts w:ascii="Book Antiqua"/>
          <w:w w:val="105"/>
        </w:rPr>
        <w:t>Carrier</w:t>
      </w:r>
      <w:r>
        <w:rPr>
          <w:rFonts w:ascii="Book Antiqua"/>
          <w:spacing w:val="1"/>
          <w:w w:val="105"/>
        </w:rPr>
        <w:t xml:space="preserve"> </w:t>
      </w:r>
      <w:r>
        <w:rPr>
          <w:rFonts w:ascii="Book Antiqua"/>
          <w:spacing w:val="-2"/>
          <w:w w:val="105"/>
        </w:rPr>
        <w:t>Fitness</w:t>
      </w:r>
    </w:p>
    <w:p>
      <w:pPr>
        <w:pStyle w:val="BodyText"/>
        <w:spacing w:before="55" w:line="225" w:lineRule="auto"/>
        <w:ind w:right="58" w:firstLine="180"/>
      </w:pPr>
      <w:r>
        <w:rPr>
          <w:w w:val="105"/>
        </w:rPr>
        <w:t xml:space="preserve">Fitness determinations are made for both new entrants and established U.S. domestic carriers proposing a substantial change in operations. A portion of these applications consists </w:t>
      </w:r>
      <w:r>
        <w:rPr>
          <w:w w:val="105"/>
        </w:rPr>
        <w:t>of an operating plan for the first year (14 CFR part 204) and an associated projection of revenues and expenses.</w:t>
      </w:r>
    </w:p>
    <w:p>
      <w:pPr>
        <w:pStyle w:val="BodyText"/>
        <w:spacing w:line="225" w:lineRule="auto"/>
        <w:ind w:right="84"/>
      </w:pPr>
      <w:r>
        <w:rPr>
          <w:w w:val="105"/>
        </w:rPr>
        <w:t>The carrier’s operating costs, included</w:t>
      </w:r>
      <w:r>
        <w:rPr>
          <w:spacing w:val="40"/>
          <w:w w:val="105"/>
        </w:rPr>
        <w:t xml:space="preserve"> </w:t>
      </w:r>
      <w:r>
        <w:rPr>
          <w:w w:val="105"/>
        </w:rPr>
        <w:t xml:space="preserve">in these projections, are compared against the cost data in Form 298–C for a carrier or carriers with the same aircraft type and similar operating characteristics. Such a review </w:t>
      </w:r>
      <w:r>
        <w:rPr>
          <w:w w:val="105"/>
        </w:rPr>
        <w:t>validates the reasonableness of the carrier’s operating plan.</w:t>
      </w:r>
    </w:p>
    <w:p>
      <w:pPr>
        <w:pStyle w:val="BodyText"/>
        <w:spacing w:line="177" w:lineRule="exact"/>
        <w:ind w:left="340"/>
      </w:pPr>
      <w:r>
        <w:rPr>
          <w:w w:val="105"/>
        </w:rPr>
        <w:t>The</w:t>
      </w:r>
      <w:r>
        <w:rPr>
          <w:spacing w:val="16"/>
          <w:w w:val="105"/>
        </w:rPr>
        <w:t xml:space="preserve"> </w:t>
      </w:r>
      <w:r>
        <w:rPr>
          <w:w w:val="105"/>
        </w:rPr>
        <w:t>quarterly</w:t>
      </w:r>
      <w:r>
        <w:rPr>
          <w:spacing w:val="16"/>
          <w:w w:val="105"/>
        </w:rPr>
        <w:t xml:space="preserve"> </w:t>
      </w:r>
      <w:r>
        <w:rPr>
          <w:w w:val="105"/>
        </w:rPr>
        <w:t>financial</w:t>
      </w:r>
      <w:r>
        <w:rPr>
          <w:spacing w:val="16"/>
          <w:w w:val="105"/>
        </w:rPr>
        <w:t xml:space="preserve"> </w:t>
      </w:r>
      <w:r>
        <w:rPr>
          <w:spacing w:val="-2"/>
          <w:w w:val="105"/>
        </w:rPr>
        <w:t>submissions</w:t>
      </w:r>
    </w:p>
    <w:p>
      <w:pPr>
        <w:pStyle w:val="BodyText"/>
        <w:spacing w:before="1" w:line="225" w:lineRule="auto"/>
        <w:ind w:right="58"/>
      </w:pPr>
      <w:r>
        <w:rPr>
          <w:w w:val="105"/>
        </w:rPr>
        <w:t xml:space="preserve">by commuter and small certificated air carriers are used in determining each carrier’s continuing fitness to operate. Section 41738 of title 49 of the United States Code requires DOT to find all commuter and small certificated air carriers fit, willing, and able to </w:t>
      </w:r>
      <w:r>
        <w:rPr>
          <w:w w:val="105"/>
        </w:rPr>
        <w:t>conduct passenger service as a prerequisite to providing such service to an eligible essential air service point. In making a fitness determination, DOT reviews three areas of a carrier’s operation: (1) the qualifications of its management team, (2) its disposition to comply with laws and regulations, and (3) its financial posture. DOT must determine whether or not a carrier has sufficient financial resources to conduct its</w:t>
      </w:r>
    </w:p>
    <w:p>
      <w:pPr>
        <w:pStyle w:val="BodyText"/>
        <w:spacing w:before="57" w:line="237" w:lineRule="auto"/>
        <w:ind w:right="216"/>
      </w:pPr>
      <w:r>
        <w:br w:type="column"/>
      </w:r>
      <w:r>
        <w:rPr>
          <w:w w:val="105"/>
        </w:rPr>
        <w:t xml:space="preserve">operations without imposing undue </w:t>
      </w:r>
      <w:r>
        <w:rPr>
          <w:w w:val="105"/>
        </w:rPr>
        <w:t>risk on the traveling public. Moreover, once</w:t>
      </w:r>
      <w:r>
        <w:rPr>
          <w:spacing w:val="80"/>
          <w:w w:val="150"/>
        </w:rPr>
        <w:t xml:space="preserve"> </w:t>
      </w:r>
      <w:r>
        <w:rPr>
          <w:w w:val="105"/>
        </w:rPr>
        <w:t>a carrier begins conducting flight operations, DOT is required to monitor its continuing fitness.</w:t>
      </w:r>
    </w:p>
    <w:p>
      <w:pPr>
        <w:pStyle w:val="BodyText"/>
        <w:spacing w:before="52" w:line="237" w:lineRule="auto"/>
        <w:ind w:right="151" w:firstLine="180"/>
      </w:pPr>
      <w:r>
        <w:rPr>
          <w:w w:val="105"/>
        </w:rPr>
        <w:t>Senior</w:t>
      </w:r>
      <w:r>
        <w:rPr>
          <w:spacing w:val="40"/>
          <w:w w:val="105"/>
        </w:rPr>
        <w:t xml:space="preserve"> </w:t>
      </w:r>
      <w:r>
        <w:rPr>
          <w:w w:val="105"/>
        </w:rPr>
        <w:t>DOT</w:t>
      </w:r>
      <w:r>
        <w:rPr>
          <w:spacing w:val="40"/>
          <w:w w:val="105"/>
        </w:rPr>
        <w:t xml:space="preserve"> </w:t>
      </w:r>
      <w:r>
        <w:rPr>
          <w:w w:val="105"/>
        </w:rPr>
        <w:t>officials</w:t>
      </w:r>
      <w:r>
        <w:rPr>
          <w:spacing w:val="40"/>
          <w:w w:val="105"/>
        </w:rPr>
        <w:t xml:space="preserve"> </w:t>
      </w:r>
      <w:r>
        <w:rPr>
          <w:w w:val="105"/>
        </w:rPr>
        <w:t>must</w:t>
      </w:r>
      <w:r>
        <w:rPr>
          <w:spacing w:val="40"/>
          <w:w w:val="105"/>
        </w:rPr>
        <w:t xml:space="preserve"> </w:t>
      </w:r>
      <w:r>
        <w:rPr>
          <w:w w:val="105"/>
        </w:rPr>
        <w:t>be</w:t>
      </w:r>
      <w:r>
        <w:rPr>
          <w:spacing w:val="40"/>
          <w:w w:val="105"/>
        </w:rPr>
        <w:t xml:space="preserve"> </w:t>
      </w:r>
      <w:r>
        <w:rPr>
          <w:w w:val="105"/>
        </w:rPr>
        <w:t>kept fully</w:t>
      </w:r>
      <w:r>
        <w:rPr>
          <w:spacing w:val="40"/>
          <w:w w:val="105"/>
        </w:rPr>
        <w:t xml:space="preserve"> </w:t>
      </w:r>
      <w:r>
        <w:rPr>
          <w:w w:val="105"/>
        </w:rPr>
        <w:t>informed</w:t>
      </w:r>
      <w:r>
        <w:rPr>
          <w:spacing w:val="40"/>
          <w:w w:val="105"/>
        </w:rPr>
        <w:t xml:space="preserve"> </w:t>
      </w:r>
      <w:r>
        <w:rPr>
          <w:w w:val="105"/>
        </w:rPr>
        <w:t>and</w:t>
      </w:r>
      <w:r>
        <w:rPr>
          <w:spacing w:val="40"/>
          <w:w w:val="105"/>
        </w:rPr>
        <w:t xml:space="preserve"> </w:t>
      </w:r>
      <w:r>
        <w:rPr>
          <w:w w:val="105"/>
        </w:rPr>
        <w:t>advised</w:t>
      </w:r>
      <w:r>
        <w:rPr>
          <w:spacing w:val="40"/>
          <w:w w:val="105"/>
        </w:rPr>
        <w:t xml:space="preserve"> </w:t>
      </w:r>
      <w:r>
        <w:rPr>
          <w:w w:val="105"/>
        </w:rPr>
        <w:t>of</w:t>
      </w:r>
      <w:r>
        <w:rPr>
          <w:spacing w:val="40"/>
          <w:w w:val="105"/>
        </w:rPr>
        <w:t xml:space="preserve"> </w:t>
      </w:r>
      <w:r>
        <w:rPr>
          <w:w w:val="105"/>
        </w:rPr>
        <w:t xml:space="preserve">all current and developing economic </w:t>
      </w:r>
      <w:r>
        <w:rPr>
          <w:w w:val="105"/>
        </w:rPr>
        <w:t>issues affecting the airline industry. In preparing financial condition reports or status reports on a particular airline, financial and traffic data are analyzed. Briefing papers prepared for senior DOT officials may use the same information.</w:t>
      </w:r>
    </w:p>
    <w:p>
      <w:pPr>
        <w:spacing w:before="55" w:line="228" w:lineRule="auto"/>
        <w:ind w:left="160" w:right="193" w:firstLine="180"/>
        <w:jc w:val="left"/>
        <w:rPr>
          <w:sz w:val="18"/>
        </w:rPr>
      </w:pPr>
      <w:r>
        <w:rPr>
          <w:w w:val="110"/>
          <w:sz w:val="18"/>
        </w:rPr>
        <w:t xml:space="preserve">The </w:t>
      </w:r>
      <w:r>
        <w:rPr>
          <w:rFonts w:ascii="Book Antiqua"/>
          <w:i/>
          <w:w w:val="110"/>
          <w:sz w:val="18"/>
        </w:rPr>
        <w:t>Confidential Information</w:t>
      </w:r>
      <w:r>
        <w:rPr>
          <w:rFonts w:ascii="Book Antiqua"/>
          <w:i/>
          <w:w w:val="110"/>
          <w:sz w:val="18"/>
        </w:rPr>
        <w:t xml:space="preserve"> Protection and Statistical Efficiency </w:t>
      </w:r>
      <w:r>
        <w:rPr>
          <w:rFonts w:ascii="Book Antiqua"/>
          <w:i/>
          <w:w w:val="110"/>
          <w:sz w:val="18"/>
        </w:rPr>
        <w:t xml:space="preserve">Act of 2002 </w:t>
      </w:r>
      <w:r>
        <w:rPr>
          <w:w w:val="110"/>
          <w:sz w:val="18"/>
        </w:rPr>
        <w:t>(44 U.S.C. 3501 note), requires a statistical agency to clearly identify</w:t>
      </w:r>
    </w:p>
    <w:p>
      <w:pPr>
        <w:pStyle w:val="BodyText"/>
        <w:spacing w:line="237" w:lineRule="auto"/>
        <w:ind w:right="193"/>
      </w:pPr>
      <w:r>
        <w:rPr>
          <w:w w:val="105"/>
        </w:rPr>
        <w:t>information it collects for non-</w:t>
      </w:r>
      <w:r>
        <w:rPr>
          <w:w w:val="105"/>
        </w:rPr>
        <w:t>statistical purposes. BTS hereby notifies the respondents and the public that BTS</w:t>
      </w:r>
      <w:r>
        <w:rPr>
          <w:spacing w:val="80"/>
          <w:w w:val="105"/>
        </w:rPr>
        <w:t xml:space="preserve"> </w:t>
      </w:r>
      <w:r>
        <w:rPr>
          <w:w w:val="105"/>
        </w:rPr>
        <w:t>uses the information it collects under</w:t>
      </w:r>
      <w:r>
        <w:rPr>
          <w:spacing w:val="40"/>
          <w:w w:val="105"/>
        </w:rPr>
        <w:t xml:space="preserve"> </w:t>
      </w:r>
      <w:r>
        <w:rPr>
          <w:w w:val="105"/>
        </w:rPr>
        <w:t>this OMB approval for non-statistical purposes including, but not limited to, publication of both Respondent’s</w:t>
      </w:r>
      <w:r>
        <w:rPr>
          <w:spacing w:val="40"/>
          <w:w w:val="105"/>
        </w:rPr>
        <w:t xml:space="preserve"> </w:t>
      </w:r>
      <w:r>
        <w:rPr>
          <w:w w:val="105"/>
        </w:rPr>
        <w:t xml:space="preserve">identity and its data, submission of the information to agencies outside BTS for review, analysis and possible use in regulatory and other administrative </w:t>
      </w:r>
      <w:r>
        <w:rPr>
          <w:spacing w:val="-2"/>
          <w:w w:val="105"/>
        </w:rPr>
        <w:t>matters.</w:t>
      </w:r>
    </w:p>
    <w:p>
      <w:pPr>
        <w:spacing w:before="72" w:line="249" w:lineRule="auto"/>
        <w:ind w:left="160" w:right="236" w:firstLine="160"/>
        <w:jc w:val="left"/>
        <w:rPr>
          <w:sz w:val="16"/>
        </w:rPr>
      </w:pPr>
      <w:r>
        <w:rPr>
          <w:w w:val="105"/>
          <w:sz w:val="16"/>
        </w:rPr>
        <w:t xml:space="preserve">Issued in Washington, DC, November </w:t>
      </w:r>
      <w:r>
        <w:rPr>
          <w:w w:val="105"/>
          <w:sz w:val="16"/>
        </w:rPr>
        <w:t>4,</w:t>
      </w:r>
      <w:r>
        <w:rPr>
          <w:spacing w:val="40"/>
          <w:w w:val="105"/>
          <w:sz w:val="16"/>
        </w:rPr>
        <w:t xml:space="preserve"> </w:t>
      </w:r>
      <w:r>
        <w:rPr>
          <w:spacing w:val="-2"/>
          <w:w w:val="105"/>
          <w:sz w:val="16"/>
        </w:rPr>
        <w:t>2024.</w:t>
      </w:r>
    </w:p>
    <w:p>
      <w:pPr>
        <w:spacing w:before="43"/>
        <w:ind w:left="160" w:right="0" w:firstLine="0"/>
        <w:jc w:val="left"/>
        <w:rPr>
          <w:rFonts w:ascii="Book Antiqua"/>
          <w:b/>
          <w:sz w:val="16"/>
        </w:rPr>
      </w:pPr>
      <w:r>
        <w:rPr>
          <w:rFonts w:ascii="Book Antiqua"/>
          <w:b/>
          <w:sz w:val="16"/>
        </w:rPr>
        <w:t>Rolf</w:t>
      </w:r>
      <w:r>
        <w:rPr>
          <w:rFonts w:ascii="Book Antiqua"/>
          <w:b/>
          <w:spacing w:val="-6"/>
          <w:sz w:val="16"/>
        </w:rPr>
        <w:t xml:space="preserve"> </w:t>
      </w:r>
      <w:r>
        <w:rPr>
          <w:rFonts w:ascii="Book Antiqua"/>
          <w:b/>
          <w:spacing w:val="-2"/>
          <w:sz w:val="16"/>
        </w:rPr>
        <w:t>Schmitt,</w:t>
      </w:r>
    </w:p>
    <w:p>
      <w:pPr>
        <w:spacing w:before="50" w:line="232" w:lineRule="auto"/>
        <w:ind w:left="160" w:right="96" w:firstLine="0"/>
        <w:jc w:val="left"/>
        <w:rPr>
          <w:rFonts w:ascii="Book Antiqua"/>
          <w:i/>
          <w:sz w:val="16"/>
        </w:rPr>
      </w:pPr>
      <w:r>
        <w:rPr>
          <w:rFonts w:ascii="Book Antiqua"/>
          <w:i/>
          <w:w w:val="110"/>
          <w:sz w:val="16"/>
        </w:rPr>
        <w:t>Acting</w:t>
      </w:r>
      <w:r>
        <w:rPr>
          <w:rFonts w:ascii="Book Antiqua"/>
          <w:i/>
          <w:spacing w:val="-7"/>
          <w:w w:val="110"/>
          <w:sz w:val="16"/>
        </w:rPr>
        <w:t xml:space="preserve"> </w:t>
      </w:r>
      <w:r>
        <w:rPr>
          <w:rFonts w:ascii="Book Antiqua"/>
          <w:i/>
          <w:w w:val="110"/>
          <w:sz w:val="16"/>
        </w:rPr>
        <w:t>Director,</w:t>
      </w:r>
      <w:r>
        <w:rPr>
          <w:rFonts w:ascii="Book Antiqua"/>
          <w:i/>
          <w:spacing w:val="-7"/>
          <w:w w:val="110"/>
          <w:sz w:val="16"/>
        </w:rPr>
        <w:t xml:space="preserve"> </w:t>
      </w:r>
      <w:r>
        <w:rPr>
          <w:rFonts w:ascii="Book Antiqua"/>
          <w:i/>
          <w:w w:val="110"/>
          <w:sz w:val="16"/>
        </w:rPr>
        <w:t>Office</w:t>
      </w:r>
      <w:r>
        <w:rPr>
          <w:rFonts w:ascii="Book Antiqua"/>
          <w:i/>
          <w:spacing w:val="-7"/>
          <w:w w:val="110"/>
          <w:sz w:val="16"/>
        </w:rPr>
        <w:t xml:space="preserve"> </w:t>
      </w:r>
      <w:r>
        <w:rPr>
          <w:rFonts w:ascii="Book Antiqua"/>
          <w:i/>
          <w:w w:val="110"/>
          <w:sz w:val="16"/>
        </w:rPr>
        <w:t>of</w:t>
      </w:r>
      <w:r>
        <w:rPr>
          <w:rFonts w:ascii="Book Antiqua"/>
          <w:i/>
          <w:spacing w:val="-7"/>
          <w:w w:val="110"/>
          <w:sz w:val="16"/>
        </w:rPr>
        <w:t xml:space="preserve"> </w:t>
      </w:r>
      <w:r>
        <w:rPr>
          <w:rFonts w:ascii="Book Antiqua"/>
          <w:i/>
          <w:w w:val="110"/>
          <w:sz w:val="16"/>
        </w:rPr>
        <w:t>Airline</w:t>
      </w:r>
      <w:r>
        <w:rPr>
          <w:rFonts w:ascii="Book Antiqua"/>
          <w:i/>
          <w:spacing w:val="-7"/>
          <w:w w:val="110"/>
          <w:sz w:val="16"/>
        </w:rPr>
        <w:t xml:space="preserve"> </w:t>
      </w:r>
      <w:r>
        <w:rPr>
          <w:rFonts w:ascii="Book Antiqua"/>
          <w:i/>
          <w:w w:val="110"/>
          <w:sz w:val="16"/>
        </w:rPr>
        <w:t>Information,</w:t>
      </w:r>
      <w:r>
        <w:rPr>
          <w:rFonts w:ascii="Book Antiqua"/>
          <w:i/>
          <w:w w:val="110"/>
          <w:sz w:val="16"/>
        </w:rPr>
        <w:t xml:space="preserve"> </w:t>
      </w:r>
      <w:r>
        <w:rPr>
          <w:rFonts w:ascii="Book Antiqua"/>
          <w:i/>
          <w:w w:val="115"/>
          <w:sz w:val="16"/>
        </w:rPr>
        <w:t>Bureau of Transportation Statistics.</w:t>
      </w:r>
    </w:p>
    <w:p>
      <w:pPr>
        <w:spacing w:before="44"/>
        <w:ind w:left="160" w:right="0" w:firstLine="0"/>
        <w:jc w:val="left"/>
        <w:rPr>
          <w:sz w:val="14"/>
        </w:rPr>
      </w:pPr>
      <w:r>
        <w:rPr>
          <w:w w:val="105"/>
          <w:sz w:val="14"/>
        </w:rPr>
        <w:t>[FR</w:t>
      </w:r>
      <w:r>
        <w:rPr>
          <w:spacing w:val="3"/>
          <w:w w:val="105"/>
          <w:sz w:val="14"/>
        </w:rPr>
        <w:t xml:space="preserve"> </w:t>
      </w:r>
      <w:r>
        <w:rPr>
          <w:w w:val="105"/>
          <w:sz w:val="14"/>
        </w:rPr>
        <w:t>Doc.</w:t>
      </w:r>
      <w:r>
        <w:rPr>
          <w:spacing w:val="3"/>
          <w:w w:val="105"/>
          <w:sz w:val="14"/>
        </w:rPr>
        <w:t xml:space="preserve"> </w:t>
      </w:r>
      <w:r>
        <w:rPr>
          <w:w w:val="105"/>
          <w:sz w:val="14"/>
        </w:rPr>
        <w:t>2024–25926</w:t>
      </w:r>
      <w:r>
        <w:rPr>
          <w:spacing w:val="3"/>
          <w:w w:val="105"/>
          <w:sz w:val="14"/>
        </w:rPr>
        <w:t xml:space="preserve"> </w:t>
      </w:r>
      <w:r>
        <w:rPr>
          <w:w w:val="105"/>
          <w:sz w:val="14"/>
        </w:rPr>
        <w:t>Filed</w:t>
      </w:r>
      <w:r>
        <w:rPr>
          <w:spacing w:val="3"/>
          <w:w w:val="105"/>
          <w:sz w:val="14"/>
        </w:rPr>
        <w:t xml:space="preserve"> </w:t>
      </w:r>
      <w:r>
        <w:rPr>
          <w:w w:val="105"/>
          <w:sz w:val="14"/>
        </w:rPr>
        <w:t>11–7–24;</w:t>
      </w:r>
      <w:r>
        <w:rPr>
          <w:spacing w:val="3"/>
          <w:w w:val="105"/>
          <w:sz w:val="14"/>
        </w:rPr>
        <w:t xml:space="preserve"> </w:t>
      </w:r>
      <w:r>
        <w:rPr>
          <w:w w:val="105"/>
          <w:sz w:val="14"/>
        </w:rPr>
        <w:t>8:45</w:t>
      </w:r>
      <w:r>
        <w:rPr>
          <w:spacing w:val="3"/>
          <w:w w:val="105"/>
          <w:sz w:val="14"/>
        </w:rPr>
        <w:t xml:space="preserve"> </w:t>
      </w:r>
      <w:r>
        <w:rPr>
          <w:spacing w:val="-5"/>
          <w:w w:val="105"/>
          <w:sz w:val="14"/>
        </w:rPr>
        <w:t>am]</w:t>
      </w:r>
    </w:p>
    <w:p>
      <w:pPr>
        <w:spacing w:before="93"/>
        <w:ind w:left="160" w:right="0" w:firstLine="0"/>
        <w:jc w:val="left"/>
        <w:rPr>
          <w:rFonts w:ascii="Arial" w:hAnsi="Arial"/>
          <w:b/>
          <w:sz w:val="12"/>
        </w:rPr>
      </w:pPr>
      <w:r>
        <w:rPr>
          <w:rFonts w:ascii="Arial" w:hAnsi="Arial"/>
          <w:b/>
          <w:sz w:val="12"/>
        </w:rPr>
        <w:t>BILLING</w:t>
      </w:r>
      <w:r>
        <w:rPr>
          <w:rFonts w:ascii="Arial" w:hAnsi="Arial"/>
          <w:b/>
          <w:spacing w:val="19"/>
          <w:sz w:val="12"/>
        </w:rPr>
        <w:t xml:space="preserve"> </w:t>
      </w:r>
      <w:r>
        <w:rPr>
          <w:rFonts w:ascii="Arial" w:hAnsi="Arial"/>
          <w:b/>
          <w:sz w:val="12"/>
        </w:rPr>
        <w:t>CODE</w:t>
      </w:r>
      <w:r>
        <w:rPr>
          <w:rFonts w:ascii="Arial" w:hAnsi="Arial"/>
          <w:b/>
          <w:spacing w:val="19"/>
          <w:sz w:val="12"/>
        </w:rPr>
        <w:t xml:space="preserve"> </w:t>
      </w:r>
      <w:r>
        <w:rPr>
          <w:rFonts w:ascii="Arial" w:hAnsi="Arial"/>
          <w:b/>
          <w:spacing w:val="-2"/>
          <w:sz w:val="12"/>
        </w:rPr>
        <w:t>4910–9X–P</w:t>
      </w:r>
    </w:p>
    <w:sectPr>
      <w:type w:val="continuous"/>
      <w:pgSz w:w="12240" w:h="15840"/>
      <w:pgMar w:top="260" w:right="780" w:bottom="280" w:left="740" w:header="720" w:footer="720"/>
      <w:cols w:num="3" w:space="720" w:equalWidth="0">
        <w:col w:w="3487" w:space="54"/>
        <w:col w:w="3486" w:space="53"/>
        <w:col w:w="3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mbria">
    <w:altName w:val="Cambria"/>
    <w:charset w:val="00"/>
    <w:family w:val="roman"/>
    <w:pitch w:val="variable"/>
  </w:font>
  <w:font w:name="Book Antiqua">
    <w:altName w:val="Book Antiqua"/>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60"/>
    </w:pPr>
    <w:rPr>
      <w:rFonts w:ascii="Cambria" w:eastAsia="Cambria" w:hAnsi="Cambria" w:cs="Cambria"/>
      <w:sz w:val="18"/>
      <w:szCs w:val="18"/>
      <w:lang w:val="en-US" w:eastAsia="en-US" w:bidi="ar-SA"/>
    </w:rPr>
  </w:style>
  <w:style w:type="paragraph" w:customStyle="1" w:styleId="Heading1">
    <w:name w:val="Heading 1"/>
    <w:basedOn w:val="Normal"/>
    <w:uiPriority w:val="1"/>
    <w:qFormat/>
    <w:pPr>
      <w:ind w:left="160"/>
      <w:outlineLvl w:val="1"/>
    </w:pPr>
    <w:rPr>
      <w:rFonts w:ascii="Arial" w:eastAsia="Arial" w:hAnsi="Arial" w:cs="Arial"/>
      <w:b/>
      <w:bCs/>
      <w:sz w:val="18"/>
      <w:szCs w:val="18"/>
      <w:lang w:val="en-US" w:eastAsia="en-US" w:bidi="ar-SA"/>
    </w:rPr>
  </w:style>
  <w:style w:type="paragraph" w:styleId="ListParagraph">
    <w:name w:val="List Paragraph"/>
    <w:basedOn w:val="Normal"/>
    <w:uiPriority w:val="1"/>
    <w:qFormat/>
    <w:rPr>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cecelia.robinson@dot.gov" TargetMode="External" /><Relationship Id="rId6" Type="http://schemas.openxmlformats.org/officeDocument/2006/relationships/hyperlink" Target="mailto:Jennifer.rodes@dot.gov" TargetMode="External" /><Relationship Id="rId7" Type="http://schemas.openxmlformats.org/officeDocument/2006/relationships/hyperlink" Target="http://www.regulations.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2024-12-03T13:18:39Z</dcterms:created>
  <dcterms:modified xsi:type="dcterms:W3CDTF">2024-12-03T13:18:39Z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govinfo, U. S. Government Publishing Office</vt:lpwstr>
  </property>
  <property fmtid="{D5CDD505-2E9C-101B-9397-08002B2CF9AE}" pid="4" name="LastSaved">
    <vt:filetime>2024-12-03T00:00:00Z</vt:filetime>
  </property>
  <property fmtid="{D5CDD505-2E9C-101B-9397-08002B2CF9AE}" pid="5" name="Producer">
    <vt:lpwstr>iText® Core 7.2.3 (production version) ©2000-2022 iText Group NV, Government Publishing Office</vt:lpwstr>
  </property>
</Properties>
</file>