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C44" w14:paraId="7A98D214" w14:textId="77777777">
      <w:pPr>
        <w:pStyle w:val="Heading1"/>
        <w:ind w:left="-5"/>
      </w:pPr>
      <w:r>
        <w:t xml:space="preserve">8318 </w:t>
      </w:r>
    </w:p>
    <w:p w:rsidR="007F3C44" w14:paraId="53C03E4E" w14:textId="77777777">
      <w:pPr>
        <w:spacing w:after="59"/>
        <w:ind w:left="-5" w:right="8"/>
      </w:pPr>
      <w:r>
        <w:t xml:space="preserve">to either evaluate a pilot candidate prior to making a hiring decision or to report records. The PRD contains employer and FAA records on an individual’s performance as a pilot for the life of the individual. Records contained within the database would only be permitted to be used as a hiring aid in an operator’s decision-making process for pilot employment. The pilot has full control of who they release their PRD information to and for how long. Disclosure of their information can only be initiated by the pilot. </w:t>
      </w:r>
    </w:p>
    <w:p w:rsidR="007F3C44" w14:paraId="112305B0" w14:textId="77777777">
      <w:pPr>
        <w:spacing w:after="0" w:line="259" w:lineRule="auto"/>
        <w:ind w:left="175" w:right="0"/>
      </w:pPr>
      <w:r>
        <w:rPr>
          <w:i/>
        </w:rPr>
        <w:t xml:space="preserve">Respondents: Regarding PRIA, </w:t>
      </w:r>
      <w:r>
        <w:t xml:space="preserve">the </w:t>
      </w:r>
    </w:p>
    <w:p w:rsidR="007F3C44" w14:paraId="079DF221" w14:textId="77777777">
      <w:pPr>
        <w:ind w:left="-5" w:right="8"/>
      </w:pPr>
      <w:r>
        <w:t xml:space="preserve">PRIA representative at each part 121, 125 and 135 air carrier </w:t>
      </w:r>
      <w:r>
        <w:t>is</w:t>
      </w:r>
      <w:r>
        <w:t xml:space="preserve"> responsible for completing, forwarding, receiving and providing the air carrier with the completed PRIA report so the air carrier can make a more informed hiring decision concerning each pilot/ applicant. One complete PRIA package is required for every pilot/applicant. As of December 7, 2021, the FAA no longer processes PRIA requests via Form 8060– 10, as this function became available through PRD. Prior to December 7, 2021, the FAA processes approximately 24,120 PRIA packages per year from respondents. Regarding PRD, the PRD representative at each certificate holder operating under </w:t>
      </w:r>
      <w:r>
        <w:t>part</w:t>
      </w:r>
      <w:r>
        <w:t xml:space="preserve"> 121, 125, 135, 91K operators, air tour operators, and other specific entities operating under part 91 is responsible for completing and submitting the PRD employer records to PRD, for each pilot, through the Web based forms or API. Pilots who hold commercial, airline transport, or remote pilot certificates can access PRD and complete web-based forms concerning Employment History records reporting (#8) and Pilot Consent form (#10). If the pilot is unable to access the PRD, the pilot can submit hardcopies of FAA Forms 8060–14 and 8060–15 to </w:t>
      </w:r>
      <w:r>
        <w:rPr>
          <w:i/>
        </w:rPr>
        <w:t xml:space="preserve">prdsupport@faa.gov </w:t>
      </w:r>
      <w:r>
        <w:t xml:space="preserve">for processing by the FAA on their behalf. The FAA processes approximately 1,853 FAA forms 8060–14 and five FAA forms </w:t>
      </w:r>
    </w:p>
    <w:p w:rsidR="007F3C44" w14:paraId="515E9083" w14:textId="77777777">
      <w:pPr>
        <w:spacing w:after="56"/>
        <w:ind w:left="-5" w:right="8"/>
      </w:pPr>
      <w:r>
        <w:t xml:space="preserve">8060–15 per year from respondents. </w:t>
      </w:r>
    </w:p>
    <w:p w:rsidR="007F3C44" w14:paraId="33DAD818" w14:textId="77777777">
      <w:pPr>
        <w:spacing w:after="56"/>
        <w:ind w:left="190" w:right="8"/>
      </w:pPr>
      <w:r>
        <w:rPr>
          <w:i/>
        </w:rPr>
        <w:t xml:space="preserve">Frequency: </w:t>
      </w:r>
      <w:r>
        <w:t xml:space="preserve">On occasion. </w:t>
      </w:r>
    </w:p>
    <w:p w:rsidR="007F3C44" w14:paraId="6DA0D6C6" w14:textId="77777777">
      <w:pPr>
        <w:spacing w:after="42" w:line="259" w:lineRule="auto"/>
        <w:ind w:left="0" w:right="0" w:firstLine="180"/>
      </w:pPr>
      <w:r>
        <w:rPr>
          <w:i/>
        </w:rPr>
        <w:t xml:space="preserve">Estimated Average Burden per Response: </w:t>
      </w:r>
      <w:r>
        <w:t xml:space="preserve">0.07181 hours </w:t>
      </w:r>
    </w:p>
    <w:p w:rsidR="007F3C44" w14:paraId="4E5C63C3" w14:textId="77777777">
      <w:pPr>
        <w:spacing w:after="57" w:line="259" w:lineRule="auto"/>
        <w:ind w:left="0" w:right="0" w:firstLine="180"/>
      </w:pPr>
      <w:r>
        <w:rPr>
          <w:i/>
        </w:rPr>
        <w:t xml:space="preserve">Estimated Total Annual Burden: </w:t>
      </w:r>
      <w:r>
        <w:t xml:space="preserve">385,367.92 hours. </w:t>
      </w:r>
    </w:p>
    <w:p w:rsidR="007F3C44" w14:paraId="496C172A" w14:textId="77777777">
      <w:pPr>
        <w:spacing w:after="33" w:line="243" w:lineRule="auto"/>
        <w:ind w:left="-15" w:right="0" w:firstLine="150"/>
      </w:pPr>
      <w:r>
        <w:rPr>
          <w:sz w:val="16"/>
        </w:rPr>
        <w:t xml:space="preserve">Issued in Washington, DC, on January 23, 2025. </w:t>
      </w:r>
    </w:p>
    <w:p w:rsidR="007F3C44" w14:paraId="52C1929A" w14:textId="77777777">
      <w:pPr>
        <w:pStyle w:val="Heading2"/>
        <w:spacing w:after="20"/>
        <w:ind w:left="-5"/>
      </w:pPr>
      <w:r>
        <w:rPr>
          <w:sz w:val="16"/>
        </w:rPr>
        <w:t xml:space="preserve">D.C. Morris, </w:t>
      </w:r>
    </w:p>
    <w:p w:rsidR="007F3C44" w14:paraId="672210CF" w14:textId="77777777">
      <w:pPr>
        <w:spacing w:after="38"/>
        <w:ind w:left="-5" w:right="0"/>
      </w:pPr>
      <w:r>
        <w:rPr>
          <w:i/>
          <w:sz w:val="16"/>
        </w:rPr>
        <w:t xml:space="preserve">Aviation Safety Analyst, Flight Standards Service, General Aviation and Commercial Division. </w:t>
      </w:r>
    </w:p>
    <w:p w:rsidR="007F3C44" w14:paraId="20EBC080" w14:textId="77777777">
      <w:pPr>
        <w:spacing w:after="45" w:line="259" w:lineRule="auto"/>
        <w:ind w:left="-5" w:right="0"/>
      </w:pPr>
      <w:r>
        <w:rPr>
          <w:sz w:val="14"/>
        </w:rPr>
        <w:t xml:space="preserve">[FR Doc. 2025–01812 Filed 1–27–25; 8:45 am] </w:t>
      </w:r>
    </w:p>
    <w:p w:rsidR="007F3C44" w14:paraId="0F44A62D" w14:textId="77777777">
      <w:pPr>
        <w:spacing w:after="137" w:line="265" w:lineRule="auto"/>
        <w:ind w:left="-5" w:right="0"/>
      </w:pPr>
      <w:r>
        <w:rPr>
          <w:rFonts w:ascii="Arial" w:eastAsia="Arial" w:hAnsi="Arial" w:cs="Arial"/>
          <w:b/>
          <w:sz w:val="12"/>
        </w:rPr>
        <w:t xml:space="preserve">BILLING CODE 4910–13–P </w:t>
      </w:r>
    </w:p>
    <w:p w:rsidR="007F3C44" w14:paraId="57A7BE40" w14:textId="77777777">
      <w:pPr>
        <w:spacing w:after="136" w:line="259" w:lineRule="auto"/>
        <w:ind w:left="-5" w:right="0"/>
      </w:pPr>
      <w:r>
        <w:rPr>
          <w:rFonts w:ascii="Arial" w:eastAsia="Arial" w:hAnsi="Arial" w:cs="Arial"/>
          <w:b/>
        </w:rPr>
        <w:t xml:space="preserve">DEPARTMENT OF TRANSPORTATION </w:t>
      </w:r>
    </w:p>
    <w:p w:rsidR="007F3C44" w14:paraId="593A760A" w14:textId="77777777">
      <w:pPr>
        <w:spacing w:after="64" w:line="259" w:lineRule="auto"/>
        <w:ind w:left="-5" w:right="0"/>
      </w:pPr>
      <w:r>
        <w:rPr>
          <w:rFonts w:ascii="Arial" w:eastAsia="Arial" w:hAnsi="Arial" w:cs="Arial"/>
          <w:b/>
        </w:rPr>
        <w:t xml:space="preserve">Office of the Secretary </w:t>
      </w:r>
    </w:p>
    <w:p w:rsidR="007F3C44" w14:paraId="32CF40D7" w14:textId="77777777">
      <w:pPr>
        <w:spacing w:after="161" w:line="259" w:lineRule="auto"/>
        <w:ind w:left="0" w:right="0" w:firstLine="0"/>
      </w:pPr>
      <w:r>
        <w:rPr>
          <w:rFonts w:ascii="Arial" w:eastAsia="Arial" w:hAnsi="Arial" w:cs="Arial"/>
          <w:b/>
          <w:sz w:val="16"/>
        </w:rPr>
        <w:t xml:space="preserve">[Docket ID Number: DOT–OST–2014–0031] </w:t>
      </w:r>
    </w:p>
    <w:p w:rsidR="007F3C44" w14:paraId="53F73E76" w14:textId="77777777">
      <w:pPr>
        <w:spacing w:after="0" w:line="259" w:lineRule="auto"/>
        <w:ind w:left="-5" w:right="0"/>
      </w:pPr>
      <w:r>
        <w:rPr>
          <w:rFonts w:ascii="Arial" w:eastAsia="Arial" w:hAnsi="Arial" w:cs="Arial"/>
          <w:b/>
        </w:rPr>
        <w:t xml:space="preserve">Notice of Submission of Proposed </w:t>
      </w:r>
    </w:p>
    <w:p w:rsidR="007F3C44" w14:paraId="4F242436" w14:textId="77777777">
      <w:pPr>
        <w:spacing w:after="0" w:line="259" w:lineRule="auto"/>
        <w:ind w:left="-5" w:right="0"/>
      </w:pPr>
      <w:r>
        <w:rPr>
          <w:rFonts w:ascii="Arial" w:eastAsia="Arial" w:hAnsi="Arial" w:cs="Arial"/>
          <w:b/>
        </w:rPr>
        <w:t xml:space="preserve">Information Collection to OMB Agency </w:t>
      </w:r>
    </w:p>
    <w:p w:rsidR="007F3C44" w14:paraId="388E024F" w14:textId="77777777">
      <w:pPr>
        <w:spacing w:after="0" w:line="259" w:lineRule="auto"/>
        <w:ind w:left="-5" w:right="0"/>
      </w:pPr>
      <w:r>
        <w:rPr>
          <w:rFonts w:ascii="Arial" w:eastAsia="Arial" w:hAnsi="Arial" w:cs="Arial"/>
          <w:b/>
        </w:rPr>
        <w:t xml:space="preserve">Request for Renewal of a Previously </w:t>
      </w:r>
    </w:p>
    <w:p w:rsidR="007F3C44" w14:paraId="3AFB709C" w14:textId="77777777">
      <w:pPr>
        <w:spacing w:after="104" w:line="259" w:lineRule="auto"/>
        <w:ind w:left="-5" w:right="0"/>
      </w:pPr>
      <w:r>
        <w:rPr>
          <w:rFonts w:ascii="Arial" w:eastAsia="Arial" w:hAnsi="Arial" w:cs="Arial"/>
          <w:b/>
        </w:rPr>
        <w:t xml:space="preserve">Approved Collection: Airline Service Quality Performance—Part 234 </w:t>
      </w:r>
    </w:p>
    <w:p w:rsidR="007F3C44" w14:paraId="5B1BD754" w14:textId="77777777">
      <w:pPr>
        <w:ind w:left="-5" w:right="8"/>
      </w:pPr>
      <w:r>
        <w:rPr>
          <w:rFonts w:ascii="Arial" w:eastAsia="Arial" w:hAnsi="Arial" w:cs="Arial"/>
          <w:b/>
          <w:sz w:val="15"/>
        </w:rPr>
        <w:t>AGENCY</w:t>
      </w:r>
      <w:r>
        <w:rPr>
          <w:rFonts w:ascii="Arial" w:eastAsia="Arial" w:hAnsi="Arial" w:cs="Arial"/>
          <w:b/>
        </w:rPr>
        <w:t xml:space="preserve">: </w:t>
      </w:r>
      <w:r>
        <w:t xml:space="preserve">Office of the Assistant Secretary for Research and Technology </w:t>
      </w:r>
    </w:p>
    <w:p w:rsidR="007F3C44" w14:paraId="5620965E" w14:textId="77777777">
      <w:pPr>
        <w:spacing w:after="40"/>
        <w:ind w:left="-5" w:right="8"/>
      </w:pPr>
      <w:r>
        <w:t xml:space="preserve">(OST–R), Bureau of Transportation Statistics (BTS), Department of Transportation (DOT). </w:t>
      </w:r>
    </w:p>
    <w:p w:rsidR="007F3C44" w14:paraId="3B3580B8" w14:textId="77777777">
      <w:pPr>
        <w:ind w:left="-5" w:right="8"/>
      </w:pPr>
      <w:r>
        <w:rPr>
          <w:rFonts w:ascii="Arial" w:eastAsia="Arial" w:hAnsi="Arial" w:cs="Arial"/>
          <w:b/>
          <w:sz w:val="15"/>
        </w:rPr>
        <w:t>ACTION</w:t>
      </w:r>
      <w:r>
        <w:rPr>
          <w:rFonts w:ascii="Arial" w:eastAsia="Arial" w:hAnsi="Arial" w:cs="Arial"/>
          <w:b/>
        </w:rPr>
        <w:t xml:space="preserve">: </w:t>
      </w:r>
      <w:r>
        <w:t xml:space="preserve">Notice and request for comments. </w:t>
      </w:r>
    </w:p>
    <w:p w:rsidR="007F3C44" w14:paraId="0E97F441" w14:textId="77777777">
      <w:pPr>
        <w:spacing w:after="114" w:line="259" w:lineRule="auto"/>
        <w:ind w:left="0" w:right="0" w:firstLine="0"/>
      </w:pPr>
      <w:r>
        <w:rPr>
          <w:rFonts w:ascii="Calibri" w:eastAsia="Calibri" w:hAnsi="Calibri" w:cs="Calibri"/>
          <w:noProof/>
          <w:sz w:val="22"/>
        </w:rPr>
        <mc:AlternateContent>
          <mc:Choice Requires="wpg">
            <w:drawing>
              <wp:inline distT="0" distB="0" distL="0" distR="0">
                <wp:extent cx="2133600" cy="3810"/>
                <wp:effectExtent l="0" t="0" r="0" b="0"/>
                <wp:docPr id="7874" name="Group 7874"/>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3810"/>
                          <a:chOff x="0" y="0"/>
                          <a:chExt cx="2133600" cy="3810"/>
                        </a:xfrm>
                      </wpg:grpSpPr>
                      <wps:wsp xmlns:wps="http://schemas.microsoft.com/office/word/2010/wordprocessingShape">
                        <wps:cNvPr id="121" name="Shape 121"/>
                        <wps:cNvSpPr/>
                        <wps:spPr>
                          <a:xfrm>
                            <a:off x="0" y="0"/>
                            <a:ext cx="2133600" cy="0"/>
                          </a:xfrm>
                          <a:custGeom>
                            <a:avLst/>
                            <a:gdLst/>
                            <a:rect l="0" t="0" r="0" b="0"/>
                            <a:pathLst>
                              <a:path fill="norm" w="2133600" stroke="1">
                                <a:moveTo>
                                  <a:pt x="0" y="0"/>
                                </a:moveTo>
                                <a:lnTo>
                                  <a:pt x="21336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5" style="width:168pt;height:0.3pt;mso-position-horizontal-relative:char;mso-position-vertical-relative:line" coordsize="21336,38">
                <v:shape id="_x0000_s1026" style="width:21336;height:0;position:absolute" coordsize="2133600,0" path="m,l2133600,e" filled="f" fillcolor="black" stroked="t" strokecolor="black">
                  <v:fill opacity="0"/>
                  <v:stroke joinstyle="miter" endcap="flat"/>
                </v:shape>
                <w10:wrap type="none"/>
              </v:group>
            </w:pict>
          </mc:Fallback>
        </mc:AlternateContent>
      </w:r>
    </w:p>
    <w:p w:rsidR="007F3C44" w14:paraId="76821A2E" w14:textId="77777777">
      <w:pPr>
        <w:ind w:left="-5" w:right="8"/>
      </w:pPr>
      <w:r>
        <w:rPr>
          <w:rFonts w:ascii="Arial" w:eastAsia="Arial" w:hAnsi="Arial" w:cs="Arial"/>
          <w:b/>
          <w:sz w:val="15"/>
        </w:rPr>
        <w:t>SUMMARY</w:t>
      </w:r>
      <w:r>
        <w:rPr>
          <w:rFonts w:ascii="Arial" w:eastAsia="Arial" w:hAnsi="Arial" w:cs="Arial"/>
          <w:b/>
        </w:rPr>
        <w:t xml:space="preserve">: </w:t>
      </w:r>
      <w:r>
        <w:t xml:space="preserve">In accordance with the Paperwork Reduction Act of 1995, this notice announces DOT’s intention to renew Office of Management and Budget (OMB) Control Number 2138– </w:t>
      </w:r>
    </w:p>
    <w:p w:rsidR="007F3C44" w14:paraId="78335C3B" w14:textId="77777777">
      <w:pPr>
        <w:ind w:left="-5" w:right="8"/>
      </w:pPr>
      <w:r>
        <w:t xml:space="preserve">0041 covering Airline Service Quality </w:t>
      </w:r>
    </w:p>
    <w:p w:rsidR="007F3C44" w14:paraId="656637A5" w14:textId="77777777">
      <w:pPr>
        <w:spacing w:after="38"/>
        <w:ind w:left="-5" w:right="8"/>
      </w:pPr>
      <w:r>
        <w:t xml:space="preserve">Performance On-time Performance and Mishandled Baggage reports that the largest U.S. air carriers file with DOT. </w:t>
      </w:r>
    </w:p>
    <w:p w:rsidR="007F3C44" w14:paraId="1D71AAA8" w14:textId="77777777">
      <w:pPr>
        <w:spacing w:after="42"/>
        <w:ind w:left="-5" w:right="8"/>
      </w:pPr>
      <w:r>
        <w:rPr>
          <w:rFonts w:ascii="Arial" w:eastAsia="Arial" w:hAnsi="Arial" w:cs="Arial"/>
          <w:b/>
          <w:sz w:val="15"/>
        </w:rPr>
        <w:t>DATES</w:t>
      </w:r>
      <w:r>
        <w:rPr>
          <w:rFonts w:ascii="Arial" w:eastAsia="Arial" w:hAnsi="Arial" w:cs="Arial"/>
          <w:b/>
        </w:rPr>
        <w:t xml:space="preserve">: </w:t>
      </w:r>
      <w:r>
        <w:t xml:space="preserve">Comments on this notice must be received by February 27, 2025. Interested persons are invited to submit comments regarding this proposal. </w:t>
      </w:r>
    </w:p>
    <w:p w:rsidR="007F3C44" w14:paraId="2CACB038" w14:textId="77777777">
      <w:pPr>
        <w:spacing w:after="40"/>
        <w:ind w:left="-5" w:right="8"/>
      </w:pPr>
      <w:r>
        <w:rPr>
          <w:rFonts w:ascii="Arial" w:eastAsia="Arial" w:hAnsi="Arial" w:cs="Arial"/>
          <w:b/>
          <w:sz w:val="15"/>
        </w:rPr>
        <w:t>ADDRESSES</w:t>
      </w:r>
      <w:r>
        <w:rPr>
          <w:rFonts w:ascii="Arial" w:eastAsia="Arial" w:hAnsi="Arial" w:cs="Arial"/>
          <w:b/>
        </w:rPr>
        <w:t xml:space="preserve">: </w:t>
      </w:r>
      <w:r>
        <w:t xml:space="preserve">To ensure that you do duplicate your docket submissions, please submit them by only one of the following means: </w:t>
      </w:r>
    </w:p>
    <w:p w:rsidR="007F3C44" w14:paraId="77F12F3B" w14:textId="77777777">
      <w:pPr>
        <w:numPr>
          <w:ilvl w:val="0"/>
          <w:numId w:val="1"/>
        </w:numPr>
        <w:spacing w:after="40"/>
        <w:ind w:right="0" w:firstLine="180"/>
      </w:pPr>
      <w:r>
        <w:rPr>
          <w:i/>
        </w:rPr>
        <w:t xml:space="preserve">Federal </w:t>
      </w:r>
      <w:r>
        <w:rPr>
          <w:i/>
        </w:rPr>
        <w:t>eRulemaking</w:t>
      </w:r>
      <w:r>
        <w:rPr>
          <w:i/>
        </w:rPr>
        <w:t xml:space="preserve"> Portal: </w:t>
      </w:r>
      <w:r>
        <w:t xml:space="preserve">Go to </w:t>
      </w:r>
      <w:hyperlink r:id="rId6">
        <w:r>
          <w:rPr>
            <w:i/>
          </w:rPr>
          <w:t>https://www.regulations.gov</w:t>
        </w:r>
      </w:hyperlink>
      <w:r>
        <w:rPr>
          <w:i/>
        </w:rPr>
        <w:t xml:space="preserve"> </w:t>
      </w:r>
      <w:r>
        <w:t xml:space="preserve">and follow the online instructions for submitting comments. (You may access comments received for this notice at </w:t>
      </w:r>
      <w:hyperlink r:id="rId6">
        <w:r>
          <w:rPr>
            <w:i/>
          </w:rPr>
          <w:t xml:space="preserve">https:// </w:t>
        </w:r>
      </w:hyperlink>
      <w:hyperlink r:id="rId6">
        <w:r>
          <w:rPr>
            <w:i/>
          </w:rPr>
          <w:t>www.regulations.gov</w:t>
        </w:r>
      </w:hyperlink>
      <w:r>
        <w:rPr>
          <w:i/>
        </w:rPr>
        <w:t xml:space="preserve"> </w:t>
      </w:r>
      <w:r>
        <w:t xml:space="preserve">by searching docket DOT–OST–2014–0031.) </w:t>
      </w:r>
    </w:p>
    <w:p w:rsidR="007F3C44" w14:paraId="7AADD0EF" w14:textId="77777777">
      <w:pPr>
        <w:numPr>
          <w:ilvl w:val="0"/>
          <w:numId w:val="1"/>
        </w:numPr>
        <w:spacing w:after="0" w:line="259" w:lineRule="auto"/>
        <w:ind w:right="0" w:firstLine="180"/>
      </w:pPr>
      <w:r>
        <w:rPr>
          <w:i/>
        </w:rPr>
        <w:t xml:space="preserve">Mail: </w:t>
      </w:r>
      <w:r>
        <w:t xml:space="preserve">Docket Management Facility, </w:t>
      </w:r>
    </w:p>
    <w:p w:rsidR="007F3C44" w14:paraId="79354D3E" w14:textId="77777777">
      <w:pPr>
        <w:spacing w:after="42"/>
        <w:ind w:left="-5" w:right="8"/>
      </w:pPr>
      <w:r>
        <w:t xml:space="preserve">U.S. Department of Transportation, 1200 New Jersey Ave. SE, West Building Ground Floor, Room W12–140, Washington, DC 20590–0001. </w:t>
      </w:r>
    </w:p>
    <w:p w:rsidR="007F3C44" w14:paraId="0CE13D6F" w14:textId="77777777">
      <w:pPr>
        <w:numPr>
          <w:ilvl w:val="0"/>
          <w:numId w:val="1"/>
        </w:numPr>
        <w:spacing w:after="0" w:line="259" w:lineRule="auto"/>
        <w:ind w:right="0" w:firstLine="180"/>
      </w:pPr>
      <w:r>
        <w:rPr>
          <w:i/>
        </w:rPr>
        <w:t xml:space="preserve">Hand Delivery: </w:t>
      </w:r>
      <w:r>
        <w:t xml:space="preserve">West Building </w:t>
      </w:r>
    </w:p>
    <w:p w:rsidR="007F3C44" w14:paraId="37FE932E" w14:textId="77777777">
      <w:pPr>
        <w:ind w:left="-5" w:right="8"/>
      </w:pPr>
      <w:r>
        <w:t xml:space="preserve">Ground Floor, Room W12–140, 1200 </w:t>
      </w:r>
    </w:p>
    <w:p w:rsidR="007F3C44" w14:paraId="3C612CF8" w14:textId="77777777">
      <w:pPr>
        <w:ind w:left="-5" w:right="8"/>
      </w:pPr>
      <w:r>
        <w:t xml:space="preserve">New Jersey Ave. SE, between 9 a.m. and </w:t>
      </w:r>
    </w:p>
    <w:p w:rsidR="007F3C44" w14:paraId="7706F717" w14:textId="77777777">
      <w:pPr>
        <w:ind w:left="-5" w:right="8"/>
      </w:pPr>
      <w:r>
        <w:t xml:space="preserve">5 p.m., Monday through Friday, except Federal holidays. The telephone number is 202–366–9329. </w:t>
      </w:r>
    </w:p>
    <w:p w:rsidR="007F3C44" w14:paraId="614214C1" w14:textId="77777777">
      <w:pPr>
        <w:spacing w:after="58"/>
        <w:ind w:left="-15" w:right="8" w:firstLine="180"/>
      </w:pPr>
      <w:r>
        <w:rPr>
          <w:i/>
        </w:rPr>
        <w:t xml:space="preserve">Privacy Act: </w:t>
      </w:r>
      <w:r>
        <w:t xml:space="preserve">Anyone is able to search the electronic form of all comments received into any of DOT’s dockets by the name of the individual submitting the comment (or signing the comment, if submitted on behalf of an association, business, labor union, etc.). You may review DOT’s complete Privacy Act Statement in the </w:t>
      </w:r>
      <w:r>
        <w:rPr>
          <w:b/>
        </w:rPr>
        <w:t xml:space="preserve">Federal Register </w:t>
      </w:r>
      <w:r>
        <w:t xml:space="preserve">published on April 11, 2000 (65 FR 19477–78). </w:t>
      </w:r>
    </w:p>
    <w:p w:rsidR="007F3C44" w14:paraId="3F23236E" w14:textId="77777777">
      <w:pPr>
        <w:spacing w:after="0" w:line="259" w:lineRule="auto"/>
        <w:ind w:left="-5" w:right="0"/>
      </w:pPr>
      <w:r>
        <w:rPr>
          <w:rFonts w:ascii="Arial" w:eastAsia="Arial" w:hAnsi="Arial" w:cs="Arial"/>
          <w:b/>
          <w:sz w:val="15"/>
        </w:rPr>
        <w:t>FOR FURTHER INFORMATION CONTACT</w:t>
      </w:r>
      <w:r>
        <w:rPr>
          <w:rFonts w:ascii="Arial" w:eastAsia="Arial" w:hAnsi="Arial" w:cs="Arial"/>
          <w:b/>
        </w:rPr>
        <w:t xml:space="preserve">: </w:t>
      </w:r>
    </w:p>
    <w:p w:rsidR="007F3C44" w14:paraId="4212FB58" w14:textId="77777777">
      <w:pPr>
        <w:ind w:left="-5" w:right="8"/>
      </w:pPr>
      <w:r>
        <w:t xml:space="preserve">Cecelia Robinson, Office of Airline </w:t>
      </w:r>
    </w:p>
    <w:p w:rsidR="007F3C44" w14:paraId="6D412446" w14:textId="77777777">
      <w:pPr>
        <w:spacing w:after="452"/>
        <w:ind w:left="-5" w:right="8"/>
      </w:pPr>
      <w:r>
        <w:t xml:space="preserve">Information, RTS–42, OST–R, BTS, </w:t>
      </w:r>
    </w:p>
    <w:p w:rsidR="007F3C44" w14:paraId="7719924E" w14:textId="77777777">
      <w:pPr>
        <w:spacing w:after="187" w:line="259" w:lineRule="auto"/>
        <w:ind w:left="315" w:right="0"/>
      </w:pPr>
      <w:r>
        <w:rPr>
          <w:rFonts w:ascii="Arial" w:eastAsia="Arial" w:hAnsi="Arial" w:cs="Arial"/>
          <w:color w:val="FFFFFF"/>
          <w:sz w:val="13"/>
        </w:rPr>
        <w:t>Frm</w:t>
      </w:r>
      <w:r>
        <w:rPr>
          <w:rFonts w:ascii="Arial" w:eastAsia="Arial" w:hAnsi="Arial" w:cs="Arial"/>
          <w:color w:val="FFFFFF"/>
          <w:sz w:val="13"/>
        </w:rPr>
        <w:t xml:space="preserve"> 00062</w:t>
      </w:r>
    </w:p>
    <w:p w:rsidR="007F3C44" w14:paraId="2B0EA45C" w14:textId="77777777">
      <w:pPr>
        <w:ind w:left="-5" w:right="8"/>
      </w:pPr>
      <w:r>
        <w:t xml:space="preserve">1200 New Jersey Avenue SE, </w:t>
      </w:r>
    </w:p>
    <w:p w:rsidR="007F3C44" w14:paraId="6BC43828" w14:textId="77777777">
      <w:pPr>
        <w:ind w:left="-5" w:right="8"/>
      </w:pPr>
      <w:r>
        <w:t xml:space="preserve">Washington, DC 20590–0001, </w:t>
      </w:r>
    </w:p>
    <w:p w:rsidR="007F3C44" w14:paraId="61AB5575" w14:textId="77777777">
      <w:pPr>
        <w:ind w:left="-5" w:right="8"/>
      </w:pPr>
      <w:r>
        <w:t xml:space="preserve">Telephone Number (202) 893–0515 </w:t>
      </w:r>
    </w:p>
    <w:p w:rsidR="007F3C44" w14:paraId="04FA5E52" w14:textId="77777777">
      <w:pPr>
        <w:spacing w:after="42"/>
        <w:ind w:left="-5" w:right="8"/>
      </w:pPr>
      <w:r>
        <w:t xml:space="preserve">(voice), Fax Number (202) 366–3383 or Email </w:t>
      </w:r>
      <w:r>
        <w:rPr>
          <w:i/>
        </w:rPr>
        <w:t xml:space="preserve">cecelia.robinson@dot.gov. </w:t>
      </w:r>
    </w:p>
    <w:p w:rsidR="007F3C44" w14:paraId="14012A16" w14:textId="77777777">
      <w:pPr>
        <w:spacing w:after="0" w:line="259" w:lineRule="auto"/>
        <w:ind w:left="-5" w:right="0"/>
      </w:pPr>
      <w:r>
        <w:rPr>
          <w:rFonts w:ascii="Arial" w:eastAsia="Arial" w:hAnsi="Arial" w:cs="Arial"/>
          <w:b/>
          <w:sz w:val="15"/>
        </w:rPr>
        <w:t>SUPPLEMENTARY INFORMATION</w:t>
      </w:r>
      <w:r>
        <w:rPr>
          <w:rFonts w:ascii="Arial" w:eastAsia="Arial" w:hAnsi="Arial" w:cs="Arial"/>
          <w:b/>
        </w:rPr>
        <w:t xml:space="preserve">: </w:t>
      </w:r>
      <w:r>
        <w:t xml:space="preserve">DOT </w:t>
      </w:r>
    </w:p>
    <w:p w:rsidR="007F3C44" w14:paraId="0BB84D9C" w14:textId="77777777">
      <w:pPr>
        <w:ind w:left="-5" w:right="8"/>
      </w:pPr>
      <w:r>
        <w:t xml:space="preserve">collects information regarding flight performance and mishandled baggage, wheelchairs, and scooters from the largest U.S. air carriers under 14 CFR part 234. The air carriers required to provide this information to DOT consist of the U.S. air carriers that accounted for at least half of one percent of domestic scheduled-passenger revenues (Reporting Carriers) as most recently determined by the DOT’s Office of Airline Information. An air carrier that is not a Reporting Carrier may voluntarily submit the flight performance and mishandled baggage, wheelchairs, and scooters information to the Department pursuant to 14 CFR </w:t>
      </w:r>
    </w:p>
    <w:p w:rsidR="007F3C44" w14:paraId="38861551" w14:textId="77777777">
      <w:pPr>
        <w:ind w:left="-5" w:right="8"/>
      </w:pPr>
      <w:r>
        <w:t xml:space="preserve">234.7. </w:t>
      </w:r>
    </w:p>
    <w:p w:rsidR="007F3C44" w14:paraId="0AEC8E62" w14:textId="77777777">
      <w:pPr>
        <w:ind w:left="-15" w:right="8" w:firstLine="180"/>
      </w:pPr>
      <w:r>
        <w:t>Specifically, Reporting Carriers must submit Part 234 On-time Performance reports to DOT with information on domestic flight operations and performance as described in 14 CFR 234.4.</w:t>
      </w:r>
      <w:r>
        <w:rPr>
          <w:vertAlign w:val="superscript"/>
        </w:rPr>
        <w:footnoteReference w:id="2"/>
      </w:r>
      <w:r>
        <w:rPr>
          <w:vertAlign w:val="superscript"/>
        </w:rPr>
        <w:t xml:space="preserve"> </w:t>
      </w:r>
      <w:r>
        <w:t xml:space="preserve">In addition, under 14 CFR 234.6, </w:t>
      </w:r>
    </w:p>
    <w:p w:rsidR="007F3C44" w14:paraId="301F03CB" w14:textId="77777777">
      <w:pPr>
        <w:ind w:left="-5" w:right="8"/>
      </w:pPr>
      <w:r>
        <w:t>Reporting Carriers must submit Part 234 Mishandled Baggage reports to DOT that include the following information for covered domestic flights: (1) the number of bags mishandled in its custody, (2) the number of bags enplaned into the aircraft cargo compartment, (3) the number of mishandled wheelchairs and scooters mishandled in its custody, and (4) the number of wheelchairs and scooters enplaned into the aircraft cargo compartment.</w:t>
      </w:r>
      <w:r>
        <w:rPr>
          <w:vertAlign w:val="superscript"/>
        </w:rPr>
        <w:footnoteReference w:id="3"/>
      </w:r>
      <w:r>
        <w:rPr>
          <w:vertAlign w:val="superscript"/>
        </w:rPr>
        <w:t xml:space="preserve"> </w:t>
      </w:r>
      <w:r>
        <w:t xml:space="preserve">Each Reporting Carrier is required to report the flight performance and mishandled baggage, wheelchair, and scooter information to DOT on a monthly basis for the covered flights it operates and for any covered flights held out under the Reporting Carrier’s code (as the only U.S. carrier code) and operated by a codeshare partner of the </w:t>
      </w:r>
    </w:p>
    <w:p w:rsidR="007F3C44" w14:paraId="30E15372" w14:textId="77777777">
      <w:pPr>
        <w:ind w:left="-5" w:right="8"/>
      </w:pPr>
      <w:r>
        <w:t xml:space="preserve">Reporting Carrier. </w:t>
      </w:r>
    </w:p>
    <w:p w:rsidR="007F3C44" w14:paraId="4F4B07F1" w14:textId="77777777">
      <w:pPr>
        <w:ind w:left="-15" w:right="8" w:firstLine="180"/>
      </w:pPr>
      <w:r>
        <w:t xml:space="preserve">DOT uses the information reported by airlines to provide airline performance information and statistics on the BTS website and in the Air Travel Consumer Report (ATCR), a monthly publication of DOT’s Office of Aviation Consumer Protection (OACP). Air transportation consumers and other stakeholders use the information DOT publishes to understand and compare airlines’ service quality performance, including airlines’ rates of on-time performance and cancellation and rates of baggage and wheelchair and scooter mishandling. </w:t>
      </w:r>
    </w:p>
    <w:p w:rsidR="007F3C44" w14:paraId="0C7C85FD" w14:textId="77777777">
      <w:pPr>
        <w:ind w:left="-15" w:right="8" w:firstLine="180"/>
      </w:pPr>
      <w:r>
        <w:t xml:space="preserve">DOT’s Federal Aviation Administration (FAA) uses data reported by airlines in Part 234 On-time Performance reports to analyze air traffic delays. Wheels-up and wheels- down times are used by the FAA in conjunction with departure and arrival times to show the extent of ground delays. Actual elapsed flight time (wheels-down minus wheels-up time) is compared by the FAA to scheduled elapsed flight time to identify airborne delays. The reporting of the aircraft tail number allows the FAA to track an aircraft through the air network, which enables the FAA to study the ripple effects of delays at hub airports. The data can be analyzed by the FAA for airport design changes, new equipment purchases, and the planning of new runways or airports based on current and projected airport delays and traffic levels. The identification of the reason for delays allows the FAA, airport operators, and air carriers to pinpoint delays under their control. </w:t>
      </w:r>
    </w:p>
    <w:p w:rsidR="007F3C44" w14:paraId="202D01CB" w14:textId="77777777">
      <w:pPr>
        <w:ind w:left="-15" w:right="8" w:firstLine="180"/>
      </w:pPr>
      <w:r>
        <w:t xml:space="preserve">DOT is publishing this notice to announce its intent to request extension of the previously approved information collections described above under OMB Control Number 2138–0041. Without further action, OMB authorization of the information collections would expire </w:t>
      </w:r>
    </w:p>
    <w:p w:rsidR="007F3C44" w14:paraId="79AA9C23" w14:textId="77777777">
      <w:pPr>
        <w:ind w:left="-5" w:right="8"/>
      </w:pPr>
      <w:r>
        <w:t xml:space="preserve">March 25, 2025. </w:t>
      </w:r>
    </w:p>
    <w:p w:rsidR="007F3C44" w14:paraId="2134F14A" w14:textId="77777777">
      <w:pPr>
        <w:ind w:left="-15" w:right="8" w:firstLine="180"/>
      </w:pPr>
      <w:r>
        <w:t xml:space="preserve">The Paperwork Reduction Act of 1995 (PRA) and its implementing regulations, 5 CFR part 1320, require Federal agencies to issue two notices seeking public comment on information collection activities before OMB may approve paperwork packages. A Federal agency generally cannot conduct or sponsor a collection of information, and the public is generally not required to respond to an information collection, unless it is approved by the OMB under the PRA and displays a currently valid OMB Control Number. In addition, notwithstanding any other provisions of law, no person shall generally be subject to monetary penalty for failing to comply with a collection of information if the collection of information does not display a valid OMB Control Number. </w:t>
      </w:r>
    </w:p>
    <w:p w:rsidR="007F3C44" w14:paraId="0719600E" w14:textId="77777777">
      <w:pPr>
        <w:ind w:left="-5" w:right="8"/>
      </w:pPr>
      <w:r>
        <w:t xml:space="preserve">See 5 CFR 1320.5(a) and 1320.6. </w:t>
      </w:r>
    </w:p>
    <w:p w:rsidR="007F3C44" w14:paraId="7386A717" w14:textId="77777777">
      <w:pPr>
        <w:spacing w:after="110"/>
        <w:ind w:left="-15" w:right="8" w:firstLine="180"/>
      </w:pPr>
      <w:r>
        <w:t xml:space="preserve">For each of these information collections, the title, a description of the respondents, and an estimate of the annual recordkeeping and periodic reporting burden are set forth below. </w:t>
      </w:r>
    </w:p>
    <w:p w:rsidR="007F3C44" w14:paraId="0FC50B6E" w14:textId="77777777">
      <w:pPr>
        <w:pStyle w:val="Heading2"/>
        <w:spacing w:after="119"/>
        <w:ind w:left="-5"/>
      </w:pPr>
      <w:r>
        <w:t xml:space="preserve">1. Airline Service Quality Performance Reports—Part 234 On-Time Performance </w:t>
      </w:r>
    </w:p>
    <w:p w:rsidR="007F3C44" w14:paraId="155427FF" w14:textId="77777777">
      <w:pPr>
        <w:spacing w:after="59"/>
        <w:ind w:left="-15" w:right="8" w:firstLine="180"/>
      </w:pPr>
      <w:r>
        <w:rPr>
          <w:i/>
        </w:rPr>
        <w:t xml:space="preserve">Respondents: </w:t>
      </w:r>
      <w:r>
        <w:t xml:space="preserve">Certificated air carriers that account for at least half of one percent of the domestic scheduled- service passenger revenues are required to report flight performance data for flights that they operate as described in 14 CFR 234.4; Certificated air carriers that account for at least half of one percent of domestic scheduled-service passenger revenues that market code- share flights carrying the carrier’s code as the only U.S. carrier code are required to report flight performance data for these code-share flights as described in 14 CFR 234.4; Air carriers may voluntarily report flight performance data pursuant to 14 CFR 234.7. </w:t>
      </w:r>
    </w:p>
    <w:p w:rsidR="007F3C44" w14:paraId="588F1B7B" w14:textId="77777777">
      <w:pPr>
        <w:spacing w:after="59"/>
        <w:ind w:left="-15" w:right="8" w:firstLine="180"/>
      </w:pPr>
      <w:r>
        <w:rPr>
          <w:i/>
        </w:rPr>
        <w:t xml:space="preserve">Estimated Number of Respondents: </w:t>
      </w:r>
      <w:r>
        <w:t xml:space="preserve">15 air carriers (4 of which market codeshare flights). </w:t>
      </w:r>
    </w:p>
    <w:p w:rsidR="007F3C44" w14:paraId="051E2038" w14:textId="77777777">
      <w:pPr>
        <w:spacing w:after="39" w:line="259" w:lineRule="auto"/>
        <w:ind w:left="175" w:right="0"/>
      </w:pPr>
      <w:r>
        <w:rPr>
          <w:i/>
        </w:rPr>
        <w:t xml:space="preserve">Frequency: </w:t>
      </w:r>
      <w:r>
        <w:t xml:space="preserve">Monthly. </w:t>
      </w:r>
    </w:p>
    <w:p w:rsidR="007F3C44" w14:paraId="6FC6B259" w14:textId="77777777">
      <w:pPr>
        <w:spacing w:after="59"/>
        <w:ind w:left="-15" w:right="8" w:firstLine="180"/>
      </w:pPr>
      <w:r>
        <w:rPr>
          <w:i/>
        </w:rPr>
        <w:t xml:space="preserve">Estimated Average Burden per Response: </w:t>
      </w:r>
      <w:r>
        <w:t xml:space="preserve">10 hours for each respondent to report for the flights operated by the respondent plus an additional 16 hours if the respondent reports for flights operated by code-share partners. </w:t>
      </w:r>
    </w:p>
    <w:p w:rsidR="007F3C44" w14:paraId="34B4EE67" w14:textId="77777777">
      <w:pPr>
        <w:spacing w:after="59"/>
        <w:ind w:left="-15" w:right="8" w:firstLine="180"/>
      </w:pPr>
      <w:r>
        <w:rPr>
          <w:i/>
        </w:rPr>
        <w:t xml:space="preserve">Estimated Total Annual Burden: </w:t>
      </w:r>
      <w:r>
        <w:t xml:space="preserve">2,568 hours (15 air carriers reporting the flight performance information for the flights they operate </w:t>
      </w:r>
      <w:r>
        <w:rPr>
          <w:rFonts w:ascii="Segoe UI Symbol" w:eastAsia="Segoe UI Symbol" w:hAnsi="Segoe UI Symbol" w:cs="Segoe UI Symbol"/>
        </w:rPr>
        <w:t xml:space="preserve">× </w:t>
      </w:r>
      <w:r>
        <w:t xml:space="preserve">10 hours per response </w:t>
      </w:r>
      <w:r>
        <w:rPr>
          <w:rFonts w:ascii="Segoe UI Symbol" w:eastAsia="Segoe UI Symbol" w:hAnsi="Segoe UI Symbol" w:cs="Segoe UI Symbol"/>
        </w:rPr>
        <w:t xml:space="preserve">× </w:t>
      </w:r>
      <w:r>
        <w:t xml:space="preserve">12 months = 1,800 hours) + (4 air carriers reporting the flight performance information for flights operated by their codeshare partners </w:t>
      </w:r>
      <w:r>
        <w:rPr>
          <w:rFonts w:ascii="Segoe UI Symbol" w:eastAsia="Segoe UI Symbol" w:hAnsi="Segoe UI Symbol" w:cs="Segoe UI Symbol"/>
        </w:rPr>
        <w:t xml:space="preserve">× </w:t>
      </w:r>
      <w:r>
        <w:t xml:space="preserve">16 hours per response </w:t>
      </w:r>
      <w:r>
        <w:rPr>
          <w:rFonts w:ascii="Segoe UI Symbol" w:eastAsia="Segoe UI Symbol" w:hAnsi="Segoe UI Symbol" w:cs="Segoe UI Symbol"/>
        </w:rPr>
        <w:t xml:space="preserve">× </w:t>
      </w:r>
      <w:r>
        <w:t xml:space="preserve">12 months = 768 hours). This estimate is based on the following information: 15 carriers reported the flight performance data for the flights they operated to DOT in calendar year 2019, 2020, and 2021, 2022, 2023, 2024. Currently, 4 carriers report flight performance data to DOT for their codeshare operations. </w:t>
      </w:r>
    </w:p>
    <w:p w:rsidR="007F3C44" w14:paraId="1C2AB8D1" w14:textId="77777777">
      <w:pPr>
        <w:spacing w:after="457"/>
        <w:ind w:left="-15" w:right="8" w:firstLine="180"/>
      </w:pPr>
      <w:r>
        <w:t xml:space="preserve">DOT estimates that respondents will encounter on average a 10-hour burden per month to report flight performance data to DOT for the flights they operate. DOT estimates the respondents that market codeshare flights will encounter on average an additional burden of 16 hours per month to report flight performance data to DOT for their codeshare operations. The burden estimates include staff time to manage and process the data and to submit the report through DOT’s electronic submission system. </w:t>
      </w:r>
    </w:p>
    <w:p w:rsidR="007F3C44" w14:paraId="2E00E3C6" w14:textId="77777777">
      <w:pPr>
        <w:spacing w:after="187" w:line="259" w:lineRule="auto"/>
        <w:ind w:left="315" w:right="0"/>
      </w:pPr>
      <w:r>
        <w:rPr>
          <w:rFonts w:ascii="Arial" w:eastAsia="Arial" w:hAnsi="Arial" w:cs="Arial"/>
          <w:color w:val="FFFFFF"/>
          <w:sz w:val="13"/>
        </w:rPr>
        <w:t>Frm</w:t>
      </w:r>
      <w:r>
        <w:rPr>
          <w:rFonts w:ascii="Arial" w:eastAsia="Arial" w:hAnsi="Arial" w:cs="Arial"/>
          <w:color w:val="FFFFFF"/>
          <w:sz w:val="13"/>
        </w:rPr>
        <w:t xml:space="preserve"> 00063</w:t>
      </w:r>
    </w:p>
    <w:p w:rsidR="007F3C44" w14:paraId="732EDF18" w14:textId="77777777">
      <w:pPr>
        <w:spacing w:after="223" w:line="259" w:lineRule="auto"/>
        <w:ind w:left="0" w:right="0" w:firstLine="0"/>
        <w:jc w:val="right"/>
      </w:pPr>
      <w:r>
        <w:rPr>
          <w:b/>
          <w:sz w:val="22"/>
        </w:rPr>
        <w:t xml:space="preserve">8319 </w:t>
      </w:r>
    </w:p>
    <w:p w:rsidR="007F3C44" w14:paraId="68319673" w14:textId="77777777">
      <w:pPr>
        <w:pStyle w:val="Heading2"/>
        <w:ind w:left="-5"/>
      </w:pPr>
      <w:r>
        <w:t xml:space="preserve">2. Airline Service Quality Performance Reports—Part 234 Mishandled Baggage </w:t>
      </w:r>
    </w:p>
    <w:p w:rsidR="007F3C44" w14:paraId="5165A7FF" w14:textId="77777777">
      <w:pPr>
        <w:ind w:left="-15" w:right="8" w:firstLine="180"/>
      </w:pPr>
      <w:r>
        <w:rPr>
          <w:i/>
        </w:rPr>
        <w:t xml:space="preserve">Respondents: </w:t>
      </w:r>
      <w:r>
        <w:t xml:space="preserve">Certificated air carriers that account for at least half of one percent of the domestic scheduled- service passenger revenues are required to report mishandled baggage and wheelchairs and scooters data for flights that they operate as described in 14 CFR 234.6; Certificated air carriers that account for at least half of one percent of domestic scheduled-service passenger revenues that market code-share flights carrying the carrier’s code as the only U.S. carrier code are required to report mishandled baggage and wheelchairs and scooters data for these code-share flights as described in 14 CFR 234.6; Air carriers may voluntarily report mishandled baggage and wheelchairs and scooters data pursuant to 14 CFR 234.7. </w:t>
      </w:r>
    </w:p>
    <w:p w:rsidR="007F3C44" w14:paraId="43EAC2E5" w14:textId="77777777">
      <w:pPr>
        <w:ind w:left="-15" w:right="8" w:firstLine="180"/>
      </w:pPr>
      <w:r>
        <w:rPr>
          <w:i/>
        </w:rPr>
        <w:t xml:space="preserve">Estimated Number of Respondents: </w:t>
      </w:r>
      <w:r>
        <w:t xml:space="preserve">15 air carriers (4 that market codeshare flights). </w:t>
      </w:r>
    </w:p>
    <w:p w:rsidR="007F3C44" w14:paraId="20439C31" w14:textId="77777777">
      <w:pPr>
        <w:spacing w:after="0" w:line="259" w:lineRule="auto"/>
        <w:ind w:left="175" w:right="0"/>
      </w:pPr>
      <w:r>
        <w:rPr>
          <w:i/>
        </w:rPr>
        <w:t xml:space="preserve">Frequency: </w:t>
      </w:r>
      <w:r>
        <w:t xml:space="preserve">Monthly. </w:t>
      </w:r>
    </w:p>
    <w:p w:rsidR="007F3C44" w14:paraId="5CCBC4D6" w14:textId="77777777">
      <w:pPr>
        <w:ind w:left="-15" w:right="8" w:firstLine="180"/>
      </w:pPr>
      <w:r>
        <w:rPr>
          <w:i/>
        </w:rPr>
        <w:t xml:space="preserve">Estimated Average Burden per Response: </w:t>
      </w:r>
      <w:r>
        <w:t xml:space="preserve">10 hours for each respondent to report for the flights operated by the respondent plus an additional 16 hours if the respondent reports for flights operated by code-share partners. </w:t>
      </w:r>
    </w:p>
    <w:p w:rsidR="007F3C44" w14:paraId="104B390F" w14:textId="77777777">
      <w:pPr>
        <w:ind w:left="-15" w:right="8" w:firstLine="180"/>
      </w:pPr>
      <w:r>
        <w:rPr>
          <w:i/>
        </w:rPr>
        <w:t xml:space="preserve">Estimated Total Annual Burden: </w:t>
      </w:r>
      <w:r>
        <w:t xml:space="preserve">2,568 hours (15 air carriers reporting the mishandled baggage and mishandled wheelchairs and scooters information for flights they operate </w:t>
      </w:r>
      <w:r>
        <w:rPr>
          <w:rFonts w:ascii="Segoe UI Symbol" w:eastAsia="Segoe UI Symbol" w:hAnsi="Segoe UI Symbol" w:cs="Segoe UI Symbol"/>
        </w:rPr>
        <w:t xml:space="preserve">× </w:t>
      </w:r>
      <w:r>
        <w:t xml:space="preserve">10 hours per response </w:t>
      </w:r>
      <w:r>
        <w:rPr>
          <w:rFonts w:ascii="Segoe UI Symbol" w:eastAsia="Segoe UI Symbol" w:hAnsi="Segoe UI Symbol" w:cs="Segoe UI Symbol"/>
        </w:rPr>
        <w:t xml:space="preserve">× </w:t>
      </w:r>
      <w:r>
        <w:t xml:space="preserve">12 months = 1,800 hours) + (4 air carriers reporting the mishandled baggage and mishandled wheelchairs and scooters information for flights operated by their codeshare partners </w:t>
      </w:r>
      <w:r>
        <w:rPr>
          <w:rFonts w:ascii="Segoe UI Symbol" w:eastAsia="Segoe UI Symbol" w:hAnsi="Segoe UI Symbol" w:cs="Segoe UI Symbol"/>
        </w:rPr>
        <w:t xml:space="preserve">× </w:t>
      </w:r>
      <w:r>
        <w:t xml:space="preserve">16 hours per response </w:t>
      </w:r>
      <w:r>
        <w:rPr>
          <w:rFonts w:ascii="Segoe UI Symbol" w:eastAsia="Segoe UI Symbol" w:hAnsi="Segoe UI Symbol" w:cs="Segoe UI Symbol"/>
        </w:rPr>
        <w:t xml:space="preserve">× </w:t>
      </w:r>
      <w:r>
        <w:t xml:space="preserve">12 months = 768 hours) + (.00138 hours for manual data entry related to wheelchair or scooters </w:t>
      </w:r>
      <w:r>
        <w:rPr>
          <w:rFonts w:ascii="Segoe UI Symbol" w:eastAsia="Segoe UI Symbol" w:hAnsi="Segoe UI Symbol" w:cs="Segoe UI Symbol"/>
        </w:rPr>
        <w:t xml:space="preserve">× </w:t>
      </w:r>
      <w:r>
        <w:t xml:space="preserve">12,000 manual entries = 17 hours). This estimate is based on the following information: 17 carriers reported mishandled baggage and wheelchair and scooter information to DOT in calendar year 2019, 2020, and 2021, 2022, 2023, 2024. Currently, 4 carriers report mishandled baggage and wheelchair and scooter information to DOT for their codeshare operations. </w:t>
      </w:r>
    </w:p>
    <w:p w:rsidR="007F3C44" w14:paraId="30D8BCD5" w14:textId="77777777">
      <w:pPr>
        <w:ind w:left="-15" w:right="8" w:firstLine="180"/>
      </w:pPr>
      <w:r>
        <w:t xml:space="preserve">DOT estimates that respondents will encounter on average 10-hours burden per month to report the mishandled baggage and wheelchair and scooter data to DOT for the flights they operate. DOT estimates that respondents that market codeshare flights will encounter on average an additional burden of 16 hours per month to report the mishandled baggage and wheelchair and scooter data to DOT for their codeshare operations. The burden estimates include staff time to manage and </w:t>
      </w:r>
    </w:p>
    <w:p w:rsidR="007F3C44" w14:paraId="05D0FCB1" w14:textId="77777777">
      <w:pPr>
        <w:pStyle w:val="Heading1"/>
        <w:ind w:left="-5"/>
      </w:pPr>
      <w:r>
        <w:t xml:space="preserve">8320 </w:t>
      </w:r>
    </w:p>
    <w:p w:rsidR="007F3C44" w14:paraId="3D7AC674" w14:textId="77777777">
      <w:pPr>
        <w:ind w:left="-5" w:right="8"/>
      </w:pPr>
      <w:r>
        <w:t xml:space="preserve">process the data and to submit the report through DOT’s electronic submission system. </w:t>
      </w:r>
    </w:p>
    <w:p w:rsidR="007F3C44" w14:paraId="2A1C13CD" w14:textId="77777777">
      <w:pPr>
        <w:spacing w:after="92"/>
        <w:ind w:left="-15" w:right="8" w:firstLine="180"/>
      </w:pPr>
      <w:r>
        <w:t xml:space="preserve">In addition, the estimated total annual burden </w:t>
      </w:r>
      <w:r>
        <w:t>is based on the assumption</w:t>
      </w:r>
      <w:r>
        <w:t xml:space="preserve"> that most respondents employ automated processes to record that an item enplaned is a wheelchair or scooter for the purposes of reporting data on wheelchairs and scooters to DOT. For a carrier that manually records this information, such as by having their agent type information describing a wheelchair or scooter into the airline’s system, DOT estimates that the airline would spend approximately 5 seconds (.00138 hours) per item to manually enter the data.</w:t>
      </w:r>
      <w:r>
        <w:rPr>
          <w:vertAlign w:val="superscript"/>
        </w:rPr>
        <w:footnoteReference w:id="4"/>
      </w:r>
      <w:r>
        <w:rPr>
          <w:vertAlign w:val="superscript"/>
        </w:rPr>
        <w:t xml:space="preserve"> </w:t>
      </w:r>
      <w:r>
        <w:t xml:space="preserve">DOT estimates that 12,000 Wheelchairs and scooters total are recorded manually per year. </w:t>
      </w:r>
    </w:p>
    <w:p w:rsidR="007F3C44" w14:paraId="12307A24" w14:textId="77777777">
      <w:pPr>
        <w:pStyle w:val="Heading2"/>
        <w:ind w:left="-5"/>
      </w:pPr>
      <w:r>
        <w:t xml:space="preserve">Administrative Issues </w:t>
      </w:r>
    </w:p>
    <w:p w:rsidR="007F3C44" w14:paraId="68CA624F" w14:textId="77777777">
      <w:pPr>
        <w:spacing w:after="94"/>
        <w:ind w:left="-15" w:right="8" w:firstLine="180"/>
      </w:pPr>
      <w:r>
        <w:t xml:space="preserve">The </w:t>
      </w:r>
      <w:r>
        <w:rPr>
          <w:i/>
        </w:rPr>
        <w:t xml:space="preserve">Confidential Information Protection and Statistical Efficiency Act of 2002 </w:t>
      </w:r>
      <w:r>
        <w:t xml:space="preserve">(44 </w:t>
      </w:r>
      <w:r>
        <w:t xml:space="preserve">U.S.C. 3501) requires a statistical agency to clearly identify information it collects for non-statistical purposes. BTS hereby notifies the respondents and the public that BTS uses the information it collects under this OMB approval for non-statistical purposes including, but not limited to, publication of both respondent’s identity and its data, submission of the information to agencies outside BTS for review, analysis and possible use in regulatory and other administrative matters. </w:t>
      </w:r>
    </w:p>
    <w:p w:rsidR="007F3C44" w14:paraId="372A697C" w14:textId="77777777">
      <w:pPr>
        <w:pStyle w:val="Heading2"/>
        <w:ind w:left="-5"/>
      </w:pPr>
      <w:r>
        <w:t xml:space="preserve">Comments Invited </w:t>
      </w:r>
    </w:p>
    <w:p w:rsidR="007F3C44" w14:paraId="711D8C64" w14:textId="77777777">
      <w:pPr>
        <w:ind w:left="-15" w:right="8" w:firstLine="180"/>
      </w:pPr>
      <w:r>
        <w:rPr>
          <w:i/>
        </w:rPr>
        <w:t xml:space="preserve">We invite comments on: </w:t>
      </w:r>
      <w:r>
        <w:t xml:space="preserve">(a) Whether the collection of information is necessary for the proper performance of the functions of DOT, including whether the information will have practical utility; (b) the accuracy of DOT’s estimate of the burden of the proposed information collection; (c) ways to enhance the quality, utility and clarity of the information to be collected; and (d) ways to minimize the burden of the collection of information on respondents. </w:t>
      </w:r>
    </w:p>
    <w:p w:rsidR="007F3C44" w14:paraId="159FCA12" w14:textId="77777777">
      <w:pPr>
        <w:spacing w:after="56"/>
        <w:ind w:left="-15" w:right="8" w:firstLine="180"/>
      </w:pPr>
      <w:r>
        <w:t xml:space="preserve">All responses to this notice will be summarized and included in the request for OMB approval. All comments will also become a matter of public record on the docket. </w:t>
      </w:r>
    </w:p>
    <w:p w:rsidR="007F3C44" w14:paraId="2E17E430" w14:textId="77777777">
      <w:pPr>
        <w:spacing w:after="33" w:line="243" w:lineRule="auto"/>
        <w:ind w:left="-15" w:right="0" w:firstLine="150"/>
      </w:pPr>
      <w:r>
        <w:rPr>
          <w:sz w:val="16"/>
        </w:rPr>
        <w:t xml:space="preserve">Issued this 21st day of January 2025, at Washington, DC. </w:t>
      </w:r>
    </w:p>
    <w:p w:rsidR="007F3C44" w14:paraId="6599E27F" w14:textId="77777777">
      <w:pPr>
        <w:pStyle w:val="Heading3"/>
        <w:ind w:left="-5"/>
      </w:pPr>
      <w:r>
        <w:t xml:space="preserve">Rolf Schmitt, </w:t>
      </w:r>
    </w:p>
    <w:p w:rsidR="007F3C44" w14:paraId="5B9312E7" w14:textId="77777777">
      <w:pPr>
        <w:spacing w:after="38"/>
        <w:ind w:left="-5" w:right="0"/>
      </w:pPr>
      <w:r>
        <w:rPr>
          <w:i/>
          <w:sz w:val="16"/>
        </w:rPr>
        <w:t xml:space="preserve">Acting Director, Office of Airline Information, Bureau of Transportation Statistics, Office of the Assistant Secretary for Research and Technology. </w:t>
      </w:r>
    </w:p>
    <w:p w:rsidR="007F3C44" w14:paraId="34490FEB" w14:textId="77777777">
      <w:pPr>
        <w:spacing w:after="45" w:line="259" w:lineRule="auto"/>
        <w:ind w:left="-5" w:right="0"/>
      </w:pPr>
      <w:r>
        <w:rPr>
          <w:sz w:val="14"/>
        </w:rPr>
        <w:t xml:space="preserve">[FR Doc. 2025–01693 Filed 1–27–25; 8:45 am] </w:t>
      </w:r>
    </w:p>
    <w:p w:rsidR="007F3C44" w14:paraId="71F488B4" w14:textId="77777777">
      <w:pPr>
        <w:spacing w:after="137" w:line="265" w:lineRule="auto"/>
        <w:ind w:left="-5" w:right="0"/>
      </w:pPr>
      <w:r>
        <w:rPr>
          <w:rFonts w:ascii="Arial" w:eastAsia="Arial" w:hAnsi="Arial" w:cs="Arial"/>
          <w:b/>
          <w:sz w:val="12"/>
        </w:rPr>
        <w:t xml:space="preserve">BILLING CODE 4910–9X–P </w:t>
      </w:r>
    </w:p>
    <w:p w:rsidR="007F3C44" w14:paraId="4D2D5587" w14:textId="77777777">
      <w:pPr>
        <w:spacing w:after="234" w:line="259" w:lineRule="auto"/>
        <w:ind w:left="0" w:right="0" w:firstLine="0"/>
      </w:pPr>
      <w:r>
        <w:rPr>
          <w:rFonts w:ascii="Calibri" w:eastAsia="Calibri" w:hAnsi="Calibri" w:cs="Calibri"/>
          <w:noProof/>
          <w:sz w:val="22"/>
        </w:rPr>
        <mc:AlternateContent>
          <mc:Choice Requires="wpg">
            <w:drawing>
              <wp:inline distT="0" distB="0" distL="0" distR="0">
                <wp:extent cx="2133600" cy="47752"/>
                <wp:effectExtent l="0" t="0" r="0" b="0"/>
                <wp:docPr id="7352" name="Group 735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47752"/>
                          <a:chOff x="0" y="0"/>
                          <a:chExt cx="2133600" cy="47752"/>
                        </a:xfrm>
                      </wpg:grpSpPr>
                      <wps:wsp xmlns:wps="http://schemas.microsoft.com/office/word/2010/wordprocessingShape">
                        <wps:cNvPr id="730" name="Shape 730"/>
                        <wps:cNvSpPr/>
                        <wps:spPr>
                          <a:xfrm>
                            <a:off x="0" y="0"/>
                            <a:ext cx="2133600" cy="0"/>
                          </a:xfrm>
                          <a:custGeom>
                            <a:avLst/>
                            <a:gdLst/>
                            <a:rect l="0" t="0" r="0" b="0"/>
                            <a:pathLst>
                              <a:path fill="norm" w="2133600" stroke="1">
                                <a:moveTo>
                                  <a:pt x="0" y="0"/>
                                </a:moveTo>
                                <a:lnTo>
                                  <a:pt x="2133600" y="0"/>
                                </a:lnTo>
                              </a:path>
                            </a:pathLst>
                          </a:custGeom>
                          <a:ln w="1524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31" name="Shape 731"/>
                        <wps:cNvSpPr/>
                        <wps:spPr>
                          <a:xfrm>
                            <a:off x="0" y="47752"/>
                            <a:ext cx="2133600" cy="0"/>
                          </a:xfrm>
                          <a:custGeom>
                            <a:avLst/>
                            <a:gdLst/>
                            <a:rect l="0" t="0" r="0" b="0"/>
                            <a:pathLst>
                              <a:path fill="norm" w="2133600" stroke="1">
                                <a:moveTo>
                                  <a:pt x="0" y="0"/>
                                </a:moveTo>
                                <a:lnTo>
                                  <a:pt x="21336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7" style="width:168pt;height:3.76pt;mso-position-horizontal-relative:char;mso-position-vertical-relative:line" coordsize="21336,477">
                <v:shape id="_x0000_s1028" style="width:21336;height:0;position:absolute" coordsize="2133600,0" path="m,l2133600,e" filled="f" fillcolor="black" stroked="t" strokecolor="black">
                  <v:fill opacity="0"/>
                  <v:stroke joinstyle="miter" endcap="flat"/>
                </v:shape>
                <v:shape id="_x0000_s1029" style="width:21336;height:0;position:absolute;top:477" coordsize="2133600,0" path="m,l2133600,e" filled="f" fillcolor="black" stroked="t" strokecolor="black">
                  <v:fill opacity="0"/>
                  <v:stroke joinstyle="miter" endcap="flat"/>
                </v:shape>
                <w10:wrap type="none"/>
              </v:group>
            </w:pict>
          </mc:Fallback>
        </mc:AlternateContent>
      </w:r>
    </w:p>
    <w:p w:rsidR="007F3C44" w14:paraId="5F370ADC" w14:textId="77777777">
      <w:pPr>
        <w:spacing w:after="136" w:line="259" w:lineRule="auto"/>
        <w:ind w:left="-5" w:right="0"/>
      </w:pPr>
      <w:r>
        <w:rPr>
          <w:rFonts w:ascii="Arial" w:eastAsia="Arial" w:hAnsi="Arial" w:cs="Arial"/>
          <w:b/>
        </w:rPr>
        <w:t xml:space="preserve">DEPARTMENT OF THE TREASURY </w:t>
      </w:r>
    </w:p>
    <w:p w:rsidR="007F3C44" w14:paraId="5DA88C90" w14:textId="77777777">
      <w:pPr>
        <w:spacing w:after="136" w:line="259" w:lineRule="auto"/>
        <w:ind w:left="-5" w:right="0"/>
      </w:pPr>
      <w:r>
        <w:rPr>
          <w:rFonts w:ascii="Arial" w:eastAsia="Arial" w:hAnsi="Arial" w:cs="Arial"/>
          <w:b/>
        </w:rPr>
        <w:t xml:space="preserve">Office of Foreign Assets Control </w:t>
      </w:r>
    </w:p>
    <w:p w:rsidR="007F3C44" w14:paraId="262546B5" w14:textId="77777777">
      <w:pPr>
        <w:spacing w:after="103" w:line="259" w:lineRule="auto"/>
        <w:ind w:left="-5" w:right="0"/>
      </w:pPr>
      <w:r>
        <w:rPr>
          <w:rFonts w:ascii="Arial" w:eastAsia="Arial" w:hAnsi="Arial" w:cs="Arial"/>
          <w:b/>
        </w:rPr>
        <w:t xml:space="preserve">Notice of OFAC Sanctions Action </w:t>
      </w:r>
    </w:p>
    <w:p w:rsidR="007F3C44" w14:paraId="7F1651C9" w14:textId="77777777">
      <w:pPr>
        <w:spacing w:after="5863"/>
        <w:ind w:left="-5" w:right="8"/>
      </w:pPr>
      <w:r>
        <w:rPr>
          <w:rFonts w:ascii="Arial" w:eastAsia="Arial" w:hAnsi="Arial" w:cs="Arial"/>
          <w:b/>
          <w:sz w:val="15"/>
        </w:rPr>
        <w:t>AGENCY</w:t>
      </w:r>
      <w:r>
        <w:rPr>
          <w:rFonts w:ascii="Arial" w:eastAsia="Arial" w:hAnsi="Arial" w:cs="Arial"/>
          <w:b/>
        </w:rPr>
        <w:t xml:space="preserve">: </w:t>
      </w:r>
      <w:r>
        <w:t xml:space="preserve">Office of Foreign Assets Control, Treasury. </w:t>
      </w:r>
    </w:p>
    <w:p w:rsidR="007F3C44" w14:paraId="164C8987" w14:textId="77777777">
      <w:pPr>
        <w:spacing w:after="187" w:line="259" w:lineRule="auto"/>
        <w:ind w:left="315" w:right="0"/>
      </w:pPr>
      <w:r>
        <w:rPr>
          <w:rFonts w:ascii="Arial" w:eastAsia="Arial" w:hAnsi="Arial" w:cs="Arial"/>
          <w:color w:val="FFFFFF"/>
          <w:sz w:val="13"/>
        </w:rPr>
        <w:t>Frm</w:t>
      </w:r>
      <w:r>
        <w:rPr>
          <w:rFonts w:ascii="Arial" w:eastAsia="Arial" w:hAnsi="Arial" w:cs="Arial"/>
          <w:color w:val="FFFFFF"/>
          <w:sz w:val="13"/>
        </w:rPr>
        <w:t xml:space="preserve"> 00064</w:t>
      </w:r>
    </w:p>
    <w:p w:rsidR="007F3C44" w14:paraId="1144BD1D" w14:textId="77777777">
      <w:pPr>
        <w:ind w:left="-5" w:right="8"/>
      </w:pPr>
      <w:r>
        <w:rPr>
          <w:rFonts w:ascii="Arial" w:eastAsia="Arial" w:hAnsi="Arial" w:cs="Arial"/>
          <w:b/>
          <w:sz w:val="15"/>
        </w:rPr>
        <w:t>ACTION</w:t>
      </w:r>
      <w:r>
        <w:rPr>
          <w:rFonts w:ascii="Arial" w:eastAsia="Arial" w:hAnsi="Arial" w:cs="Arial"/>
          <w:b/>
        </w:rPr>
        <w:t xml:space="preserve">: </w:t>
      </w:r>
      <w:r>
        <w:t xml:space="preserve">Notice. </w:t>
      </w:r>
    </w:p>
    <w:p w:rsidR="007F3C44" w14:paraId="1517B670" w14:textId="77777777">
      <w:pPr>
        <w:spacing w:after="115" w:line="259" w:lineRule="auto"/>
        <w:ind w:left="0" w:right="0" w:firstLine="0"/>
      </w:pPr>
      <w:r>
        <w:rPr>
          <w:rFonts w:ascii="Calibri" w:eastAsia="Calibri" w:hAnsi="Calibri" w:cs="Calibri"/>
          <w:noProof/>
          <w:sz w:val="22"/>
        </w:rPr>
        <mc:AlternateContent>
          <mc:Choice Requires="wpg">
            <w:drawing>
              <wp:inline distT="0" distB="0" distL="0" distR="0">
                <wp:extent cx="2133600" cy="3810"/>
                <wp:effectExtent l="0" t="0" r="0" b="0"/>
                <wp:docPr id="7353" name="Group 7353"/>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3810"/>
                          <a:chOff x="0" y="0"/>
                          <a:chExt cx="2133600" cy="3810"/>
                        </a:xfrm>
                      </wpg:grpSpPr>
                      <wps:wsp xmlns:wps="http://schemas.microsoft.com/office/word/2010/wordprocessingShape">
                        <wps:cNvPr id="742" name="Shape 742"/>
                        <wps:cNvSpPr/>
                        <wps:spPr>
                          <a:xfrm>
                            <a:off x="0" y="0"/>
                            <a:ext cx="2133600" cy="0"/>
                          </a:xfrm>
                          <a:custGeom>
                            <a:avLst/>
                            <a:gdLst/>
                            <a:rect l="0" t="0" r="0" b="0"/>
                            <a:pathLst>
                              <a:path fill="norm" w="2133600" stroke="1">
                                <a:moveTo>
                                  <a:pt x="0" y="0"/>
                                </a:moveTo>
                                <a:lnTo>
                                  <a:pt x="21336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0" style="width:168pt;height:0.3pt;mso-position-horizontal-relative:char;mso-position-vertical-relative:line" coordsize="21336,38">
                <v:shape id="_x0000_s1031" style="width:21336;height:0;position:absolute" coordsize="2133600,0" path="m,l2133600,e" filled="f" fillcolor="black" stroked="t" strokecolor="black">
                  <v:fill opacity="0"/>
                  <v:stroke joinstyle="miter" endcap="flat"/>
                </v:shape>
                <w10:wrap type="none"/>
              </v:group>
            </w:pict>
          </mc:Fallback>
        </mc:AlternateContent>
      </w:r>
    </w:p>
    <w:p w:rsidR="007F3C44" w14:paraId="49BEA34E" w14:textId="77777777">
      <w:pPr>
        <w:spacing w:after="41"/>
        <w:ind w:left="-5" w:right="8"/>
      </w:pPr>
      <w:r>
        <w:rPr>
          <w:rFonts w:ascii="Arial" w:eastAsia="Arial" w:hAnsi="Arial" w:cs="Arial"/>
          <w:b/>
          <w:sz w:val="15"/>
        </w:rPr>
        <w:t>SUMMARY</w:t>
      </w:r>
      <w:r>
        <w:rPr>
          <w:rFonts w:ascii="Arial" w:eastAsia="Arial" w:hAnsi="Arial" w:cs="Arial"/>
          <w:b/>
        </w:rPr>
        <w:t xml:space="preserve">: </w:t>
      </w:r>
      <w:r>
        <w:t xml:space="preserve">The U.S. Department of the Treasury’s Office of Foreign Assets Control (OFAC) is publishing the names of one or more persons that have been placed on OFAC’s Specially Designated Nationals and Blocked Persons List (SDN List) based on OFAC’s determination that one or more applicable legal criteria were satisfied. All property and interests in property subject to U.S. jurisdiction of this person are blocked, and U.S. persons are generally prohibited from engaging in transactions with this person. </w:t>
      </w:r>
    </w:p>
    <w:p w:rsidR="007F3C44" w14:paraId="318BBF27" w14:textId="77777777">
      <w:pPr>
        <w:spacing w:after="61"/>
        <w:ind w:left="-5" w:right="8"/>
      </w:pPr>
      <w:r>
        <w:rPr>
          <w:rFonts w:ascii="Arial" w:eastAsia="Arial" w:hAnsi="Arial" w:cs="Arial"/>
          <w:b/>
          <w:sz w:val="15"/>
        </w:rPr>
        <w:t>DATES</w:t>
      </w:r>
      <w:r>
        <w:rPr>
          <w:rFonts w:ascii="Arial" w:eastAsia="Arial" w:hAnsi="Arial" w:cs="Arial"/>
          <w:b/>
        </w:rPr>
        <w:t xml:space="preserve">: </w:t>
      </w:r>
      <w:r>
        <w:t xml:space="preserve">This action was issued on January 17, 2025. See </w:t>
      </w:r>
      <w:r>
        <w:rPr>
          <w:rFonts w:ascii="Arial" w:eastAsia="Arial" w:hAnsi="Arial" w:cs="Arial"/>
          <w:b/>
          <w:sz w:val="15"/>
        </w:rPr>
        <w:t>SUPPLEMENTARY</w:t>
      </w:r>
      <w:r>
        <w:rPr>
          <w:rFonts w:ascii="Arial" w:eastAsia="Arial" w:hAnsi="Arial" w:cs="Arial"/>
          <w:b/>
        </w:rPr>
        <w:t xml:space="preserve"> </w:t>
      </w:r>
      <w:r>
        <w:rPr>
          <w:rFonts w:ascii="Arial" w:eastAsia="Arial" w:hAnsi="Arial" w:cs="Arial"/>
          <w:b/>
          <w:sz w:val="15"/>
        </w:rPr>
        <w:t xml:space="preserve">INFORMATION </w:t>
      </w:r>
      <w:r>
        <w:t xml:space="preserve">for relevant dates. </w:t>
      </w:r>
    </w:p>
    <w:p w:rsidR="007F3C44" w14:paraId="59311083" w14:textId="77777777">
      <w:pPr>
        <w:ind w:left="-5" w:right="8"/>
      </w:pPr>
      <w:r>
        <w:rPr>
          <w:rFonts w:ascii="Arial" w:eastAsia="Arial" w:hAnsi="Arial" w:cs="Arial"/>
          <w:b/>
          <w:sz w:val="15"/>
        </w:rPr>
        <w:t>FOR FURTHER INFORMATION CONTACT</w:t>
      </w:r>
      <w:r>
        <w:rPr>
          <w:rFonts w:ascii="Arial" w:eastAsia="Arial" w:hAnsi="Arial" w:cs="Arial"/>
          <w:b/>
        </w:rPr>
        <w:t xml:space="preserve">: </w:t>
      </w:r>
      <w:r>
        <w:t xml:space="preserve">OFAC: Associate Director for Global </w:t>
      </w:r>
    </w:p>
    <w:p w:rsidR="007F3C44" w14:paraId="4A534728" w14:textId="77777777">
      <w:pPr>
        <w:ind w:left="-5" w:right="8"/>
      </w:pPr>
      <w:r>
        <w:t xml:space="preserve">Targeting, 202–622–2420; Assistant </w:t>
      </w:r>
    </w:p>
    <w:p w:rsidR="007F3C44" w14:paraId="77DDB400" w14:textId="77777777">
      <w:pPr>
        <w:ind w:left="-5" w:right="8"/>
      </w:pPr>
      <w:r>
        <w:t xml:space="preserve">Director for Licensing, 202–622–2480; </w:t>
      </w:r>
    </w:p>
    <w:p w:rsidR="007F3C44" w14:paraId="0F4F687A" w14:textId="77777777">
      <w:pPr>
        <w:spacing w:after="57"/>
        <w:ind w:left="-5" w:right="8"/>
      </w:pPr>
      <w:r>
        <w:t xml:space="preserve">Assistant Director for Sanctions Compliance, 202–622–2490 or </w:t>
      </w:r>
      <w:hyperlink r:id="rId7">
        <w:r>
          <w:rPr>
            <w:i/>
          </w:rPr>
          <w:t xml:space="preserve">https:// </w:t>
        </w:r>
      </w:hyperlink>
      <w:hyperlink r:id="rId7">
        <w:r>
          <w:rPr>
            <w:i/>
          </w:rPr>
          <w:t>ofac.treasury.gov/contact-</w:t>
        </w:r>
        <w:r>
          <w:rPr>
            <w:i/>
          </w:rPr>
          <w:t>ofac</w:t>
        </w:r>
        <w:r>
          <w:rPr>
            <w:i/>
          </w:rPr>
          <w:t>.</w:t>
        </w:r>
      </w:hyperlink>
      <w:r>
        <w:rPr>
          <w:i/>
        </w:rPr>
        <w:t xml:space="preserve"> </w:t>
      </w:r>
    </w:p>
    <w:p w:rsidR="007F3C44" w14:paraId="7467C930" w14:textId="77777777">
      <w:pPr>
        <w:spacing w:after="83" w:line="259" w:lineRule="auto"/>
        <w:ind w:left="-5" w:right="0"/>
      </w:pPr>
      <w:r>
        <w:rPr>
          <w:rFonts w:ascii="Arial" w:eastAsia="Arial" w:hAnsi="Arial" w:cs="Arial"/>
          <w:b/>
          <w:sz w:val="15"/>
        </w:rPr>
        <w:t>SUPPLEMENTARY INFORMATION</w:t>
      </w:r>
      <w:r>
        <w:rPr>
          <w:rFonts w:ascii="Arial" w:eastAsia="Arial" w:hAnsi="Arial" w:cs="Arial"/>
          <w:b/>
        </w:rPr>
        <w:t xml:space="preserve">: </w:t>
      </w:r>
    </w:p>
    <w:p w:rsidR="007F3C44" w14:paraId="4C9E3178" w14:textId="77777777">
      <w:pPr>
        <w:pStyle w:val="Heading2"/>
        <w:ind w:left="-5"/>
      </w:pPr>
      <w:r>
        <w:t xml:space="preserve">Electronic Availability </w:t>
      </w:r>
    </w:p>
    <w:p w:rsidR="007F3C44" w14:paraId="6BDCAC52" w14:textId="77777777">
      <w:pPr>
        <w:spacing w:after="96"/>
        <w:ind w:left="-15" w:right="8" w:firstLine="180"/>
      </w:pPr>
      <w:r>
        <w:t xml:space="preserve">The SDN List and additional information concerning OFAC sanctions programs are available on OFAC’s website: </w:t>
      </w:r>
      <w:hyperlink r:id="rId8">
        <w:r>
          <w:rPr>
            <w:i/>
          </w:rPr>
          <w:t>https://ofac.treasury.gov.</w:t>
        </w:r>
      </w:hyperlink>
      <w:r>
        <w:rPr>
          <w:i/>
        </w:rPr>
        <w:t xml:space="preserve"> </w:t>
      </w:r>
    </w:p>
    <w:p w:rsidR="007F3C44" w14:paraId="0BCBBCEE" w14:textId="77777777">
      <w:pPr>
        <w:pStyle w:val="Heading2"/>
        <w:ind w:left="-5"/>
      </w:pPr>
      <w:r>
        <w:t xml:space="preserve">Notice of OFAC Action </w:t>
      </w:r>
    </w:p>
    <w:p w:rsidR="007F3C44" w14:paraId="221BA2BF" w14:textId="77777777">
      <w:pPr>
        <w:ind w:left="190" w:right="8"/>
      </w:pPr>
      <w:r>
        <w:t xml:space="preserve">On January 17, 2025, OFAC </w:t>
      </w:r>
    </w:p>
    <w:p w:rsidR="007F3C44" w14:paraId="193F3A47" w14:textId="77777777">
      <w:pPr>
        <w:ind w:left="-5" w:right="8"/>
      </w:pPr>
      <w:r>
        <w:t xml:space="preserve">determined that the property and interests in property subject to U.S. jurisdiction of the following person are blocked under the relevant </w:t>
      </w:r>
      <w:r>
        <w:t>sanctions</w:t>
      </w:r>
      <w:r>
        <w:t xml:space="preserve"> authority listed below. </w:t>
      </w:r>
    </w:p>
    <w:sectPr>
      <w:headerReference w:type="even" r:id="rId9"/>
      <w:headerReference w:type="default" r:id="rId10"/>
      <w:footerReference w:type="even" r:id="rId11"/>
      <w:footerReference w:type="default" r:id="rId12"/>
      <w:headerReference w:type="first" r:id="rId13"/>
      <w:footerReference w:type="first" r:id="rId14"/>
      <w:pgSz w:w="12240" w:h="15840"/>
      <w:pgMar w:top="676" w:right="900" w:bottom="373" w:left="900" w:header="691" w:footer="360" w:gutter="0"/>
      <w:cols w:num="3" w: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32F37" w14:paraId="317B2666" w14:textId="77777777">
      <w:pPr>
        <w:spacing w:after="0" w:line="240" w:lineRule="auto"/>
      </w:pPr>
      <w:r>
        <w:separator/>
      </w:r>
    </w:p>
  </w:endnote>
  <w:endnote w:type="continuationSeparator" w:id="1">
    <w:p w:rsidR="00F32F37" w14:paraId="3C865D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2F4EA8C0" w14:textId="77777777">
    <w:pPr>
      <w:tabs>
        <w:tab w:val="center" w:pos="2194"/>
        <w:tab w:val="center" w:pos="3209"/>
        <w:tab w:val="center" w:pos="3959"/>
        <w:tab w:val="center" w:pos="5435"/>
        <w:tab w:val="center" w:pos="6146"/>
        <w:tab w:val="center" w:pos="7276"/>
        <w:tab w:val="center" w:pos="8340"/>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233807</wp:posOffset>
              </wp:positionH>
              <wp:positionV relativeFrom="page">
                <wp:posOffset>8340662</wp:posOffset>
              </wp:positionV>
              <wp:extent cx="58738" cy="1489139"/>
              <wp:effectExtent l="0" t="0" r="0" b="0"/>
              <wp:wrapSquare wrapText="bothSides"/>
              <wp:docPr id="9262" name="Group 9262"/>
              <wp:cNvGraphicFramePr/>
              <a:graphic xmlns:a="http://schemas.openxmlformats.org/drawingml/2006/main">
                <a:graphicData uri="http://schemas.microsoft.com/office/word/2010/wordprocessingGroup">
                  <wpg:wgp xmlns:wpg="http://schemas.microsoft.com/office/word/2010/wordprocessingGroup">
                    <wpg:cNvGrpSpPr/>
                    <wpg:grpSpPr>
                      <a:xfrm>
                        <a:off x="0" y="0"/>
                        <a:ext cx="58738" cy="1489139"/>
                        <a:chOff x="0" y="0"/>
                        <a:chExt cx="58738" cy="1489139"/>
                      </a:xfrm>
                    </wpg:grpSpPr>
                    <wps:wsp xmlns:wps="http://schemas.microsoft.com/office/word/2010/wordprocessingShape">
                      <wps:cNvPr id="9263" name="Rectangle 9263"/>
                      <wps:cNvSpPr/>
                      <wps:spPr>
                        <a:xfrm rot="16200001">
                          <a:off x="-951216" y="459801"/>
                          <a:ext cx="1980554" cy="78121"/>
                        </a:xfrm>
                        <a:prstGeom prst="rect">
                          <a:avLst/>
                        </a:prstGeom>
                        <a:ln>
                          <a:noFill/>
                        </a:ln>
                      </wps:spPr>
                      <wps:txbx>
                        <w:txbxContent>
                          <w:p w:rsidR="007F3C44"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wps:txbx>
                      <wps:bodyPr horzOverflow="overflow" vert="horz" lIns="0" tIns="0" rIns="0" bIns="0" rtlCol="0"/>
                    </wps:wsp>
                  </wpg:wgp>
                </a:graphicData>
              </a:graphic>
            </wp:anchor>
          </w:drawing>
        </mc:Choice>
        <mc:Fallback>
          <w:pict>
            <v:group id="Group 9262" o:spid="_x0000_s2055" style="width:4.65pt;height:117.25pt;margin-top:656.75pt;margin-left:18.4pt;mso-position-horizontal-relative:page;mso-position-vertical-relative:page;position:absolute;z-index:251659264" coordsize="587,14891">
              <v:rect id="Rectangle 9263" o:spid="_x0000_s2056" style="width:19805;height:781;left:-9512;mso-wrap-style:square;position:absolute;rotation:-5898239fd;top:4598;visibility:visible;v-text-anchor:top" filled="f" stroked="f">
                <v:textbox inset="0,0,0,0">
                  <w:txbxContent>
                    <w:p w:rsidR="007F3C44" w14:paraId="4340B78D"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v:textbox>
              </v:rect>
              <w10:wrap type="square"/>
            </v:group>
          </w:pict>
        </mc:Fallback>
      </mc:AlternateContent>
    </w:r>
    <w:r>
      <w:rPr>
        <w:rFonts w:ascii="Arial" w:eastAsia="Arial" w:hAnsi="Arial" w:cs="Arial"/>
        <w:color w:val="FFFFFF"/>
        <w:sz w:val="13"/>
      </w:rPr>
      <w:t xml:space="preserve"> </w:t>
    </w:r>
    <w:r>
      <w:rPr>
        <w:rFonts w:ascii="Arial" w:eastAsia="Arial" w:hAnsi="Arial" w:cs="Arial"/>
        <w:color w:val="FFFFFF"/>
        <w:sz w:val="13"/>
      </w:rPr>
      <w:t>VerDate</w:t>
    </w:r>
    <w:r>
      <w:rPr>
        <w:rFonts w:ascii="Arial" w:eastAsia="Arial" w:hAnsi="Arial" w:cs="Arial"/>
        <w:color w:val="FFFFFF"/>
        <w:sz w:val="13"/>
      </w:rPr>
      <w:t xml:space="preserve"> Sep&lt;11&gt;2014 </w:t>
    </w:r>
    <w:r>
      <w:rPr>
        <w:rFonts w:ascii="Arial" w:eastAsia="Arial" w:hAnsi="Arial" w:cs="Arial"/>
        <w:color w:val="FFFFFF"/>
        <w:sz w:val="13"/>
      </w:rPr>
      <w:tab/>
      <w:t xml:space="preserve">17:49 Jan 27, </w:t>
    </w:r>
    <w:r>
      <w:rPr>
        <w:rFonts w:ascii="Arial" w:eastAsia="Arial" w:hAnsi="Arial" w:cs="Arial"/>
        <w:color w:val="FFFFFF"/>
        <w:sz w:val="13"/>
      </w:rPr>
      <w:t>2025</w:t>
    </w:r>
    <w:r>
      <w:rPr>
        <w:rFonts w:ascii="Arial" w:eastAsia="Arial" w:hAnsi="Arial" w:cs="Arial"/>
        <w:color w:val="FFFFFF"/>
        <w:sz w:val="13"/>
      </w:rPr>
      <w:tab/>
      <w:t>Jkt 265001</w:t>
    </w:r>
    <w:r>
      <w:rPr>
        <w:rFonts w:ascii="Arial" w:eastAsia="Arial" w:hAnsi="Arial" w:cs="Arial"/>
        <w:color w:val="FFFFFF"/>
        <w:sz w:val="13"/>
      </w:rPr>
      <w:tab/>
      <w:t>PO 00000</w:t>
    </w:r>
    <w:r>
      <w:rPr>
        <w:rFonts w:ascii="Arial" w:eastAsia="Arial" w:hAnsi="Arial" w:cs="Arial"/>
        <w:color w:val="FFFFFF"/>
        <w:sz w:val="13"/>
      </w:rPr>
      <w:tab/>
    </w:r>
    <w:r>
      <w:rPr>
        <w:rFonts w:ascii="Arial" w:eastAsia="Arial" w:hAnsi="Arial" w:cs="Arial"/>
        <w:color w:val="FFFFFF"/>
        <w:sz w:val="13"/>
      </w:rPr>
      <w:t>Fmt</w:t>
    </w:r>
    <w:r>
      <w:rPr>
        <w:rFonts w:ascii="Arial" w:eastAsia="Arial" w:hAnsi="Arial" w:cs="Arial"/>
        <w:color w:val="FFFFFF"/>
        <w:sz w:val="13"/>
      </w:rPr>
      <w:t xml:space="preserve"> 4703</w:t>
    </w:r>
    <w:r>
      <w:rPr>
        <w:rFonts w:ascii="Arial" w:eastAsia="Arial" w:hAnsi="Arial" w:cs="Arial"/>
        <w:color w:val="FFFFFF"/>
        <w:sz w:val="13"/>
      </w:rPr>
      <w:tab/>
    </w:r>
    <w:r>
      <w:rPr>
        <w:rFonts w:ascii="Arial" w:eastAsia="Arial" w:hAnsi="Arial" w:cs="Arial"/>
        <w:color w:val="FFFFFF"/>
        <w:sz w:val="13"/>
      </w:rPr>
      <w:t>Sfmt</w:t>
    </w:r>
    <w:r>
      <w:rPr>
        <w:rFonts w:ascii="Arial" w:eastAsia="Arial" w:hAnsi="Arial" w:cs="Arial"/>
        <w:color w:val="FFFFFF"/>
        <w:sz w:val="13"/>
      </w:rPr>
      <w:t xml:space="preserve"> 4703</w:t>
    </w:r>
    <w:r>
      <w:rPr>
        <w:rFonts w:ascii="Arial" w:eastAsia="Arial" w:hAnsi="Arial" w:cs="Arial"/>
        <w:color w:val="FFFFFF"/>
        <w:sz w:val="13"/>
      </w:rPr>
      <w:tab/>
      <w:t>E:\FR\FM\28JAN1.SGM</w:t>
    </w:r>
    <w:r>
      <w:rPr>
        <w:rFonts w:ascii="Arial" w:eastAsia="Arial" w:hAnsi="Arial" w:cs="Arial"/>
        <w:color w:val="FFFFFF"/>
        <w:sz w:val="13"/>
      </w:rPr>
      <w:tab/>
      <w:t>28JAN1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34CBA75B" w14:textId="77777777">
    <w:pPr>
      <w:tabs>
        <w:tab w:val="center" w:pos="2194"/>
        <w:tab w:val="center" w:pos="3209"/>
        <w:tab w:val="center" w:pos="3959"/>
        <w:tab w:val="center" w:pos="5435"/>
        <w:tab w:val="center" w:pos="6146"/>
        <w:tab w:val="center" w:pos="7276"/>
        <w:tab w:val="center" w:pos="8340"/>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233807</wp:posOffset>
              </wp:positionH>
              <wp:positionV relativeFrom="page">
                <wp:posOffset>8340662</wp:posOffset>
              </wp:positionV>
              <wp:extent cx="58738" cy="1489139"/>
              <wp:effectExtent l="0" t="0" r="0" b="0"/>
              <wp:wrapSquare wrapText="bothSides"/>
              <wp:docPr id="9225" name="Group 9225"/>
              <wp:cNvGraphicFramePr/>
              <a:graphic xmlns:a="http://schemas.openxmlformats.org/drawingml/2006/main">
                <a:graphicData uri="http://schemas.microsoft.com/office/word/2010/wordprocessingGroup">
                  <wpg:wgp xmlns:wpg="http://schemas.microsoft.com/office/word/2010/wordprocessingGroup">
                    <wpg:cNvGrpSpPr/>
                    <wpg:grpSpPr>
                      <a:xfrm>
                        <a:off x="0" y="0"/>
                        <a:ext cx="58738" cy="1489139"/>
                        <a:chOff x="0" y="0"/>
                        <a:chExt cx="58738" cy="1489139"/>
                      </a:xfrm>
                    </wpg:grpSpPr>
                    <wps:wsp xmlns:wps="http://schemas.microsoft.com/office/word/2010/wordprocessingShape">
                      <wps:cNvPr id="9226" name="Rectangle 9226"/>
                      <wps:cNvSpPr/>
                      <wps:spPr>
                        <a:xfrm rot="16200001">
                          <a:off x="-951216" y="459801"/>
                          <a:ext cx="1980554" cy="78121"/>
                        </a:xfrm>
                        <a:prstGeom prst="rect">
                          <a:avLst/>
                        </a:prstGeom>
                        <a:ln>
                          <a:noFill/>
                        </a:ln>
                      </wps:spPr>
                      <wps:txbx>
                        <w:txbxContent>
                          <w:p w:rsidR="007F3C44"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wps:txbx>
                      <wps:bodyPr horzOverflow="overflow" vert="horz" lIns="0" tIns="0" rIns="0" bIns="0" rtlCol="0"/>
                    </wps:wsp>
                  </wpg:wgp>
                </a:graphicData>
              </a:graphic>
            </wp:anchor>
          </w:drawing>
        </mc:Choice>
        <mc:Fallback>
          <w:pict>
            <v:group id="Group 9225" o:spid="_x0000_s2057" style="width:4.65pt;height:117.25pt;margin-top:656.75pt;margin-left:18.4pt;mso-position-horizontal-relative:page;mso-position-vertical-relative:page;position:absolute;z-index:251661312" coordsize="587,14891">
              <v:rect id="Rectangle 9226" o:spid="_x0000_s2058" style="width:19805;height:781;left:-9512;mso-wrap-style:square;position:absolute;rotation:-5898239fd;top:4598;visibility:visible;v-text-anchor:top" filled="f" stroked="f">
                <v:textbox inset="0,0,0,0">
                  <w:txbxContent>
                    <w:p w:rsidR="007F3C44" w14:paraId="21FE19AE"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v:textbox>
              </v:rect>
              <w10:wrap type="square"/>
            </v:group>
          </w:pict>
        </mc:Fallback>
      </mc:AlternateContent>
    </w:r>
    <w:r>
      <w:rPr>
        <w:rFonts w:ascii="Arial" w:eastAsia="Arial" w:hAnsi="Arial" w:cs="Arial"/>
        <w:color w:val="FFFFFF"/>
        <w:sz w:val="13"/>
      </w:rPr>
      <w:t xml:space="preserve"> </w:t>
    </w:r>
    <w:r>
      <w:rPr>
        <w:rFonts w:ascii="Arial" w:eastAsia="Arial" w:hAnsi="Arial" w:cs="Arial"/>
        <w:color w:val="FFFFFF"/>
        <w:sz w:val="13"/>
      </w:rPr>
      <w:t>VerDate</w:t>
    </w:r>
    <w:r>
      <w:rPr>
        <w:rFonts w:ascii="Arial" w:eastAsia="Arial" w:hAnsi="Arial" w:cs="Arial"/>
        <w:color w:val="FFFFFF"/>
        <w:sz w:val="13"/>
      </w:rPr>
      <w:t xml:space="preserve"> Sep&lt;11&gt;2014 </w:t>
    </w:r>
    <w:r>
      <w:rPr>
        <w:rFonts w:ascii="Arial" w:eastAsia="Arial" w:hAnsi="Arial" w:cs="Arial"/>
        <w:color w:val="FFFFFF"/>
        <w:sz w:val="13"/>
      </w:rPr>
      <w:tab/>
      <w:t xml:space="preserve">17:49 Jan 27, </w:t>
    </w:r>
    <w:r>
      <w:rPr>
        <w:rFonts w:ascii="Arial" w:eastAsia="Arial" w:hAnsi="Arial" w:cs="Arial"/>
        <w:color w:val="FFFFFF"/>
        <w:sz w:val="13"/>
      </w:rPr>
      <w:t>2025</w:t>
    </w:r>
    <w:r>
      <w:rPr>
        <w:rFonts w:ascii="Arial" w:eastAsia="Arial" w:hAnsi="Arial" w:cs="Arial"/>
        <w:color w:val="FFFFFF"/>
        <w:sz w:val="13"/>
      </w:rPr>
      <w:tab/>
      <w:t>Jkt 265001</w:t>
    </w:r>
    <w:r>
      <w:rPr>
        <w:rFonts w:ascii="Arial" w:eastAsia="Arial" w:hAnsi="Arial" w:cs="Arial"/>
        <w:color w:val="FFFFFF"/>
        <w:sz w:val="13"/>
      </w:rPr>
      <w:tab/>
      <w:t>PO 00000</w:t>
    </w:r>
    <w:r>
      <w:rPr>
        <w:rFonts w:ascii="Arial" w:eastAsia="Arial" w:hAnsi="Arial" w:cs="Arial"/>
        <w:color w:val="FFFFFF"/>
        <w:sz w:val="13"/>
      </w:rPr>
      <w:tab/>
    </w:r>
    <w:r>
      <w:rPr>
        <w:rFonts w:ascii="Arial" w:eastAsia="Arial" w:hAnsi="Arial" w:cs="Arial"/>
        <w:color w:val="FFFFFF"/>
        <w:sz w:val="13"/>
      </w:rPr>
      <w:t>Fmt</w:t>
    </w:r>
    <w:r>
      <w:rPr>
        <w:rFonts w:ascii="Arial" w:eastAsia="Arial" w:hAnsi="Arial" w:cs="Arial"/>
        <w:color w:val="FFFFFF"/>
        <w:sz w:val="13"/>
      </w:rPr>
      <w:t xml:space="preserve"> 4703</w:t>
    </w:r>
    <w:r>
      <w:rPr>
        <w:rFonts w:ascii="Arial" w:eastAsia="Arial" w:hAnsi="Arial" w:cs="Arial"/>
        <w:color w:val="FFFFFF"/>
        <w:sz w:val="13"/>
      </w:rPr>
      <w:tab/>
    </w:r>
    <w:r>
      <w:rPr>
        <w:rFonts w:ascii="Arial" w:eastAsia="Arial" w:hAnsi="Arial" w:cs="Arial"/>
        <w:color w:val="FFFFFF"/>
        <w:sz w:val="13"/>
      </w:rPr>
      <w:t>Sfmt</w:t>
    </w:r>
    <w:r>
      <w:rPr>
        <w:rFonts w:ascii="Arial" w:eastAsia="Arial" w:hAnsi="Arial" w:cs="Arial"/>
        <w:color w:val="FFFFFF"/>
        <w:sz w:val="13"/>
      </w:rPr>
      <w:t xml:space="preserve"> 4703</w:t>
    </w:r>
    <w:r>
      <w:rPr>
        <w:rFonts w:ascii="Arial" w:eastAsia="Arial" w:hAnsi="Arial" w:cs="Arial"/>
        <w:color w:val="FFFFFF"/>
        <w:sz w:val="13"/>
      </w:rPr>
      <w:tab/>
      <w:t>E:\FR\FM\28JAN1.SGM</w:t>
    </w:r>
    <w:r>
      <w:rPr>
        <w:rFonts w:ascii="Arial" w:eastAsia="Arial" w:hAnsi="Arial" w:cs="Arial"/>
        <w:color w:val="FFFFFF"/>
        <w:sz w:val="13"/>
      </w:rPr>
      <w:tab/>
      <w:t>28JAN1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3B24C350" w14:textId="77777777">
    <w:pPr>
      <w:tabs>
        <w:tab w:val="center" w:pos="2194"/>
        <w:tab w:val="center" w:pos="3209"/>
        <w:tab w:val="center" w:pos="3959"/>
        <w:tab w:val="center" w:pos="5435"/>
        <w:tab w:val="center" w:pos="6146"/>
        <w:tab w:val="center" w:pos="7276"/>
        <w:tab w:val="center" w:pos="8340"/>
      </w:tabs>
      <w:spacing w:after="0" w:line="259" w:lineRule="auto"/>
      <w:ind w:left="-532"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233807</wp:posOffset>
              </wp:positionH>
              <wp:positionV relativeFrom="page">
                <wp:posOffset>8340662</wp:posOffset>
              </wp:positionV>
              <wp:extent cx="58738" cy="1489139"/>
              <wp:effectExtent l="0" t="0" r="0" b="0"/>
              <wp:wrapSquare wrapText="bothSides"/>
              <wp:docPr id="9188" name="Group 9188"/>
              <wp:cNvGraphicFramePr/>
              <a:graphic xmlns:a="http://schemas.openxmlformats.org/drawingml/2006/main">
                <a:graphicData uri="http://schemas.microsoft.com/office/word/2010/wordprocessingGroup">
                  <wpg:wgp xmlns:wpg="http://schemas.microsoft.com/office/word/2010/wordprocessingGroup">
                    <wpg:cNvGrpSpPr/>
                    <wpg:grpSpPr>
                      <a:xfrm>
                        <a:off x="0" y="0"/>
                        <a:ext cx="58738" cy="1489139"/>
                        <a:chOff x="0" y="0"/>
                        <a:chExt cx="58738" cy="1489139"/>
                      </a:xfrm>
                    </wpg:grpSpPr>
                    <wps:wsp xmlns:wps="http://schemas.microsoft.com/office/word/2010/wordprocessingShape">
                      <wps:cNvPr id="9189" name="Rectangle 9189"/>
                      <wps:cNvSpPr/>
                      <wps:spPr>
                        <a:xfrm rot="16200001">
                          <a:off x="-951216" y="459801"/>
                          <a:ext cx="1980554" cy="78121"/>
                        </a:xfrm>
                        <a:prstGeom prst="rect">
                          <a:avLst/>
                        </a:prstGeom>
                        <a:ln>
                          <a:noFill/>
                        </a:ln>
                      </wps:spPr>
                      <wps:txbx>
                        <w:txbxContent>
                          <w:p w:rsidR="007F3C44"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wps:txbx>
                      <wps:bodyPr horzOverflow="overflow" vert="horz" lIns="0" tIns="0" rIns="0" bIns="0" rtlCol="0"/>
                    </wps:wsp>
                  </wpg:wgp>
                </a:graphicData>
              </a:graphic>
            </wp:anchor>
          </w:drawing>
        </mc:Choice>
        <mc:Fallback>
          <w:pict>
            <v:group id="Group 9188" o:spid="_x0000_s2062" style="width:4.65pt;height:117.25pt;margin-top:656.75pt;margin-left:18.4pt;mso-position-horizontal-relative:page;mso-position-vertical-relative:page;position:absolute;z-index:251663360" coordsize="587,14891">
              <v:rect id="Rectangle 9189" o:spid="_x0000_s2063" style="width:19805;height:781;left:-9512;mso-wrap-style:square;position:absolute;rotation:-5898239fd;top:4598;visibility:visible;v-text-anchor:top" filled="f" stroked="f">
                <v:textbox inset="0,0,0,0">
                  <w:txbxContent>
                    <w:p w:rsidR="007F3C44" w14:paraId="2EB96582" w14:textId="77777777">
                      <w:pPr>
                        <w:spacing w:after="160" w:line="259" w:lineRule="auto"/>
                        <w:ind w:left="0" w:right="0" w:firstLine="0"/>
                      </w:pPr>
                      <w:r>
                        <w:rPr>
                          <w:rFonts w:ascii="Arial" w:eastAsia="Arial" w:hAnsi="Arial" w:cs="Arial"/>
                          <w:color w:val="FFFFFF"/>
                          <w:sz w:val="10"/>
                        </w:rPr>
                        <w:t>ddrumheller</w:t>
                      </w:r>
                      <w:r>
                        <w:rPr>
                          <w:rFonts w:ascii="Arial" w:eastAsia="Arial" w:hAnsi="Arial" w:cs="Arial"/>
                          <w:color w:val="FFFFFF"/>
                          <w:sz w:val="10"/>
                        </w:rPr>
                        <w:t xml:space="preserve"> on DSK120RN23PROD with NOTICES1</w:t>
                      </w:r>
                    </w:p>
                  </w:txbxContent>
                </v:textbox>
              </v:rect>
              <w10:wrap type="square"/>
            </v:group>
          </w:pict>
        </mc:Fallback>
      </mc:AlternateContent>
    </w:r>
    <w:r>
      <w:rPr>
        <w:rFonts w:ascii="Arial" w:eastAsia="Arial" w:hAnsi="Arial" w:cs="Arial"/>
        <w:color w:val="FFFFFF"/>
        <w:sz w:val="13"/>
      </w:rPr>
      <w:t xml:space="preserve"> </w:t>
    </w:r>
    <w:r>
      <w:rPr>
        <w:rFonts w:ascii="Arial" w:eastAsia="Arial" w:hAnsi="Arial" w:cs="Arial"/>
        <w:color w:val="FFFFFF"/>
        <w:sz w:val="13"/>
      </w:rPr>
      <w:t>VerDate</w:t>
    </w:r>
    <w:r>
      <w:rPr>
        <w:rFonts w:ascii="Arial" w:eastAsia="Arial" w:hAnsi="Arial" w:cs="Arial"/>
        <w:color w:val="FFFFFF"/>
        <w:sz w:val="13"/>
      </w:rPr>
      <w:t xml:space="preserve"> Sep&lt;11&gt;2014 </w:t>
    </w:r>
    <w:r>
      <w:rPr>
        <w:rFonts w:ascii="Arial" w:eastAsia="Arial" w:hAnsi="Arial" w:cs="Arial"/>
        <w:color w:val="FFFFFF"/>
        <w:sz w:val="13"/>
      </w:rPr>
      <w:tab/>
      <w:t xml:space="preserve">17:49 Jan 27, </w:t>
    </w:r>
    <w:r>
      <w:rPr>
        <w:rFonts w:ascii="Arial" w:eastAsia="Arial" w:hAnsi="Arial" w:cs="Arial"/>
        <w:color w:val="FFFFFF"/>
        <w:sz w:val="13"/>
      </w:rPr>
      <w:t>2025</w:t>
    </w:r>
    <w:r>
      <w:rPr>
        <w:rFonts w:ascii="Arial" w:eastAsia="Arial" w:hAnsi="Arial" w:cs="Arial"/>
        <w:color w:val="FFFFFF"/>
        <w:sz w:val="13"/>
      </w:rPr>
      <w:tab/>
      <w:t>Jkt 265001</w:t>
    </w:r>
    <w:r>
      <w:rPr>
        <w:rFonts w:ascii="Arial" w:eastAsia="Arial" w:hAnsi="Arial" w:cs="Arial"/>
        <w:color w:val="FFFFFF"/>
        <w:sz w:val="13"/>
      </w:rPr>
      <w:tab/>
      <w:t>PO 00000</w:t>
    </w:r>
    <w:r>
      <w:rPr>
        <w:rFonts w:ascii="Arial" w:eastAsia="Arial" w:hAnsi="Arial" w:cs="Arial"/>
        <w:color w:val="FFFFFF"/>
        <w:sz w:val="13"/>
      </w:rPr>
      <w:tab/>
    </w:r>
    <w:r>
      <w:rPr>
        <w:rFonts w:ascii="Arial" w:eastAsia="Arial" w:hAnsi="Arial" w:cs="Arial"/>
        <w:color w:val="FFFFFF"/>
        <w:sz w:val="13"/>
      </w:rPr>
      <w:t>Fmt</w:t>
    </w:r>
    <w:r>
      <w:rPr>
        <w:rFonts w:ascii="Arial" w:eastAsia="Arial" w:hAnsi="Arial" w:cs="Arial"/>
        <w:color w:val="FFFFFF"/>
        <w:sz w:val="13"/>
      </w:rPr>
      <w:t xml:space="preserve"> 4703</w:t>
    </w:r>
    <w:r>
      <w:rPr>
        <w:rFonts w:ascii="Arial" w:eastAsia="Arial" w:hAnsi="Arial" w:cs="Arial"/>
        <w:color w:val="FFFFFF"/>
        <w:sz w:val="13"/>
      </w:rPr>
      <w:tab/>
    </w:r>
    <w:r>
      <w:rPr>
        <w:rFonts w:ascii="Arial" w:eastAsia="Arial" w:hAnsi="Arial" w:cs="Arial"/>
        <w:color w:val="FFFFFF"/>
        <w:sz w:val="13"/>
      </w:rPr>
      <w:t>Sfmt</w:t>
    </w:r>
    <w:r>
      <w:rPr>
        <w:rFonts w:ascii="Arial" w:eastAsia="Arial" w:hAnsi="Arial" w:cs="Arial"/>
        <w:color w:val="FFFFFF"/>
        <w:sz w:val="13"/>
      </w:rPr>
      <w:t xml:space="preserve"> 4703</w:t>
    </w:r>
    <w:r>
      <w:rPr>
        <w:rFonts w:ascii="Arial" w:eastAsia="Arial" w:hAnsi="Arial" w:cs="Arial"/>
        <w:color w:val="FFFFFF"/>
        <w:sz w:val="13"/>
      </w:rPr>
      <w:tab/>
      <w:t>E:\FR\FM\28JAN1.SGM</w:t>
    </w:r>
    <w:r>
      <w:rPr>
        <w:rFonts w:ascii="Arial" w:eastAsia="Arial" w:hAnsi="Arial" w:cs="Arial"/>
        <w:color w:val="FFFFFF"/>
        <w:sz w:val="13"/>
      </w:rPr>
      <w:tab/>
      <w:t>28JAN1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2F37" w14:paraId="1D8000BF" w14:textId="77777777">
      <w:pPr>
        <w:spacing w:after="0" w:line="239" w:lineRule="auto"/>
        <w:ind w:left="0" w:right="0" w:firstLine="140"/>
      </w:pPr>
      <w:r>
        <w:separator/>
      </w:r>
    </w:p>
  </w:footnote>
  <w:footnote w:type="continuationSeparator" w:id="1">
    <w:p w:rsidR="00F32F37" w14:paraId="45FF0CE5" w14:textId="77777777">
      <w:pPr>
        <w:spacing w:after="0" w:line="239" w:lineRule="auto"/>
        <w:ind w:left="0" w:right="0" w:firstLine="140"/>
      </w:pPr>
      <w:r>
        <w:continuationSeparator/>
      </w:r>
    </w:p>
  </w:footnote>
  <w:footnote w:id="2">
    <w:p w:rsidR="007F3C44" w14:paraId="476C1DF2" w14:textId="77777777">
      <w:pPr>
        <w:pStyle w:val="footnotedescription"/>
        <w:spacing w:line="239" w:lineRule="auto"/>
      </w:pPr>
      <w:r>
        <w:rPr>
          <w:rStyle w:val="footnotemark"/>
        </w:rPr>
        <w:footnoteRef/>
      </w:r>
      <w:r>
        <w:t xml:space="preserve"> The format and instructions for reporting this information are in Technical Reporting Directive #27—On-Time Performance, effective January 1, 2018, </w:t>
      </w:r>
      <w:r>
        <w:rPr>
          <w:i/>
        </w:rPr>
        <w:t>available at:</w:t>
      </w:r>
      <w:hyperlink r:id="rId1">
        <w:r>
          <w:rPr>
            <w:i/>
          </w:rPr>
          <w:t xml:space="preserve"> https://cms7.bts.dot.gov/sites/</w:t>
        </w:r>
      </w:hyperlink>
      <w:r>
        <w:rPr>
          <w:i/>
        </w:rPr>
        <w:t xml:space="preserve"> </w:t>
      </w:r>
      <w:hyperlink r:id="rId1">
        <w:r>
          <w:rPr>
            <w:i/>
          </w:rPr>
          <w:t xml:space="preserve">bts.dot.gov/files/docs/explore-topics-and- </w:t>
        </w:r>
      </w:hyperlink>
      <w:hyperlink r:id="rId1">
        <w:r>
          <w:rPr>
            <w:i/>
          </w:rPr>
          <w:t>geography/topics/airlines-and-airports/207741/</w:t>
        </w:r>
      </w:hyperlink>
      <w:r>
        <w:rPr>
          <w:i/>
        </w:rPr>
        <w:t xml:space="preserve"> </w:t>
      </w:r>
      <w:hyperlink r:id="rId1">
        <w:r>
          <w:rPr>
            <w:i/>
          </w:rPr>
          <w:t>technical-directive-no-27-time-2018.pdf.</w:t>
        </w:r>
      </w:hyperlink>
      <w:r>
        <w:rPr>
          <w:i/>
        </w:rPr>
        <w:t xml:space="preserve"> </w:t>
      </w:r>
    </w:p>
  </w:footnote>
  <w:footnote w:id="3">
    <w:p w:rsidR="007F3C44" w14:paraId="19C5A329" w14:textId="77777777">
      <w:pPr>
        <w:pStyle w:val="footnotedescription"/>
        <w:spacing w:line="243" w:lineRule="auto"/>
      </w:pPr>
      <w:r>
        <w:rPr>
          <w:rStyle w:val="footnotemark"/>
        </w:rPr>
        <w:footnoteRef/>
      </w:r>
      <w:r>
        <w:t xml:space="preserve"> The format and instructions for reporting mishandled baggage and wheelchair and scooter information to DOT are in Technical Reporting Directive #30A—Mishandled Baggage and </w:t>
      </w:r>
    </w:p>
    <w:p w:rsidR="007F3C44" w14:paraId="4E1111FE" w14:textId="77777777">
      <w:pPr>
        <w:pStyle w:val="footnotedescription"/>
        <w:spacing w:line="237" w:lineRule="auto"/>
        <w:ind w:firstLine="0"/>
      </w:pPr>
      <w:r>
        <w:t xml:space="preserve">Wheelchairs and Scooters (Amended), effective January 1, 2019, </w:t>
      </w:r>
      <w:r>
        <w:rPr>
          <w:i/>
        </w:rPr>
        <w:t>available at:</w:t>
      </w:r>
      <w:hyperlink r:id="rId2">
        <w:r>
          <w:rPr>
            <w:i/>
          </w:rPr>
          <w:t xml:space="preserve"> https:// </w:t>
        </w:r>
      </w:hyperlink>
      <w:hyperlink r:id="rId2">
        <w:r>
          <w:rPr>
            <w:i/>
          </w:rPr>
          <w:t>www.bts.dot.gov/sites/bts.dot.gov/files/docs/</w:t>
        </w:r>
      </w:hyperlink>
      <w:r>
        <w:rPr>
          <w:i/>
        </w:rPr>
        <w:t xml:space="preserve"> </w:t>
      </w:r>
      <w:hyperlink r:id="rId2">
        <w:r>
          <w:rPr>
            <w:i/>
          </w:rPr>
          <w:t xml:space="preserve">explore-topics-and-geography/topics/airlines-and- </w:t>
        </w:r>
      </w:hyperlink>
      <w:hyperlink r:id="rId2">
        <w:r>
          <w:rPr>
            <w:i/>
          </w:rPr>
          <w:t xml:space="preserve">airports/224606/technicaldirective30 </w:t>
        </w:r>
      </w:hyperlink>
      <w:hyperlink r:id="rId2">
        <w:r>
          <w:rPr>
            <w:i/>
          </w:rPr>
          <w:t>abaggage2019amended.pdf.</w:t>
        </w:r>
      </w:hyperlink>
      <w:r>
        <w:rPr>
          <w:i/>
        </w:rPr>
        <w:t xml:space="preserve"> </w:t>
      </w:r>
    </w:p>
  </w:footnote>
  <w:footnote w:id="4">
    <w:p w:rsidR="007F3C44" w14:paraId="7FEC1CA7" w14:textId="77777777">
      <w:pPr>
        <w:pStyle w:val="footnotedescription"/>
        <w:spacing w:line="236" w:lineRule="auto"/>
      </w:pPr>
      <w:r>
        <w:rPr>
          <w:rStyle w:val="footnotemark"/>
        </w:rPr>
        <w:footnoteRef/>
      </w:r>
      <w:r>
        <w:t xml:space="preserve"> The Final Rule to Amend Rules Requiring Reporting of Mishandled Baggage, Regulatory Impact Analysis, October 18, 2016, estimated a data entry burden of 5 seconds per wheelchair or scooter recorded manually. See Docket No. RITA–2011– 0001.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018D4C53" w14:textId="77777777">
    <w:pPr>
      <w:spacing w:after="0" w:line="259" w:lineRule="auto"/>
      <w:ind w:left="1911"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571500</wp:posOffset>
              </wp:positionH>
              <wp:positionV relativeFrom="page">
                <wp:posOffset>609600</wp:posOffset>
              </wp:positionV>
              <wp:extent cx="6629400" cy="50800"/>
              <wp:effectExtent l="0" t="0" r="0" b="0"/>
              <wp:wrapSquare wrapText="bothSides"/>
              <wp:docPr id="9234" name="Group 9234"/>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50800"/>
                        <a:chOff x="0" y="0"/>
                        <a:chExt cx="6629400" cy="50800"/>
                      </a:xfrm>
                    </wpg:grpSpPr>
                    <wps:wsp xmlns:wps="http://schemas.microsoft.com/office/word/2010/wordprocessingShape">
                      <wps:cNvPr id="9235" name="Shape 9235"/>
                      <wps:cNvSpPr/>
                      <wps:spPr>
                        <a:xfrm>
                          <a:off x="0" y="0"/>
                          <a:ext cx="6629400" cy="0"/>
                        </a:xfrm>
                        <a:custGeom>
                          <a:avLst/>
                          <a:gdLst/>
                          <a:rect l="0" t="0" r="0" b="0"/>
                          <a:pathLst>
                            <a:path fill="norm" w="6629400" stroke="1">
                              <a:moveTo>
                                <a:pt x="0" y="0"/>
                              </a:moveTo>
                              <a:lnTo>
                                <a:pt x="6629400" y="0"/>
                              </a:lnTo>
                            </a:path>
                          </a:pathLst>
                        </a:custGeom>
                        <a:ln w="2794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236" name="Shape 9236"/>
                      <wps:cNvSpPr/>
                      <wps:spPr>
                        <a:xfrm>
                          <a:off x="0" y="50800"/>
                          <a:ext cx="6629400" cy="0"/>
                        </a:xfrm>
                        <a:custGeom>
                          <a:avLst/>
                          <a:gdLst/>
                          <a:rect l="0" t="0" r="0" b="0"/>
                          <a:pathLst>
                            <a:path fill="norm" w="6629400" stroke="1">
                              <a:moveTo>
                                <a:pt x="0" y="0"/>
                              </a:moveTo>
                              <a:lnTo>
                                <a:pt x="66294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49" style="width:522pt;height:4pt;margin-top:48pt;margin-left:45pt;mso-position-horizontal-relative:page;mso-position-vertical-relative:page;position:absolute;z-index:251658240" coordsize="66294,508">
              <v:shape id="_x0000_s2050" style="width:66294;height:0;position:absolute" coordsize="6629400,0" path="m,l6629400,e" filled="f" fillcolor="black" stroked="t" strokecolor="black">
                <v:fill opacity="0"/>
                <v:stroke joinstyle="miter" endcap="flat"/>
              </v:shape>
              <v:shape id="_x0000_s2051" style="width:66294;height:0;position:absolute;top:508" coordsize="6629400,0" path="m,l6629400,e" filled="f" fillcolor="black" stroked="t" strokecolor="black">
                <v:fill opacity="0"/>
                <v:stroke joinstyle="miter" endcap="flat"/>
              </v:shape>
              <w10:wrap type="square"/>
            </v:group>
          </w:pict>
        </mc:Fallback>
      </mc:AlternateContent>
    </w:r>
    <w:r>
      <w:rPr>
        <w:b/>
        <w:sz w:val="20"/>
      </w:rPr>
      <w:t>Federal Register</w:t>
    </w:r>
    <w:r>
      <w:rPr>
        <w:sz w:val="20"/>
      </w:rPr>
      <w:t xml:space="preserve">/Vol. 90, No. 17/Tuesday, January 28, 2025/Notices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69774CD3" w14:textId="77777777">
    <w:pPr>
      <w:spacing w:after="0" w:line="259" w:lineRule="auto"/>
      <w:ind w:left="1911"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571500</wp:posOffset>
              </wp:positionH>
              <wp:positionV relativeFrom="page">
                <wp:posOffset>609600</wp:posOffset>
              </wp:positionV>
              <wp:extent cx="6629400" cy="50800"/>
              <wp:effectExtent l="0" t="0" r="0" b="0"/>
              <wp:wrapSquare wrapText="bothSides"/>
              <wp:docPr id="9197" name="Group 9197"/>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50800"/>
                        <a:chOff x="0" y="0"/>
                        <a:chExt cx="6629400" cy="50800"/>
                      </a:xfrm>
                    </wpg:grpSpPr>
                    <wps:wsp xmlns:wps="http://schemas.microsoft.com/office/word/2010/wordprocessingShape">
                      <wps:cNvPr id="9198" name="Shape 9198"/>
                      <wps:cNvSpPr/>
                      <wps:spPr>
                        <a:xfrm>
                          <a:off x="0" y="0"/>
                          <a:ext cx="6629400" cy="0"/>
                        </a:xfrm>
                        <a:custGeom>
                          <a:avLst/>
                          <a:gdLst/>
                          <a:rect l="0" t="0" r="0" b="0"/>
                          <a:pathLst>
                            <a:path fill="norm" w="6629400" stroke="1">
                              <a:moveTo>
                                <a:pt x="0" y="0"/>
                              </a:moveTo>
                              <a:lnTo>
                                <a:pt x="6629400" y="0"/>
                              </a:lnTo>
                            </a:path>
                          </a:pathLst>
                        </a:custGeom>
                        <a:ln w="2794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199" name="Shape 9199"/>
                      <wps:cNvSpPr/>
                      <wps:spPr>
                        <a:xfrm>
                          <a:off x="0" y="50800"/>
                          <a:ext cx="6629400" cy="0"/>
                        </a:xfrm>
                        <a:custGeom>
                          <a:avLst/>
                          <a:gdLst/>
                          <a:rect l="0" t="0" r="0" b="0"/>
                          <a:pathLst>
                            <a:path fill="norm" w="6629400" stroke="1">
                              <a:moveTo>
                                <a:pt x="0" y="0"/>
                              </a:moveTo>
                              <a:lnTo>
                                <a:pt x="66294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2" style="width:522pt;height:4pt;margin-top:48pt;margin-left:45pt;mso-position-horizontal-relative:page;mso-position-vertical-relative:page;position:absolute;z-index:251660288" coordsize="66294,508">
              <v:shape id="_x0000_s2053" style="width:66294;height:0;position:absolute" coordsize="6629400,0" path="m,l6629400,e" filled="f" fillcolor="black" stroked="t" strokecolor="black">
                <v:fill opacity="0"/>
                <v:stroke joinstyle="miter" endcap="flat"/>
              </v:shape>
              <v:shape id="_x0000_s2054" style="width:66294;height:0;position:absolute;top:508" coordsize="6629400,0" path="m,l6629400,e" filled="f" fillcolor="black" stroked="t" strokecolor="black">
                <v:fill opacity="0"/>
                <v:stroke joinstyle="miter" endcap="flat"/>
              </v:shape>
              <w10:wrap type="square"/>
            </v:group>
          </w:pict>
        </mc:Fallback>
      </mc:AlternateContent>
    </w:r>
    <w:r>
      <w:rPr>
        <w:b/>
        <w:sz w:val="20"/>
      </w:rPr>
      <w:t>Federal Register</w:t>
    </w:r>
    <w:r>
      <w:rPr>
        <w:sz w:val="20"/>
      </w:rPr>
      <w:t xml:space="preserve">/Vol. 90, No. 17/Tuesday, January 28, 2025/Notices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C44" w14:paraId="4A4D69E1" w14:textId="77777777">
    <w:pPr>
      <w:spacing w:after="0" w:line="259" w:lineRule="auto"/>
      <w:ind w:left="1911"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571500</wp:posOffset>
              </wp:positionH>
              <wp:positionV relativeFrom="page">
                <wp:posOffset>609600</wp:posOffset>
              </wp:positionV>
              <wp:extent cx="6629400" cy="50800"/>
              <wp:effectExtent l="0" t="0" r="0" b="0"/>
              <wp:wrapSquare wrapText="bothSides"/>
              <wp:docPr id="9160" name="Group 9160"/>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50800"/>
                        <a:chOff x="0" y="0"/>
                        <a:chExt cx="6629400" cy="50800"/>
                      </a:xfrm>
                    </wpg:grpSpPr>
                    <wps:wsp xmlns:wps="http://schemas.microsoft.com/office/word/2010/wordprocessingShape">
                      <wps:cNvPr id="9161" name="Shape 9161"/>
                      <wps:cNvSpPr/>
                      <wps:spPr>
                        <a:xfrm>
                          <a:off x="0" y="0"/>
                          <a:ext cx="6629400" cy="0"/>
                        </a:xfrm>
                        <a:custGeom>
                          <a:avLst/>
                          <a:gdLst/>
                          <a:rect l="0" t="0" r="0" b="0"/>
                          <a:pathLst>
                            <a:path fill="norm" w="6629400" stroke="1">
                              <a:moveTo>
                                <a:pt x="0" y="0"/>
                              </a:moveTo>
                              <a:lnTo>
                                <a:pt x="6629400" y="0"/>
                              </a:lnTo>
                            </a:path>
                          </a:pathLst>
                        </a:custGeom>
                        <a:ln w="27940">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162" name="Shape 9162"/>
                      <wps:cNvSpPr/>
                      <wps:spPr>
                        <a:xfrm>
                          <a:off x="0" y="50800"/>
                          <a:ext cx="6629400" cy="0"/>
                        </a:xfrm>
                        <a:custGeom>
                          <a:avLst/>
                          <a:gdLst/>
                          <a:rect l="0" t="0" r="0" b="0"/>
                          <a:pathLst>
                            <a:path fill="norm" w="6629400" stroke="1">
                              <a:moveTo>
                                <a:pt x="0" y="0"/>
                              </a:moveTo>
                              <a:lnTo>
                                <a:pt x="6629400" y="0"/>
                              </a:lnTo>
                            </a:path>
                          </a:pathLst>
                        </a:custGeom>
                        <a:ln w="3810">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2059" style="width:522pt;height:4pt;margin-top:48pt;margin-left:45pt;mso-position-horizontal-relative:page;mso-position-vertical-relative:page;position:absolute;z-index:251661312" coordsize="66294,508">
              <v:shape id="_x0000_s2060" style="width:66294;height:0;position:absolute" coordsize="6629400,0" path="m,l6629400,e" filled="f" fillcolor="black" stroked="t" strokecolor="black">
                <v:fill opacity="0"/>
                <v:stroke joinstyle="miter" endcap="flat"/>
              </v:shape>
              <v:shape id="_x0000_s2061" style="width:66294;height:0;position:absolute;top:508" coordsize="6629400,0" path="m,l6629400,e" filled="f" fillcolor="black" stroked="t" strokecolor="black">
                <v:fill opacity="0"/>
                <v:stroke joinstyle="miter" endcap="flat"/>
              </v:shape>
              <w10:wrap type="square"/>
            </v:group>
          </w:pict>
        </mc:Fallback>
      </mc:AlternateContent>
    </w:r>
    <w:r>
      <w:rPr>
        <w:b/>
        <w:sz w:val="20"/>
      </w:rPr>
      <w:t>Federal Register</w:t>
    </w:r>
    <w:r>
      <w:rPr>
        <w:sz w:val="20"/>
      </w:rPr>
      <w:t xml:space="preserve">/Vol. 90, No. 17/Tuesday, January 28, 2025/Notices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B364F6"/>
    <w:multiLevelType w:val="hybridMultilevel"/>
    <w:tmpl w:val="E0AA8388"/>
    <w:lvl w:ilvl="0">
      <w:start w:val="1"/>
      <w:numFmt w:val="bullet"/>
      <w:lvlText w:val="•"/>
      <w:lvlJc w:val="left"/>
      <w:pPr>
        <w:ind w:left="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49444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44"/>
    <w:rsid w:val="007F3C44"/>
    <w:rsid w:val="00E4293B"/>
    <w:rsid w:val="00F32F37"/>
    <w:rsid w:val="00F543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790730"/>
  <w15:docId w15:val="{4C15F61F-EF19-4D10-87D1-7F08AA8B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36" w:lineRule="auto"/>
      <w:ind w:left="10" w:right="19" w:hanging="10"/>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225"/>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1"/>
      <w:ind w:left="10" w:hanging="10"/>
      <w:outlineLvl w:val="1"/>
    </w:pPr>
    <w:rPr>
      <w:rFonts w:ascii="Times New Roman" w:eastAsia="Times New Roman" w:hAnsi="Times New Roman" w:cs="Times New Roman"/>
      <w:b/>
      <w:color w:val="000000"/>
      <w:sz w:val="18"/>
    </w:rPr>
  </w:style>
  <w:style w:type="paragraph" w:styleId="Heading3">
    <w:name w:val="heading 3"/>
    <w:next w:val="Normal"/>
    <w:link w:val="Heading3Char"/>
    <w:uiPriority w:val="9"/>
    <w:unhideWhenUsed/>
    <w:qFormat/>
    <w:pPr>
      <w:keepNext/>
      <w:keepLines/>
      <w:spacing w:after="20"/>
      <w:ind w:left="10" w:hanging="10"/>
      <w:outlineLvl w:val="2"/>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38" w:lineRule="auto"/>
      <w:ind w:firstLine="140"/>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Heading3Char">
    <w:name w:val="Heading 3 Char"/>
    <w:link w:val="Heading3"/>
    <w:rPr>
      <w:rFonts w:ascii="Times New Roman" w:eastAsia="Times New Roman" w:hAnsi="Times New Roman" w:cs="Times New Roman"/>
      <w:b/>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egulations.gov/" TargetMode="External" /><Relationship Id="rId7" Type="http://schemas.openxmlformats.org/officeDocument/2006/relationships/hyperlink" Target="https://ofac.treasury.gov/contact-ofac" TargetMode="External" /><Relationship Id="rId8" Type="http://schemas.openxmlformats.org/officeDocument/2006/relationships/hyperlink" Target="https://ofac.treasury.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cms7.bts.dot.gov/sites/bts.dot.gov/files/docs/explore-topics-and-geography/topics/airlines-and-airports/207741/technical-directive-no-27-time-2018.pdf" TargetMode="External" /><Relationship Id="rId2" Type="http://schemas.openxmlformats.org/officeDocument/2006/relationships/hyperlink" Target="https://www.bts.dot.gov/sites/bts.dot.gov/files/docs/explore-topics-and-geography/topics/airlines-and-airports/224606/technicaldirective30abaggage2019amende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Cecelia (OST)</dc:creator>
  <cp:lastModifiedBy>Webb, Kimberly (OST)</cp:lastModifiedBy>
  <cp:revision>2</cp:revision>
  <dcterms:created xsi:type="dcterms:W3CDTF">2025-01-28T14:12:00Z</dcterms:created>
  <dcterms:modified xsi:type="dcterms:W3CDTF">2025-01-28T14:12:00Z</dcterms:modified>
</cp:coreProperties>
</file>