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206" w:rsidRPr="004A3307" w:rsidP="00025206" w14:paraId="628D22F2" w14:textId="77777777">
      <w:pPr>
        <w:jc w:val="center"/>
        <w:rPr>
          <w:b/>
          <w:sz w:val="24"/>
          <w:szCs w:val="24"/>
        </w:rPr>
      </w:pPr>
      <w:r w:rsidRPr="004A3307">
        <w:rPr>
          <w:b/>
          <w:sz w:val="24"/>
          <w:szCs w:val="24"/>
        </w:rPr>
        <w:t>Supporting Statement for Paperwork Reduction Act Submissions</w:t>
      </w:r>
    </w:p>
    <w:p w:rsidR="00025206" w:rsidRPr="004A3307" w:rsidP="00025206" w14:paraId="5B828A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A3307">
        <w:rPr>
          <w:b/>
          <w:sz w:val="24"/>
          <w:szCs w:val="24"/>
        </w:rPr>
        <w:t>(Personal Identification Verification &amp; Pre-Security Form)</w:t>
      </w:r>
    </w:p>
    <w:p w:rsidR="00025206" w:rsidRPr="004A3307" w:rsidP="00E72862" w14:paraId="3A0A7853" w14:textId="3EBEA6A7">
      <w:pPr>
        <w:jc w:val="center"/>
        <w:rPr>
          <w:b/>
          <w:sz w:val="24"/>
          <w:szCs w:val="24"/>
        </w:rPr>
      </w:pPr>
      <w:r w:rsidRPr="004A3307">
        <w:rPr>
          <w:b/>
          <w:sz w:val="24"/>
          <w:szCs w:val="24"/>
        </w:rPr>
        <w:t xml:space="preserve">(OMB# </w:t>
      </w:r>
      <w:r w:rsidRPr="004A3307" w:rsidR="008334F9">
        <w:rPr>
          <w:b/>
          <w:sz w:val="24"/>
          <w:szCs w:val="24"/>
        </w:rPr>
        <w:t>2501</w:t>
      </w:r>
      <w:r w:rsidRPr="004A3307">
        <w:rPr>
          <w:b/>
          <w:sz w:val="24"/>
          <w:szCs w:val="24"/>
        </w:rPr>
        <w:t>-</w:t>
      </w:r>
      <w:r w:rsidR="00A47FF7">
        <w:rPr>
          <w:b/>
          <w:sz w:val="24"/>
          <w:szCs w:val="24"/>
        </w:rPr>
        <w:t>0038</w:t>
      </w:r>
      <w:r w:rsidRPr="004A3307">
        <w:rPr>
          <w:b/>
          <w:sz w:val="24"/>
          <w:szCs w:val="24"/>
        </w:rPr>
        <w:t>)</w:t>
      </w:r>
    </w:p>
    <w:p w:rsidR="00025206" w:rsidRPr="004A3307" w:rsidP="00025206" w14:paraId="219815E8" w14:textId="2FFE0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025206" w:rsidRPr="004A3307" w:rsidP="00025206" w14:paraId="60336BE9" w14:textId="77777777">
      <w:pPr>
        <w:overflowPunct/>
        <w:autoSpaceDE/>
        <w:autoSpaceDN/>
        <w:adjustRightInd/>
        <w:textAlignment w:val="auto"/>
        <w:rPr>
          <w:sz w:val="24"/>
          <w:szCs w:val="24"/>
        </w:rPr>
      </w:pPr>
      <w:bookmarkStart w:id="0" w:name="_Hlk67900149"/>
      <w:r w:rsidRPr="004A3307">
        <w:rPr>
          <w:sz w:val="24"/>
          <w:szCs w:val="24"/>
        </w:rPr>
        <w:t>Personal Identity Verification (PIV) &amp; Pre-Security Form</w:t>
      </w:r>
    </w:p>
    <w:p w:rsidR="00025206" w:rsidRPr="004A3307" w:rsidP="00025206" w14:paraId="2FBFB132" w14:textId="77777777">
      <w:pPr>
        <w:overflowPunct/>
        <w:autoSpaceDE/>
        <w:autoSpaceDN/>
        <w:adjustRightInd/>
        <w:textAlignment w:val="auto"/>
        <w:rPr>
          <w:sz w:val="24"/>
          <w:szCs w:val="24"/>
        </w:rPr>
      </w:pPr>
      <w:bookmarkStart w:id="1" w:name="_Hlk67900122"/>
      <w:bookmarkEnd w:id="0"/>
    </w:p>
    <w:p w:rsidR="00025206" w:rsidRPr="004A3307" w:rsidP="00025206" w14:paraId="67FDA60D" w14:textId="69DAAA29">
      <w:pPr>
        <w:overflowPunct/>
        <w:autoSpaceDE/>
        <w:autoSpaceDN/>
        <w:adjustRightInd/>
        <w:textAlignment w:val="auto"/>
        <w:rPr>
          <w:sz w:val="24"/>
          <w:szCs w:val="24"/>
        </w:rPr>
      </w:pPr>
      <w:bookmarkStart w:id="2" w:name="_Hlk67899150"/>
      <w:r w:rsidRPr="004A3307">
        <w:rPr>
          <w:sz w:val="24"/>
          <w:szCs w:val="24"/>
        </w:rPr>
        <w:t>The purpose of this information collection request (ICR) is to obtain approval of the information that must be provided by applicants when applying for a Homeland Security Presidential Directive (HSPD</w:t>
      </w:r>
      <w:r w:rsidRPr="004A3307" w:rsidR="002A2F44">
        <w:rPr>
          <w:sz w:val="24"/>
          <w:szCs w:val="24"/>
        </w:rPr>
        <w:t>-</w:t>
      </w:r>
      <w:r w:rsidRPr="004A3307">
        <w:rPr>
          <w:sz w:val="24"/>
          <w:szCs w:val="24"/>
        </w:rPr>
        <w:t xml:space="preserve">12) Identification Credential (identification card).  This information collection is necessary to comply with the requirements outlined in Homeland Security Presidential Directive (HSPD-12), the Federal Information Processing Standard (FIPS) 201-2, </w:t>
      </w:r>
      <w:r w:rsidR="00554B7A">
        <w:rPr>
          <w:sz w:val="24"/>
          <w:szCs w:val="24"/>
        </w:rPr>
        <w:t>and</w:t>
      </w:r>
      <w:r w:rsidRPr="004A3307">
        <w:rPr>
          <w:sz w:val="24"/>
          <w:szCs w:val="24"/>
        </w:rPr>
        <w:t xml:space="preserve"> OMB Memorandum M-05-24 and the M-19-17; </w:t>
      </w:r>
      <w:r w:rsidR="00444789">
        <w:rPr>
          <w:sz w:val="24"/>
          <w:szCs w:val="24"/>
        </w:rPr>
        <w:t>these legal directives</w:t>
      </w:r>
      <w:r w:rsidRPr="004A3307">
        <w:rPr>
          <w:sz w:val="24"/>
          <w:szCs w:val="24"/>
        </w:rPr>
        <w:t xml:space="preserve"> asserts that all governmental agencies must implement a secure identity proofing, registration, and issuance </w:t>
      </w:r>
      <w:r w:rsidRPr="004A3307" w:rsidR="00850F7E">
        <w:rPr>
          <w:sz w:val="24"/>
          <w:szCs w:val="24"/>
        </w:rPr>
        <w:t xml:space="preserve">process for </w:t>
      </w:r>
      <w:r w:rsidRPr="004A3307">
        <w:rPr>
          <w:sz w:val="24"/>
          <w:szCs w:val="24"/>
        </w:rPr>
        <w:t>identity verificatio</w:t>
      </w:r>
      <w:r w:rsidRPr="004A3307" w:rsidR="00850F7E">
        <w:rPr>
          <w:sz w:val="24"/>
          <w:szCs w:val="24"/>
        </w:rPr>
        <w:t>n,</w:t>
      </w:r>
      <w:r w:rsidRPr="004A3307">
        <w:rPr>
          <w:sz w:val="24"/>
          <w:szCs w:val="24"/>
        </w:rPr>
        <w:t xml:space="preserve"> prior to granting federal and non-federal employees access to federally controlled facilities and/or information systems.</w:t>
      </w:r>
    </w:p>
    <w:bookmarkEnd w:id="1"/>
    <w:bookmarkEnd w:id="2"/>
    <w:p w:rsidR="00025206" w:rsidRPr="004A3307" w:rsidP="00025206" w14:paraId="3B52B8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25206" w:rsidRPr="004A3307" w:rsidP="00025206" w14:paraId="4DAC25D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25206" w:rsidRPr="004A3307" w:rsidP="00025206" w14:paraId="1FAC354D" w14:textId="6F7A9B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4A3307">
        <w:rPr>
          <w:b/>
          <w:sz w:val="24"/>
          <w:szCs w:val="24"/>
        </w:rPr>
        <w:t xml:space="preserve">A. </w:t>
      </w:r>
      <w:r w:rsidRPr="004A3307">
        <w:rPr>
          <w:b/>
          <w:sz w:val="24"/>
          <w:szCs w:val="24"/>
        </w:rPr>
        <w:tab/>
        <w:t>Justification</w:t>
      </w:r>
    </w:p>
    <w:p w:rsidR="00025206" w:rsidRPr="004A3307" w:rsidP="00025206" w14:paraId="2C85A0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C564C1" w:rsidRPr="004A3307" w:rsidP="008E2781" w14:paraId="756894D6" w14:textId="51180A60">
      <w:pPr>
        <w:pStyle w:val="ListParagraph"/>
        <w:numPr>
          <w:ilvl w:val="0"/>
          <w:numId w:val="4"/>
        </w:numPr>
        <w:rPr>
          <w:rFonts w:ascii="Times New Roman" w:hAnsi="Times New Roman" w:cs="Times New Roman"/>
          <w:sz w:val="24"/>
          <w:szCs w:val="24"/>
        </w:rPr>
      </w:pPr>
      <w:r w:rsidRPr="004A3307">
        <w:rPr>
          <w:rFonts w:ascii="Times New Roman" w:hAnsi="Times New Roman" w:cs="Times New Roman"/>
          <w:b/>
          <w:bCs/>
          <w:sz w:val="24"/>
          <w:szCs w:val="24"/>
        </w:rPr>
        <w:t xml:space="preserve">Explain the circumstances that make the collection of information necessary.  Identify any legal or administrative requirements that necessitate the collection.  </w:t>
      </w:r>
      <w:r w:rsidR="002C7AB1">
        <w:rPr>
          <w:rFonts w:ascii="Times New Roman" w:hAnsi="Times New Roman" w:cs="Times New Roman"/>
          <w:b/>
          <w:bCs/>
          <w:sz w:val="24"/>
          <w:szCs w:val="24"/>
        </w:rPr>
        <w:t xml:space="preserve">Identify </w:t>
      </w:r>
      <w:r w:rsidR="003967DC">
        <w:rPr>
          <w:rFonts w:ascii="Times New Roman" w:hAnsi="Times New Roman" w:cs="Times New Roman"/>
          <w:b/>
          <w:bCs/>
          <w:sz w:val="24"/>
          <w:szCs w:val="24"/>
        </w:rPr>
        <w:t>the authorities</w:t>
      </w:r>
      <w:r w:rsidRPr="004A3307">
        <w:rPr>
          <w:rFonts w:ascii="Times New Roman" w:hAnsi="Times New Roman" w:cs="Times New Roman"/>
          <w:b/>
          <w:bCs/>
          <w:sz w:val="24"/>
          <w:szCs w:val="24"/>
        </w:rPr>
        <w:t xml:space="preserve"> of the appropriate section of each statute and regulation mandating or authorizing the collection of information</w:t>
      </w:r>
      <w:r w:rsidRPr="004A3307">
        <w:rPr>
          <w:rFonts w:ascii="Times New Roman" w:hAnsi="Times New Roman" w:cs="Times New Roman"/>
          <w:i/>
          <w:iCs/>
          <w:sz w:val="24"/>
          <w:szCs w:val="24"/>
        </w:rPr>
        <w:t>.</w:t>
      </w:r>
      <w:r w:rsidRPr="004A3307" w:rsidR="00DF6629">
        <w:rPr>
          <w:rFonts w:ascii="Times New Roman" w:hAnsi="Times New Roman" w:cs="Times New Roman"/>
          <w:sz w:val="24"/>
          <w:szCs w:val="24"/>
        </w:rPr>
        <w:t xml:space="preserve"> </w:t>
      </w:r>
      <w:r w:rsidRPr="00104929" w:rsidR="00104929">
        <w:t xml:space="preserve"> </w:t>
      </w:r>
      <w:r w:rsidRPr="00104929" w:rsidR="00104929">
        <w:rPr>
          <w:rFonts w:ascii="Times New Roman" w:hAnsi="Times New Roman" w:cs="Times New Roman"/>
          <w:sz w:val="24"/>
          <w:szCs w:val="24"/>
        </w:rPr>
        <w:t>Authority: Executive Orders: 10865, 12333, 12356, and 13764. Sections 3301 and 9101, of title 5, U.S. Code; section 2165 of title 42, U.S. Code; sections 781 to 887 of title 50, U.S. Code; parts 5, 732, and 736 of title 5, Code of Federal Regulations; and Homeland Security Presidential Directive (HSPD) 12, Policy for a Common Identification Standard for Federal Employees and Contractors, August 21, 2004. Executive Order 13488, and Executive Order 13467.</w:t>
      </w:r>
    </w:p>
    <w:p w:rsidR="00C564C1" w:rsidRPr="004A3307" w:rsidP="00F91D35" w14:paraId="22F8B5C7" w14:textId="6BC81233">
      <w:pPr>
        <w:ind w:left="360"/>
        <w:rPr>
          <w:sz w:val="24"/>
          <w:szCs w:val="24"/>
          <w:highlight w:val="yellow"/>
        </w:rPr>
      </w:pPr>
    </w:p>
    <w:p w:rsidR="004A3307" w:rsidP="004A3307" w14:paraId="5F3AC27F" w14:textId="77777777">
      <w:pPr>
        <w:keepLines/>
        <w:tabs>
          <w:tab w:val="left" w:pos="360"/>
          <w:tab w:val="left" w:pos="720"/>
        </w:tabs>
        <w:ind w:left="360"/>
        <w:rPr>
          <w:sz w:val="24"/>
          <w:szCs w:val="24"/>
        </w:rPr>
      </w:pPr>
      <w:r w:rsidRPr="004A3307">
        <w:rPr>
          <w:sz w:val="24"/>
          <w:szCs w:val="24"/>
        </w:rPr>
        <w:t>The requirements outlined in the Homeland Security Presidential Directive (HSPD-12), the Federal Information Processing Standard (FIPS) 201-2, the OMB Memorandum M-05-24 and M-19-17 assert that all governmental agencies must implement a secure identity proofing, registration, and issuance process. This process must ensure secure personal identity verification prior to granting federal and non-federal employee</w:t>
      </w:r>
      <w:r w:rsidRPr="004A3307" w:rsidR="00850F7E">
        <w:rPr>
          <w:sz w:val="24"/>
          <w:szCs w:val="24"/>
        </w:rPr>
        <w:t>’</w:t>
      </w:r>
      <w:r w:rsidRPr="004A3307">
        <w:rPr>
          <w:sz w:val="24"/>
          <w:szCs w:val="24"/>
        </w:rPr>
        <w:t>s access to federally controlled facilities and/or information systems. The approval of the information that must be provided by applicants when applying for a Homeland Security Presidential Directive (HSPD</w:t>
      </w:r>
      <w:r w:rsidRPr="004A3307" w:rsidR="002A2F44">
        <w:rPr>
          <w:sz w:val="24"/>
          <w:szCs w:val="24"/>
        </w:rPr>
        <w:t>-</w:t>
      </w:r>
      <w:r w:rsidRPr="004A3307">
        <w:rPr>
          <w:sz w:val="24"/>
          <w:szCs w:val="24"/>
        </w:rPr>
        <w:t xml:space="preserve">12) Identification Credential (identification card) would satisfy the requirements.  </w:t>
      </w:r>
      <w:bookmarkStart w:id="3" w:name="_Hlk69215990"/>
    </w:p>
    <w:p w:rsidR="004A3307" w:rsidP="004A3307" w14:paraId="186376A5" w14:textId="77777777">
      <w:pPr>
        <w:keepLines/>
        <w:tabs>
          <w:tab w:val="left" w:pos="360"/>
          <w:tab w:val="left" w:pos="720"/>
        </w:tabs>
        <w:ind w:left="360"/>
        <w:rPr>
          <w:sz w:val="24"/>
          <w:szCs w:val="24"/>
        </w:rPr>
      </w:pPr>
    </w:p>
    <w:p w:rsidR="00025206" w:rsidRPr="004A3307" w:rsidP="004A3307" w14:paraId="46F743C5" w14:textId="1A5FA685">
      <w:pPr>
        <w:keepLines/>
        <w:tabs>
          <w:tab w:val="left" w:pos="360"/>
          <w:tab w:val="left" w:pos="720"/>
        </w:tabs>
        <w:ind w:left="360"/>
        <w:rPr>
          <w:sz w:val="24"/>
          <w:szCs w:val="24"/>
        </w:rPr>
      </w:pPr>
      <w:r w:rsidRPr="004A3307">
        <w:rPr>
          <w:sz w:val="24"/>
          <w:szCs w:val="24"/>
        </w:rPr>
        <w:t xml:space="preserve">The following </w:t>
      </w:r>
      <w:r w:rsidRPr="004A3307" w:rsidR="005A57C9">
        <w:rPr>
          <w:sz w:val="24"/>
          <w:szCs w:val="24"/>
        </w:rPr>
        <w:t>authorities</w:t>
      </w:r>
      <w:r w:rsidRPr="004A3307">
        <w:rPr>
          <w:sz w:val="24"/>
          <w:szCs w:val="24"/>
        </w:rPr>
        <w:t xml:space="preserve"> govern the collection of Personally Identifiable Information (PII) data which is stored in the PerSIST system:</w:t>
      </w:r>
    </w:p>
    <w:p w:rsidR="004A3307" w:rsidP="00076D0C" w14:paraId="5F5DA1EF" w14:textId="77777777">
      <w:pPr>
        <w:overflowPunct/>
        <w:jc w:val="both"/>
        <w:textAlignment w:val="auto"/>
        <w:rPr>
          <w:sz w:val="24"/>
          <w:szCs w:val="24"/>
        </w:rPr>
      </w:pPr>
    </w:p>
    <w:p w:rsidR="00C564C1" w:rsidRPr="004A3307" w:rsidP="004A3307" w14:paraId="78EE3483" w14:textId="3CE0EDA3">
      <w:pPr>
        <w:overflowPunct/>
        <w:ind w:left="360"/>
        <w:jc w:val="both"/>
        <w:textAlignment w:val="auto"/>
        <w:rPr>
          <w:sz w:val="24"/>
          <w:szCs w:val="24"/>
        </w:rPr>
      </w:pPr>
      <w:r w:rsidRPr="004A3307">
        <w:rPr>
          <w:sz w:val="24"/>
          <w:szCs w:val="24"/>
        </w:rPr>
        <w:t>The authority to collect this information is established under HSPD-12 and</w:t>
      </w:r>
      <w:r w:rsidR="00DD1773">
        <w:rPr>
          <w:sz w:val="24"/>
          <w:szCs w:val="24"/>
        </w:rPr>
        <w:t xml:space="preserve"> is</w:t>
      </w:r>
      <w:r w:rsidRPr="004A3307">
        <w:rPr>
          <w:sz w:val="24"/>
          <w:szCs w:val="24"/>
        </w:rPr>
        <w:t xml:space="preserve"> in accordance with the</w:t>
      </w:r>
      <w:r w:rsidR="004A3307">
        <w:rPr>
          <w:sz w:val="24"/>
          <w:szCs w:val="24"/>
        </w:rPr>
        <w:t xml:space="preserve"> </w:t>
      </w:r>
      <w:r w:rsidRPr="004A3307">
        <w:rPr>
          <w:sz w:val="24"/>
          <w:szCs w:val="24"/>
        </w:rPr>
        <w:t xml:space="preserve">Personnel Security and Suitability Policy, Handbook 755.1 (2019), Chapter 4.   </w:t>
      </w:r>
    </w:p>
    <w:p w:rsidR="00C564C1" w:rsidRPr="004A3307" w:rsidP="00076D0C" w14:paraId="040FF544" w14:textId="0CB5159B">
      <w:pPr>
        <w:overflowPunct/>
        <w:jc w:val="both"/>
        <w:textAlignment w:val="auto"/>
        <w:rPr>
          <w:sz w:val="24"/>
          <w:szCs w:val="24"/>
        </w:rPr>
      </w:pPr>
      <w:r w:rsidRPr="004A3307">
        <w:rPr>
          <w:sz w:val="24"/>
          <w:szCs w:val="24"/>
        </w:rPr>
        <w:t xml:space="preserve">      </w:t>
      </w:r>
      <w:hyperlink r:id="rId5" w:history="1">
        <w:r w:rsidRPr="00E0197D" w:rsidR="004A3307">
          <w:rPr>
            <w:rStyle w:val="Hyperlink"/>
            <w:sz w:val="24"/>
            <w:szCs w:val="24"/>
          </w:rPr>
          <w:t>http://hudatwork.hud.gov/HUD/chco/doc/PSS-52019</w:t>
        </w:r>
      </w:hyperlink>
    </w:p>
    <w:p w:rsidR="00C564C1" w:rsidRPr="004A3307" w:rsidP="00076D0C" w14:paraId="0FEABE64" w14:textId="77777777">
      <w:pPr>
        <w:overflowPunct/>
        <w:jc w:val="both"/>
        <w:textAlignment w:val="auto"/>
        <w:rPr>
          <w:sz w:val="24"/>
          <w:szCs w:val="24"/>
        </w:rPr>
      </w:pPr>
    </w:p>
    <w:bookmarkEnd w:id="3"/>
    <w:p w:rsidR="00025206" w:rsidP="00025206" w14:paraId="43BAA681" w14:textId="53C712C2">
      <w:pPr>
        <w:keepLines/>
        <w:tabs>
          <w:tab w:val="left" w:pos="360"/>
          <w:tab w:val="left" w:pos="720"/>
        </w:tabs>
        <w:ind w:left="360"/>
        <w:rPr>
          <w:sz w:val="24"/>
          <w:szCs w:val="24"/>
        </w:rPr>
      </w:pPr>
    </w:p>
    <w:p w:rsidR="004A3307" w:rsidP="00025206" w14:paraId="17278FF2" w14:textId="63C9E6DE">
      <w:pPr>
        <w:keepLines/>
        <w:tabs>
          <w:tab w:val="left" w:pos="360"/>
          <w:tab w:val="left" w:pos="720"/>
        </w:tabs>
        <w:ind w:left="360"/>
        <w:rPr>
          <w:sz w:val="24"/>
          <w:szCs w:val="24"/>
        </w:rPr>
      </w:pPr>
    </w:p>
    <w:p w:rsidR="004A3307" w:rsidP="00025206" w14:paraId="53AAB614" w14:textId="5717F887">
      <w:pPr>
        <w:keepLines/>
        <w:tabs>
          <w:tab w:val="left" w:pos="360"/>
          <w:tab w:val="left" w:pos="720"/>
        </w:tabs>
        <w:ind w:left="360"/>
        <w:rPr>
          <w:sz w:val="24"/>
          <w:szCs w:val="24"/>
        </w:rPr>
      </w:pPr>
    </w:p>
    <w:p w:rsidR="004A3307" w:rsidRPr="004A3307" w:rsidP="00025206" w14:paraId="4DA63606" w14:textId="77777777">
      <w:pPr>
        <w:keepLines/>
        <w:tabs>
          <w:tab w:val="left" w:pos="360"/>
          <w:tab w:val="left" w:pos="720"/>
        </w:tabs>
        <w:ind w:left="360"/>
        <w:rPr>
          <w:sz w:val="24"/>
          <w:szCs w:val="24"/>
        </w:rPr>
      </w:pPr>
    </w:p>
    <w:p w:rsidR="00025206" w:rsidRPr="004A3307" w:rsidP="00025206" w14:paraId="6A927655" w14:textId="77777777">
      <w:pPr>
        <w:keepLines/>
        <w:tabs>
          <w:tab w:val="left" w:pos="360"/>
        </w:tabs>
        <w:spacing w:after="80"/>
        <w:ind w:left="360" w:hanging="360"/>
        <w:rPr>
          <w:b/>
          <w:bCs/>
          <w:sz w:val="24"/>
          <w:szCs w:val="24"/>
        </w:rPr>
      </w:pPr>
      <w:r w:rsidRPr="004A3307">
        <w:rPr>
          <w:sz w:val="24"/>
          <w:szCs w:val="24"/>
        </w:rPr>
        <w:t>2.</w:t>
      </w:r>
      <w:r w:rsidRPr="004A3307">
        <w:rPr>
          <w:sz w:val="24"/>
          <w:szCs w:val="24"/>
        </w:rPr>
        <w:tab/>
      </w:r>
      <w:r w:rsidRPr="004A3307">
        <w:rPr>
          <w:b/>
          <w:bCs/>
          <w:sz w:val="24"/>
          <w:szCs w:val="24"/>
        </w:rPr>
        <w:t>Indicate how, by whom and for what purpose the information is to be used.  Except for a new collection, indicate the actual use the agency has made of the information received from the current collection.</w:t>
      </w:r>
    </w:p>
    <w:p w:rsidR="004A3307" w:rsidP="006D3E32" w14:paraId="0658E42B" w14:textId="77777777">
      <w:pPr>
        <w:rPr>
          <w:sz w:val="24"/>
          <w:szCs w:val="24"/>
        </w:rPr>
      </w:pPr>
      <w:r w:rsidRPr="004A3307">
        <w:rPr>
          <w:sz w:val="24"/>
          <w:szCs w:val="24"/>
          <w:highlight w:val="yellow"/>
        </w:rPr>
        <w:t xml:space="preserve">  </w:t>
      </w:r>
    </w:p>
    <w:p w:rsidR="00025206" w:rsidP="004A3307" w14:paraId="0FD2820F" w14:textId="0EA0FA70">
      <w:pPr>
        <w:ind w:left="360"/>
        <w:rPr>
          <w:sz w:val="24"/>
          <w:szCs w:val="24"/>
        </w:rPr>
      </w:pPr>
      <w:r w:rsidRPr="004A3307">
        <w:rPr>
          <w:sz w:val="24"/>
          <w:szCs w:val="24"/>
        </w:rPr>
        <w:t xml:space="preserve">The information on the </w:t>
      </w:r>
      <w:r w:rsidRPr="004A3307" w:rsidR="00571AFC">
        <w:rPr>
          <w:sz w:val="24"/>
          <w:szCs w:val="24"/>
        </w:rPr>
        <w:t>P</w:t>
      </w:r>
      <w:r w:rsidRPr="004A3307" w:rsidR="005F290E">
        <w:rPr>
          <w:sz w:val="24"/>
          <w:szCs w:val="24"/>
        </w:rPr>
        <w:t xml:space="preserve">IV &amp; Pre-Security </w:t>
      </w:r>
      <w:r w:rsidRPr="004A3307">
        <w:rPr>
          <w:sz w:val="24"/>
          <w:szCs w:val="24"/>
        </w:rPr>
        <w:t>form is used to start the record creation process in PERSIST and the enrollment process for the issuance of a PIV Credential as required by HSPD-12.</w:t>
      </w:r>
      <w:r w:rsidR="004A3307">
        <w:rPr>
          <w:sz w:val="24"/>
          <w:szCs w:val="24"/>
        </w:rPr>
        <w:t xml:space="preserve">  </w:t>
      </w:r>
      <w:r w:rsidRPr="004A3307">
        <w:rPr>
          <w:sz w:val="24"/>
          <w:szCs w:val="24"/>
        </w:rPr>
        <w:t>Current collections in the system are used to document and support decisions regarding the suitability, eligibility, and fitness for service of applicants for federal employment and contract positions to include students, interns, or volunteers to the extent that their duties require access to federal facilities, information, systems, or applications. Additionally, records may be used to document security violations, and supervisory actions taken.</w:t>
      </w:r>
    </w:p>
    <w:p w:rsidR="004A3307" w:rsidRPr="004A3307" w:rsidP="004A3307" w14:paraId="50B44CD0" w14:textId="77777777">
      <w:pPr>
        <w:ind w:left="360"/>
        <w:rPr>
          <w:sz w:val="24"/>
          <w:szCs w:val="24"/>
        </w:rPr>
      </w:pPr>
    </w:p>
    <w:p w:rsidR="0037125D" w:rsidRPr="004A3307" w:rsidP="0037125D" w14:paraId="7A76E32D" w14:textId="77777777">
      <w:pPr>
        <w:keepLines/>
        <w:tabs>
          <w:tab w:val="left" w:pos="360"/>
          <w:tab w:val="left" w:pos="720"/>
        </w:tabs>
        <w:ind w:left="360"/>
        <w:rPr>
          <w:sz w:val="24"/>
          <w:szCs w:val="24"/>
        </w:rPr>
      </w:pPr>
      <w:r w:rsidRPr="004A3307">
        <w:rPr>
          <w:sz w:val="24"/>
          <w:szCs w:val="24"/>
        </w:rPr>
        <w:t>As the PSF system was outdated and did not have the capability of reducing errors within the reporting process</w:t>
      </w:r>
      <w:r w:rsidRPr="004A3307">
        <w:rPr>
          <w:sz w:val="24"/>
          <w:szCs w:val="24"/>
        </w:rPr>
        <w:t xml:space="preserve">, </w:t>
      </w:r>
      <w:r w:rsidRPr="004A3307">
        <w:rPr>
          <w:sz w:val="24"/>
          <w:szCs w:val="24"/>
        </w:rPr>
        <w:t>PerSIST allows HUD th</w:t>
      </w:r>
      <w:r w:rsidRPr="004A3307">
        <w:rPr>
          <w:sz w:val="24"/>
          <w:szCs w:val="24"/>
        </w:rPr>
        <w:t>is</w:t>
      </w:r>
      <w:r w:rsidRPr="004A3307">
        <w:rPr>
          <w:sz w:val="24"/>
          <w:szCs w:val="24"/>
        </w:rPr>
        <w:t xml:space="preserve"> ability</w:t>
      </w:r>
      <w:r w:rsidRPr="004A3307">
        <w:rPr>
          <w:sz w:val="24"/>
          <w:szCs w:val="24"/>
        </w:rPr>
        <w:t xml:space="preserve">; </w:t>
      </w:r>
      <w:r w:rsidRPr="004A3307">
        <w:rPr>
          <w:sz w:val="24"/>
          <w:szCs w:val="24"/>
        </w:rPr>
        <w:t>to capture data related to all aspects of pre-appointments, suitability determinations, and security clearance processing, and help facilitate the capabilities needed to support multi-user access, workflow definition, workflow tracking, and the ability to interface with interagency systems such as the Office of Personnel Management Electronic Questionnaires for Investigations Processing (e-QIP) and Personnel Investigations Processing System (PIPS).</w:t>
      </w:r>
      <w:r w:rsidRPr="004A3307">
        <w:rPr>
          <w:sz w:val="24"/>
          <w:szCs w:val="24"/>
        </w:rPr>
        <w:t xml:space="preserve"> </w:t>
      </w:r>
    </w:p>
    <w:p w:rsidR="00333E10" w:rsidP="00D7143C" w14:paraId="39C12523" w14:textId="77777777">
      <w:pPr>
        <w:keepLines/>
        <w:tabs>
          <w:tab w:val="left" w:pos="360"/>
          <w:tab w:val="left" w:pos="720"/>
        </w:tabs>
        <w:rPr>
          <w:sz w:val="24"/>
          <w:szCs w:val="24"/>
        </w:rPr>
      </w:pPr>
    </w:p>
    <w:p w:rsidR="00333E10" w:rsidRPr="00333E10" w:rsidP="00333E10" w14:paraId="72BF3EE8" w14:textId="35CFEFC7">
      <w:pPr>
        <w:keepLines/>
        <w:tabs>
          <w:tab w:val="left" w:pos="360"/>
          <w:tab w:val="left" w:pos="720"/>
        </w:tabs>
        <w:ind w:left="360"/>
        <w:rPr>
          <w:sz w:val="24"/>
          <w:szCs w:val="24"/>
        </w:rPr>
      </w:pPr>
      <w:r w:rsidRPr="00333E10">
        <w:rPr>
          <w:sz w:val="24"/>
          <w:szCs w:val="24"/>
        </w:rPr>
        <w:t>Upon successful completion of the following:</w:t>
      </w:r>
    </w:p>
    <w:p w:rsidR="00333E10" w:rsidRPr="00D7143C" w:rsidP="00D7143C" w14:paraId="2DDD4F21" w14:textId="37CE2B9B">
      <w:pPr>
        <w:pStyle w:val="ListParagraph"/>
        <w:keepLines/>
        <w:numPr>
          <w:ilvl w:val="0"/>
          <w:numId w:val="6"/>
        </w:numPr>
        <w:tabs>
          <w:tab w:val="left" w:pos="360"/>
          <w:tab w:val="left" w:pos="720"/>
        </w:tabs>
        <w:rPr>
          <w:rFonts w:ascii="Times New Roman" w:hAnsi="Times New Roman" w:cs="Times New Roman"/>
          <w:sz w:val="24"/>
          <w:szCs w:val="24"/>
        </w:rPr>
      </w:pPr>
      <w:r w:rsidRPr="00D7143C">
        <w:rPr>
          <w:rFonts w:ascii="Times New Roman" w:hAnsi="Times New Roman" w:cs="Times New Roman"/>
          <w:sz w:val="24"/>
          <w:szCs w:val="24"/>
        </w:rPr>
        <w:t xml:space="preserve">Automated Background Investigative Forms: All required forms are accurately and </w:t>
      </w:r>
      <w:r w:rsidRPr="00D7143C">
        <w:rPr>
          <w:rFonts w:ascii="Times New Roman" w:hAnsi="Times New Roman" w:cs="Times New Roman"/>
          <w:sz w:val="24"/>
          <w:szCs w:val="24"/>
        </w:rPr>
        <w:t>completely filled</w:t>
      </w:r>
      <w:r w:rsidRPr="00D7143C">
        <w:rPr>
          <w:rFonts w:ascii="Times New Roman" w:hAnsi="Times New Roman" w:cs="Times New Roman"/>
          <w:sz w:val="24"/>
          <w:szCs w:val="24"/>
        </w:rPr>
        <w:t xml:space="preserve"> out by the applicant.</w:t>
      </w:r>
    </w:p>
    <w:p w:rsidR="00333E10" w:rsidRPr="00D7143C" w:rsidP="00D7143C" w14:paraId="1E3180C7" w14:textId="352937FE">
      <w:pPr>
        <w:pStyle w:val="ListParagraph"/>
        <w:keepLines/>
        <w:numPr>
          <w:ilvl w:val="0"/>
          <w:numId w:val="6"/>
        </w:numPr>
        <w:tabs>
          <w:tab w:val="left" w:pos="360"/>
          <w:tab w:val="left" w:pos="720"/>
        </w:tabs>
        <w:rPr>
          <w:rFonts w:ascii="Times New Roman" w:hAnsi="Times New Roman" w:cs="Times New Roman"/>
          <w:sz w:val="24"/>
          <w:szCs w:val="24"/>
        </w:rPr>
      </w:pPr>
      <w:r w:rsidRPr="00D7143C">
        <w:rPr>
          <w:rFonts w:ascii="Times New Roman" w:hAnsi="Times New Roman" w:cs="Times New Roman"/>
          <w:sz w:val="24"/>
          <w:szCs w:val="24"/>
        </w:rPr>
        <w:t>Biometric Enrollment: The applicant undergoes fingerprinting and biometric data collection at a designated Registrar station to verify their identity.</w:t>
      </w:r>
    </w:p>
    <w:p w:rsidR="00333E10" w:rsidRPr="00D7143C" w:rsidP="00D7143C" w14:paraId="6C261953" w14:textId="6BEE01FE">
      <w:pPr>
        <w:pStyle w:val="ListParagraph"/>
        <w:keepLines/>
        <w:numPr>
          <w:ilvl w:val="0"/>
          <w:numId w:val="6"/>
        </w:numPr>
        <w:tabs>
          <w:tab w:val="left" w:pos="360"/>
          <w:tab w:val="left" w:pos="720"/>
        </w:tabs>
        <w:rPr>
          <w:rFonts w:ascii="Times New Roman" w:hAnsi="Times New Roman" w:cs="Times New Roman"/>
          <w:sz w:val="24"/>
          <w:szCs w:val="24"/>
        </w:rPr>
      </w:pPr>
      <w:r w:rsidRPr="00D7143C">
        <w:rPr>
          <w:rFonts w:ascii="Times New Roman" w:hAnsi="Times New Roman" w:cs="Times New Roman"/>
          <w:sz w:val="24"/>
          <w:szCs w:val="24"/>
        </w:rPr>
        <w:t>Data Submission to OPM: All collected data, including biometric information, is submitted to the Office of Personnel Management (OPM) for the background investigation.</w:t>
      </w:r>
    </w:p>
    <w:p w:rsidR="00333E10" w:rsidP="00D7143C" w14:paraId="0CA6667D" w14:textId="224495A1">
      <w:pPr>
        <w:pStyle w:val="ListParagraph"/>
        <w:keepLines/>
        <w:numPr>
          <w:ilvl w:val="0"/>
          <w:numId w:val="6"/>
        </w:numPr>
        <w:tabs>
          <w:tab w:val="left" w:pos="360"/>
          <w:tab w:val="left" w:pos="720"/>
        </w:tabs>
        <w:rPr>
          <w:rFonts w:ascii="Times New Roman" w:hAnsi="Times New Roman" w:cs="Times New Roman"/>
          <w:sz w:val="24"/>
          <w:szCs w:val="24"/>
        </w:rPr>
      </w:pPr>
      <w:r w:rsidRPr="00D7143C">
        <w:rPr>
          <w:rFonts w:ascii="Times New Roman" w:hAnsi="Times New Roman" w:cs="Times New Roman"/>
          <w:sz w:val="24"/>
          <w:szCs w:val="24"/>
        </w:rPr>
        <w:t>Completion of Required Information Submissions: The applicant has provided all necessary information and documentation as part of the background investigation process.</w:t>
      </w:r>
    </w:p>
    <w:p w:rsidR="00D7143C" w:rsidRPr="00D7143C" w:rsidP="00D7143C" w14:paraId="24CB02BC" w14:textId="77777777">
      <w:pPr>
        <w:pStyle w:val="ListParagraph"/>
        <w:keepLines/>
        <w:tabs>
          <w:tab w:val="left" w:pos="360"/>
          <w:tab w:val="left" w:pos="720"/>
        </w:tabs>
        <w:ind w:left="1080"/>
        <w:rPr>
          <w:rFonts w:ascii="Times New Roman" w:hAnsi="Times New Roman" w:cs="Times New Roman"/>
          <w:sz w:val="24"/>
          <w:szCs w:val="24"/>
        </w:rPr>
      </w:pPr>
    </w:p>
    <w:p w:rsidR="00333E10" w:rsidP="00333E10" w14:paraId="2D66D0CF" w14:textId="1B34AC48">
      <w:pPr>
        <w:keepLines/>
        <w:tabs>
          <w:tab w:val="left" w:pos="360"/>
          <w:tab w:val="left" w:pos="720"/>
        </w:tabs>
        <w:ind w:left="360"/>
        <w:rPr>
          <w:sz w:val="24"/>
          <w:szCs w:val="24"/>
        </w:rPr>
      </w:pPr>
      <w:r w:rsidRPr="00333E10">
        <w:rPr>
          <w:sz w:val="24"/>
          <w:szCs w:val="24"/>
        </w:rPr>
        <w:t>An Adjudicator will review the completed background investigation. If approved, the applicant will be authorized to receive an HSPD-12 Credential (ID Card).</w:t>
      </w:r>
    </w:p>
    <w:p w:rsidR="00333E10" w:rsidP="00767A7D" w14:paraId="39537076" w14:textId="77777777">
      <w:pPr>
        <w:keepLines/>
        <w:tabs>
          <w:tab w:val="left" w:pos="360"/>
          <w:tab w:val="left" w:pos="720"/>
        </w:tabs>
        <w:ind w:left="360"/>
        <w:rPr>
          <w:sz w:val="24"/>
          <w:szCs w:val="24"/>
        </w:rPr>
      </w:pPr>
    </w:p>
    <w:p w:rsidR="00767A7D" w:rsidRPr="004A3307" w:rsidP="00767A7D" w14:paraId="75E1B860" w14:textId="41BA9159">
      <w:pPr>
        <w:keepLines/>
        <w:tabs>
          <w:tab w:val="left" w:pos="360"/>
          <w:tab w:val="left" w:pos="720"/>
        </w:tabs>
        <w:ind w:left="360"/>
        <w:rPr>
          <w:sz w:val="24"/>
          <w:szCs w:val="24"/>
        </w:rPr>
      </w:pPr>
      <w:r w:rsidRPr="004A3307">
        <w:rPr>
          <w:sz w:val="24"/>
          <w:szCs w:val="24"/>
        </w:rPr>
        <w:t xml:space="preserve">Once the ID Card is printed and mailed to the </w:t>
      </w:r>
      <w:r w:rsidR="00F779DB">
        <w:rPr>
          <w:sz w:val="24"/>
          <w:szCs w:val="24"/>
        </w:rPr>
        <w:t>s</w:t>
      </w:r>
      <w:r w:rsidRPr="004A3307">
        <w:rPr>
          <w:sz w:val="24"/>
          <w:szCs w:val="24"/>
        </w:rPr>
        <w:t>ponsoring agency, the Applicant will receive an automatic email in their personal email account indicating their HSPD-12 Credential is “ready for pickup</w:t>
      </w:r>
      <w:r w:rsidRPr="004A3307" w:rsidR="002A2F44">
        <w:rPr>
          <w:sz w:val="24"/>
          <w:szCs w:val="24"/>
        </w:rPr>
        <w:t>.</w:t>
      </w:r>
      <w:r w:rsidRPr="004A3307">
        <w:rPr>
          <w:sz w:val="24"/>
          <w:szCs w:val="24"/>
        </w:rPr>
        <w:t xml:space="preserve">” Once the Applicant </w:t>
      </w:r>
      <w:r w:rsidRPr="004A3307" w:rsidR="000A72DF">
        <w:rPr>
          <w:sz w:val="24"/>
          <w:szCs w:val="24"/>
        </w:rPr>
        <w:t>arrives</w:t>
      </w:r>
      <w:r w:rsidRPr="004A3307" w:rsidR="00332AF1">
        <w:rPr>
          <w:sz w:val="24"/>
          <w:szCs w:val="24"/>
        </w:rPr>
        <w:t xml:space="preserve"> to pick up the ID Card,</w:t>
      </w:r>
      <w:r w:rsidRPr="004A3307">
        <w:rPr>
          <w:sz w:val="24"/>
          <w:szCs w:val="24"/>
        </w:rPr>
        <w:t xml:space="preserve"> a biometric matching process is conducted by scanning two (2) of the Applicants fingers. </w:t>
      </w:r>
      <w:r w:rsidRPr="004A3307" w:rsidR="000C2ECE">
        <w:rPr>
          <w:sz w:val="24"/>
          <w:szCs w:val="24"/>
        </w:rPr>
        <w:t xml:space="preserve">The Applicant is also required to provide a </w:t>
      </w:r>
      <w:r w:rsidRPr="004A3307" w:rsidR="00332AF1">
        <w:rPr>
          <w:sz w:val="24"/>
          <w:szCs w:val="24"/>
        </w:rPr>
        <w:t xml:space="preserve">current identification card that </w:t>
      </w:r>
      <w:r w:rsidRPr="004A3307" w:rsidR="000C2ECE">
        <w:rPr>
          <w:sz w:val="24"/>
          <w:szCs w:val="24"/>
        </w:rPr>
        <w:t xml:space="preserve">would also </w:t>
      </w:r>
      <w:r w:rsidRPr="004A3307" w:rsidR="00332AF1">
        <w:rPr>
          <w:sz w:val="24"/>
          <w:szCs w:val="24"/>
        </w:rPr>
        <w:t xml:space="preserve">validate the information on </w:t>
      </w:r>
      <w:r w:rsidRPr="004A3307" w:rsidR="0037125D">
        <w:rPr>
          <w:sz w:val="24"/>
          <w:szCs w:val="24"/>
        </w:rPr>
        <w:t>the PIV Card</w:t>
      </w:r>
      <w:r w:rsidRPr="004A3307" w:rsidR="000C2ECE">
        <w:rPr>
          <w:sz w:val="24"/>
          <w:szCs w:val="24"/>
        </w:rPr>
        <w:t>. W</w:t>
      </w:r>
      <w:r w:rsidRPr="004A3307" w:rsidR="00332AF1">
        <w:rPr>
          <w:sz w:val="24"/>
          <w:szCs w:val="24"/>
        </w:rPr>
        <w:t xml:space="preserve">hen all </w:t>
      </w:r>
      <w:r w:rsidRPr="004A3307" w:rsidR="0037125D">
        <w:rPr>
          <w:sz w:val="24"/>
          <w:szCs w:val="24"/>
        </w:rPr>
        <w:t>steps are complete</w:t>
      </w:r>
      <w:r w:rsidRPr="004A3307" w:rsidR="000C2ECE">
        <w:rPr>
          <w:sz w:val="24"/>
          <w:szCs w:val="24"/>
        </w:rPr>
        <w:t xml:space="preserve">d successfully, </w:t>
      </w:r>
      <w:r w:rsidRPr="004A3307" w:rsidR="0037125D">
        <w:rPr>
          <w:sz w:val="24"/>
          <w:szCs w:val="24"/>
        </w:rPr>
        <w:t>the</w:t>
      </w:r>
      <w:r w:rsidRPr="004A3307" w:rsidR="00332AF1">
        <w:rPr>
          <w:sz w:val="24"/>
          <w:szCs w:val="24"/>
        </w:rPr>
        <w:t>n the PIV C</w:t>
      </w:r>
      <w:r w:rsidRPr="004A3307" w:rsidR="0037125D">
        <w:rPr>
          <w:sz w:val="24"/>
          <w:szCs w:val="24"/>
        </w:rPr>
        <w:t xml:space="preserve">ard </w:t>
      </w:r>
      <w:r w:rsidRPr="004A3307">
        <w:rPr>
          <w:sz w:val="24"/>
          <w:szCs w:val="24"/>
        </w:rPr>
        <w:t xml:space="preserve">can </w:t>
      </w:r>
      <w:r w:rsidRPr="004A3307" w:rsidR="00332AF1">
        <w:rPr>
          <w:sz w:val="24"/>
          <w:szCs w:val="24"/>
        </w:rPr>
        <w:t>be</w:t>
      </w:r>
      <w:r w:rsidRPr="004A3307">
        <w:rPr>
          <w:sz w:val="24"/>
          <w:szCs w:val="24"/>
        </w:rPr>
        <w:t xml:space="preserve"> activated and </w:t>
      </w:r>
      <w:r w:rsidRPr="004A3307" w:rsidR="0037125D">
        <w:rPr>
          <w:sz w:val="24"/>
          <w:szCs w:val="24"/>
        </w:rPr>
        <w:t>issued to the Applicant.</w:t>
      </w:r>
      <w:bookmarkStart w:id="4" w:name="_Hlk37251044"/>
    </w:p>
    <w:p w:rsidR="00767A7D" w:rsidRPr="004A3307" w:rsidP="00767A7D" w14:paraId="7F1CA790" w14:textId="77777777">
      <w:pPr>
        <w:keepLines/>
        <w:tabs>
          <w:tab w:val="left" w:pos="360"/>
          <w:tab w:val="left" w:pos="720"/>
        </w:tabs>
        <w:ind w:left="360"/>
        <w:rPr>
          <w:sz w:val="24"/>
          <w:szCs w:val="24"/>
        </w:rPr>
      </w:pPr>
    </w:p>
    <w:p w:rsidR="00767A7D" w:rsidRPr="004A3307" w:rsidP="00767A7D" w14:paraId="556451BA" w14:textId="7271DE0B">
      <w:pPr>
        <w:keepLines/>
        <w:tabs>
          <w:tab w:val="left" w:pos="360"/>
          <w:tab w:val="left" w:pos="720"/>
        </w:tabs>
        <w:ind w:left="360"/>
        <w:rPr>
          <w:sz w:val="24"/>
          <w:szCs w:val="24"/>
        </w:rPr>
      </w:pPr>
      <w:r w:rsidRPr="004A3307">
        <w:rPr>
          <w:sz w:val="24"/>
          <w:szCs w:val="24"/>
        </w:rPr>
        <w:t xml:space="preserve">The below enrollment forms are required </w:t>
      </w:r>
      <w:r w:rsidRPr="004A3307" w:rsidR="004A4F68">
        <w:rPr>
          <w:sz w:val="24"/>
          <w:szCs w:val="24"/>
        </w:rPr>
        <w:t xml:space="preserve">to </w:t>
      </w:r>
      <w:r w:rsidRPr="004A3307">
        <w:rPr>
          <w:sz w:val="24"/>
          <w:szCs w:val="24"/>
        </w:rPr>
        <w:t>be completed by all Applicants</w:t>
      </w:r>
      <w:r w:rsidRPr="004A3307" w:rsidR="004A4F68">
        <w:rPr>
          <w:sz w:val="24"/>
          <w:szCs w:val="24"/>
        </w:rPr>
        <w:t>,</w:t>
      </w:r>
      <w:r w:rsidRPr="004A3307">
        <w:rPr>
          <w:sz w:val="24"/>
          <w:szCs w:val="24"/>
        </w:rPr>
        <w:t xml:space="preserve"> before submission to </w:t>
      </w:r>
      <w:r w:rsidRPr="004A3307" w:rsidR="0037125D">
        <w:rPr>
          <w:sz w:val="24"/>
          <w:szCs w:val="24"/>
        </w:rPr>
        <w:t>OPM</w:t>
      </w:r>
      <w:r w:rsidRPr="004A3307">
        <w:rPr>
          <w:sz w:val="24"/>
          <w:szCs w:val="24"/>
        </w:rPr>
        <w:t xml:space="preserve">: </w:t>
      </w:r>
      <w:bookmarkEnd w:id="4"/>
    </w:p>
    <w:p w:rsidR="00767A7D" w:rsidRPr="004A3307" w:rsidP="00767A7D" w14:paraId="1332AAAD" w14:textId="77777777">
      <w:pPr>
        <w:keepLines/>
        <w:tabs>
          <w:tab w:val="left" w:pos="360"/>
          <w:tab w:val="left" w:pos="720"/>
        </w:tabs>
        <w:ind w:left="360"/>
        <w:rPr>
          <w:sz w:val="24"/>
          <w:szCs w:val="24"/>
        </w:rPr>
      </w:pPr>
    </w:p>
    <w:p w:rsidR="000315F0" w:rsidRPr="004A3307" w:rsidP="000315F0" w14:paraId="2191BDE1" w14:textId="705B4C35">
      <w:pPr>
        <w:keepLines/>
        <w:tabs>
          <w:tab w:val="left" w:pos="360"/>
          <w:tab w:val="left" w:pos="720"/>
        </w:tabs>
        <w:ind w:left="360"/>
        <w:rPr>
          <w:sz w:val="24"/>
          <w:szCs w:val="24"/>
        </w:rPr>
      </w:pPr>
      <w:r w:rsidRPr="004A3307">
        <w:rPr>
          <w:sz w:val="24"/>
          <w:szCs w:val="24"/>
        </w:rPr>
        <w:t>OF-306</w:t>
      </w:r>
      <w:r w:rsidRPr="004A3307" w:rsidR="004A4F68">
        <w:rPr>
          <w:sz w:val="24"/>
          <w:szCs w:val="24"/>
        </w:rPr>
        <w:t xml:space="preserve">: </w:t>
      </w:r>
      <w:r w:rsidRPr="004A3307">
        <w:rPr>
          <w:sz w:val="24"/>
          <w:szCs w:val="24"/>
        </w:rPr>
        <w:t xml:space="preserve">Declaration for Federal Employment </w:t>
      </w:r>
    </w:p>
    <w:p w:rsidR="000315F0" w:rsidRPr="004A3307" w:rsidP="000315F0" w14:paraId="56E406FA" w14:textId="77777777">
      <w:pPr>
        <w:keepLines/>
        <w:tabs>
          <w:tab w:val="left" w:pos="360"/>
          <w:tab w:val="left" w:pos="720"/>
        </w:tabs>
        <w:ind w:left="360"/>
        <w:rPr>
          <w:sz w:val="24"/>
          <w:szCs w:val="24"/>
        </w:rPr>
      </w:pPr>
    </w:p>
    <w:p w:rsidR="000315F0" w:rsidRPr="004A3307" w:rsidP="00767A7D" w14:paraId="4C8B4D61" w14:textId="79EBE4AC">
      <w:pPr>
        <w:keepLines/>
        <w:tabs>
          <w:tab w:val="left" w:pos="360"/>
          <w:tab w:val="left" w:pos="720"/>
        </w:tabs>
        <w:ind w:left="360"/>
        <w:rPr>
          <w:sz w:val="24"/>
          <w:szCs w:val="24"/>
        </w:rPr>
      </w:pPr>
      <w:r w:rsidRPr="004A3307">
        <w:rPr>
          <w:sz w:val="24"/>
          <w:szCs w:val="24"/>
        </w:rPr>
        <w:t>SF-85</w:t>
      </w:r>
      <w:r w:rsidRPr="004A3307" w:rsidR="004A4F68">
        <w:rPr>
          <w:sz w:val="24"/>
          <w:szCs w:val="24"/>
        </w:rPr>
        <w:t xml:space="preserve">: </w:t>
      </w:r>
      <w:r w:rsidRPr="004A3307" w:rsidR="00654521">
        <w:rPr>
          <w:sz w:val="24"/>
          <w:szCs w:val="24"/>
        </w:rPr>
        <w:t>Questionnaire for Non-Sensitive Positions</w:t>
      </w:r>
    </w:p>
    <w:p w:rsidR="000315F0" w:rsidRPr="004A3307" w:rsidP="00767A7D" w14:paraId="67AE2B4A" w14:textId="77777777">
      <w:pPr>
        <w:keepLines/>
        <w:tabs>
          <w:tab w:val="left" w:pos="360"/>
          <w:tab w:val="left" w:pos="720"/>
        </w:tabs>
        <w:ind w:left="360"/>
        <w:rPr>
          <w:sz w:val="24"/>
          <w:szCs w:val="24"/>
        </w:rPr>
      </w:pPr>
    </w:p>
    <w:p w:rsidR="000315F0" w:rsidRPr="004A3307" w:rsidP="00767A7D" w14:paraId="1837E17D" w14:textId="2176B3FD">
      <w:pPr>
        <w:keepLines/>
        <w:tabs>
          <w:tab w:val="left" w:pos="360"/>
          <w:tab w:val="left" w:pos="720"/>
        </w:tabs>
        <w:ind w:left="360"/>
        <w:rPr>
          <w:sz w:val="24"/>
          <w:szCs w:val="24"/>
        </w:rPr>
      </w:pPr>
      <w:r w:rsidRPr="004A3307">
        <w:rPr>
          <w:sz w:val="24"/>
          <w:szCs w:val="24"/>
        </w:rPr>
        <w:t>SF-85P</w:t>
      </w:r>
      <w:r w:rsidRPr="004A3307" w:rsidR="004A4F68">
        <w:rPr>
          <w:sz w:val="24"/>
          <w:szCs w:val="24"/>
        </w:rPr>
        <w:t xml:space="preserve">: </w:t>
      </w:r>
      <w:r w:rsidRPr="004A3307" w:rsidR="00654521">
        <w:rPr>
          <w:sz w:val="24"/>
          <w:szCs w:val="24"/>
        </w:rPr>
        <w:t xml:space="preserve">Questionnaire for </w:t>
      </w:r>
      <w:r w:rsidRPr="004A3307">
        <w:rPr>
          <w:sz w:val="24"/>
          <w:szCs w:val="24"/>
        </w:rPr>
        <w:t xml:space="preserve">Public Trust </w:t>
      </w:r>
    </w:p>
    <w:p w:rsidR="000315F0" w:rsidRPr="004A3307" w:rsidP="00767A7D" w14:paraId="42E4E0E8" w14:textId="77777777">
      <w:pPr>
        <w:keepLines/>
        <w:tabs>
          <w:tab w:val="left" w:pos="360"/>
          <w:tab w:val="left" w:pos="720"/>
        </w:tabs>
        <w:ind w:left="360"/>
        <w:rPr>
          <w:sz w:val="24"/>
          <w:szCs w:val="24"/>
        </w:rPr>
      </w:pPr>
    </w:p>
    <w:p w:rsidR="0037125D" w:rsidRPr="004A3307" w:rsidP="00767A7D" w14:paraId="6B1D8E59" w14:textId="581EF995">
      <w:pPr>
        <w:keepLines/>
        <w:tabs>
          <w:tab w:val="left" w:pos="360"/>
          <w:tab w:val="left" w:pos="720"/>
        </w:tabs>
        <w:ind w:left="360"/>
        <w:rPr>
          <w:sz w:val="24"/>
          <w:szCs w:val="24"/>
        </w:rPr>
      </w:pPr>
      <w:r w:rsidRPr="004A3307">
        <w:rPr>
          <w:sz w:val="24"/>
          <w:szCs w:val="24"/>
        </w:rPr>
        <w:t>SF-86</w:t>
      </w:r>
      <w:r w:rsidRPr="004A3307" w:rsidR="004A4F68">
        <w:rPr>
          <w:sz w:val="24"/>
          <w:szCs w:val="24"/>
        </w:rPr>
        <w:t>: Questionnaire for National Security Positions</w:t>
      </w:r>
    </w:p>
    <w:p w:rsidR="004A4F68" w:rsidRPr="004A3307" w:rsidP="00767A7D" w14:paraId="3759B494" w14:textId="07715761">
      <w:pPr>
        <w:keepLines/>
        <w:tabs>
          <w:tab w:val="left" w:pos="360"/>
          <w:tab w:val="left" w:pos="720"/>
        </w:tabs>
        <w:ind w:left="360"/>
        <w:rPr>
          <w:sz w:val="24"/>
          <w:szCs w:val="24"/>
        </w:rPr>
      </w:pPr>
    </w:p>
    <w:p w:rsidR="00E3616B" w:rsidRPr="0033358F" w:rsidP="00E3616B" w14:paraId="6F436ECA" w14:textId="5F570E79">
      <w:pPr>
        <w:keepLines/>
        <w:tabs>
          <w:tab w:val="left" w:pos="360"/>
        </w:tabs>
        <w:spacing w:after="80"/>
        <w:ind w:left="360" w:hanging="360"/>
        <w:rPr>
          <w:b/>
          <w:bCs/>
          <w:sz w:val="24"/>
          <w:szCs w:val="24"/>
        </w:rPr>
      </w:pPr>
      <w:r w:rsidRPr="004A3307">
        <w:rPr>
          <w:sz w:val="24"/>
          <w:szCs w:val="24"/>
        </w:rPr>
        <w:t>3.</w:t>
      </w:r>
      <w:r w:rsidRPr="004A3307">
        <w:rPr>
          <w:sz w:val="24"/>
          <w:szCs w:val="24"/>
        </w:rPr>
        <w:tab/>
      </w:r>
      <w:r w:rsidRPr="004A3307">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A3307" w:rsidR="003674EC">
        <w:rPr>
          <w:b/>
          <w:bCs/>
          <w:sz w:val="24"/>
          <w:szCs w:val="24"/>
        </w:rPr>
        <w:t>to adopt</w:t>
      </w:r>
      <w:r w:rsidRPr="004A3307">
        <w:rPr>
          <w:b/>
          <w:bCs/>
          <w:sz w:val="24"/>
          <w:szCs w:val="24"/>
        </w:rPr>
        <w:t xml:space="preserve"> this means of collection.</w:t>
      </w:r>
      <w:r>
        <w:rPr>
          <w:b/>
          <w:bCs/>
          <w:sz w:val="24"/>
          <w:szCs w:val="24"/>
        </w:rPr>
        <w:t xml:space="preserve"> </w:t>
      </w:r>
      <w:r w:rsidRPr="004A3307">
        <w:rPr>
          <w:b/>
          <w:bCs/>
          <w:sz w:val="24"/>
          <w:szCs w:val="24"/>
        </w:rPr>
        <w:t>Information and access to information collection instruments (forms) will only be authorized and/or required by HUD adjudicators, who maintain the website</w:t>
      </w:r>
      <w:r w:rsidRPr="004A3307">
        <w:rPr>
          <w:i/>
          <w:iCs/>
          <w:sz w:val="24"/>
          <w:szCs w:val="24"/>
        </w:rPr>
        <w:t>.</w:t>
      </w:r>
      <w:r w:rsidRPr="004A3307">
        <w:rPr>
          <w:b/>
          <w:bCs/>
          <w:sz w:val="24"/>
          <w:szCs w:val="24"/>
        </w:rPr>
        <w:t xml:space="preserve"> </w:t>
      </w:r>
      <w:r w:rsidRPr="0033358F">
        <w:rPr>
          <w:b/>
          <w:bCs/>
          <w:sz w:val="24"/>
          <w:szCs w:val="24"/>
        </w:rPr>
        <w:t>The use of information technology significantly reduce</w:t>
      </w:r>
      <w:r w:rsidRPr="0033358F" w:rsidR="00F56E65">
        <w:rPr>
          <w:b/>
          <w:bCs/>
          <w:sz w:val="24"/>
          <w:szCs w:val="24"/>
        </w:rPr>
        <w:t>s</w:t>
      </w:r>
      <w:r w:rsidRPr="0033358F">
        <w:rPr>
          <w:b/>
          <w:bCs/>
          <w:sz w:val="24"/>
          <w:szCs w:val="24"/>
        </w:rPr>
        <w:t xml:space="preserve"> barriers to compliance with the Paperwork Reduction Act (PRA) in the context of the HUD Personal Identification Verification and Pre-screening Form. </w:t>
      </w:r>
      <w:r w:rsidRPr="0033358F" w:rsidR="00F56E65">
        <w:rPr>
          <w:b/>
          <w:bCs/>
          <w:sz w:val="24"/>
          <w:szCs w:val="24"/>
        </w:rPr>
        <w:t>Below are</w:t>
      </w:r>
      <w:r w:rsidRPr="0033358F" w:rsidR="003674EC">
        <w:rPr>
          <w:b/>
          <w:bCs/>
          <w:sz w:val="24"/>
          <w:szCs w:val="24"/>
        </w:rPr>
        <w:t xml:space="preserve"> areas that demonstrate compliance with PRA</w:t>
      </w:r>
      <w:r w:rsidRPr="0033358F">
        <w:rPr>
          <w:b/>
          <w:bCs/>
          <w:sz w:val="24"/>
          <w:szCs w:val="24"/>
        </w:rPr>
        <w:t>:</w:t>
      </w:r>
    </w:p>
    <w:p w:rsidR="00E3616B" w:rsidRPr="0033358F" w:rsidP="003C3078" w14:paraId="08FE3C30" w14:textId="7BD5A03A">
      <w:pPr>
        <w:pStyle w:val="ListParagraph"/>
        <w:keepLines/>
        <w:numPr>
          <w:ilvl w:val="0"/>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Online Form Submission</w:t>
      </w:r>
    </w:p>
    <w:p w:rsidR="00E3616B" w:rsidRPr="0033358F" w:rsidP="003C3078" w14:paraId="1C57BA35" w14:textId="0540A28C">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Eliminates Paper: The most significant impact is the elimination of paper forms altogether. Online forms reduce the need for printing, mailing, and physical storage, saving time and resources for both applicants and HUD.</w:t>
      </w:r>
    </w:p>
    <w:p w:rsidR="00E3616B" w:rsidRPr="0033358F" w:rsidP="003C3078" w14:paraId="6C8F42A4" w14:textId="17121923">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Accessibility: Online forms can be accessed from anywhere with an internet connection, increasing accessibility for individuals with limited mobility or those living in remote areas.</w:t>
      </w:r>
    </w:p>
    <w:p w:rsidR="00E3616B" w:rsidRPr="0033358F" w:rsidP="008F7032" w14:paraId="4EFC810B" w14:textId="0D9C1116">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Data Entry Automation: Online forms can be designed with automated data entry features, such as drop-down menus and pre-populated fields, reducing the burden of manual data entry and minimizing errors.</w:t>
      </w:r>
    </w:p>
    <w:p w:rsidR="00E3616B" w:rsidRPr="0033358F" w:rsidP="003C3078" w14:paraId="47EF5963" w14:textId="57F7A8C4">
      <w:pPr>
        <w:pStyle w:val="ListParagraph"/>
        <w:keepLines/>
        <w:numPr>
          <w:ilvl w:val="0"/>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Data Validation &amp; Error Checking:</w:t>
      </w:r>
    </w:p>
    <w:p w:rsidR="00E3616B" w:rsidRPr="0033358F" w:rsidP="008F7032" w14:paraId="4445155D" w14:textId="77EA4FCF">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Real-time Feedback: Online forms can incorporate real-time data validation, providing immediate feedback to applicants on any errors or inconsistencies in their submissions. This helps prevent errors and ensures that complete and accurate information is submitted.</w:t>
      </w:r>
    </w:p>
    <w:p w:rsidR="00E3616B" w:rsidRPr="0033358F" w:rsidP="008F7032" w14:paraId="295167EE" w14:textId="62A1A8B6">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Automated Checks: IT systems can be used to automatically check for inconsistencies or discrepancies in the information provided by applicants, streamlining the review process and reducing the need for manual checks.</w:t>
      </w:r>
    </w:p>
    <w:p w:rsidR="00E3616B" w:rsidRPr="0033358F" w:rsidP="003C3078" w14:paraId="330CD274" w14:textId="22CC4FD9">
      <w:pPr>
        <w:pStyle w:val="ListParagraph"/>
        <w:keepLines/>
        <w:numPr>
          <w:ilvl w:val="0"/>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Data Sharing &amp; Integration:</w:t>
      </w:r>
    </w:p>
    <w:p w:rsidR="00E3616B" w:rsidRPr="0033358F" w:rsidP="008F7032" w14:paraId="0DF28070" w14:textId="45DFF634">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Secure Data Exchange: IT systems can facilitate secure data exchange between different agencies and systems, reducing the need for redundant data entry and minimizing the risk of errors during data transfer.</w:t>
      </w:r>
    </w:p>
    <w:p w:rsidR="00E3616B" w:rsidRPr="0033358F" w:rsidP="008F7032" w14:paraId="2B36096D" w14:textId="4D892E4B">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Data Integration: Information technology can be used to integrate data from various sources, such as government databases and credit bureaus, streamlining the verification process and reducing the need for applicants to provide the same information multiple times.</w:t>
      </w:r>
    </w:p>
    <w:p w:rsidR="00E3616B" w:rsidRPr="0033358F" w:rsidP="003C3078" w14:paraId="5314720A" w14:textId="47A7149B">
      <w:pPr>
        <w:pStyle w:val="ListParagraph"/>
        <w:keepLines/>
        <w:numPr>
          <w:ilvl w:val="0"/>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Improved Communication &amp; Transparency:</w:t>
      </w:r>
    </w:p>
    <w:p w:rsidR="00E3616B" w:rsidRPr="0033358F" w:rsidP="008F7032" w14:paraId="5267C27F" w14:textId="72A019FB">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Online Communication Portals: Online platforms can be used to facilitate communication between applicants and HUD staff, providing a central hub for information sharing and addressing any questions or concerns.</w:t>
      </w:r>
    </w:p>
    <w:p w:rsidR="00E3616B" w:rsidRPr="0033358F" w:rsidP="008F7032" w14:paraId="719D6C4F" w14:textId="110F9AA9">
      <w:pPr>
        <w:pStyle w:val="ListParagraph"/>
        <w:keepLines/>
        <w:numPr>
          <w:ilvl w:val="1"/>
          <w:numId w:val="6"/>
        </w:numPr>
        <w:tabs>
          <w:tab w:val="left" w:pos="360"/>
        </w:tabs>
        <w:spacing w:after="80"/>
        <w:rPr>
          <w:rFonts w:ascii="Times New Roman" w:hAnsi="Times New Roman" w:cs="Times New Roman"/>
          <w:b/>
          <w:bCs/>
          <w:sz w:val="24"/>
          <w:szCs w:val="24"/>
        </w:rPr>
      </w:pPr>
      <w:r w:rsidRPr="0033358F">
        <w:rPr>
          <w:rFonts w:ascii="Times New Roman" w:hAnsi="Times New Roman" w:cs="Times New Roman"/>
          <w:b/>
          <w:bCs/>
          <w:sz w:val="24"/>
          <w:szCs w:val="24"/>
        </w:rPr>
        <w:t>Tracking &amp; Monitoring: IT systems can be used to track the progress of applications and provide applicants with real-time updates on the status of their submissions, increasing transparency and improving the overall application experience.</w:t>
      </w:r>
    </w:p>
    <w:p w:rsidR="00FA0BDE" w:rsidRPr="0033358F" w:rsidP="00FA0BDE" w14:paraId="7CF16356" w14:textId="77777777">
      <w:pPr>
        <w:pStyle w:val="ListParagraph"/>
        <w:keepLines/>
        <w:tabs>
          <w:tab w:val="left" w:pos="360"/>
        </w:tabs>
        <w:spacing w:after="80"/>
        <w:ind w:left="1800"/>
        <w:rPr>
          <w:rFonts w:ascii="Times New Roman" w:hAnsi="Times New Roman" w:cs="Times New Roman"/>
          <w:b/>
          <w:bCs/>
          <w:sz w:val="24"/>
          <w:szCs w:val="24"/>
        </w:rPr>
      </w:pPr>
    </w:p>
    <w:p w:rsidR="00FA0BDE" w:rsidRPr="0033358F" w:rsidP="00E3616B" w14:paraId="458D91B4" w14:textId="77777777">
      <w:pPr>
        <w:keepLines/>
        <w:tabs>
          <w:tab w:val="left" w:pos="360"/>
        </w:tabs>
        <w:spacing w:after="80"/>
        <w:ind w:left="360" w:hanging="360"/>
        <w:rPr>
          <w:b/>
          <w:bCs/>
          <w:sz w:val="24"/>
          <w:szCs w:val="24"/>
        </w:rPr>
      </w:pPr>
      <w:r w:rsidRPr="0033358F">
        <w:rPr>
          <w:b/>
          <w:bCs/>
          <w:sz w:val="24"/>
          <w:szCs w:val="24"/>
        </w:rPr>
        <w:t>By leveraging these IT-enabled solutions, HUD can significantly reduce the burden of</w:t>
      </w:r>
    </w:p>
    <w:p w:rsidR="00FA0BDE" w:rsidRPr="0033358F" w:rsidP="00E3616B" w14:paraId="2FE8368E" w14:textId="77777777">
      <w:pPr>
        <w:keepLines/>
        <w:tabs>
          <w:tab w:val="left" w:pos="360"/>
        </w:tabs>
        <w:spacing w:after="80"/>
        <w:ind w:left="360" w:hanging="360"/>
        <w:rPr>
          <w:b/>
          <w:bCs/>
          <w:sz w:val="24"/>
          <w:szCs w:val="24"/>
        </w:rPr>
      </w:pPr>
      <w:r w:rsidRPr="0033358F">
        <w:rPr>
          <w:b/>
          <w:bCs/>
          <w:sz w:val="24"/>
          <w:szCs w:val="24"/>
        </w:rPr>
        <w:t xml:space="preserve">paperwork for both applicants and agency staff, improve the efficiency and accuracy of the </w:t>
      </w:r>
    </w:p>
    <w:p w:rsidR="00AA377E" w:rsidRPr="0033358F" w:rsidP="00E3616B" w14:paraId="365A0EE5" w14:textId="5851546C">
      <w:pPr>
        <w:keepLines/>
        <w:tabs>
          <w:tab w:val="left" w:pos="360"/>
        </w:tabs>
        <w:spacing w:after="80"/>
        <w:ind w:left="360" w:hanging="360"/>
        <w:rPr>
          <w:b/>
          <w:bCs/>
          <w:sz w:val="24"/>
          <w:szCs w:val="24"/>
        </w:rPr>
      </w:pPr>
      <w:r w:rsidRPr="0033358F">
        <w:rPr>
          <w:b/>
          <w:bCs/>
          <w:sz w:val="24"/>
          <w:szCs w:val="24"/>
        </w:rPr>
        <w:t xml:space="preserve">application </w:t>
      </w:r>
      <w:r w:rsidRPr="0033358F" w:rsidR="0033358F">
        <w:rPr>
          <w:b/>
          <w:bCs/>
          <w:sz w:val="24"/>
          <w:szCs w:val="24"/>
        </w:rPr>
        <w:t>process and</w:t>
      </w:r>
      <w:r w:rsidRPr="0033358F">
        <w:rPr>
          <w:b/>
          <w:bCs/>
          <w:sz w:val="24"/>
          <w:szCs w:val="24"/>
        </w:rPr>
        <w:t xml:space="preserve"> enhance overall compliance with the PRA.</w:t>
      </w:r>
    </w:p>
    <w:p w:rsidR="00E3616B" w:rsidRPr="004A3307" w:rsidP="00076D0C" w14:paraId="253E031F" w14:textId="77777777">
      <w:pPr>
        <w:keepLines/>
        <w:tabs>
          <w:tab w:val="left" w:pos="360"/>
        </w:tabs>
        <w:spacing w:after="80"/>
        <w:ind w:left="360" w:hanging="360"/>
        <w:rPr>
          <w:sz w:val="24"/>
          <w:szCs w:val="24"/>
        </w:rPr>
      </w:pPr>
    </w:p>
    <w:p w:rsidR="00025206" w:rsidRPr="004A3307" w:rsidP="0033358F" w14:paraId="06F160C0" w14:textId="1B9BE2F5">
      <w:pPr>
        <w:rPr>
          <w:sz w:val="24"/>
          <w:szCs w:val="24"/>
        </w:rPr>
      </w:pPr>
      <w:r w:rsidRPr="004A3307">
        <w:rPr>
          <w:sz w:val="24"/>
          <w:szCs w:val="24"/>
        </w:rPr>
        <w:t xml:space="preserve">The </w:t>
      </w:r>
      <w:r w:rsidRPr="004A3307" w:rsidR="00571AFC">
        <w:rPr>
          <w:sz w:val="24"/>
          <w:szCs w:val="24"/>
        </w:rPr>
        <w:t xml:space="preserve">PIV &amp; Pre-Security </w:t>
      </w:r>
      <w:r w:rsidRPr="004A3307">
        <w:rPr>
          <w:sz w:val="24"/>
          <w:szCs w:val="24"/>
        </w:rPr>
        <w:t xml:space="preserve">form is submitted via secure messaging to </w:t>
      </w:r>
      <w:r w:rsidRPr="004A3307" w:rsidR="00BD1C2E">
        <w:rPr>
          <w:sz w:val="24"/>
          <w:szCs w:val="24"/>
        </w:rPr>
        <w:t>the Personnel</w:t>
      </w:r>
      <w:r w:rsidRPr="004A3307" w:rsidR="005F290E">
        <w:rPr>
          <w:sz w:val="24"/>
          <w:szCs w:val="24"/>
        </w:rPr>
        <w:t xml:space="preserve"> </w:t>
      </w:r>
      <w:r w:rsidRPr="004A3307">
        <w:rPr>
          <w:sz w:val="24"/>
          <w:szCs w:val="24"/>
        </w:rPr>
        <w:t>S</w:t>
      </w:r>
      <w:r w:rsidRPr="004A3307" w:rsidR="005F290E">
        <w:rPr>
          <w:sz w:val="24"/>
          <w:szCs w:val="24"/>
        </w:rPr>
        <w:t xml:space="preserve">ecurity </w:t>
      </w:r>
      <w:r w:rsidRPr="004A3307">
        <w:rPr>
          <w:sz w:val="24"/>
          <w:szCs w:val="24"/>
        </w:rPr>
        <w:t>D</w:t>
      </w:r>
      <w:r w:rsidRPr="004A3307" w:rsidR="005F290E">
        <w:rPr>
          <w:sz w:val="24"/>
          <w:szCs w:val="24"/>
        </w:rPr>
        <w:t>ivision (PSD)</w:t>
      </w:r>
      <w:r w:rsidRPr="004A3307">
        <w:rPr>
          <w:sz w:val="24"/>
          <w:szCs w:val="24"/>
        </w:rPr>
        <w:t xml:space="preserve"> to start the record creation</w:t>
      </w:r>
      <w:r w:rsidRPr="004A3307" w:rsidR="005F290E">
        <w:rPr>
          <w:sz w:val="24"/>
          <w:szCs w:val="24"/>
        </w:rPr>
        <w:t xml:space="preserve"> </w:t>
      </w:r>
      <w:r w:rsidRPr="004A3307" w:rsidR="00571AFC">
        <w:rPr>
          <w:sz w:val="24"/>
          <w:szCs w:val="24"/>
        </w:rPr>
        <w:t>a</w:t>
      </w:r>
      <w:r w:rsidRPr="004A3307">
        <w:rPr>
          <w:sz w:val="24"/>
          <w:szCs w:val="24"/>
        </w:rPr>
        <w:t xml:space="preserve">nd </w:t>
      </w:r>
      <w:r w:rsidRPr="004A3307" w:rsidR="00571AFC">
        <w:rPr>
          <w:sz w:val="24"/>
          <w:szCs w:val="24"/>
        </w:rPr>
        <w:t>PIV</w:t>
      </w:r>
      <w:r w:rsidRPr="004A3307">
        <w:rPr>
          <w:sz w:val="24"/>
          <w:szCs w:val="24"/>
        </w:rPr>
        <w:t xml:space="preserve"> enrollment process. </w:t>
      </w:r>
      <w:r w:rsidR="004A3307">
        <w:rPr>
          <w:sz w:val="24"/>
          <w:szCs w:val="24"/>
        </w:rPr>
        <w:t xml:space="preserve"> </w:t>
      </w:r>
      <w:r w:rsidRPr="004A3307">
        <w:rPr>
          <w:sz w:val="24"/>
          <w:szCs w:val="24"/>
        </w:rPr>
        <w:t>No “commercial databases or data” are used in the PIV process</w:t>
      </w:r>
      <w:r w:rsidR="00BD1C2E">
        <w:rPr>
          <w:sz w:val="24"/>
          <w:szCs w:val="24"/>
        </w:rPr>
        <w:t>;</w:t>
      </w:r>
      <w:r w:rsidRPr="004A3307" w:rsidR="004A4F68">
        <w:rPr>
          <w:sz w:val="24"/>
          <w:szCs w:val="24"/>
        </w:rPr>
        <w:t xml:space="preserve"> </w:t>
      </w:r>
      <w:r w:rsidRPr="004A3307">
        <w:rPr>
          <w:sz w:val="24"/>
          <w:szCs w:val="24"/>
        </w:rPr>
        <w:t>however</w:t>
      </w:r>
      <w:r w:rsidR="00BD1C2E">
        <w:rPr>
          <w:sz w:val="24"/>
          <w:szCs w:val="24"/>
        </w:rPr>
        <w:t>,</w:t>
      </w:r>
      <w:r w:rsidRPr="004A3307" w:rsidR="004A4F68">
        <w:rPr>
          <w:sz w:val="24"/>
          <w:szCs w:val="24"/>
        </w:rPr>
        <w:t xml:space="preserve"> </w:t>
      </w:r>
      <w:r w:rsidRPr="004A3307">
        <w:rPr>
          <w:sz w:val="24"/>
          <w:szCs w:val="24"/>
        </w:rPr>
        <w:t xml:space="preserve">agencies do have an automated link to the Office of Personnel Management’s (OPM) Personnel Investigations Processing System (PIPS). Access to the PerSIST system will be controlled by the appointed Application Systems Security Administrator (SSA). The SSA will use DIAMS (Digital Identity and Access Management System) to approve/reject/grant access to the PerSIST system. The PerSIST system will also utilize PIV Card, a tailored role-based security and access </w:t>
      </w:r>
      <w:r w:rsidR="00050A8B">
        <w:rPr>
          <w:sz w:val="24"/>
          <w:szCs w:val="24"/>
        </w:rPr>
        <w:t xml:space="preserve">via the </w:t>
      </w:r>
      <w:r w:rsidRPr="004A3307" w:rsidR="00050A8B">
        <w:rPr>
          <w:sz w:val="24"/>
          <w:szCs w:val="24"/>
        </w:rPr>
        <w:t>Role-Based Security Access Control (RBAC)</w:t>
      </w:r>
      <w:r w:rsidR="00187B4D">
        <w:rPr>
          <w:sz w:val="24"/>
          <w:szCs w:val="24"/>
        </w:rPr>
        <w:t xml:space="preserve"> </w:t>
      </w:r>
      <w:r w:rsidRPr="004A3307">
        <w:rPr>
          <w:sz w:val="24"/>
          <w:szCs w:val="24"/>
        </w:rPr>
        <w:t>model, and Users will access the system using Single Sign-On (SSO) or multifactor authentication through a Virtual Private Network (VPN).  All permissions are completely configurable via roles, permissions, and assignments. Event logs will capture user actions at an account and data level, including login/logout times. Session settings will also be configured regarding session timeout, lockout conditions, and inactivity.</w:t>
      </w:r>
    </w:p>
    <w:p w:rsidR="00AA377E" w:rsidRPr="004A3307" w:rsidP="00076D0C" w14:paraId="197015CE" w14:textId="77777777">
      <w:pPr>
        <w:keepLines/>
        <w:tabs>
          <w:tab w:val="left" w:pos="360"/>
        </w:tabs>
        <w:spacing w:after="80"/>
        <w:ind w:left="360" w:hanging="360"/>
        <w:rPr>
          <w:sz w:val="24"/>
          <w:szCs w:val="24"/>
        </w:rPr>
      </w:pPr>
    </w:p>
    <w:p w:rsidR="00025206" w:rsidRPr="004A3307" w:rsidP="00187B4D" w14:paraId="7519686F" w14:textId="368CB0C5">
      <w:pPr>
        <w:tabs>
          <w:tab w:val="left" w:pos="360"/>
        </w:tabs>
        <w:ind w:left="360"/>
        <w:rPr>
          <w:sz w:val="24"/>
          <w:szCs w:val="24"/>
        </w:rPr>
      </w:pPr>
      <w:r w:rsidRPr="004A3307">
        <w:rPr>
          <w:sz w:val="24"/>
          <w:szCs w:val="24"/>
        </w:rPr>
        <w:t>RBAC</w:t>
      </w:r>
      <w:r w:rsidRPr="004A3307" w:rsidR="002A2F44">
        <w:rPr>
          <w:sz w:val="24"/>
          <w:szCs w:val="24"/>
        </w:rPr>
        <w:t>, a</w:t>
      </w:r>
      <w:r w:rsidRPr="004A3307">
        <w:rPr>
          <w:sz w:val="24"/>
          <w:szCs w:val="24"/>
        </w:rPr>
        <w:t xml:space="preserve">n approach </w:t>
      </w:r>
      <w:r w:rsidR="00A97321">
        <w:rPr>
          <w:sz w:val="24"/>
          <w:szCs w:val="24"/>
        </w:rPr>
        <w:t xml:space="preserve">that HUD leverages </w:t>
      </w:r>
      <w:r w:rsidRPr="004A3307">
        <w:rPr>
          <w:sz w:val="24"/>
          <w:szCs w:val="24"/>
        </w:rPr>
        <w:t>to restrict system access to authorized users</w:t>
      </w:r>
      <w:r w:rsidRPr="004A3307" w:rsidR="002A2F44">
        <w:rPr>
          <w:sz w:val="24"/>
          <w:szCs w:val="24"/>
        </w:rPr>
        <w:t>,</w:t>
      </w:r>
      <w:r w:rsidRPr="004A3307">
        <w:rPr>
          <w:sz w:val="24"/>
          <w:szCs w:val="24"/>
        </w:rPr>
        <w:t xml:space="preserve"> is used by </w:t>
      </w:r>
      <w:r w:rsidRPr="004A3307" w:rsidR="00A97321">
        <w:rPr>
          <w:sz w:val="24"/>
          <w:szCs w:val="24"/>
        </w:rPr>
        <w:t>most</w:t>
      </w:r>
      <w:r w:rsidRPr="004A3307">
        <w:rPr>
          <w:sz w:val="24"/>
          <w:szCs w:val="24"/>
        </w:rPr>
        <w:t xml:space="preserve"> enterprises with more than 500 employees and can implement mandatory access control or discretionary access control.</w:t>
      </w:r>
      <w:r w:rsidRPr="004A3307" w:rsidR="00E91933">
        <w:rPr>
          <w:sz w:val="24"/>
          <w:szCs w:val="24"/>
        </w:rPr>
        <w:t xml:space="preserve">  </w:t>
      </w:r>
    </w:p>
    <w:p w:rsidR="00EE1E7E" w:rsidRPr="004A3307" w:rsidP="00025206" w14:paraId="30F826B5" w14:textId="77777777">
      <w:pPr>
        <w:tabs>
          <w:tab w:val="left" w:pos="360"/>
        </w:tabs>
        <w:ind w:left="360" w:hanging="360"/>
        <w:rPr>
          <w:sz w:val="24"/>
          <w:szCs w:val="24"/>
        </w:rPr>
      </w:pPr>
    </w:p>
    <w:p w:rsidR="00025206" w:rsidRPr="004A3307" w:rsidP="004A3307" w14:paraId="6AC85D7D" w14:textId="31CFF8F4">
      <w:pPr>
        <w:tabs>
          <w:tab w:val="left" w:pos="360"/>
        </w:tabs>
        <w:ind w:left="360"/>
        <w:rPr>
          <w:sz w:val="24"/>
          <w:szCs w:val="24"/>
        </w:rPr>
      </w:pPr>
      <w:r w:rsidRPr="004A3307">
        <w:rPr>
          <w:sz w:val="24"/>
          <w:szCs w:val="24"/>
        </w:rPr>
        <w:t>SSO</w:t>
      </w:r>
      <w:r w:rsidR="00A97321">
        <w:rPr>
          <w:sz w:val="24"/>
          <w:szCs w:val="24"/>
        </w:rPr>
        <w:t>, a</w:t>
      </w:r>
      <w:r w:rsidRPr="004A3307">
        <w:rPr>
          <w:sz w:val="24"/>
          <w:szCs w:val="24"/>
        </w:rPr>
        <w:t xml:space="preserve"> property of access control of multiple related, yet independent, software systems</w:t>
      </w:r>
      <w:r w:rsidR="00AB7F43">
        <w:rPr>
          <w:sz w:val="24"/>
          <w:szCs w:val="24"/>
        </w:rPr>
        <w:t xml:space="preserve"> that HUD leverages</w:t>
      </w:r>
      <w:r w:rsidRPr="004A3307">
        <w:rPr>
          <w:sz w:val="24"/>
          <w:szCs w:val="24"/>
        </w:rPr>
        <w:t>. A user logs in with a single ID and password to gain access to a connected system or systems without using different credentials or, in some configurations, seamlessly sign on at each system.</w:t>
      </w:r>
    </w:p>
    <w:p w:rsidR="00025206" w:rsidRPr="004A3307" w:rsidP="00025206" w14:paraId="23B7654B" w14:textId="77777777">
      <w:pPr>
        <w:tabs>
          <w:tab w:val="left" w:pos="360"/>
        </w:tabs>
        <w:ind w:left="360" w:hanging="360"/>
        <w:rPr>
          <w:sz w:val="24"/>
          <w:szCs w:val="24"/>
        </w:rPr>
      </w:pPr>
    </w:p>
    <w:p w:rsidR="00053813" w:rsidRPr="004A3307" w:rsidP="00E63C04" w14:paraId="04493235" w14:textId="77777777">
      <w:pPr>
        <w:keepLines/>
        <w:tabs>
          <w:tab w:val="left" w:pos="360"/>
        </w:tabs>
        <w:spacing w:after="80"/>
        <w:ind w:left="360" w:hanging="360"/>
        <w:rPr>
          <w:sz w:val="24"/>
          <w:szCs w:val="24"/>
        </w:rPr>
      </w:pPr>
      <w:r w:rsidRPr="004A3307">
        <w:rPr>
          <w:b/>
          <w:bCs/>
          <w:sz w:val="24"/>
          <w:szCs w:val="24"/>
        </w:rPr>
        <w:t>4.</w:t>
      </w:r>
      <w:r w:rsidRPr="004A3307">
        <w:rPr>
          <w:b/>
          <w:bCs/>
          <w:sz w:val="24"/>
          <w:szCs w:val="24"/>
        </w:rPr>
        <w:tab/>
        <w:t>Describe efforts to identify duplication.  Show specifically why any similar information already available cannot be used or modified for use for the purposes described in Item 2 above</w:t>
      </w:r>
      <w:r w:rsidRPr="004A3307">
        <w:rPr>
          <w:i/>
          <w:iCs/>
          <w:sz w:val="24"/>
          <w:szCs w:val="24"/>
        </w:rPr>
        <w:t xml:space="preserve">. </w:t>
      </w:r>
      <w:r w:rsidRPr="004A3307" w:rsidR="00457D18">
        <w:rPr>
          <w:sz w:val="24"/>
          <w:szCs w:val="24"/>
        </w:rPr>
        <w:t xml:space="preserve"> </w:t>
      </w:r>
    </w:p>
    <w:p w:rsidR="00E63C04" w:rsidRPr="004A3307" w:rsidP="00E63C04" w14:paraId="140741A1" w14:textId="6A70CBD9">
      <w:pPr>
        <w:keepLines/>
        <w:tabs>
          <w:tab w:val="left" w:pos="360"/>
        </w:tabs>
        <w:spacing w:after="80"/>
        <w:ind w:left="360" w:hanging="360"/>
        <w:rPr>
          <w:sz w:val="24"/>
          <w:szCs w:val="24"/>
        </w:rPr>
      </w:pPr>
      <w:r w:rsidRPr="004A3307">
        <w:rPr>
          <w:sz w:val="24"/>
          <w:szCs w:val="24"/>
        </w:rPr>
        <w:t xml:space="preserve">   </w:t>
      </w:r>
    </w:p>
    <w:p w:rsidR="00C87395" w:rsidP="00E63C04" w14:paraId="465BC94C" w14:textId="77777777">
      <w:pPr>
        <w:keepLines/>
        <w:tabs>
          <w:tab w:val="left" w:pos="360"/>
        </w:tabs>
        <w:spacing w:after="80"/>
        <w:ind w:left="360"/>
        <w:rPr>
          <w:sz w:val="24"/>
          <w:szCs w:val="24"/>
        </w:rPr>
      </w:pPr>
      <w:r w:rsidRPr="004A3307">
        <w:rPr>
          <w:sz w:val="24"/>
          <w:szCs w:val="24"/>
        </w:rPr>
        <w:t>The PIV &amp; Pre-Security Form is a fillable form</w:t>
      </w:r>
      <w:r w:rsidRPr="004A3307" w:rsidR="000A7B92">
        <w:rPr>
          <w:sz w:val="24"/>
          <w:szCs w:val="24"/>
        </w:rPr>
        <w:t xml:space="preserve"> </w:t>
      </w:r>
      <w:r w:rsidRPr="004A3307">
        <w:rPr>
          <w:sz w:val="24"/>
          <w:szCs w:val="24"/>
        </w:rPr>
        <w:t>which is completed electronically</w:t>
      </w:r>
      <w:r w:rsidRPr="004A3307" w:rsidR="000A7B92">
        <w:rPr>
          <w:sz w:val="24"/>
          <w:szCs w:val="24"/>
        </w:rPr>
        <w:t>. It</w:t>
      </w:r>
      <w:r w:rsidRPr="004A3307">
        <w:rPr>
          <w:sz w:val="24"/>
          <w:szCs w:val="24"/>
        </w:rPr>
        <w:t xml:space="preserve"> </w:t>
      </w:r>
      <w:r w:rsidRPr="004A3307" w:rsidR="00025206">
        <w:rPr>
          <w:sz w:val="24"/>
          <w:szCs w:val="24"/>
        </w:rPr>
        <w:t>allows HUD the ability to capture data related to all aspects of pre-appointments, suitability determinations, and security clearance process</w:t>
      </w:r>
      <w:r w:rsidRPr="004A3307" w:rsidR="000A7B92">
        <w:rPr>
          <w:sz w:val="24"/>
          <w:szCs w:val="24"/>
        </w:rPr>
        <w:t xml:space="preserve">. This helps </w:t>
      </w:r>
      <w:r w:rsidRPr="004A3307" w:rsidR="00025206">
        <w:rPr>
          <w:sz w:val="24"/>
          <w:szCs w:val="24"/>
        </w:rPr>
        <w:t>facilitate the capabilities needed to support multi-user access, workflow definition, workflow tracking, and the ability to interface with interagency systems such as the Office of Personnel Management Electronic Questionnaires for Investigations Processing (e-QIP) and Personnel Investigations Processing System (PIPS).</w:t>
      </w:r>
      <w:r w:rsidR="0088447A">
        <w:rPr>
          <w:sz w:val="24"/>
          <w:szCs w:val="24"/>
        </w:rPr>
        <w:t xml:space="preserve"> </w:t>
      </w:r>
      <w:r w:rsidRPr="0088447A" w:rsidR="0088447A">
        <w:rPr>
          <w:sz w:val="24"/>
          <w:szCs w:val="24"/>
        </w:rPr>
        <w:t>By leveraging these IT-enabled solutions, HUD significantly reduce</w:t>
      </w:r>
      <w:r w:rsidR="00B91E88">
        <w:rPr>
          <w:sz w:val="24"/>
          <w:szCs w:val="24"/>
        </w:rPr>
        <w:t>s</w:t>
      </w:r>
      <w:r w:rsidRPr="0088447A" w:rsidR="0088447A">
        <w:rPr>
          <w:sz w:val="24"/>
          <w:szCs w:val="24"/>
        </w:rPr>
        <w:t xml:space="preserve"> the burden of paperwork for both applicants and agency staff, </w:t>
      </w:r>
      <w:r w:rsidRPr="0088447A" w:rsidR="00AC4B19">
        <w:rPr>
          <w:sz w:val="24"/>
          <w:szCs w:val="24"/>
        </w:rPr>
        <w:t>improves</w:t>
      </w:r>
      <w:r w:rsidRPr="0088447A" w:rsidR="0088447A">
        <w:rPr>
          <w:sz w:val="24"/>
          <w:szCs w:val="24"/>
        </w:rPr>
        <w:t xml:space="preserve"> the efficiency and accuracy of the application process, and enhance overall compliance with the PRA.</w:t>
      </w:r>
      <w:r w:rsidR="00B91E88">
        <w:rPr>
          <w:sz w:val="24"/>
          <w:szCs w:val="24"/>
        </w:rPr>
        <w:t xml:space="preserve"> </w:t>
      </w:r>
    </w:p>
    <w:p w:rsidR="00C87395" w:rsidP="00E63C04" w14:paraId="022E4173" w14:textId="77777777">
      <w:pPr>
        <w:keepLines/>
        <w:tabs>
          <w:tab w:val="left" w:pos="360"/>
        </w:tabs>
        <w:spacing w:after="80"/>
        <w:ind w:left="360"/>
        <w:rPr>
          <w:sz w:val="24"/>
          <w:szCs w:val="24"/>
        </w:rPr>
      </w:pPr>
    </w:p>
    <w:p w:rsidR="00025206" w:rsidP="00E63C04" w14:paraId="51008EB7" w14:textId="4A463363">
      <w:pPr>
        <w:keepLines/>
        <w:tabs>
          <w:tab w:val="left" w:pos="360"/>
        </w:tabs>
        <w:spacing w:after="80"/>
        <w:ind w:left="360"/>
        <w:rPr>
          <w:sz w:val="24"/>
          <w:szCs w:val="24"/>
        </w:rPr>
      </w:pPr>
      <w:r w:rsidRPr="004A3307">
        <w:rPr>
          <w:sz w:val="24"/>
          <w:szCs w:val="24"/>
        </w:rPr>
        <w:t>There is no other system duplicative of PerSIST</w:t>
      </w:r>
      <w:r w:rsidR="008B0E04">
        <w:rPr>
          <w:sz w:val="24"/>
          <w:szCs w:val="24"/>
        </w:rPr>
        <w:t xml:space="preserve">, below </w:t>
      </w:r>
      <w:r w:rsidR="00811D9C">
        <w:rPr>
          <w:sz w:val="24"/>
          <w:szCs w:val="24"/>
        </w:rPr>
        <w:t>details why similar information already available cannot be used or modified for use for the purposes described in item 2</w:t>
      </w:r>
      <w:r w:rsidRPr="004A3307">
        <w:rPr>
          <w:sz w:val="24"/>
          <w:szCs w:val="24"/>
        </w:rPr>
        <w:t>.</w:t>
      </w:r>
    </w:p>
    <w:p w:rsidR="008B0E04" w:rsidP="00E63C04" w14:paraId="0BDE1F00" w14:textId="77777777">
      <w:pPr>
        <w:keepLines/>
        <w:tabs>
          <w:tab w:val="left" w:pos="360"/>
        </w:tabs>
        <w:spacing w:after="80"/>
        <w:ind w:left="360"/>
        <w:rPr>
          <w:sz w:val="24"/>
          <w:szCs w:val="24"/>
        </w:rPr>
      </w:pPr>
    </w:p>
    <w:p w:rsidR="008B0E04" w:rsidRPr="008B0E04" w:rsidP="00C87395" w14:paraId="143B62D4" w14:textId="77777777">
      <w:pPr>
        <w:keepLines/>
        <w:numPr>
          <w:ilvl w:val="0"/>
          <w:numId w:val="10"/>
        </w:numPr>
        <w:tabs>
          <w:tab w:val="left" w:pos="360"/>
        </w:tabs>
        <w:spacing w:after="80"/>
        <w:rPr>
          <w:sz w:val="24"/>
          <w:szCs w:val="24"/>
        </w:rPr>
      </w:pPr>
      <w:r w:rsidRPr="008B0E04">
        <w:rPr>
          <w:sz w:val="24"/>
          <w:szCs w:val="24"/>
        </w:rPr>
        <w:t>Purpose-Built Features of PerSIST:</w:t>
      </w:r>
    </w:p>
    <w:p w:rsidR="008B0E04" w:rsidRPr="008B0E04" w:rsidP="00C87395" w14:paraId="454B0E72" w14:textId="39E114DC">
      <w:pPr>
        <w:keepLines/>
        <w:numPr>
          <w:ilvl w:val="1"/>
          <w:numId w:val="10"/>
        </w:numPr>
        <w:tabs>
          <w:tab w:val="left" w:pos="360"/>
        </w:tabs>
        <w:spacing w:after="80"/>
        <w:rPr>
          <w:sz w:val="24"/>
          <w:szCs w:val="24"/>
        </w:rPr>
      </w:pPr>
      <w:r w:rsidRPr="008B0E04">
        <w:rPr>
          <w:sz w:val="24"/>
          <w:szCs w:val="24"/>
        </w:rPr>
        <w:t xml:space="preserve">The PerSIST system is specifically designed to meet the needs of pre-appointment, suitability determinations, and security clearance processing under HSPD-12. It addresses gaps in the outdated </w:t>
      </w:r>
      <w:r w:rsidR="00C87395">
        <w:rPr>
          <w:sz w:val="24"/>
          <w:szCs w:val="24"/>
        </w:rPr>
        <w:t xml:space="preserve">Personnel Security </w:t>
      </w:r>
      <w:r w:rsidR="00C87395">
        <w:rPr>
          <w:sz w:val="24"/>
          <w:szCs w:val="24"/>
        </w:rPr>
        <w:t>Foldfer</w:t>
      </w:r>
      <w:r w:rsidR="00C87395">
        <w:rPr>
          <w:sz w:val="24"/>
          <w:szCs w:val="24"/>
        </w:rPr>
        <w:t xml:space="preserve"> (</w:t>
      </w:r>
      <w:r w:rsidRPr="008B0E04">
        <w:rPr>
          <w:sz w:val="24"/>
          <w:szCs w:val="24"/>
        </w:rPr>
        <w:t>PSF</w:t>
      </w:r>
      <w:r w:rsidR="00C87395">
        <w:rPr>
          <w:sz w:val="24"/>
          <w:szCs w:val="24"/>
        </w:rPr>
        <w:t>)</w:t>
      </w:r>
      <w:r w:rsidRPr="008B0E04">
        <w:rPr>
          <w:sz w:val="24"/>
          <w:szCs w:val="24"/>
        </w:rPr>
        <w:t xml:space="preserve"> system by enabling advanced features such as:</w:t>
      </w:r>
    </w:p>
    <w:p w:rsidR="008B0E04" w:rsidRPr="008B0E04" w:rsidP="00C87395" w14:paraId="6B76046D" w14:textId="77777777">
      <w:pPr>
        <w:keepLines/>
        <w:numPr>
          <w:ilvl w:val="2"/>
          <w:numId w:val="10"/>
        </w:numPr>
        <w:tabs>
          <w:tab w:val="left" w:pos="360"/>
        </w:tabs>
        <w:spacing w:after="80"/>
        <w:rPr>
          <w:sz w:val="24"/>
          <w:szCs w:val="24"/>
        </w:rPr>
      </w:pPr>
      <w:r w:rsidRPr="008B0E04">
        <w:rPr>
          <w:sz w:val="24"/>
          <w:szCs w:val="24"/>
        </w:rPr>
        <w:t>Workflow Tracking: Allows application progress to be tracked in real-time.</w:t>
      </w:r>
    </w:p>
    <w:p w:rsidR="008B0E04" w:rsidRPr="008B0E04" w:rsidP="00C87395" w14:paraId="2994C1B6" w14:textId="77777777">
      <w:pPr>
        <w:keepLines/>
        <w:numPr>
          <w:ilvl w:val="2"/>
          <w:numId w:val="10"/>
        </w:numPr>
        <w:tabs>
          <w:tab w:val="left" w:pos="360"/>
        </w:tabs>
        <w:spacing w:after="80"/>
        <w:rPr>
          <w:sz w:val="24"/>
          <w:szCs w:val="24"/>
        </w:rPr>
      </w:pPr>
      <w:r w:rsidRPr="008B0E04">
        <w:rPr>
          <w:sz w:val="24"/>
          <w:szCs w:val="24"/>
        </w:rPr>
        <w:t>Multi-User Access: Supports simultaneous use by multiple adjudicators and stakeholders.</w:t>
      </w:r>
    </w:p>
    <w:p w:rsidR="008B0E04" w:rsidRPr="008B0E04" w:rsidP="00C87395" w14:paraId="4AD81D30" w14:textId="77777777">
      <w:pPr>
        <w:keepLines/>
        <w:numPr>
          <w:ilvl w:val="2"/>
          <w:numId w:val="10"/>
        </w:numPr>
        <w:tabs>
          <w:tab w:val="left" w:pos="360"/>
        </w:tabs>
        <w:spacing w:after="80"/>
        <w:rPr>
          <w:sz w:val="24"/>
          <w:szCs w:val="24"/>
        </w:rPr>
      </w:pPr>
      <w:r w:rsidRPr="008B0E04">
        <w:rPr>
          <w:sz w:val="24"/>
          <w:szCs w:val="24"/>
        </w:rPr>
        <w:t>Integration with Federal Systems: Interfaces seamlessly with OPM’s e-QIP and PIPS systems for background investigations. This ensures that the process is streamlined and compliant with interagency standards.</w:t>
      </w:r>
    </w:p>
    <w:p w:rsidR="008B0E04" w:rsidRPr="008B0E04" w:rsidP="00C87395" w14:paraId="5FE48B82" w14:textId="77777777">
      <w:pPr>
        <w:keepLines/>
        <w:numPr>
          <w:ilvl w:val="0"/>
          <w:numId w:val="10"/>
        </w:numPr>
        <w:tabs>
          <w:tab w:val="left" w:pos="360"/>
        </w:tabs>
        <w:spacing w:after="80"/>
        <w:rPr>
          <w:sz w:val="24"/>
          <w:szCs w:val="24"/>
        </w:rPr>
      </w:pPr>
      <w:r w:rsidRPr="008B0E04">
        <w:rPr>
          <w:sz w:val="24"/>
          <w:szCs w:val="24"/>
        </w:rPr>
        <w:t>Mandatory Regulatory Compliance:</w:t>
      </w:r>
    </w:p>
    <w:p w:rsidR="008B0E04" w:rsidRPr="008B0E04" w:rsidP="00C87395" w14:paraId="5DC8E898" w14:textId="77777777">
      <w:pPr>
        <w:keepLines/>
        <w:numPr>
          <w:ilvl w:val="1"/>
          <w:numId w:val="10"/>
        </w:numPr>
        <w:tabs>
          <w:tab w:val="left" w:pos="360"/>
        </w:tabs>
        <w:spacing w:after="80"/>
        <w:rPr>
          <w:sz w:val="24"/>
          <w:szCs w:val="24"/>
        </w:rPr>
      </w:pPr>
      <w:r w:rsidRPr="008B0E04">
        <w:rPr>
          <w:sz w:val="24"/>
          <w:szCs w:val="24"/>
        </w:rPr>
        <w:t>The directives under HSPD-12, FIPS 201-2, and OMB Memoranda require a secure, standardized identity verification and credentialing process. The PerSIST system is tailored to meet these specific requirements, ensuring secure identity proofing, efficient data handling, and audit trails for compliance purposes.</w:t>
      </w:r>
    </w:p>
    <w:p w:rsidR="008B0E04" w:rsidRPr="008B0E04" w:rsidP="00C87395" w14:paraId="7F8FFE69" w14:textId="77777777">
      <w:pPr>
        <w:keepLines/>
        <w:numPr>
          <w:ilvl w:val="1"/>
          <w:numId w:val="10"/>
        </w:numPr>
        <w:tabs>
          <w:tab w:val="left" w:pos="360"/>
        </w:tabs>
        <w:spacing w:after="80"/>
        <w:rPr>
          <w:sz w:val="24"/>
          <w:szCs w:val="24"/>
        </w:rPr>
      </w:pPr>
      <w:r w:rsidRPr="008B0E04">
        <w:rPr>
          <w:sz w:val="24"/>
          <w:szCs w:val="24"/>
        </w:rPr>
        <w:t>These regulatory mandates include technical standards and processes that older or non-specialized systems cannot support.</w:t>
      </w:r>
    </w:p>
    <w:p w:rsidR="008B0E04" w:rsidRPr="008B0E04" w:rsidP="00C87395" w14:paraId="521FF143" w14:textId="77777777">
      <w:pPr>
        <w:keepLines/>
        <w:numPr>
          <w:ilvl w:val="0"/>
          <w:numId w:val="10"/>
        </w:numPr>
        <w:tabs>
          <w:tab w:val="left" w:pos="360"/>
        </w:tabs>
        <w:spacing w:after="80"/>
        <w:rPr>
          <w:sz w:val="24"/>
          <w:szCs w:val="24"/>
        </w:rPr>
      </w:pPr>
      <w:r w:rsidRPr="008B0E04">
        <w:rPr>
          <w:sz w:val="24"/>
          <w:szCs w:val="24"/>
        </w:rPr>
        <w:t>Data Accuracy and Error Reduction:</w:t>
      </w:r>
    </w:p>
    <w:p w:rsidR="008B0E04" w:rsidRPr="008B0E04" w:rsidP="00C87395" w14:paraId="2E777F91" w14:textId="77777777">
      <w:pPr>
        <w:keepLines/>
        <w:numPr>
          <w:ilvl w:val="1"/>
          <w:numId w:val="10"/>
        </w:numPr>
        <w:tabs>
          <w:tab w:val="left" w:pos="360"/>
        </w:tabs>
        <w:spacing w:after="80"/>
        <w:rPr>
          <w:sz w:val="24"/>
          <w:szCs w:val="24"/>
        </w:rPr>
      </w:pPr>
      <w:r w:rsidRPr="008B0E04">
        <w:rPr>
          <w:sz w:val="24"/>
          <w:szCs w:val="24"/>
        </w:rPr>
        <w:t>PerSIST leverages automated validation checks and real-time feedback mechanisms, significantly reducing human error during data entry and processing. The previous PSF system needed these capabilities, leading to inefficiencies and mistakes that could compromise security and compliance.</w:t>
      </w:r>
    </w:p>
    <w:p w:rsidR="008B0E04" w:rsidRPr="008B0E04" w:rsidP="00C87395" w14:paraId="3965AA8E" w14:textId="77777777">
      <w:pPr>
        <w:keepLines/>
        <w:numPr>
          <w:ilvl w:val="0"/>
          <w:numId w:val="10"/>
        </w:numPr>
        <w:tabs>
          <w:tab w:val="left" w:pos="360"/>
        </w:tabs>
        <w:spacing w:after="80"/>
        <w:rPr>
          <w:sz w:val="24"/>
          <w:szCs w:val="24"/>
        </w:rPr>
      </w:pPr>
      <w:r w:rsidRPr="008B0E04">
        <w:rPr>
          <w:sz w:val="24"/>
          <w:szCs w:val="24"/>
        </w:rPr>
        <w:t>Absence of Equivalent Systems:</w:t>
      </w:r>
    </w:p>
    <w:p w:rsidR="008B0E04" w:rsidRPr="008B0E04" w:rsidP="00C87395" w14:paraId="0C4CCB00" w14:textId="77777777">
      <w:pPr>
        <w:keepLines/>
        <w:numPr>
          <w:ilvl w:val="1"/>
          <w:numId w:val="10"/>
        </w:numPr>
        <w:tabs>
          <w:tab w:val="left" w:pos="360"/>
        </w:tabs>
        <w:spacing w:after="80"/>
        <w:rPr>
          <w:sz w:val="24"/>
          <w:szCs w:val="24"/>
        </w:rPr>
      </w:pPr>
      <w:r w:rsidRPr="008B0E04">
        <w:rPr>
          <w:sz w:val="24"/>
          <w:szCs w:val="24"/>
        </w:rPr>
        <w:t>As stated in the document, no existing system duplicative of PerSIST exists. While other systems might collect similar data, they need more comprehensive integration, advanced functionality, and federal-specific workflows that PerSIST offers. Modifying a non-specialized system to include these features would require extensive redesign and re-engineering, which may need to be more cost-effective and feasible.</w:t>
      </w:r>
    </w:p>
    <w:p w:rsidR="008B0E04" w:rsidRPr="008B0E04" w:rsidP="00C87395" w14:paraId="7914886D" w14:textId="77777777">
      <w:pPr>
        <w:keepLines/>
        <w:numPr>
          <w:ilvl w:val="0"/>
          <w:numId w:val="10"/>
        </w:numPr>
        <w:tabs>
          <w:tab w:val="left" w:pos="360"/>
        </w:tabs>
        <w:spacing w:after="80"/>
        <w:rPr>
          <w:sz w:val="24"/>
          <w:szCs w:val="24"/>
        </w:rPr>
      </w:pPr>
      <w:r w:rsidRPr="008B0E04">
        <w:rPr>
          <w:sz w:val="24"/>
          <w:szCs w:val="24"/>
        </w:rPr>
        <w:t>Enhanced Security and Access Control:</w:t>
      </w:r>
    </w:p>
    <w:p w:rsidR="008B0E04" w:rsidRPr="008B0E04" w:rsidP="00C87395" w14:paraId="23C2BE1A" w14:textId="77777777">
      <w:pPr>
        <w:keepLines/>
        <w:numPr>
          <w:ilvl w:val="1"/>
          <w:numId w:val="10"/>
        </w:numPr>
        <w:tabs>
          <w:tab w:val="left" w:pos="360"/>
        </w:tabs>
        <w:spacing w:after="80"/>
        <w:rPr>
          <w:sz w:val="24"/>
          <w:szCs w:val="24"/>
        </w:rPr>
      </w:pPr>
      <w:r w:rsidRPr="008B0E04">
        <w:rPr>
          <w:sz w:val="24"/>
          <w:szCs w:val="24"/>
        </w:rPr>
        <w:t>PerSIST employs advanced security mechanisms, such as Role-Based Access Control (RBAC), Single Sign-On (SSO), and multifactor authentication. These features ensure that only authorized users can access sensitive data, a capability unavailable in the older PSF system or similar legacy platforms.</w:t>
      </w:r>
    </w:p>
    <w:p w:rsidR="008B0E04" w:rsidRPr="008B0E04" w:rsidP="00C87395" w14:paraId="0103B2B5" w14:textId="77777777">
      <w:pPr>
        <w:keepLines/>
        <w:numPr>
          <w:ilvl w:val="0"/>
          <w:numId w:val="10"/>
        </w:numPr>
        <w:tabs>
          <w:tab w:val="left" w:pos="360"/>
        </w:tabs>
        <w:spacing w:after="80"/>
        <w:rPr>
          <w:sz w:val="24"/>
          <w:szCs w:val="24"/>
        </w:rPr>
      </w:pPr>
      <w:r w:rsidRPr="008B0E04">
        <w:rPr>
          <w:sz w:val="24"/>
          <w:szCs w:val="24"/>
        </w:rPr>
        <w:t>Scalability and Modernization:</w:t>
      </w:r>
    </w:p>
    <w:p w:rsidR="008B0E04" w:rsidRPr="008B0E04" w:rsidP="00C87395" w14:paraId="05EB7345" w14:textId="77777777">
      <w:pPr>
        <w:keepLines/>
        <w:numPr>
          <w:ilvl w:val="1"/>
          <w:numId w:val="10"/>
        </w:numPr>
        <w:tabs>
          <w:tab w:val="left" w:pos="360"/>
        </w:tabs>
        <w:spacing w:after="80"/>
        <w:rPr>
          <w:sz w:val="24"/>
          <w:szCs w:val="24"/>
        </w:rPr>
      </w:pPr>
      <w:r w:rsidRPr="008B0E04">
        <w:rPr>
          <w:sz w:val="24"/>
          <w:szCs w:val="24"/>
        </w:rPr>
        <w:t>PerSIST supports modern technological requirements, including scalability, to handle increasing data loads and integration with future systems. It aligns with HUD's modernization goals, whereas older systems are rigid and lack the flexibility for future enhancements.</w:t>
      </w:r>
    </w:p>
    <w:p w:rsidR="00025206" w:rsidRPr="004A3307" w:rsidP="00025206" w14:paraId="1D6FEFCE" w14:textId="17725C20">
      <w:pPr>
        <w:keepLines/>
        <w:tabs>
          <w:tab w:val="left" w:pos="360"/>
          <w:tab w:val="left" w:pos="720"/>
        </w:tabs>
        <w:ind w:left="360"/>
        <w:rPr>
          <w:sz w:val="24"/>
          <w:szCs w:val="24"/>
        </w:rPr>
      </w:pPr>
      <w:r w:rsidRPr="004A3307">
        <w:rPr>
          <w:sz w:val="24"/>
          <w:szCs w:val="24"/>
        </w:rPr>
        <w:t xml:space="preserve">       </w:t>
      </w:r>
    </w:p>
    <w:p w:rsidR="00025206" w:rsidRPr="004A3307" w:rsidP="00025206" w14:paraId="6A4F65D5" w14:textId="77777777">
      <w:pPr>
        <w:keepLines/>
        <w:tabs>
          <w:tab w:val="left" w:pos="360"/>
        </w:tabs>
        <w:spacing w:after="80"/>
        <w:ind w:left="360" w:hanging="360"/>
        <w:rPr>
          <w:b/>
          <w:bCs/>
          <w:sz w:val="24"/>
          <w:szCs w:val="24"/>
        </w:rPr>
      </w:pPr>
      <w:r w:rsidRPr="004A3307">
        <w:rPr>
          <w:b/>
          <w:bCs/>
          <w:sz w:val="24"/>
          <w:szCs w:val="24"/>
        </w:rPr>
        <w:t>5.</w:t>
      </w:r>
      <w:r w:rsidRPr="004A3307">
        <w:rPr>
          <w:b/>
          <w:bCs/>
          <w:sz w:val="24"/>
          <w:szCs w:val="24"/>
        </w:rPr>
        <w:tab/>
        <w:t>If the collection of information impacts small businesses or other small entities (Item 5 of OMB Form 83-I) describe any methods used to minimize burden.</w:t>
      </w:r>
    </w:p>
    <w:p w:rsidR="00457D18" w:rsidRPr="004A3307" w:rsidP="00025206" w14:paraId="6B160996" w14:textId="77777777">
      <w:pPr>
        <w:keepLines/>
        <w:tabs>
          <w:tab w:val="left" w:pos="360"/>
          <w:tab w:val="left" w:pos="720"/>
        </w:tabs>
        <w:ind w:left="360"/>
        <w:rPr>
          <w:sz w:val="24"/>
          <w:szCs w:val="24"/>
        </w:rPr>
      </w:pPr>
    </w:p>
    <w:p w:rsidR="00025206" w:rsidRPr="004A3307" w:rsidP="00025206" w14:paraId="03029ED5" w14:textId="79E1EB8A">
      <w:pPr>
        <w:keepLines/>
        <w:tabs>
          <w:tab w:val="left" w:pos="360"/>
          <w:tab w:val="left" w:pos="720"/>
        </w:tabs>
        <w:ind w:left="360"/>
        <w:rPr>
          <w:sz w:val="24"/>
          <w:szCs w:val="24"/>
        </w:rPr>
      </w:pPr>
      <w:r w:rsidRPr="004A3307">
        <w:rPr>
          <w:sz w:val="24"/>
          <w:szCs w:val="24"/>
        </w:rPr>
        <w:t xml:space="preserve">There is no impact to small businesses, or other businesses. </w:t>
      </w:r>
    </w:p>
    <w:p w:rsidR="00025206" w:rsidRPr="004A3307" w:rsidP="00025206" w14:paraId="16940DEC" w14:textId="77777777">
      <w:pPr>
        <w:tabs>
          <w:tab w:val="left" w:pos="360"/>
        </w:tabs>
        <w:ind w:left="360" w:hanging="360"/>
        <w:rPr>
          <w:sz w:val="24"/>
          <w:szCs w:val="24"/>
        </w:rPr>
      </w:pPr>
    </w:p>
    <w:p w:rsidR="00025206" w:rsidRPr="004A3307" w:rsidP="00025206" w14:paraId="48E6E796" w14:textId="6E45D0DF">
      <w:pPr>
        <w:keepLines/>
        <w:tabs>
          <w:tab w:val="left" w:pos="360"/>
        </w:tabs>
        <w:spacing w:after="80"/>
        <w:ind w:left="360" w:hanging="360"/>
        <w:rPr>
          <w:sz w:val="24"/>
          <w:szCs w:val="24"/>
        </w:rPr>
      </w:pPr>
      <w:r w:rsidRPr="004A3307">
        <w:rPr>
          <w:b/>
          <w:bCs/>
          <w:sz w:val="24"/>
          <w:szCs w:val="24"/>
        </w:rPr>
        <w:t>6.</w:t>
      </w:r>
      <w:r w:rsidRPr="004A3307">
        <w:rPr>
          <w:b/>
          <w:bCs/>
          <w:sz w:val="24"/>
          <w:szCs w:val="24"/>
        </w:rPr>
        <w:tab/>
        <w:t xml:space="preserve">Describe the </w:t>
      </w:r>
      <w:r w:rsidRPr="004A3307" w:rsidR="0009152D">
        <w:rPr>
          <w:b/>
          <w:bCs/>
          <w:sz w:val="24"/>
          <w:szCs w:val="24"/>
        </w:rPr>
        <w:t>consequences</w:t>
      </w:r>
      <w:r w:rsidRPr="004A3307">
        <w:rPr>
          <w:b/>
          <w:bCs/>
          <w:sz w:val="24"/>
          <w:szCs w:val="24"/>
        </w:rPr>
        <w:t xml:space="preserve"> to Federal program or policy activities if the collection is not conducted or is conducted less frequently, as well as any technical or legal obstacles to reducing burden</w:t>
      </w:r>
      <w:r w:rsidR="00B56B8F">
        <w:rPr>
          <w:b/>
          <w:bCs/>
          <w:sz w:val="24"/>
          <w:szCs w:val="24"/>
        </w:rPr>
        <w:t>. F</w:t>
      </w:r>
      <w:r w:rsidRPr="00B56B8F" w:rsidR="00B56B8F">
        <w:rPr>
          <w:b/>
          <w:bCs/>
          <w:sz w:val="24"/>
          <w:szCs w:val="24"/>
        </w:rPr>
        <w:t xml:space="preserve">ailing to conduct or reducing the frequency of information collection would significantly hinder HUD’s operational capabilities, pose security risks, disrupt federal programs, and violate legal and regulatory </w:t>
      </w:r>
      <w:r w:rsidRPr="00B56B8F" w:rsidR="0009152D">
        <w:rPr>
          <w:b/>
          <w:bCs/>
          <w:sz w:val="24"/>
          <w:szCs w:val="24"/>
        </w:rPr>
        <w:t>requirements.</w:t>
      </w:r>
    </w:p>
    <w:p w:rsidR="00AA377E" w:rsidRPr="004A3307" w:rsidP="00025206" w14:paraId="1CB16A82" w14:textId="21C60D06">
      <w:pPr>
        <w:keepLines/>
        <w:tabs>
          <w:tab w:val="left" w:pos="360"/>
          <w:tab w:val="left" w:pos="720"/>
        </w:tabs>
        <w:ind w:left="360"/>
        <w:rPr>
          <w:sz w:val="24"/>
          <w:szCs w:val="24"/>
        </w:rPr>
      </w:pPr>
      <w:r w:rsidRPr="004A3307">
        <w:rPr>
          <w:sz w:val="24"/>
          <w:szCs w:val="24"/>
        </w:rPr>
        <w:t>Individuals do have an opportunity to object to the collections of their PII, however; if individuals do not provide the requested information in whole or in part, HUD will not be able to complete their identity proofing and registration process. If an individual does not have a PIV card, they will be treated as a visitor when entering the HUD building. They will not have access to certain resources. If holding a PIV card is a condition of employment or obtaining a contract, failure to provide the requested information will adversely affect the individual’s placement or employment prospects.</w:t>
      </w:r>
    </w:p>
    <w:p w:rsidR="00AA377E" w:rsidRPr="004A3307" w14:paraId="7015FA27" w14:textId="01CFD3DA">
      <w:pPr>
        <w:overflowPunct/>
        <w:autoSpaceDE/>
        <w:autoSpaceDN/>
        <w:adjustRightInd/>
        <w:spacing w:after="160" w:line="259" w:lineRule="auto"/>
        <w:textAlignment w:val="auto"/>
        <w:rPr>
          <w:sz w:val="24"/>
          <w:szCs w:val="24"/>
        </w:rPr>
      </w:pPr>
    </w:p>
    <w:p w:rsidR="00025206" w:rsidRPr="004A3307" w:rsidP="00025206" w14:paraId="0E772A94" w14:textId="419847DB">
      <w:pPr>
        <w:numPr>
          <w:ilvl w:val="0"/>
          <w:numId w:val="1"/>
        </w:numPr>
        <w:tabs>
          <w:tab w:val="left" w:pos="360"/>
        </w:tabs>
        <w:rPr>
          <w:b/>
          <w:bCs/>
          <w:sz w:val="24"/>
          <w:szCs w:val="24"/>
        </w:rPr>
      </w:pPr>
      <w:r w:rsidRPr="004A3307">
        <w:rPr>
          <w:b/>
          <w:bCs/>
          <w:sz w:val="24"/>
          <w:szCs w:val="24"/>
        </w:rPr>
        <w:t xml:space="preserve">Explain any special circumstances that would cause an information collection to be conducted in a manner: </w:t>
      </w:r>
    </w:p>
    <w:p w:rsidR="00053813" w:rsidRPr="004A3307" w:rsidP="00053813" w14:paraId="0A096C49" w14:textId="77777777">
      <w:pPr>
        <w:tabs>
          <w:tab w:val="left" w:pos="360"/>
        </w:tabs>
        <w:ind w:left="360"/>
        <w:rPr>
          <w:b/>
          <w:bCs/>
          <w:sz w:val="24"/>
          <w:szCs w:val="24"/>
        </w:rPr>
      </w:pPr>
    </w:p>
    <w:p w:rsidR="00025206" w:rsidRPr="004A3307" w:rsidP="00025206" w14:paraId="0CA915AF" w14:textId="77777777">
      <w:pPr>
        <w:numPr>
          <w:ilvl w:val="0"/>
          <w:numId w:val="2"/>
        </w:numPr>
        <w:tabs>
          <w:tab w:val="left" w:pos="600"/>
        </w:tabs>
        <w:rPr>
          <w:sz w:val="24"/>
          <w:szCs w:val="24"/>
        </w:rPr>
      </w:pPr>
      <w:r w:rsidRPr="004A3307">
        <w:rPr>
          <w:sz w:val="24"/>
          <w:szCs w:val="24"/>
        </w:rPr>
        <w:t>requiring respondents to report information to the agency more than quarterly; N/A</w:t>
      </w:r>
    </w:p>
    <w:p w:rsidR="00025206" w:rsidRPr="004A3307" w:rsidP="00025206" w14:paraId="4DB18A9A" w14:textId="77777777">
      <w:pPr>
        <w:numPr>
          <w:ilvl w:val="0"/>
          <w:numId w:val="2"/>
        </w:numPr>
        <w:tabs>
          <w:tab w:val="left" w:pos="600"/>
        </w:tabs>
        <w:rPr>
          <w:sz w:val="24"/>
          <w:szCs w:val="24"/>
        </w:rPr>
      </w:pPr>
      <w:r w:rsidRPr="004A3307">
        <w:rPr>
          <w:sz w:val="24"/>
          <w:szCs w:val="24"/>
        </w:rPr>
        <w:t>requiring respondents to prepare a written response to a collection of information in fewer than 30 days after receipt of it; N/A</w:t>
      </w:r>
    </w:p>
    <w:p w:rsidR="00025206" w:rsidRPr="004A3307" w:rsidP="00025206" w14:paraId="2F1F2058" w14:textId="77777777">
      <w:pPr>
        <w:numPr>
          <w:ilvl w:val="0"/>
          <w:numId w:val="2"/>
        </w:numPr>
        <w:tabs>
          <w:tab w:val="left" w:pos="600"/>
        </w:tabs>
        <w:rPr>
          <w:sz w:val="24"/>
          <w:szCs w:val="24"/>
        </w:rPr>
      </w:pPr>
      <w:r w:rsidRPr="004A3307">
        <w:rPr>
          <w:sz w:val="24"/>
          <w:szCs w:val="24"/>
        </w:rPr>
        <w:t>requiring respondents to submit more than an original and two copies of any document; N/A</w:t>
      </w:r>
    </w:p>
    <w:p w:rsidR="00025206" w:rsidRPr="004A3307" w:rsidP="00025206" w14:paraId="5828A71C" w14:textId="77777777">
      <w:pPr>
        <w:numPr>
          <w:ilvl w:val="0"/>
          <w:numId w:val="2"/>
        </w:numPr>
        <w:tabs>
          <w:tab w:val="left" w:pos="600"/>
        </w:tabs>
        <w:rPr>
          <w:sz w:val="24"/>
          <w:szCs w:val="24"/>
        </w:rPr>
      </w:pPr>
      <w:r w:rsidRPr="004A3307">
        <w:rPr>
          <w:sz w:val="24"/>
          <w:szCs w:val="24"/>
        </w:rPr>
        <w:t>requiring respondents to retain records other than health, medical, government contract, grant-in-aid, or tax records for more than three years; N/A</w:t>
      </w:r>
    </w:p>
    <w:p w:rsidR="00025206" w:rsidRPr="004A3307" w:rsidP="00025206" w14:paraId="2A9FC087" w14:textId="77777777">
      <w:pPr>
        <w:numPr>
          <w:ilvl w:val="0"/>
          <w:numId w:val="2"/>
        </w:numPr>
        <w:tabs>
          <w:tab w:val="left" w:pos="600"/>
        </w:tabs>
        <w:rPr>
          <w:sz w:val="24"/>
          <w:szCs w:val="24"/>
        </w:rPr>
      </w:pPr>
      <w:r w:rsidRPr="004A3307">
        <w:rPr>
          <w:sz w:val="24"/>
          <w:szCs w:val="24"/>
        </w:rPr>
        <w:t>in connection with a statistical survey, that is not designed to produce valid and reliable results than can be generalized to the universe of study; N/A</w:t>
      </w:r>
    </w:p>
    <w:p w:rsidR="00025206" w:rsidRPr="004A3307" w:rsidP="00025206" w14:paraId="4DA9CF56" w14:textId="77777777">
      <w:pPr>
        <w:numPr>
          <w:ilvl w:val="0"/>
          <w:numId w:val="2"/>
        </w:numPr>
        <w:tabs>
          <w:tab w:val="left" w:pos="600"/>
        </w:tabs>
        <w:rPr>
          <w:sz w:val="24"/>
          <w:szCs w:val="24"/>
        </w:rPr>
      </w:pPr>
      <w:r w:rsidRPr="004A3307">
        <w:rPr>
          <w:sz w:val="24"/>
          <w:szCs w:val="24"/>
        </w:rPr>
        <w:t>requiring the use of a statistical data classification that has not been reviewed and approved by OMB; N/A</w:t>
      </w:r>
    </w:p>
    <w:p w:rsidR="00025206" w:rsidRPr="004A3307" w:rsidP="00025206" w14:paraId="0683FD59" w14:textId="77777777">
      <w:pPr>
        <w:numPr>
          <w:ilvl w:val="0"/>
          <w:numId w:val="2"/>
        </w:numPr>
        <w:tabs>
          <w:tab w:val="left" w:pos="600"/>
        </w:tabs>
        <w:rPr>
          <w:sz w:val="24"/>
          <w:szCs w:val="24"/>
        </w:rPr>
      </w:pPr>
      <w:r w:rsidRPr="004A3307">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N/A or </w:t>
      </w:r>
    </w:p>
    <w:p w:rsidR="00025206" w:rsidRPr="004A3307" w:rsidP="00025206" w14:paraId="109AF06A" w14:textId="77777777">
      <w:pPr>
        <w:keepLines/>
        <w:numPr>
          <w:ilvl w:val="0"/>
          <w:numId w:val="2"/>
        </w:numPr>
        <w:tabs>
          <w:tab w:val="left" w:pos="600"/>
        </w:tabs>
        <w:spacing w:after="80"/>
        <w:rPr>
          <w:sz w:val="24"/>
          <w:szCs w:val="24"/>
        </w:rPr>
      </w:pPr>
      <w:r w:rsidRPr="004A3307">
        <w:rPr>
          <w:sz w:val="24"/>
          <w:szCs w:val="24"/>
        </w:rPr>
        <w:t>requiring respondents to submit proprietary trade secret, or other confidential information unless the agency can demonstrate that it has instituted procedures to protect the information's confidentiality to the extent permitted by law. N/A</w:t>
      </w:r>
    </w:p>
    <w:p w:rsidR="00025206" w:rsidRPr="004A3307" w:rsidP="00025206" w14:paraId="2305C503" w14:textId="77777777">
      <w:pPr>
        <w:keepLines/>
        <w:tabs>
          <w:tab w:val="left" w:pos="360"/>
          <w:tab w:val="left" w:pos="720"/>
        </w:tabs>
        <w:ind w:left="360"/>
        <w:rPr>
          <w:sz w:val="24"/>
          <w:szCs w:val="24"/>
        </w:rPr>
      </w:pPr>
    </w:p>
    <w:p w:rsidR="00025206" w:rsidRPr="004A3307" w:rsidP="00025206" w14:paraId="2F63C7E7" w14:textId="77777777">
      <w:pPr>
        <w:tabs>
          <w:tab w:val="left" w:pos="360"/>
        </w:tabs>
        <w:ind w:left="360" w:hanging="360"/>
        <w:rPr>
          <w:b/>
          <w:bCs/>
          <w:sz w:val="24"/>
          <w:szCs w:val="24"/>
        </w:rPr>
      </w:pPr>
      <w:r w:rsidRPr="004A3307">
        <w:rPr>
          <w:b/>
          <w:bCs/>
          <w:sz w:val="24"/>
          <w:szCs w:val="24"/>
        </w:rPr>
        <w:t xml:space="preserve"> 8.</w:t>
      </w:r>
      <w:r w:rsidRPr="004A3307">
        <w:rPr>
          <w:b/>
          <w:bCs/>
          <w:sz w:val="24"/>
          <w:szCs w:val="24"/>
        </w:rPr>
        <w:tab/>
        <w:t xml:space="preserve">If applicable, provide a copy and identify the date and page number of </w:t>
      </w:r>
      <w:r w:rsidRPr="004A3307">
        <w:rPr>
          <w:b/>
          <w:bCs/>
          <w:sz w:val="24"/>
          <w:szCs w:val="24"/>
        </w:rPr>
        <w:t>publication</w:t>
      </w:r>
      <w:r w:rsidRPr="004A3307">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25206" w:rsidRPr="004A3307" w:rsidP="00025206" w14:paraId="21F8AB28" w14:textId="77777777">
      <w:pPr>
        <w:numPr>
          <w:ilvl w:val="0"/>
          <w:numId w:val="2"/>
        </w:numPr>
        <w:tabs>
          <w:tab w:val="left" w:pos="360"/>
        </w:tabs>
        <w:ind w:left="480"/>
        <w:rPr>
          <w:b/>
          <w:bCs/>
          <w:sz w:val="24"/>
          <w:szCs w:val="24"/>
        </w:rPr>
      </w:pPr>
      <w:r w:rsidRPr="004A3307">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6664D" w:rsidRPr="004A3307" w:rsidP="00025206" w14:paraId="169153D7" w14:textId="5D0A2A57">
      <w:pPr>
        <w:keepLines/>
        <w:numPr>
          <w:ilvl w:val="0"/>
          <w:numId w:val="2"/>
        </w:numPr>
        <w:tabs>
          <w:tab w:val="left" w:pos="360"/>
        </w:tabs>
        <w:spacing w:after="80"/>
        <w:ind w:left="480"/>
        <w:rPr>
          <w:i/>
          <w:iCs/>
          <w:sz w:val="24"/>
          <w:szCs w:val="24"/>
        </w:rPr>
      </w:pPr>
      <w:r w:rsidRPr="004A3307">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4A3307">
        <w:rPr>
          <w:i/>
          <w:iCs/>
          <w:sz w:val="24"/>
          <w:szCs w:val="24"/>
        </w:rPr>
        <w:t>.</w:t>
      </w:r>
    </w:p>
    <w:p w:rsidR="0006664D" w:rsidRPr="004A3307" w:rsidP="0006664D" w14:paraId="6A072943" w14:textId="772B5276">
      <w:pPr>
        <w:keepLines/>
        <w:tabs>
          <w:tab w:val="left" w:pos="360"/>
        </w:tabs>
        <w:spacing w:after="80"/>
        <w:rPr>
          <w:i/>
          <w:iCs/>
          <w:sz w:val="24"/>
          <w:szCs w:val="24"/>
        </w:rPr>
      </w:pPr>
      <w:r>
        <w:rPr>
          <w:i/>
          <w:iCs/>
          <w:sz w:val="24"/>
          <w:szCs w:val="24"/>
        </w:rPr>
        <w:t xml:space="preserve"> </w:t>
      </w:r>
    </w:p>
    <w:p w:rsidR="000B0F39" w:rsidRPr="004A3307" w:rsidP="00E72862" w14:paraId="06B26B5A" w14:textId="383B1839">
      <w:pPr>
        <w:ind w:left="360"/>
        <w:rPr>
          <w:sz w:val="24"/>
          <w:szCs w:val="24"/>
        </w:rPr>
      </w:pPr>
      <w:r w:rsidRPr="00856960">
        <w:rPr>
          <w:sz w:val="24"/>
          <w:szCs w:val="24"/>
        </w:rPr>
        <w:t>In accordance with 5 CFR 1320.8(d), this information collection soliciting public comments was announced in the Federal Register on October 15, 2024, Volume 89, No. 199, Pages 83034-83035. In accordance with the Paperwork Reduction Act of 1995, HUD published a 60-Day Notice of Proposed Information Collection in the Federal Register on October 15, 2024. The docket number was FR-7093-N-03, and the notice appeared on pages 83034-83035. The notice provided a 60-day period for public comments, and comments were due by December 16, 2024. HUD did not receive any comments.</w:t>
      </w:r>
    </w:p>
    <w:p w:rsidR="00025206" w:rsidRPr="004A3307" w:rsidP="0006664D" w14:paraId="5BCAE6E2" w14:textId="3229448E">
      <w:pPr>
        <w:keepLines/>
        <w:tabs>
          <w:tab w:val="left" w:pos="360"/>
        </w:tabs>
        <w:spacing w:after="80"/>
        <w:ind w:left="480"/>
        <w:rPr>
          <w:i/>
          <w:iCs/>
          <w:sz w:val="24"/>
          <w:szCs w:val="24"/>
        </w:rPr>
      </w:pPr>
    </w:p>
    <w:p w:rsidR="00025206" w:rsidRPr="004A3307" w:rsidP="00025206" w14:paraId="672FE984" w14:textId="2873E2E5">
      <w:pPr>
        <w:keepLines/>
        <w:tabs>
          <w:tab w:val="left" w:pos="360"/>
        </w:tabs>
        <w:spacing w:after="80"/>
        <w:ind w:left="360" w:hanging="360"/>
        <w:rPr>
          <w:sz w:val="24"/>
          <w:szCs w:val="24"/>
        </w:rPr>
      </w:pPr>
      <w:r w:rsidRPr="004A3307">
        <w:rPr>
          <w:b/>
          <w:bCs/>
          <w:sz w:val="24"/>
          <w:szCs w:val="24"/>
        </w:rPr>
        <w:t>9.</w:t>
      </w:r>
      <w:r w:rsidRPr="004A3307">
        <w:rPr>
          <w:b/>
          <w:bCs/>
          <w:sz w:val="24"/>
          <w:szCs w:val="24"/>
        </w:rPr>
        <w:tab/>
        <w:t>Explain any decision to provide any payment or gift to respondents, other than remuneration of contractors or grantees</w:t>
      </w:r>
      <w:r w:rsidRPr="004A3307">
        <w:rPr>
          <w:i/>
          <w:iCs/>
          <w:sz w:val="24"/>
          <w:szCs w:val="24"/>
        </w:rPr>
        <w:t>.</w:t>
      </w:r>
    </w:p>
    <w:p w:rsidR="00142C4A" w:rsidRPr="004A3307" w:rsidP="00025206" w14:paraId="683DBDE6" w14:textId="77777777">
      <w:pPr>
        <w:keepLines/>
        <w:tabs>
          <w:tab w:val="left" w:pos="360"/>
          <w:tab w:val="left" w:pos="720"/>
        </w:tabs>
        <w:ind w:left="360"/>
        <w:rPr>
          <w:sz w:val="24"/>
          <w:szCs w:val="24"/>
        </w:rPr>
      </w:pPr>
    </w:p>
    <w:p w:rsidR="00025206" w:rsidRPr="004A3307" w:rsidP="00025206" w14:paraId="341E5BD9" w14:textId="096469B1">
      <w:pPr>
        <w:keepLines/>
        <w:tabs>
          <w:tab w:val="left" w:pos="360"/>
          <w:tab w:val="left" w:pos="720"/>
        </w:tabs>
        <w:ind w:left="360"/>
        <w:rPr>
          <w:sz w:val="24"/>
          <w:szCs w:val="24"/>
        </w:rPr>
      </w:pPr>
      <w:r w:rsidRPr="004A3307">
        <w:rPr>
          <w:sz w:val="24"/>
          <w:szCs w:val="24"/>
        </w:rPr>
        <w:t xml:space="preserve">No payment </w:t>
      </w:r>
      <w:r w:rsidRPr="004A3307" w:rsidR="009E3DEE">
        <w:rPr>
          <w:sz w:val="24"/>
          <w:szCs w:val="24"/>
        </w:rPr>
        <w:t xml:space="preserve">or gift </w:t>
      </w:r>
      <w:r w:rsidRPr="004A3307">
        <w:rPr>
          <w:sz w:val="24"/>
          <w:szCs w:val="24"/>
        </w:rPr>
        <w:t>is provided.</w:t>
      </w:r>
    </w:p>
    <w:p w:rsidR="00053813" w:rsidRPr="004A3307" w:rsidP="00025206" w14:paraId="6C375735" w14:textId="22197707">
      <w:pPr>
        <w:keepLines/>
        <w:tabs>
          <w:tab w:val="left" w:pos="360"/>
          <w:tab w:val="left" w:pos="720"/>
        </w:tabs>
        <w:ind w:left="360"/>
        <w:rPr>
          <w:sz w:val="24"/>
          <w:szCs w:val="24"/>
        </w:rPr>
      </w:pPr>
    </w:p>
    <w:p w:rsidR="00025206" w:rsidRPr="004A3307" w:rsidP="00025206" w14:paraId="0BB66715" w14:textId="77777777">
      <w:pPr>
        <w:tabs>
          <w:tab w:val="left" w:pos="360"/>
        </w:tabs>
        <w:ind w:left="360" w:hanging="360"/>
        <w:rPr>
          <w:sz w:val="24"/>
          <w:szCs w:val="24"/>
        </w:rPr>
      </w:pPr>
    </w:p>
    <w:p w:rsidR="00025206" w:rsidRPr="004A3307" w:rsidP="00025206" w14:paraId="6F9D3C89" w14:textId="3E772625">
      <w:pPr>
        <w:keepLines/>
        <w:tabs>
          <w:tab w:val="left" w:pos="360"/>
        </w:tabs>
        <w:spacing w:after="80"/>
        <w:ind w:left="360" w:hanging="360"/>
        <w:rPr>
          <w:sz w:val="24"/>
          <w:szCs w:val="24"/>
        </w:rPr>
      </w:pPr>
      <w:r w:rsidRPr="004A3307">
        <w:rPr>
          <w:b/>
          <w:bCs/>
          <w:sz w:val="24"/>
          <w:szCs w:val="24"/>
        </w:rPr>
        <w:t>10.</w:t>
      </w:r>
      <w:r w:rsidRPr="004A3307">
        <w:rPr>
          <w:b/>
          <w:bCs/>
          <w:sz w:val="24"/>
          <w:szCs w:val="24"/>
        </w:rPr>
        <w:tab/>
        <w:t>Describe any assurance of confidentiality provided to respondents and the basis for assurance in statute, regulation or agency policy</w:t>
      </w:r>
      <w:r w:rsidRPr="004A3307">
        <w:rPr>
          <w:i/>
          <w:iCs/>
          <w:sz w:val="24"/>
          <w:szCs w:val="24"/>
        </w:rPr>
        <w:t>.</w:t>
      </w:r>
    </w:p>
    <w:p w:rsidR="00053813" w:rsidRPr="004A3307" w:rsidP="00025206" w14:paraId="7BFF31EE" w14:textId="77777777">
      <w:pPr>
        <w:keepLines/>
        <w:tabs>
          <w:tab w:val="left" w:pos="360"/>
        </w:tabs>
        <w:spacing w:after="80"/>
        <w:ind w:left="360" w:hanging="360"/>
        <w:rPr>
          <w:sz w:val="24"/>
          <w:szCs w:val="24"/>
        </w:rPr>
      </w:pPr>
    </w:p>
    <w:p w:rsidR="008C5177" w:rsidRPr="004A3307" w:rsidP="00025206" w14:paraId="59347A52" w14:textId="2C88EA39">
      <w:pPr>
        <w:keepLines/>
        <w:tabs>
          <w:tab w:val="left" w:pos="360"/>
          <w:tab w:val="left" w:pos="720"/>
        </w:tabs>
        <w:ind w:left="360"/>
        <w:rPr>
          <w:sz w:val="24"/>
          <w:szCs w:val="24"/>
        </w:rPr>
      </w:pPr>
      <w:r w:rsidRPr="004A3307">
        <w:rPr>
          <w:sz w:val="24"/>
          <w:szCs w:val="24"/>
        </w:rPr>
        <w:t xml:space="preserve">The Privacy Act </w:t>
      </w:r>
      <w:r w:rsidRPr="004A3307" w:rsidR="00187D13">
        <w:rPr>
          <w:sz w:val="24"/>
          <w:szCs w:val="24"/>
        </w:rPr>
        <w:t xml:space="preserve">(5 U.S.C § 552a) </w:t>
      </w:r>
      <w:r w:rsidRPr="004A3307">
        <w:rPr>
          <w:sz w:val="24"/>
          <w:szCs w:val="24"/>
        </w:rPr>
        <w:t xml:space="preserve">protects the information </w:t>
      </w:r>
      <w:r w:rsidRPr="004A3307" w:rsidR="00187D13">
        <w:rPr>
          <w:sz w:val="24"/>
          <w:szCs w:val="24"/>
        </w:rPr>
        <w:t xml:space="preserve">being </w:t>
      </w:r>
      <w:r w:rsidRPr="004A3307">
        <w:rPr>
          <w:sz w:val="24"/>
          <w:szCs w:val="24"/>
        </w:rPr>
        <w:t>collected</w:t>
      </w:r>
      <w:r w:rsidR="00990CFA">
        <w:rPr>
          <w:sz w:val="24"/>
          <w:szCs w:val="24"/>
        </w:rPr>
        <w:t xml:space="preserve">. </w:t>
      </w:r>
      <w:r w:rsidRPr="00990CFA" w:rsidR="00990CFA">
        <w:rPr>
          <w:sz w:val="24"/>
          <w:szCs w:val="24"/>
        </w:rPr>
        <w:t>OPM and HUD provide a Privacy Act Statement (PAS) when employees or contractors sign and submit security processing forms in which individuals are informed that a background investigation is being initiated on their behalf</w:t>
      </w:r>
      <w:r w:rsidR="00990CFA">
        <w:rPr>
          <w:sz w:val="24"/>
          <w:szCs w:val="24"/>
        </w:rPr>
        <w:t xml:space="preserve">. </w:t>
      </w:r>
    </w:p>
    <w:p w:rsidR="00025206" w:rsidRPr="004A3307" w:rsidP="008E2781" w14:paraId="367AAF20" w14:textId="20D67D9D">
      <w:pPr>
        <w:overflowPunct/>
        <w:autoSpaceDE/>
        <w:autoSpaceDN/>
        <w:adjustRightInd/>
        <w:spacing w:after="160" w:line="259" w:lineRule="auto"/>
        <w:ind w:firstLine="360"/>
        <w:textAlignment w:val="auto"/>
        <w:rPr>
          <w:sz w:val="24"/>
          <w:szCs w:val="24"/>
        </w:rPr>
      </w:pPr>
    </w:p>
    <w:p w:rsidR="00025206" w:rsidRPr="004A3307" w:rsidP="00025206" w14:paraId="788A5896" w14:textId="77777777">
      <w:pPr>
        <w:keepLines/>
        <w:tabs>
          <w:tab w:val="left" w:pos="360"/>
        </w:tabs>
        <w:spacing w:after="80"/>
        <w:ind w:left="360" w:hanging="360"/>
        <w:rPr>
          <w:b/>
          <w:bCs/>
          <w:sz w:val="24"/>
          <w:szCs w:val="24"/>
        </w:rPr>
      </w:pPr>
      <w:r w:rsidRPr="004A3307">
        <w:rPr>
          <w:b/>
          <w:bCs/>
          <w:sz w:val="24"/>
          <w:szCs w:val="24"/>
        </w:rPr>
        <w:t>11.</w:t>
      </w:r>
      <w:r w:rsidRPr="004A3307">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7D18" w:rsidRPr="004A3307" w:rsidP="00025206" w14:paraId="1EB383C7" w14:textId="77777777">
      <w:pPr>
        <w:keepLines/>
        <w:tabs>
          <w:tab w:val="left" w:pos="360"/>
          <w:tab w:val="left" w:pos="720"/>
        </w:tabs>
        <w:ind w:left="360"/>
        <w:rPr>
          <w:sz w:val="24"/>
          <w:szCs w:val="24"/>
        </w:rPr>
      </w:pPr>
    </w:p>
    <w:p w:rsidR="00025206" w:rsidRPr="004A3307" w:rsidP="00025206" w14:paraId="6E757264" w14:textId="6EA48E66">
      <w:pPr>
        <w:keepLines/>
        <w:tabs>
          <w:tab w:val="left" w:pos="360"/>
          <w:tab w:val="left" w:pos="720"/>
        </w:tabs>
        <w:ind w:left="360"/>
        <w:rPr>
          <w:sz w:val="24"/>
          <w:szCs w:val="24"/>
        </w:rPr>
      </w:pPr>
      <w:r w:rsidRPr="004A3307">
        <w:rPr>
          <w:sz w:val="24"/>
          <w:szCs w:val="24"/>
        </w:rPr>
        <w:t>None of the information collection describe</w:t>
      </w:r>
      <w:r w:rsidRPr="004A3307" w:rsidR="006F4434">
        <w:rPr>
          <w:sz w:val="24"/>
          <w:szCs w:val="24"/>
        </w:rPr>
        <w:t>d</w:t>
      </w:r>
      <w:r w:rsidRPr="004A3307">
        <w:rPr>
          <w:sz w:val="24"/>
          <w:szCs w:val="24"/>
        </w:rPr>
        <w:t xml:space="preserve"> herein includes questions of a sen</w:t>
      </w:r>
      <w:r w:rsidRPr="004A3307" w:rsidR="00457D18">
        <w:rPr>
          <w:sz w:val="24"/>
          <w:szCs w:val="24"/>
        </w:rPr>
        <w:t>s</w:t>
      </w:r>
      <w:r w:rsidRPr="004A3307">
        <w:rPr>
          <w:sz w:val="24"/>
          <w:szCs w:val="24"/>
        </w:rPr>
        <w:t xml:space="preserve">itive nature. </w:t>
      </w:r>
    </w:p>
    <w:p w:rsidR="00025206" w:rsidRPr="004A3307" w:rsidP="00025206" w14:paraId="2AB268EE" w14:textId="77777777">
      <w:pPr>
        <w:tabs>
          <w:tab w:val="left" w:pos="360"/>
        </w:tabs>
        <w:ind w:left="360" w:hanging="360"/>
        <w:rPr>
          <w:sz w:val="24"/>
          <w:szCs w:val="24"/>
        </w:rPr>
      </w:pPr>
    </w:p>
    <w:p w:rsidR="00025206" w:rsidRPr="004A3307" w:rsidP="00E72862" w14:paraId="19703D04" w14:textId="77777777">
      <w:pPr>
        <w:ind w:left="360" w:hanging="360"/>
        <w:rPr>
          <w:b/>
          <w:bCs/>
          <w:sz w:val="24"/>
          <w:szCs w:val="24"/>
        </w:rPr>
      </w:pPr>
      <w:r w:rsidRPr="004A3307">
        <w:rPr>
          <w:b/>
          <w:bCs/>
          <w:sz w:val="24"/>
          <w:szCs w:val="24"/>
        </w:rPr>
        <w:t>12.</w:t>
      </w:r>
      <w:r w:rsidRPr="004A3307">
        <w:rPr>
          <w:b/>
          <w:bCs/>
          <w:sz w:val="24"/>
          <w:szCs w:val="24"/>
        </w:rPr>
        <w:tab/>
        <w:t xml:space="preserve">Provide estimates of the hour burden of the collection of information.  The statement should: </w:t>
      </w:r>
    </w:p>
    <w:p w:rsidR="00025206" w:rsidRPr="004A3307" w:rsidP="00025206" w14:paraId="01E19208" w14:textId="77777777">
      <w:pPr>
        <w:numPr>
          <w:ilvl w:val="0"/>
          <w:numId w:val="2"/>
        </w:numPr>
        <w:tabs>
          <w:tab w:val="left" w:pos="480"/>
        </w:tabs>
        <w:ind w:left="480"/>
        <w:rPr>
          <w:b/>
          <w:bCs/>
          <w:sz w:val="24"/>
          <w:szCs w:val="24"/>
        </w:rPr>
      </w:pPr>
      <w:r w:rsidRPr="004A3307">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4A3307">
        <w:rPr>
          <w:b/>
          <w:bCs/>
          <w:sz w:val="24"/>
          <w:szCs w:val="24"/>
        </w:rPr>
        <w:t>practices;</w:t>
      </w:r>
      <w:r w:rsidRPr="004A3307">
        <w:rPr>
          <w:b/>
          <w:bCs/>
          <w:sz w:val="24"/>
          <w:szCs w:val="24"/>
        </w:rPr>
        <w:t xml:space="preserve"> </w:t>
      </w:r>
    </w:p>
    <w:p w:rsidR="00025206" w:rsidRPr="004A3307" w:rsidP="00025206" w14:paraId="45ABECA3" w14:textId="77777777">
      <w:pPr>
        <w:numPr>
          <w:ilvl w:val="0"/>
          <w:numId w:val="2"/>
        </w:numPr>
        <w:tabs>
          <w:tab w:val="left" w:pos="480"/>
        </w:tabs>
        <w:ind w:left="480"/>
        <w:rPr>
          <w:b/>
          <w:bCs/>
          <w:sz w:val="24"/>
          <w:szCs w:val="24"/>
        </w:rPr>
      </w:pPr>
      <w:r w:rsidRPr="004A3307">
        <w:rPr>
          <w:b/>
          <w:bCs/>
          <w:sz w:val="24"/>
          <w:szCs w:val="24"/>
        </w:rPr>
        <w:t xml:space="preserve">if this request covers more than one form, provide separate hour burden estimates for each form and aggregate the hour burdens in Item 13 of OMB Form 83-I; and </w:t>
      </w:r>
    </w:p>
    <w:p w:rsidR="00457D18" w:rsidRPr="004A3307" w:rsidP="00025206" w14:paraId="2A3FB504" w14:textId="77777777">
      <w:pPr>
        <w:keepLines/>
        <w:numPr>
          <w:ilvl w:val="0"/>
          <w:numId w:val="2"/>
        </w:numPr>
        <w:tabs>
          <w:tab w:val="left" w:pos="480"/>
        </w:tabs>
        <w:spacing w:after="80"/>
        <w:ind w:left="480"/>
        <w:rPr>
          <w:b/>
          <w:bCs/>
          <w:sz w:val="24"/>
          <w:szCs w:val="24"/>
        </w:rPr>
      </w:pPr>
      <w:r w:rsidRPr="004A3307">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025206" w:rsidRPr="004A3307" w:rsidP="00457D18" w14:paraId="6FA1F7BD" w14:textId="69101485">
      <w:pPr>
        <w:keepLines/>
        <w:tabs>
          <w:tab w:val="left" w:pos="480"/>
        </w:tabs>
        <w:spacing w:after="80"/>
        <w:ind w:left="480"/>
        <w:rPr>
          <w:b/>
          <w:bCs/>
          <w:sz w:val="24"/>
          <w:szCs w:val="24"/>
        </w:rPr>
      </w:pPr>
      <w:r w:rsidRPr="004A3307">
        <w:rPr>
          <w:b/>
          <w:bCs/>
          <w:sz w:val="24"/>
          <w:szCs w:val="24"/>
        </w:rPr>
        <w:t>Instead</w:t>
      </w:r>
      <w:r w:rsidRPr="004A3307">
        <w:rPr>
          <w:b/>
          <w:bCs/>
          <w:sz w:val="24"/>
          <w:szCs w:val="24"/>
        </w:rPr>
        <w:t xml:space="preserve"> this cost should be included in Item 13. </w:t>
      </w:r>
    </w:p>
    <w:p w:rsidR="00457D18" w:rsidRPr="004A3307" w:rsidP="00457D18" w14:paraId="4E421BB5" w14:textId="16BE6437">
      <w:pPr>
        <w:keepLines/>
        <w:tabs>
          <w:tab w:val="left" w:pos="480"/>
        </w:tabs>
        <w:spacing w:after="80"/>
        <w:ind w:left="480"/>
        <w:rPr>
          <w:sz w:val="24"/>
          <w:szCs w:val="24"/>
        </w:rPr>
      </w:pPr>
      <w:r w:rsidRPr="004A3307">
        <w:rPr>
          <w:sz w:val="24"/>
          <w:szCs w:val="24"/>
        </w:rPr>
        <w:t xml:space="preserve"> </w:t>
      </w:r>
    </w:p>
    <w:tbl>
      <w:tblPr>
        <w:tblW w:w="10170" w:type="dxa"/>
        <w:tblInd w:w="-118" w:type="dxa"/>
        <w:tblLayout w:type="fixed"/>
        <w:tblCellMar>
          <w:left w:w="0" w:type="dxa"/>
          <w:right w:w="0" w:type="dxa"/>
        </w:tblCellMar>
        <w:tblLook w:val="04A0"/>
      </w:tblPr>
      <w:tblGrid>
        <w:gridCol w:w="1476"/>
        <w:gridCol w:w="1360"/>
        <w:gridCol w:w="1286"/>
        <w:gridCol w:w="1368"/>
        <w:gridCol w:w="1440"/>
        <w:gridCol w:w="990"/>
        <w:gridCol w:w="1080"/>
        <w:gridCol w:w="1170"/>
      </w:tblGrid>
      <w:tr w14:paraId="7791F434" w14:textId="77777777" w:rsidTr="008E2781">
        <w:tblPrEx>
          <w:tblW w:w="10170" w:type="dxa"/>
          <w:tblInd w:w="-118" w:type="dxa"/>
          <w:tblLayout w:type="fixed"/>
          <w:tblCellMar>
            <w:left w:w="0" w:type="dxa"/>
            <w:right w:w="0" w:type="dxa"/>
          </w:tblCellMar>
          <w:tblLook w:val="04A0"/>
        </w:tblPrEx>
        <w:trPr>
          <w:trHeight w:val="709"/>
        </w:trPr>
        <w:tc>
          <w:tcPr>
            <w:tcW w:w="14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67D4A" w:rsidRPr="00E72862" w:rsidP="00E065AB" w14:paraId="69923EDB" w14:textId="77777777">
            <w:pPr>
              <w:jc w:val="center"/>
              <w:rPr>
                <w:rFonts w:eastAsia="Calibri"/>
                <w:b/>
                <w:sz w:val="18"/>
                <w:szCs w:val="18"/>
              </w:rPr>
            </w:pPr>
            <w:r w:rsidRPr="00E72862">
              <w:rPr>
                <w:b/>
                <w:sz w:val="18"/>
                <w:szCs w:val="18"/>
              </w:rPr>
              <w:t>Information Collection</w:t>
            </w:r>
          </w:p>
        </w:tc>
        <w:tc>
          <w:tcPr>
            <w:tcW w:w="13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67D4A" w:rsidRPr="00E72862" w:rsidP="00E065AB" w14:paraId="2A824C99" w14:textId="77777777">
            <w:pPr>
              <w:jc w:val="center"/>
              <w:rPr>
                <w:rFonts w:eastAsia="Calibri"/>
                <w:b/>
                <w:sz w:val="18"/>
                <w:szCs w:val="18"/>
              </w:rPr>
            </w:pPr>
            <w:r w:rsidRPr="00E72862">
              <w:rPr>
                <w:b/>
                <w:sz w:val="18"/>
                <w:szCs w:val="18"/>
              </w:rPr>
              <w:t>Number of Respondents</w:t>
            </w:r>
          </w:p>
        </w:tc>
        <w:tc>
          <w:tcPr>
            <w:tcW w:w="12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67D4A" w:rsidRPr="00E72862" w:rsidP="00E065AB" w14:paraId="63C158C8" w14:textId="77777777">
            <w:pPr>
              <w:jc w:val="center"/>
              <w:rPr>
                <w:rFonts w:eastAsia="Calibri"/>
                <w:b/>
                <w:sz w:val="18"/>
                <w:szCs w:val="18"/>
              </w:rPr>
            </w:pPr>
            <w:r w:rsidRPr="00E72862">
              <w:rPr>
                <w:b/>
                <w:sz w:val="18"/>
                <w:szCs w:val="18"/>
              </w:rPr>
              <w:t>Frequency of Response</w:t>
            </w:r>
          </w:p>
        </w:tc>
        <w:tc>
          <w:tcPr>
            <w:tcW w:w="13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67D4A" w:rsidRPr="00E72862" w:rsidP="00E065AB" w14:paraId="0B77CA46" w14:textId="77777777">
            <w:pPr>
              <w:jc w:val="center"/>
              <w:rPr>
                <w:rFonts w:eastAsia="Calibri"/>
                <w:b/>
                <w:sz w:val="18"/>
                <w:szCs w:val="18"/>
              </w:rPr>
            </w:pPr>
            <w:r w:rsidRPr="00E72862">
              <w:rPr>
                <w:b/>
                <w:sz w:val="18"/>
                <w:szCs w:val="18"/>
              </w:rPr>
              <w:t>Responses</w:t>
            </w:r>
          </w:p>
          <w:p w:rsidR="00367D4A" w:rsidRPr="00E72862" w:rsidP="00E065AB" w14:paraId="0D979C33" w14:textId="77777777">
            <w:pPr>
              <w:jc w:val="center"/>
              <w:rPr>
                <w:rFonts w:eastAsia="Calibri"/>
                <w:b/>
                <w:sz w:val="18"/>
                <w:szCs w:val="18"/>
              </w:rPr>
            </w:pPr>
            <w:r w:rsidRPr="00E72862">
              <w:rPr>
                <w:b/>
                <w:sz w:val="18"/>
                <w:szCs w:val="18"/>
              </w:rPr>
              <w:t>Per Annum</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67D4A" w:rsidRPr="00E72862" w:rsidP="00E065AB" w14:paraId="0C500FEC" w14:textId="77777777">
            <w:pPr>
              <w:jc w:val="center"/>
              <w:rPr>
                <w:rFonts w:eastAsia="Calibri"/>
                <w:b/>
                <w:sz w:val="18"/>
                <w:szCs w:val="18"/>
              </w:rPr>
            </w:pPr>
            <w:r w:rsidRPr="00E72862">
              <w:rPr>
                <w:b/>
                <w:sz w:val="18"/>
                <w:szCs w:val="18"/>
              </w:rPr>
              <w:t>Burden Hour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67D4A" w:rsidRPr="00E72862" w:rsidP="00E065AB" w14:paraId="767F7778" w14:textId="77777777">
            <w:pPr>
              <w:jc w:val="center"/>
              <w:rPr>
                <w:rFonts w:eastAsia="Calibri"/>
                <w:b/>
                <w:sz w:val="18"/>
                <w:szCs w:val="18"/>
              </w:rPr>
            </w:pPr>
            <w:r w:rsidRPr="00E72862">
              <w:rPr>
                <w:b/>
                <w:sz w:val="18"/>
                <w:szCs w:val="18"/>
              </w:rPr>
              <w:t>Annual Burden Hours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67D4A" w:rsidRPr="00E72862" w:rsidP="00E065AB" w14:paraId="13173347" w14:textId="77777777">
            <w:pPr>
              <w:jc w:val="center"/>
              <w:rPr>
                <w:rFonts w:eastAsia="Calibri"/>
                <w:b/>
                <w:sz w:val="18"/>
                <w:szCs w:val="18"/>
              </w:rPr>
            </w:pPr>
            <w:r w:rsidRPr="00E72862">
              <w:rPr>
                <w:b/>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67D4A" w:rsidRPr="00E72862" w:rsidP="00E065AB" w14:paraId="7C16E7DB" w14:textId="77777777">
            <w:pPr>
              <w:jc w:val="center"/>
              <w:rPr>
                <w:rFonts w:eastAsia="Calibri"/>
                <w:b/>
                <w:sz w:val="18"/>
                <w:szCs w:val="18"/>
              </w:rPr>
            </w:pPr>
            <w:r w:rsidRPr="00E72862">
              <w:rPr>
                <w:b/>
                <w:sz w:val="18"/>
                <w:szCs w:val="18"/>
              </w:rPr>
              <w:t>Annual Cost</w:t>
            </w:r>
          </w:p>
          <w:p w:rsidR="00367D4A" w:rsidRPr="00E72862" w:rsidP="00E065AB" w14:paraId="15C9BE30" w14:textId="77777777">
            <w:pPr>
              <w:jc w:val="center"/>
              <w:rPr>
                <w:rFonts w:eastAsia="Calibri"/>
                <w:b/>
                <w:sz w:val="18"/>
                <w:szCs w:val="18"/>
              </w:rPr>
            </w:pPr>
          </w:p>
        </w:tc>
      </w:tr>
      <w:tr w14:paraId="09FD5DBC" w14:textId="77777777" w:rsidTr="008E2781">
        <w:tblPrEx>
          <w:tblW w:w="10170" w:type="dxa"/>
          <w:tblInd w:w="-118" w:type="dxa"/>
          <w:tblLayout w:type="fixed"/>
          <w:tblCellMar>
            <w:left w:w="0" w:type="dxa"/>
            <w:right w:w="0" w:type="dxa"/>
          </w:tblCellMar>
          <w:tblLook w:val="04A0"/>
        </w:tblPrEx>
        <w:trPr>
          <w:trHeight w:val="852"/>
        </w:trPr>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7D4A" w:rsidRPr="00E72862" w:rsidP="00E065AB" w14:paraId="355254A5" w14:textId="77777777">
            <w:pPr>
              <w:rPr>
                <w:b/>
                <w:bCs/>
                <w:sz w:val="18"/>
                <w:szCs w:val="18"/>
              </w:rPr>
            </w:pPr>
            <w:r w:rsidRPr="00E72862">
              <w:rPr>
                <w:b/>
                <w:bCs/>
                <w:sz w:val="18"/>
                <w:szCs w:val="18"/>
              </w:rPr>
              <w:t>22019 PIV Pre-Screen Application</w:t>
            </w:r>
          </w:p>
        </w:tc>
        <w:tc>
          <w:tcPr>
            <w:tcW w:w="1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32860B32" w14:textId="77777777">
            <w:pPr>
              <w:jc w:val="center"/>
              <w:rPr>
                <w:b/>
                <w:bCs/>
                <w:sz w:val="18"/>
                <w:szCs w:val="18"/>
              </w:rPr>
            </w:pPr>
            <w:r w:rsidRPr="00E72862">
              <w:rPr>
                <w:b/>
                <w:bCs/>
                <w:sz w:val="18"/>
                <w:szCs w:val="18"/>
              </w:rPr>
              <w:t>1,625</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5B683B0E" w14:textId="77777777">
            <w:pPr>
              <w:jc w:val="center"/>
              <w:rPr>
                <w:rFonts w:eastAsia="Calibri"/>
                <w:b/>
                <w:bCs/>
                <w:sz w:val="18"/>
                <w:szCs w:val="18"/>
              </w:rPr>
            </w:pPr>
            <w:r w:rsidRPr="00E72862">
              <w:rPr>
                <w:rFonts w:eastAsia="Calibri"/>
                <w:b/>
                <w:bCs/>
                <w:sz w:val="18"/>
                <w:szCs w:val="18"/>
              </w:rPr>
              <w:t>1</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48AE6346" w14:textId="77777777">
            <w:pPr>
              <w:jc w:val="center"/>
              <w:rPr>
                <w:rFonts w:eastAsia="Calibri"/>
                <w:b/>
                <w:bCs/>
                <w:sz w:val="18"/>
                <w:szCs w:val="18"/>
              </w:rPr>
            </w:pPr>
            <w:r w:rsidRPr="00E72862">
              <w:rPr>
                <w:rFonts w:eastAsia="Calibri"/>
                <w:b/>
                <w:bCs/>
                <w:sz w:val="18"/>
                <w:szCs w:val="18"/>
              </w:rPr>
              <w:t>1,625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65235071" w14:textId="77777777">
            <w:pPr>
              <w:jc w:val="center"/>
              <w:rPr>
                <w:rFonts w:eastAsia="Calibri"/>
                <w:b/>
                <w:bCs/>
                <w:sz w:val="18"/>
                <w:szCs w:val="18"/>
              </w:rPr>
            </w:pPr>
            <w:r w:rsidRPr="00E72862">
              <w:rPr>
                <w:rFonts w:eastAsia="Calibri"/>
                <w:b/>
                <w:bCs/>
                <w:sz w:val="18"/>
                <w:szCs w:val="18"/>
              </w:rPr>
              <w:t>.17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16D1DAFE" w14:textId="77777777">
            <w:pPr>
              <w:jc w:val="center"/>
              <w:rPr>
                <w:rFonts w:eastAsia="Calibri"/>
                <w:b/>
                <w:bCs/>
                <w:sz w:val="18"/>
                <w:szCs w:val="18"/>
              </w:rPr>
            </w:pPr>
            <w:r w:rsidRPr="00E72862">
              <w:rPr>
                <w:rFonts w:eastAsia="Calibri"/>
                <w:b/>
                <w:bCs/>
                <w:sz w:val="18"/>
                <w:szCs w:val="18"/>
              </w:rPr>
              <w:t>276.25</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0BCAF0E2" w14:textId="31DB3B9A">
            <w:pPr>
              <w:jc w:val="center"/>
              <w:rPr>
                <w:rFonts w:eastAsia="Calibri"/>
                <w:b/>
                <w:bCs/>
                <w:sz w:val="18"/>
                <w:szCs w:val="18"/>
              </w:rPr>
            </w:pPr>
            <w:r w:rsidRPr="00E72862">
              <w:rPr>
                <w:rFonts w:eastAsia="Calibri"/>
                <w:b/>
                <w:bCs/>
                <w:sz w:val="18"/>
                <w:szCs w:val="18"/>
              </w:rPr>
              <w:t>$</w:t>
            </w:r>
            <w:r w:rsidR="004D4D4B">
              <w:rPr>
                <w:rFonts w:eastAsia="Calibri"/>
                <w:b/>
                <w:bCs/>
                <w:sz w:val="18"/>
                <w:szCs w:val="18"/>
              </w:rPr>
              <w:t>43.77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0387C0D5" w14:textId="53F1BA65">
            <w:pPr>
              <w:jc w:val="center"/>
              <w:rPr>
                <w:rFonts w:eastAsia="Calibri"/>
                <w:b/>
                <w:bCs/>
                <w:sz w:val="18"/>
                <w:szCs w:val="18"/>
              </w:rPr>
            </w:pPr>
            <w:r w:rsidRPr="00E72862">
              <w:rPr>
                <w:rFonts w:eastAsia="Calibri"/>
                <w:b/>
                <w:bCs/>
                <w:sz w:val="18"/>
                <w:szCs w:val="18"/>
              </w:rPr>
              <w:t>$</w:t>
            </w:r>
            <w:r w:rsidR="00155FFD">
              <w:rPr>
                <w:rFonts w:eastAsia="Calibri"/>
                <w:b/>
                <w:bCs/>
                <w:sz w:val="18"/>
                <w:szCs w:val="18"/>
              </w:rPr>
              <w:t>12, 091.46</w:t>
            </w:r>
          </w:p>
        </w:tc>
      </w:tr>
      <w:tr w14:paraId="5FEFB27A" w14:textId="77777777" w:rsidTr="008E2781">
        <w:tblPrEx>
          <w:tblW w:w="10170" w:type="dxa"/>
          <w:tblInd w:w="-118" w:type="dxa"/>
          <w:tblLayout w:type="fixed"/>
          <w:tblCellMar>
            <w:left w:w="0" w:type="dxa"/>
            <w:right w:w="0" w:type="dxa"/>
          </w:tblCellMar>
          <w:tblLook w:val="04A0"/>
        </w:tblPrEx>
        <w:trPr>
          <w:trHeight w:val="386"/>
        </w:trPr>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7D4A" w:rsidRPr="00E72862" w:rsidP="00E065AB" w14:paraId="5801AB2B" w14:textId="77777777">
            <w:pPr>
              <w:rPr>
                <w:b/>
                <w:bCs/>
                <w:sz w:val="18"/>
                <w:szCs w:val="18"/>
              </w:rPr>
            </w:pPr>
            <w:r w:rsidRPr="00E72862">
              <w:rPr>
                <w:b/>
                <w:bCs/>
                <w:sz w:val="18"/>
                <w:szCs w:val="18"/>
              </w:rPr>
              <w:t>Total</w:t>
            </w:r>
          </w:p>
        </w:tc>
        <w:tc>
          <w:tcPr>
            <w:tcW w:w="1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53108176" w14:textId="77777777">
            <w:pPr>
              <w:jc w:val="center"/>
              <w:rPr>
                <w:b/>
                <w:bCs/>
                <w:sz w:val="18"/>
                <w:szCs w:val="18"/>
              </w:rPr>
            </w:pPr>
            <w:r w:rsidRPr="00E72862">
              <w:rPr>
                <w:b/>
                <w:bCs/>
                <w:sz w:val="18"/>
                <w:szCs w:val="18"/>
              </w:rPr>
              <w:t>1,625</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3B437AD6" w14:textId="77777777">
            <w:pPr>
              <w:jc w:val="center"/>
              <w:rPr>
                <w:rFonts w:eastAsia="Calibri"/>
                <w:b/>
                <w:bCs/>
                <w:sz w:val="18"/>
                <w:szCs w:val="18"/>
              </w:rPr>
            </w:pPr>
            <w:r w:rsidRPr="00E72862">
              <w:rPr>
                <w:rFonts w:eastAsia="Calibri"/>
                <w:b/>
                <w:bCs/>
                <w:sz w:val="18"/>
                <w:szCs w:val="18"/>
              </w:rPr>
              <w:t>1</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26CC3DF5" w14:textId="77777777">
            <w:pPr>
              <w:jc w:val="center"/>
              <w:rPr>
                <w:rFonts w:eastAsia="Calibri"/>
                <w:b/>
                <w:bCs/>
                <w:sz w:val="18"/>
                <w:szCs w:val="18"/>
              </w:rPr>
            </w:pPr>
            <w:r w:rsidRPr="00E72862">
              <w:rPr>
                <w:rFonts w:eastAsia="Calibri"/>
                <w:b/>
                <w:bCs/>
                <w:sz w:val="18"/>
                <w:szCs w:val="18"/>
              </w:rPr>
              <w:t>1,625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0471AE28" w14:textId="77777777">
            <w:pPr>
              <w:jc w:val="center"/>
              <w:rPr>
                <w:rFonts w:eastAsia="Calibri"/>
                <w:b/>
                <w:bCs/>
                <w:sz w:val="18"/>
                <w:szCs w:val="18"/>
              </w:rPr>
            </w:pPr>
            <w:r w:rsidRPr="00E72862">
              <w:rPr>
                <w:rFonts w:eastAsia="Calibri"/>
                <w:b/>
                <w:bCs/>
                <w:sz w:val="18"/>
                <w:szCs w:val="18"/>
              </w:rPr>
              <w:t>.17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1832F951" w14:textId="77777777">
            <w:pPr>
              <w:jc w:val="center"/>
              <w:rPr>
                <w:rFonts w:eastAsia="Calibri"/>
                <w:b/>
                <w:bCs/>
                <w:sz w:val="18"/>
                <w:szCs w:val="18"/>
              </w:rPr>
            </w:pPr>
            <w:r w:rsidRPr="00E72862">
              <w:rPr>
                <w:rFonts w:eastAsia="Calibri"/>
                <w:b/>
                <w:bCs/>
                <w:sz w:val="18"/>
                <w:szCs w:val="18"/>
              </w:rPr>
              <w:t>276.25</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76936885" w14:textId="1604C2C6">
            <w:pPr>
              <w:jc w:val="center"/>
              <w:rPr>
                <w:rFonts w:eastAsia="Calibri"/>
                <w:b/>
                <w:bCs/>
                <w:sz w:val="18"/>
                <w:szCs w:val="18"/>
              </w:rPr>
            </w:pPr>
            <w:r w:rsidRPr="00E72862">
              <w:rPr>
                <w:rFonts w:eastAsia="Calibri"/>
                <w:b/>
                <w:bCs/>
                <w:sz w:val="18"/>
                <w:szCs w:val="18"/>
              </w:rPr>
              <w:t>$</w:t>
            </w:r>
            <w:r w:rsidR="004D4D4B">
              <w:rPr>
                <w:rFonts w:eastAsia="Calibri"/>
                <w:b/>
                <w:bCs/>
                <w:sz w:val="18"/>
                <w:szCs w:val="18"/>
              </w:rPr>
              <w:t>4</w:t>
            </w:r>
            <w:r w:rsidRPr="00E72862">
              <w:rPr>
                <w:rFonts w:eastAsia="Calibri"/>
                <w:b/>
                <w:bCs/>
                <w:sz w:val="18"/>
                <w:szCs w:val="18"/>
              </w:rPr>
              <w:t>3.</w:t>
            </w:r>
            <w:r w:rsidR="004D4D4B">
              <w:rPr>
                <w:rFonts w:eastAsia="Calibri"/>
                <w:b/>
                <w:bCs/>
                <w:sz w:val="18"/>
                <w:szCs w:val="18"/>
              </w:rPr>
              <w:t>77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7D4A" w:rsidRPr="00E72862" w:rsidP="00E065AB" w14:paraId="101DBD31" w14:textId="3B09E146">
            <w:pPr>
              <w:jc w:val="right"/>
              <w:rPr>
                <w:rFonts w:eastAsia="Calibri"/>
                <w:b/>
                <w:bCs/>
                <w:sz w:val="18"/>
                <w:szCs w:val="18"/>
              </w:rPr>
            </w:pPr>
            <w:r w:rsidRPr="00E72862">
              <w:rPr>
                <w:rFonts w:eastAsia="Calibri"/>
                <w:b/>
                <w:bCs/>
                <w:sz w:val="18"/>
                <w:szCs w:val="18"/>
              </w:rPr>
              <w:t>$</w:t>
            </w:r>
            <w:r w:rsidR="00155FFD">
              <w:rPr>
                <w:rFonts w:eastAsia="Calibri"/>
                <w:b/>
                <w:bCs/>
                <w:sz w:val="18"/>
                <w:szCs w:val="18"/>
              </w:rPr>
              <w:t>12</w:t>
            </w:r>
            <w:r w:rsidRPr="00E72862">
              <w:rPr>
                <w:rFonts w:eastAsia="Calibri"/>
                <w:b/>
                <w:bCs/>
                <w:sz w:val="18"/>
                <w:szCs w:val="18"/>
              </w:rPr>
              <w:t>,0</w:t>
            </w:r>
            <w:r w:rsidR="00155FFD">
              <w:rPr>
                <w:rFonts w:eastAsia="Calibri"/>
                <w:b/>
                <w:bCs/>
                <w:sz w:val="18"/>
                <w:szCs w:val="18"/>
              </w:rPr>
              <w:t>91</w:t>
            </w:r>
            <w:r w:rsidRPr="00E72862">
              <w:rPr>
                <w:rFonts w:eastAsia="Calibri"/>
                <w:b/>
                <w:bCs/>
                <w:sz w:val="18"/>
                <w:szCs w:val="18"/>
              </w:rPr>
              <w:t>.</w:t>
            </w:r>
            <w:r w:rsidR="00155FFD">
              <w:rPr>
                <w:rFonts w:eastAsia="Calibri"/>
                <w:b/>
                <w:bCs/>
                <w:sz w:val="18"/>
                <w:szCs w:val="18"/>
              </w:rPr>
              <w:t>46</w:t>
            </w:r>
          </w:p>
        </w:tc>
      </w:tr>
    </w:tbl>
    <w:p w:rsidR="00367D4A" w:rsidRPr="00E72862" w:rsidP="00457D18" w14:paraId="0D5F6CE1" w14:textId="55A1837E">
      <w:pPr>
        <w:keepLines/>
        <w:tabs>
          <w:tab w:val="left" w:pos="480"/>
        </w:tabs>
        <w:spacing w:after="80"/>
        <w:ind w:left="480"/>
        <w:rPr>
          <w:sz w:val="24"/>
          <w:szCs w:val="24"/>
        </w:rPr>
      </w:pPr>
      <w:r w:rsidRPr="00E72862">
        <w:rPr>
          <w:sz w:val="24"/>
          <w:szCs w:val="24"/>
        </w:rPr>
        <w:t xml:space="preserve"> </w:t>
      </w:r>
    </w:p>
    <w:p w:rsidR="00025206" w:rsidRPr="00E72862" w:rsidP="00025206" w14:paraId="1DA64BD3" w14:textId="1FBAA9B2">
      <w:pPr>
        <w:keepLines/>
        <w:tabs>
          <w:tab w:val="left" w:pos="480"/>
        </w:tabs>
        <w:spacing w:after="80"/>
        <w:rPr>
          <w:sz w:val="24"/>
          <w:szCs w:val="24"/>
        </w:rPr>
      </w:pPr>
      <w:r w:rsidRPr="00E72862">
        <w:rPr>
          <w:sz w:val="24"/>
          <w:szCs w:val="24"/>
        </w:rPr>
        <w:t xml:space="preserve">        </w:t>
      </w:r>
    </w:p>
    <w:p w:rsidR="00025206" w:rsidRPr="00E72862" w:rsidP="00E72862" w14:paraId="13C56871" w14:textId="381C91EA">
      <w:pPr>
        <w:keepLines/>
        <w:spacing w:after="80"/>
        <w:ind w:left="360" w:hanging="360"/>
        <w:rPr>
          <w:b/>
          <w:bCs/>
          <w:sz w:val="24"/>
          <w:szCs w:val="24"/>
        </w:rPr>
      </w:pPr>
      <w:r w:rsidRPr="00E72862">
        <w:rPr>
          <w:b/>
          <w:bCs/>
          <w:sz w:val="24"/>
          <w:szCs w:val="24"/>
        </w:rPr>
        <w:t xml:space="preserve">13. </w:t>
      </w:r>
      <w:r w:rsidRPr="00E72862">
        <w:rPr>
          <w:b/>
          <w:bCs/>
          <w:sz w:val="24"/>
          <w:szCs w:val="24"/>
        </w:rPr>
        <w:t>Provide an estimate of the total annual cost burden to respondents or recordkeepers resulting from</w:t>
      </w:r>
      <w:r w:rsidRPr="00E72862">
        <w:rPr>
          <w:b/>
          <w:bCs/>
          <w:sz w:val="24"/>
          <w:szCs w:val="24"/>
        </w:rPr>
        <w:t xml:space="preserve"> </w:t>
      </w:r>
      <w:r w:rsidRPr="00E72862">
        <w:rPr>
          <w:b/>
          <w:bCs/>
          <w:sz w:val="24"/>
          <w:szCs w:val="24"/>
        </w:rPr>
        <w:t xml:space="preserve">the collection of information (do not include the cost of any hour burden shown in Items 12 and 14). </w:t>
      </w:r>
    </w:p>
    <w:p w:rsidR="00025206" w:rsidRPr="00E72862" w:rsidP="00025206" w14:paraId="174480C8" w14:textId="77777777">
      <w:pPr>
        <w:numPr>
          <w:ilvl w:val="0"/>
          <w:numId w:val="2"/>
        </w:numPr>
        <w:tabs>
          <w:tab w:val="left" w:pos="360"/>
        </w:tabs>
        <w:ind w:left="480"/>
        <w:rPr>
          <w:b/>
          <w:bCs/>
          <w:sz w:val="24"/>
          <w:szCs w:val="24"/>
        </w:rPr>
      </w:pPr>
      <w:r w:rsidRPr="00E72862">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E72862">
        <w:rPr>
          <w:b/>
          <w:bCs/>
          <w:sz w:val="24"/>
          <w:szCs w:val="24"/>
        </w:rPr>
        <w:t>take into account</w:t>
      </w:r>
      <w:r w:rsidRPr="00E72862">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72862">
        <w:rPr>
          <w:b/>
          <w:bCs/>
          <w:sz w:val="24"/>
          <w:szCs w:val="24"/>
        </w:rPr>
        <w:t>time period</w:t>
      </w:r>
      <w:r w:rsidRPr="00E72862">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E72862">
        <w:rPr>
          <w:b/>
          <w:bCs/>
          <w:sz w:val="24"/>
          <w:szCs w:val="24"/>
        </w:rPr>
        <w:t>facilities;</w:t>
      </w:r>
      <w:r w:rsidRPr="00E72862">
        <w:rPr>
          <w:b/>
          <w:bCs/>
          <w:sz w:val="24"/>
          <w:szCs w:val="24"/>
        </w:rPr>
        <w:t xml:space="preserve"> </w:t>
      </w:r>
    </w:p>
    <w:p w:rsidR="00025206" w:rsidRPr="00E72862" w:rsidP="00025206" w14:paraId="3A0D484E" w14:textId="77777777">
      <w:pPr>
        <w:numPr>
          <w:ilvl w:val="0"/>
          <w:numId w:val="2"/>
        </w:numPr>
        <w:tabs>
          <w:tab w:val="left" w:pos="360"/>
        </w:tabs>
        <w:ind w:left="480"/>
        <w:rPr>
          <w:b/>
          <w:bCs/>
          <w:sz w:val="24"/>
          <w:szCs w:val="24"/>
        </w:rPr>
      </w:pPr>
      <w:r w:rsidRPr="00E72862">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25206" w:rsidRPr="00E72862" w:rsidP="00025206" w14:paraId="2A9BB566" w14:textId="77777777">
      <w:pPr>
        <w:keepLines/>
        <w:numPr>
          <w:ilvl w:val="0"/>
          <w:numId w:val="2"/>
        </w:numPr>
        <w:tabs>
          <w:tab w:val="left" w:pos="360"/>
        </w:tabs>
        <w:spacing w:after="80"/>
        <w:ind w:left="480"/>
        <w:rPr>
          <w:b/>
          <w:bCs/>
          <w:sz w:val="24"/>
          <w:szCs w:val="24"/>
        </w:rPr>
      </w:pPr>
      <w:r w:rsidRPr="00E72862">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62114D" w:rsidRPr="004A3307" w:rsidP="0062114D" w14:paraId="74B3BA08" w14:textId="77777777">
      <w:pPr>
        <w:rPr>
          <w:sz w:val="24"/>
          <w:szCs w:val="24"/>
        </w:rPr>
      </w:pPr>
    </w:p>
    <w:p w:rsidR="00457D18" w:rsidRPr="004A3307" w:rsidP="0062114D" w14:paraId="207E991F" w14:textId="5436DC2B">
      <w:pPr>
        <w:pStyle w:val="ListParagraph"/>
        <w:ind w:left="180"/>
        <w:rPr>
          <w:rFonts w:ascii="Times New Roman" w:hAnsi="Times New Roman" w:cs="Times New Roman"/>
          <w:sz w:val="24"/>
          <w:szCs w:val="24"/>
        </w:rPr>
      </w:pPr>
      <w:r w:rsidRPr="004A3307">
        <w:rPr>
          <w:rFonts w:ascii="Times New Roman" w:eastAsia="Times New Roman" w:hAnsi="Times New Roman" w:cs="Times New Roman"/>
          <w:sz w:val="24"/>
          <w:szCs w:val="24"/>
        </w:rPr>
        <w:t>This data collection effort involves no recordkeeping or reporting costs for respondents other than the time burden to respond to questions on the data collection instruments as described in item 12 above. There is no known additional cost burden to the respondents</w:t>
      </w:r>
    </w:p>
    <w:p w:rsidR="009A04C3" w:rsidRPr="00E72862" w:rsidP="00025206" w14:paraId="3EAB7F08" w14:textId="77777777">
      <w:pPr>
        <w:keepLines/>
        <w:tabs>
          <w:tab w:val="left" w:pos="360"/>
        </w:tabs>
        <w:spacing w:after="80"/>
        <w:ind w:left="480"/>
        <w:rPr>
          <w:sz w:val="24"/>
          <w:szCs w:val="24"/>
        </w:rPr>
      </w:pPr>
    </w:p>
    <w:p w:rsidR="00025206" w:rsidRPr="00E72862" w:rsidP="00E72862" w14:paraId="53535732" w14:textId="5F5725C5">
      <w:pPr>
        <w:keepLines/>
        <w:spacing w:after="80"/>
        <w:ind w:left="360" w:hanging="360"/>
        <w:rPr>
          <w:b/>
          <w:bCs/>
          <w:spacing w:val="1"/>
          <w:sz w:val="24"/>
          <w:szCs w:val="24"/>
        </w:rPr>
      </w:pPr>
      <w:r w:rsidRPr="00E72862">
        <w:rPr>
          <w:b/>
          <w:bCs/>
          <w:sz w:val="24"/>
          <w:szCs w:val="24"/>
        </w:rPr>
        <w:t>14.</w:t>
      </w:r>
      <w:r w:rsidRPr="00E72862">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E72862" w:rsidR="0094343D">
        <w:rPr>
          <w:b/>
          <w:bCs/>
          <w:sz w:val="24"/>
          <w:szCs w:val="24"/>
        </w:rPr>
        <w:t>.</w:t>
      </w:r>
      <w:r w:rsidRPr="00E72862">
        <w:rPr>
          <w:b/>
          <w:bCs/>
          <w:spacing w:val="1"/>
          <w:sz w:val="24"/>
          <w:szCs w:val="24"/>
        </w:rPr>
        <w:t xml:space="preserve"> </w:t>
      </w:r>
    </w:p>
    <w:p w:rsidR="009A04C3" w:rsidRPr="004A3307" w:rsidP="008E2781" w14:paraId="2256CE1F" w14:textId="397975AB">
      <w:pPr>
        <w:keepLines/>
        <w:tabs>
          <w:tab w:val="left" w:pos="360"/>
        </w:tabs>
        <w:spacing w:after="80"/>
        <w:ind w:left="360" w:hanging="360"/>
        <w:rPr>
          <w:sz w:val="24"/>
          <w:szCs w:val="24"/>
        </w:rPr>
      </w:pPr>
      <w:r w:rsidRPr="004A3307">
        <w:rPr>
          <w:spacing w:val="1"/>
          <w:sz w:val="24"/>
          <w:szCs w:val="24"/>
        </w:rPr>
        <w:t xml:space="preserve">   </w:t>
      </w:r>
      <w:r w:rsidRPr="004A3307" w:rsidR="00457D18">
        <w:rPr>
          <w:spacing w:val="1"/>
          <w:sz w:val="24"/>
          <w:szCs w:val="24"/>
        </w:rPr>
        <w:t xml:space="preserve">       </w:t>
      </w:r>
      <w:r w:rsidRPr="004A3307">
        <w:rPr>
          <w:sz w:val="24"/>
          <w:szCs w:val="24"/>
        </w:rPr>
        <w:tab/>
      </w:r>
    </w:p>
    <w:tbl>
      <w:tblPr>
        <w:tblW w:w="102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10"/>
        <w:gridCol w:w="1306"/>
        <w:gridCol w:w="1256"/>
        <w:gridCol w:w="1430"/>
        <w:gridCol w:w="1428"/>
        <w:gridCol w:w="986"/>
        <w:gridCol w:w="1078"/>
        <w:gridCol w:w="1166"/>
      </w:tblGrid>
      <w:tr w14:paraId="74AC8A6D" w14:textId="77777777" w:rsidTr="004A3307">
        <w:tblPrEx>
          <w:tblW w:w="102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700"/>
        </w:trPr>
        <w:tc>
          <w:tcPr>
            <w:tcW w:w="1610" w:type="dxa"/>
            <w:tcMar>
              <w:top w:w="0" w:type="dxa"/>
              <w:left w:w="108" w:type="dxa"/>
              <w:bottom w:w="0" w:type="dxa"/>
              <w:right w:w="108" w:type="dxa"/>
            </w:tcMar>
            <w:hideMark/>
          </w:tcPr>
          <w:p w:rsidR="009A04C3" w:rsidRPr="00E72862" w:rsidP="00D62968" w14:paraId="772E30FB" w14:textId="77777777">
            <w:pPr>
              <w:jc w:val="center"/>
              <w:rPr>
                <w:rFonts w:eastAsia="Calibri"/>
                <w:bCs/>
                <w:sz w:val="18"/>
                <w:szCs w:val="18"/>
              </w:rPr>
            </w:pPr>
            <w:r w:rsidRPr="00E72862">
              <w:rPr>
                <w:bCs/>
                <w:sz w:val="18"/>
                <w:szCs w:val="18"/>
              </w:rPr>
              <w:t>Information Collection</w:t>
            </w:r>
          </w:p>
        </w:tc>
        <w:tc>
          <w:tcPr>
            <w:tcW w:w="1306" w:type="dxa"/>
            <w:tcMar>
              <w:top w:w="0" w:type="dxa"/>
              <w:left w:w="108" w:type="dxa"/>
              <w:bottom w:w="0" w:type="dxa"/>
              <w:right w:w="108" w:type="dxa"/>
            </w:tcMar>
            <w:hideMark/>
          </w:tcPr>
          <w:p w:rsidR="009A04C3" w:rsidRPr="00E72862" w:rsidP="00D62968" w14:paraId="421A1674" w14:textId="77777777">
            <w:pPr>
              <w:jc w:val="center"/>
              <w:rPr>
                <w:rFonts w:eastAsia="Calibri"/>
                <w:bCs/>
                <w:sz w:val="18"/>
                <w:szCs w:val="18"/>
              </w:rPr>
            </w:pPr>
            <w:r w:rsidRPr="00E72862">
              <w:rPr>
                <w:bCs/>
                <w:sz w:val="18"/>
                <w:szCs w:val="18"/>
              </w:rPr>
              <w:t>Number of Respondents</w:t>
            </w:r>
          </w:p>
        </w:tc>
        <w:tc>
          <w:tcPr>
            <w:tcW w:w="1256" w:type="dxa"/>
            <w:tcMar>
              <w:top w:w="0" w:type="dxa"/>
              <w:left w:w="108" w:type="dxa"/>
              <w:bottom w:w="0" w:type="dxa"/>
              <w:right w:w="108" w:type="dxa"/>
            </w:tcMar>
            <w:hideMark/>
          </w:tcPr>
          <w:p w:rsidR="009A04C3" w:rsidRPr="00E72862" w:rsidP="00D62968" w14:paraId="7DDC30FC" w14:textId="77777777">
            <w:pPr>
              <w:jc w:val="center"/>
              <w:rPr>
                <w:rFonts w:eastAsia="Calibri"/>
                <w:bCs/>
                <w:sz w:val="18"/>
                <w:szCs w:val="18"/>
              </w:rPr>
            </w:pPr>
            <w:r w:rsidRPr="00E72862">
              <w:rPr>
                <w:bCs/>
                <w:sz w:val="18"/>
                <w:szCs w:val="18"/>
              </w:rPr>
              <w:t>Frequency of Response</w:t>
            </w:r>
          </w:p>
        </w:tc>
        <w:tc>
          <w:tcPr>
            <w:tcW w:w="1430" w:type="dxa"/>
            <w:tcMar>
              <w:top w:w="0" w:type="dxa"/>
              <w:left w:w="108" w:type="dxa"/>
              <w:bottom w:w="0" w:type="dxa"/>
              <w:right w:w="108" w:type="dxa"/>
            </w:tcMar>
            <w:hideMark/>
          </w:tcPr>
          <w:p w:rsidR="009A04C3" w:rsidRPr="00E72862" w:rsidP="00D62968" w14:paraId="03503361" w14:textId="77777777">
            <w:pPr>
              <w:jc w:val="center"/>
              <w:rPr>
                <w:rFonts w:eastAsia="Calibri"/>
                <w:bCs/>
                <w:sz w:val="18"/>
                <w:szCs w:val="18"/>
              </w:rPr>
            </w:pPr>
            <w:r w:rsidRPr="00E72862">
              <w:rPr>
                <w:bCs/>
                <w:sz w:val="18"/>
                <w:szCs w:val="18"/>
              </w:rPr>
              <w:t>Responses</w:t>
            </w:r>
          </w:p>
          <w:p w:rsidR="009A04C3" w:rsidRPr="00E72862" w:rsidP="00D62968" w14:paraId="36CFBF38" w14:textId="77777777">
            <w:pPr>
              <w:jc w:val="center"/>
              <w:rPr>
                <w:rFonts w:eastAsia="Calibri"/>
                <w:bCs/>
                <w:sz w:val="18"/>
                <w:szCs w:val="18"/>
              </w:rPr>
            </w:pPr>
            <w:r w:rsidRPr="00E72862">
              <w:rPr>
                <w:bCs/>
                <w:sz w:val="18"/>
                <w:szCs w:val="18"/>
              </w:rPr>
              <w:t>Per Annum</w:t>
            </w:r>
          </w:p>
        </w:tc>
        <w:tc>
          <w:tcPr>
            <w:tcW w:w="1428" w:type="dxa"/>
            <w:tcMar>
              <w:top w:w="0" w:type="dxa"/>
              <w:left w:w="108" w:type="dxa"/>
              <w:bottom w:w="0" w:type="dxa"/>
              <w:right w:w="108" w:type="dxa"/>
            </w:tcMar>
            <w:hideMark/>
          </w:tcPr>
          <w:p w:rsidR="009A04C3" w:rsidRPr="00E72862" w:rsidP="00D62968" w14:paraId="5AE79CEA" w14:textId="77777777">
            <w:pPr>
              <w:jc w:val="center"/>
              <w:rPr>
                <w:rFonts w:eastAsia="Calibri"/>
                <w:bCs/>
                <w:sz w:val="18"/>
                <w:szCs w:val="18"/>
              </w:rPr>
            </w:pPr>
            <w:r w:rsidRPr="00E72862">
              <w:rPr>
                <w:bCs/>
                <w:sz w:val="18"/>
                <w:szCs w:val="18"/>
              </w:rPr>
              <w:t>Burden Hour Per Response</w:t>
            </w:r>
          </w:p>
        </w:tc>
        <w:tc>
          <w:tcPr>
            <w:tcW w:w="986" w:type="dxa"/>
            <w:tcMar>
              <w:top w:w="0" w:type="dxa"/>
              <w:left w:w="108" w:type="dxa"/>
              <w:bottom w:w="0" w:type="dxa"/>
              <w:right w:w="108" w:type="dxa"/>
            </w:tcMar>
            <w:hideMark/>
          </w:tcPr>
          <w:p w:rsidR="009A04C3" w:rsidRPr="00E72862" w:rsidP="00D62968" w14:paraId="027B9820" w14:textId="77777777">
            <w:pPr>
              <w:jc w:val="center"/>
              <w:rPr>
                <w:rFonts w:eastAsia="Calibri"/>
                <w:bCs/>
                <w:sz w:val="18"/>
                <w:szCs w:val="18"/>
              </w:rPr>
            </w:pPr>
            <w:r w:rsidRPr="00E72862">
              <w:rPr>
                <w:bCs/>
                <w:sz w:val="18"/>
                <w:szCs w:val="18"/>
              </w:rPr>
              <w:t>Annual Burden Hours</w:t>
            </w:r>
          </w:p>
        </w:tc>
        <w:tc>
          <w:tcPr>
            <w:tcW w:w="1078" w:type="dxa"/>
            <w:tcMar>
              <w:top w:w="0" w:type="dxa"/>
              <w:left w:w="108" w:type="dxa"/>
              <w:bottom w:w="0" w:type="dxa"/>
              <w:right w:w="108" w:type="dxa"/>
            </w:tcMar>
            <w:hideMark/>
          </w:tcPr>
          <w:p w:rsidR="009A04C3" w:rsidRPr="00E72862" w:rsidP="00D62968" w14:paraId="5A87B24E" w14:textId="77777777">
            <w:pPr>
              <w:jc w:val="center"/>
              <w:rPr>
                <w:rFonts w:eastAsia="Calibri"/>
                <w:bCs/>
                <w:sz w:val="18"/>
                <w:szCs w:val="18"/>
              </w:rPr>
            </w:pPr>
            <w:r w:rsidRPr="00E72862">
              <w:rPr>
                <w:bCs/>
                <w:sz w:val="18"/>
                <w:szCs w:val="18"/>
              </w:rPr>
              <w:t>Hourly Cost Per Response</w:t>
            </w:r>
          </w:p>
        </w:tc>
        <w:tc>
          <w:tcPr>
            <w:tcW w:w="1166" w:type="dxa"/>
            <w:tcMar>
              <w:top w:w="0" w:type="dxa"/>
              <w:left w:w="108" w:type="dxa"/>
              <w:bottom w:w="0" w:type="dxa"/>
              <w:right w:w="108" w:type="dxa"/>
            </w:tcMar>
          </w:tcPr>
          <w:p w:rsidR="009A04C3" w:rsidRPr="00E72862" w:rsidP="00D62968" w14:paraId="22D03A66" w14:textId="77777777">
            <w:pPr>
              <w:jc w:val="center"/>
              <w:rPr>
                <w:rFonts w:eastAsia="Calibri"/>
                <w:bCs/>
                <w:sz w:val="18"/>
                <w:szCs w:val="18"/>
              </w:rPr>
            </w:pPr>
            <w:r w:rsidRPr="00E72862">
              <w:rPr>
                <w:bCs/>
                <w:sz w:val="18"/>
                <w:szCs w:val="18"/>
              </w:rPr>
              <w:t>Annual Cost</w:t>
            </w:r>
          </w:p>
          <w:p w:rsidR="009A04C3" w:rsidRPr="00E72862" w:rsidP="00D62968" w14:paraId="295D204A" w14:textId="77777777">
            <w:pPr>
              <w:jc w:val="center"/>
              <w:rPr>
                <w:rFonts w:eastAsia="Calibri"/>
                <w:bCs/>
                <w:sz w:val="18"/>
                <w:szCs w:val="18"/>
              </w:rPr>
            </w:pPr>
          </w:p>
        </w:tc>
      </w:tr>
      <w:tr w14:paraId="620218EB" w14:textId="77777777" w:rsidTr="004A3307">
        <w:tblPrEx>
          <w:tblW w:w="10260" w:type="dxa"/>
          <w:tblInd w:w="-190" w:type="dxa"/>
          <w:tblCellMar>
            <w:left w:w="0" w:type="dxa"/>
            <w:right w:w="0" w:type="dxa"/>
          </w:tblCellMar>
          <w:tblLook w:val="04A0"/>
        </w:tblPrEx>
        <w:trPr>
          <w:trHeight w:val="852"/>
        </w:trPr>
        <w:tc>
          <w:tcPr>
            <w:tcW w:w="1610" w:type="dxa"/>
            <w:tcMar>
              <w:top w:w="0" w:type="dxa"/>
              <w:left w:w="108" w:type="dxa"/>
              <w:bottom w:w="0" w:type="dxa"/>
              <w:right w:w="108" w:type="dxa"/>
            </w:tcMar>
          </w:tcPr>
          <w:p w:rsidR="009A04C3" w:rsidRPr="00E72862" w:rsidP="00D62968" w14:paraId="1A4765BF" w14:textId="77777777">
            <w:pPr>
              <w:rPr>
                <w:bCs/>
                <w:sz w:val="18"/>
                <w:szCs w:val="18"/>
              </w:rPr>
            </w:pPr>
            <w:r w:rsidRPr="00E72862">
              <w:rPr>
                <w:bCs/>
                <w:sz w:val="18"/>
                <w:szCs w:val="18"/>
              </w:rPr>
              <w:t>22019 PIV Pre-Screen Application</w:t>
            </w:r>
          </w:p>
        </w:tc>
        <w:tc>
          <w:tcPr>
            <w:tcW w:w="1306" w:type="dxa"/>
            <w:tcMar>
              <w:top w:w="0" w:type="dxa"/>
              <w:left w:w="108" w:type="dxa"/>
              <w:bottom w:w="0" w:type="dxa"/>
              <w:right w:w="108" w:type="dxa"/>
            </w:tcMar>
            <w:vAlign w:val="center"/>
          </w:tcPr>
          <w:p w:rsidR="009A04C3" w:rsidRPr="00E72862" w:rsidP="00D62968" w14:paraId="40170476" w14:textId="77777777">
            <w:pPr>
              <w:jc w:val="center"/>
              <w:rPr>
                <w:bCs/>
                <w:sz w:val="18"/>
                <w:szCs w:val="18"/>
              </w:rPr>
            </w:pPr>
            <w:r w:rsidRPr="00E72862">
              <w:rPr>
                <w:bCs/>
                <w:sz w:val="18"/>
                <w:szCs w:val="18"/>
              </w:rPr>
              <w:t>1,625</w:t>
            </w:r>
          </w:p>
        </w:tc>
        <w:tc>
          <w:tcPr>
            <w:tcW w:w="1256" w:type="dxa"/>
            <w:tcMar>
              <w:top w:w="0" w:type="dxa"/>
              <w:left w:w="108" w:type="dxa"/>
              <w:bottom w:w="0" w:type="dxa"/>
              <w:right w:w="108" w:type="dxa"/>
            </w:tcMar>
            <w:vAlign w:val="center"/>
          </w:tcPr>
          <w:p w:rsidR="009A04C3" w:rsidRPr="00E72862" w:rsidP="00D62968" w14:paraId="4E1305EC" w14:textId="77777777">
            <w:pPr>
              <w:jc w:val="center"/>
              <w:rPr>
                <w:rFonts w:eastAsia="Calibri"/>
                <w:bCs/>
                <w:sz w:val="18"/>
                <w:szCs w:val="18"/>
              </w:rPr>
            </w:pPr>
            <w:r w:rsidRPr="00E72862">
              <w:rPr>
                <w:rFonts w:eastAsia="Calibri"/>
                <w:bCs/>
                <w:sz w:val="18"/>
                <w:szCs w:val="18"/>
              </w:rPr>
              <w:t>1</w:t>
            </w:r>
          </w:p>
        </w:tc>
        <w:tc>
          <w:tcPr>
            <w:tcW w:w="1430" w:type="dxa"/>
            <w:tcMar>
              <w:top w:w="0" w:type="dxa"/>
              <w:left w:w="108" w:type="dxa"/>
              <w:bottom w:w="0" w:type="dxa"/>
              <w:right w:w="108" w:type="dxa"/>
            </w:tcMar>
            <w:vAlign w:val="center"/>
          </w:tcPr>
          <w:p w:rsidR="009A04C3" w:rsidRPr="00E72862" w:rsidP="00D62968" w14:paraId="4AD70D85" w14:textId="77777777">
            <w:pPr>
              <w:jc w:val="center"/>
              <w:rPr>
                <w:rFonts w:eastAsia="Calibri"/>
                <w:bCs/>
                <w:sz w:val="18"/>
                <w:szCs w:val="18"/>
              </w:rPr>
            </w:pPr>
            <w:r w:rsidRPr="00E72862">
              <w:rPr>
                <w:rFonts w:eastAsia="Calibri"/>
                <w:bCs/>
                <w:sz w:val="18"/>
                <w:szCs w:val="18"/>
              </w:rPr>
              <w:t>1,625</w:t>
            </w:r>
          </w:p>
        </w:tc>
        <w:tc>
          <w:tcPr>
            <w:tcW w:w="1428" w:type="dxa"/>
            <w:tcMar>
              <w:top w:w="0" w:type="dxa"/>
              <w:left w:w="108" w:type="dxa"/>
              <w:bottom w:w="0" w:type="dxa"/>
              <w:right w:w="108" w:type="dxa"/>
            </w:tcMar>
            <w:vAlign w:val="center"/>
          </w:tcPr>
          <w:p w:rsidR="009A04C3" w:rsidRPr="00E72862" w:rsidP="00D62968" w14:paraId="372E788A" w14:textId="77777777">
            <w:pPr>
              <w:jc w:val="center"/>
              <w:rPr>
                <w:rFonts w:eastAsia="Calibri"/>
                <w:bCs/>
                <w:sz w:val="18"/>
                <w:szCs w:val="18"/>
              </w:rPr>
            </w:pPr>
            <w:r w:rsidRPr="00E72862">
              <w:rPr>
                <w:rFonts w:eastAsia="Calibri"/>
                <w:bCs/>
                <w:sz w:val="18"/>
                <w:szCs w:val="18"/>
              </w:rPr>
              <w:t>.17</w:t>
            </w:r>
          </w:p>
        </w:tc>
        <w:tc>
          <w:tcPr>
            <w:tcW w:w="986" w:type="dxa"/>
            <w:tcMar>
              <w:top w:w="0" w:type="dxa"/>
              <w:left w:w="108" w:type="dxa"/>
              <w:bottom w:w="0" w:type="dxa"/>
              <w:right w:w="108" w:type="dxa"/>
            </w:tcMar>
            <w:vAlign w:val="center"/>
          </w:tcPr>
          <w:p w:rsidR="009A04C3" w:rsidRPr="00E72862" w:rsidP="00D62968" w14:paraId="0CD31C14" w14:textId="77777777">
            <w:pPr>
              <w:jc w:val="center"/>
              <w:rPr>
                <w:rFonts w:eastAsia="Calibri"/>
                <w:bCs/>
                <w:sz w:val="18"/>
                <w:szCs w:val="18"/>
              </w:rPr>
            </w:pPr>
            <w:r w:rsidRPr="00E72862">
              <w:rPr>
                <w:rFonts w:eastAsia="Calibri"/>
                <w:bCs/>
                <w:sz w:val="18"/>
                <w:szCs w:val="18"/>
              </w:rPr>
              <w:t>276.25</w:t>
            </w:r>
          </w:p>
        </w:tc>
        <w:tc>
          <w:tcPr>
            <w:tcW w:w="1078" w:type="dxa"/>
            <w:tcMar>
              <w:top w:w="0" w:type="dxa"/>
              <w:left w:w="108" w:type="dxa"/>
              <w:bottom w:w="0" w:type="dxa"/>
              <w:right w:w="108" w:type="dxa"/>
            </w:tcMar>
            <w:vAlign w:val="center"/>
          </w:tcPr>
          <w:p w:rsidR="009A04C3" w:rsidRPr="00E72862" w:rsidP="00D62968" w14:paraId="19E8EBDB" w14:textId="1126E0D4">
            <w:pPr>
              <w:jc w:val="center"/>
              <w:rPr>
                <w:rFonts w:eastAsia="Calibri"/>
                <w:bCs/>
                <w:sz w:val="18"/>
                <w:szCs w:val="18"/>
              </w:rPr>
            </w:pPr>
            <w:r w:rsidRPr="00E72862">
              <w:rPr>
                <w:rFonts w:eastAsia="Calibri"/>
                <w:bCs/>
                <w:sz w:val="18"/>
                <w:szCs w:val="18"/>
              </w:rPr>
              <w:t>$4</w:t>
            </w:r>
            <w:r w:rsidR="006A1E5E">
              <w:rPr>
                <w:rFonts w:eastAsia="Calibri"/>
                <w:bCs/>
                <w:sz w:val="18"/>
                <w:szCs w:val="18"/>
              </w:rPr>
              <w:t>3</w:t>
            </w:r>
            <w:r w:rsidRPr="00E72862">
              <w:rPr>
                <w:rFonts w:eastAsia="Calibri"/>
                <w:bCs/>
                <w:sz w:val="18"/>
                <w:szCs w:val="18"/>
              </w:rPr>
              <w:t>.</w:t>
            </w:r>
            <w:r w:rsidR="006A1E5E">
              <w:rPr>
                <w:rFonts w:eastAsia="Calibri"/>
                <w:bCs/>
                <w:sz w:val="18"/>
                <w:szCs w:val="18"/>
              </w:rPr>
              <w:t>77</w:t>
            </w:r>
          </w:p>
        </w:tc>
        <w:tc>
          <w:tcPr>
            <w:tcW w:w="1166" w:type="dxa"/>
            <w:tcMar>
              <w:top w:w="0" w:type="dxa"/>
              <w:left w:w="108" w:type="dxa"/>
              <w:bottom w:w="0" w:type="dxa"/>
              <w:right w:w="108" w:type="dxa"/>
            </w:tcMar>
            <w:vAlign w:val="center"/>
          </w:tcPr>
          <w:p w:rsidR="009A04C3" w:rsidRPr="00E72862" w:rsidP="00D62968" w14:paraId="17ACFA11" w14:textId="68BFAFD3">
            <w:pPr>
              <w:jc w:val="center"/>
              <w:rPr>
                <w:rFonts w:eastAsia="Calibri"/>
                <w:bCs/>
                <w:sz w:val="18"/>
                <w:szCs w:val="18"/>
              </w:rPr>
            </w:pPr>
            <w:r w:rsidRPr="00E72862">
              <w:rPr>
                <w:rFonts w:eastAsia="Calibri"/>
                <w:bCs/>
                <w:sz w:val="18"/>
                <w:szCs w:val="18"/>
              </w:rPr>
              <w:t>$</w:t>
            </w:r>
            <w:r w:rsidR="008F68A2">
              <w:rPr>
                <w:rFonts w:eastAsia="Calibri"/>
                <w:bCs/>
                <w:sz w:val="18"/>
                <w:szCs w:val="18"/>
              </w:rPr>
              <w:t>12</w:t>
            </w:r>
            <w:r w:rsidRPr="00E72862">
              <w:rPr>
                <w:rFonts w:eastAsia="Calibri"/>
                <w:bCs/>
                <w:sz w:val="18"/>
                <w:szCs w:val="18"/>
              </w:rPr>
              <w:t>,0</w:t>
            </w:r>
            <w:r w:rsidR="004215C0">
              <w:rPr>
                <w:rFonts w:eastAsia="Calibri"/>
                <w:bCs/>
                <w:sz w:val="18"/>
                <w:szCs w:val="18"/>
              </w:rPr>
              <w:t>91</w:t>
            </w:r>
            <w:r w:rsidRPr="00E72862">
              <w:rPr>
                <w:rFonts w:eastAsia="Calibri"/>
                <w:bCs/>
                <w:sz w:val="18"/>
                <w:szCs w:val="18"/>
              </w:rPr>
              <w:t>.</w:t>
            </w:r>
            <w:r w:rsidR="004215C0">
              <w:rPr>
                <w:rFonts w:eastAsia="Calibri"/>
                <w:bCs/>
                <w:sz w:val="18"/>
                <w:szCs w:val="18"/>
              </w:rPr>
              <w:t>46</w:t>
            </w:r>
          </w:p>
        </w:tc>
      </w:tr>
      <w:tr w14:paraId="64DE691D" w14:textId="77777777" w:rsidTr="004A3307">
        <w:tblPrEx>
          <w:tblW w:w="10260" w:type="dxa"/>
          <w:tblInd w:w="-190" w:type="dxa"/>
          <w:tblCellMar>
            <w:left w:w="0" w:type="dxa"/>
            <w:right w:w="0" w:type="dxa"/>
          </w:tblCellMar>
          <w:tblLook w:val="04A0"/>
        </w:tblPrEx>
        <w:trPr>
          <w:trHeight w:val="386"/>
        </w:trPr>
        <w:tc>
          <w:tcPr>
            <w:tcW w:w="1610" w:type="dxa"/>
            <w:tcMar>
              <w:top w:w="0" w:type="dxa"/>
              <w:left w:w="108" w:type="dxa"/>
              <w:bottom w:w="0" w:type="dxa"/>
              <w:right w:w="108" w:type="dxa"/>
            </w:tcMar>
          </w:tcPr>
          <w:p w:rsidR="009A04C3" w:rsidRPr="00E72862" w:rsidP="00D62968" w14:paraId="0582D8CD" w14:textId="77777777">
            <w:pPr>
              <w:rPr>
                <w:bCs/>
                <w:sz w:val="18"/>
                <w:szCs w:val="18"/>
              </w:rPr>
            </w:pPr>
            <w:r w:rsidRPr="00E72862">
              <w:rPr>
                <w:bCs/>
                <w:sz w:val="18"/>
                <w:szCs w:val="18"/>
              </w:rPr>
              <w:t>Total</w:t>
            </w:r>
          </w:p>
        </w:tc>
        <w:tc>
          <w:tcPr>
            <w:tcW w:w="1306" w:type="dxa"/>
            <w:tcMar>
              <w:top w:w="0" w:type="dxa"/>
              <w:left w:w="108" w:type="dxa"/>
              <w:bottom w:w="0" w:type="dxa"/>
              <w:right w:w="108" w:type="dxa"/>
            </w:tcMar>
            <w:vAlign w:val="center"/>
          </w:tcPr>
          <w:p w:rsidR="009A04C3" w:rsidRPr="00E72862" w:rsidP="00D62968" w14:paraId="07C3D365" w14:textId="77777777">
            <w:pPr>
              <w:jc w:val="center"/>
              <w:rPr>
                <w:bCs/>
                <w:sz w:val="18"/>
                <w:szCs w:val="18"/>
              </w:rPr>
            </w:pPr>
            <w:r w:rsidRPr="00E72862">
              <w:rPr>
                <w:bCs/>
                <w:sz w:val="18"/>
                <w:szCs w:val="18"/>
              </w:rPr>
              <w:t>1,625</w:t>
            </w:r>
          </w:p>
        </w:tc>
        <w:tc>
          <w:tcPr>
            <w:tcW w:w="1256" w:type="dxa"/>
            <w:tcMar>
              <w:top w:w="0" w:type="dxa"/>
              <w:left w:w="108" w:type="dxa"/>
              <w:bottom w:w="0" w:type="dxa"/>
              <w:right w:w="108" w:type="dxa"/>
            </w:tcMar>
            <w:vAlign w:val="center"/>
          </w:tcPr>
          <w:p w:rsidR="009A04C3" w:rsidRPr="00E72862" w:rsidP="00D62968" w14:paraId="7E916F87" w14:textId="77777777">
            <w:pPr>
              <w:jc w:val="center"/>
              <w:rPr>
                <w:rFonts w:eastAsia="Calibri"/>
                <w:bCs/>
                <w:sz w:val="18"/>
                <w:szCs w:val="18"/>
              </w:rPr>
            </w:pPr>
            <w:r w:rsidRPr="00E72862">
              <w:rPr>
                <w:rFonts w:eastAsia="Calibri"/>
                <w:bCs/>
                <w:sz w:val="18"/>
                <w:szCs w:val="18"/>
              </w:rPr>
              <w:t>1</w:t>
            </w:r>
          </w:p>
        </w:tc>
        <w:tc>
          <w:tcPr>
            <w:tcW w:w="1430" w:type="dxa"/>
            <w:tcMar>
              <w:top w:w="0" w:type="dxa"/>
              <w:left w:w="108" w:type="dxa"/>
              <w:bottom w:w="0" w:type="dxa"/>
              <w:right w:w="108" w:type="dxa"/>
            </w:tcMar>
            <w:vAlign w:val="center"/>
          </w:tcPr>
          <w:p w:rsidR="009A04C3" w:rsidRPr="00E72862" w:rsidP="00D62968" w14:paraId="2C7083D5" w14:textId="77777777">
            <w:pPr>
              <w:jc w:val="center"/>
              <w:rPr>
                <w:rFonts w:eastAsia="Calibri"/>
                <w:bCs/>
                <w:sz w:val="18"/>
                <w:szCs w:val="18"/>
              </w:rPr>
            </w:pPr>
            <w:r w:rsidRPr="00E72862">
              <w:rPr>
                <w:rFonts w:eastAsia="Calibri"/>
                <w:bCs/>
                <w:sz w:val="18"/>
                <w:szCs w:val="18"/>
              </w:rPr>
              <w:t>1,625</w:t>
            </w:r>
          </w:p>
        </w:tc>
        <w:tc>
          <w:tcPr>
            <w:tcW w:w="1428" w:type="dxa"/>
            <w:tcMar>
              <w:top w:w="0" w:type="dxa"/>
              <w:left w:w="108" w:type="dxa"/>
              <w:bottom w:w="0" w:type="dxa"/>
              <w:right w:w="108" w:type="dxa"/>
            </w:tcMar>
            <w:vAlign w:val="center"/>
          </w:tcPr>
          <w:p w:rsidR="009A04C3" w:rsidRPr="00E72862" w:rsidP="00D62968" w14:paraId="737E4A88" w14:textId="77777777">
            <w:pPr>
              <w:jc w:val="center"/>
              <w:rPr>
                <w:rFonts w:eastAsia="Calibri"/>
                <w:bCs/>
                <w:sz w:val="18"/>
                <w:szCs w:val="18"/>
              </w:rPr>
            </w:pPr>
            <w:r w:rsidRPr="00E72862">
              <w:rPr>
                <w:rFonts w:eastAsia="Calibri"/>
                <w:bCs/>
                <w:sz w:val="18"/>
                <w:szCs w:val="18"/>
              </w:rPr>
              <w:t>.17</w:t>
            </w:r>
          </w:p>
        </w:tc>
        <w:tc>
          <w:tcPr>
            <w:tcW w:w="986" w:type="dxa"/>
            <w:tcMar>
              <w:top w:w="0" w:type="dxa"/>
              <w:left w:w="108" w:type="dxa"/>
              <w:bottom w:w="0" w:type="dxa"/>
              <w:right w:w="108" w:type="dxa"/>
            </w:tcMar>
            <w:vAlign w:val="center"/>
          </w:tcPr>
          <w:p w:rsidR="009A04C3" w:rsidRPr="00E72862" w:rsidP="00D62968" w14:paraId="4EFE4089" w14:textId="77777777">
            <w:pPr>
              <w:jc w:val="center"/>
              <w:rPr>
                <w:rFonts w:eastAsia="Calibri"/>
                <w:bCs/>
                <w:sz w:val="18"/>
                <w:szCs w:val="18"/>
              </w:rPr>
            </w:pPr>
            <w:r w:rsidRPr="00E72862">
              <w:rPr>
                <w:rFonts w:eastAsia="Calibri"/>
                <w:bCs/>
                <w:sz w:val="18"/>
                <w:szCs w:val="18"/>
              </w:rPr>
              <w:t>276.25</w:t>
            </w:r>
          </w:p>
        </w:tc>
        <w:tc>
          <w:tcPr>
            <w:tcW w:w="1078" w:type="dxa"/>
            <w:tcMar>
              <w:top w:w="0" w:type="dxa"/>
              <w:left w:w="108" w:type="dxa"/>
              <w:bottom w:w="0" w:type="dxa"/>
              <w:right w:w="108" w:type="dxa"/>
            </w:tcMar>
            <w:vAlign w:val="center"/>
          </w:tcPr>
          <w:p w:rsidR="009A04C3" w:rsidRPr="00E72862" w:rsidP="00D62968" w14:paraId="0AFEAECD" w14:textId="5A58E08F">
            <w:pPr>
              <w:jc w:val="center"/>
              <w:rPr>
                <w:rFonts w:eastAsia="Calibri"/>
                <w:bCs/>
                <w:sz w:val="18"/>
                <w:szCs w:val="18"/>
              </w:rPr>
            </w:pPr>
            <w:r w:rsidRPr="00E72862">
              <w:rPr>
                <w:rFonts w:eastAsia="Calibri"/>
                <w:bCs/>
                <w:sz w:val="18"/>
                <w:szCs w:val="18"/>
              </w:rPr>
              <w:t>$</w:t>
            </w:r>
            <w:r w:rsidR="006A1E5E">
              <w:rPr>
                <w:rFonts w:eastAsia="Calibri"/>
                <w:bCs/>
                <w:sz w:val="18"/>
                <w:szCs w:val="18"/>
              </w:rPr>
              <w:t>4</w:t>
            </w:r>
            <w:r w:rsidRPr="00E72862">
              <w:rPr>
                <w:rFonts w:eastAsia="Calibri"/>
                <w:bCs/>
                <w:sz w:val="18"/>
                <w:szCs w:val="18"/>
              </w:rPr>
              <w:t>3.</w:t>
            </w:r>
            <w:r w:rsidR="006A1E5E">
              <w:rPr>
                <w:rFonts w:eastAsia="Calibri"/>
                <w:bCs/>
                <w:sz w:val="18"/>
                <w:szCs w:val="18"/>
              </w:rPr>
              <w:t>77</w:t>
            </w:r>
          </w:p>
        </w:tc>
        <w:tc>
          <w:tcPr>
            <w:tcW w:w="1166" w:type="dxa"/>
            <w:tcMar>
              <w:top w:w="0" w:type="dxa"/>
              <w:left w:w="108" w:type="dxa"/>
              <w:bottom w:w="0" w:type="dxa"/>
              <w:right w:w="108" w:type="dxa"/>
            </w:tcMar>
            <w:vAlign w:val="center"/>
          </w:tcPr>
          <w:p w:rsidR="009A04C3" w:rsidRPr="00E72862" w:rsidP="00D62968" w14:paraId="67849895" w14:textId="5917ECB6">
            <w:pPr>
              <w:jc w:val="right"/>
              <w:rPr>
                <w:rFonts w:eastAsia="Calibri"/>
                <w:bCs/>
                <w:sz w:val="18"/>
                <w:szCs w:val="18"/>
              </w:rPr>
            </w:pPr>
            <w:r w:rsidRPr="00E72862">
              <w:rPr>
                <w:rFonts w:eastAsia="Calibri"/>
                <w:bCs/>
                <w:sz w:val="18"/>
                <w:szCs w:val="18"/>
              </w:rPr>
              <w:t>$</w:t>
            </w:r>
            <w:r w:rsidR="004215C0">
              <w:rPr>
                <w:rFonts w:eastAsia="Calibri"/>
                <w:bCs/>
                <w:sz w:val="18"/>
                <w:szCs w:val="18"/>
              </w:rPr>
              <w:t>12</w:t>
            </w:r>
            <w:r w:rsidRPr="00E72862">
              <w:rPr>
                <w:rFonts w:eastAsia="Calibri"/>
                <w:bCs/>
                <w:sz w:val="18"/>
                <w:szCs w:val="18"/>
              </w:rPr>
              <w:t>,0</w:t>
            </w:r>
            <w:r w:rsidR="004215C0">
              <w:rPr>
                <w:rFonts w:eastAsia="Calibri"/>
                <w:bCs/>
                <w:sz w:val="18"/>
                <w:szCs w:val="18"/>
              </w:rPr>
              <w:t>91</w:t>
            </w:r>
            <w:r w:rsidRPr="00E72862">
              <w:rPr>
                <w:rFonts w:eastAsia="Calibri"/>
                <w:bCs/>
                <w:sz w:val="18"/>
                <w:szCs w:val="18"/>
              </w:rPr>
              <w:t>.</w:t>
            </w:r>
            <w:r w:rsidR="004215C0">
              <w:rPr>
                <w:rFonts w:eastAsia="Calibri"/>
                <w:bCs/>
                <w:sz w:val="18"/>
                <w:szCs w:val="18"/>
              </w:rPr>
              <w:t>46</w:t>
            </w:r>
          </w:p>
        </w:tc>
      </w:tr>
    </w:tbl>
    <w:p w:rsidR="0062114D" w:rsidRPr="00E72862" w:rsidP="0094343D" w14:paraId="4F08A9BA" w14:textId="7769FAA6">
      <w:pPr>
        <w:keepLines/>
        <w:tabs>
          <w:tab w:val="left" w:pos="450"/>
        </w:tabs>
        <w:spacing w:after="80"/>
        <w:jc w:val="both"/>
        <w:rPr>
          <w:b/>
          <w:bCs/>
          <w:spacing w:val="1"/>
          <w:sz w:val="18"/>
          <w:szCs w:val="18"/>
        </w:rPr>
      </w:pPr>
      <w:r w:rsidRPr="00E72862">
        <w:rPr>
          <w:b/>
          <w:bCs/>
          <w:spacing w:val="1"/>
          <w:sz w:val="18"/>
          <w:szCs w:val="18"/>
        </w:rPr>
        <w:t>Burden hourly rate used for this estimate for technical/program staff (average grade GS-1</w:t>
      </w:r>
      <w:r w:rsidRPr="00E72862">
        <w:rPr>
          <w:b/>
          <w:bCs/>
          <w:spacing w:val="1"/>
          <w:sz w:val="18"/>
          <w:szCs w:val="18"/>
        </w:rPr>
        <w:t>1</w:t>
      </w:r>
      <w:r w:rsidRPr="00E72862">
        <w:rPr>
          <w:b/>
          <w:bCs/>
          <w:spacing w:val="1"/>
          <w:sz w:val="18"/>
          <w:szCs w:val="18"/>
        </w:rPr>
        <w:t xml:space="preserve">, step </w:t>
      </w:r>
      <w:r w:rsidR="006A1E5E">
        <w:rPr>
          <w:b/>
          <w:bCs/>
          <w:spacing w:val="1"/>
          <w:sz w:val="18"/>
          <w:szCs w:val="18"/>
        </w:rPr>
        <w:t>4</w:t>
      </w:r>
      <w:r w:rsidRPr="00E72862">
        <w:rPr>
          <w:b/>
          <w:bCs/>
          <w:spacing w:val="1"/>
          <w:sz w:val="18"/>
          <w:szCs w:val="18"/>
        </w:rPr>
        <w:t>)</w:t>
      </w:r>
      <w:r w:rsidRPr="00E72862">
        <w:rPr>
          <w:b/>
          <w:bCs/>
          <w:spacing w:val="1"/>
          <w:sz w:val="18"/>
          <w:szCs w:val="18"/>
        </w:rPr>
        <w:t>.</w:t>
      </w:r>
    </w:p>
    <w:p w:rsidR="0094343D" w:rsidRPr="004A3307" w:rsidP="0094343D" w14:paraId="0BA729EF" w14:textId="46373568">
      <w:pPr>
        <w:keepLines/>
        <w:tabs>
          <w:tab w:val="left" w:pos="450"/>
        </w:tabs>
        <w:spacing w:after="80"/>
        <w:jc w:val="both"/>
        <w:rPr>
          <w:b/>
          <w:bCs/>
          <w:i/>
          <w:iCs/>
          <w:spacing w:val="1"/>
          <w:sz w:val="24"/>
          <w:szCs w:val="24"/>
        </w:rPr>
      </w:pPr>
      <w:r w:rsidRPr="004A3307">
        <w:rPr>
          <w:b/>
          <w:bCs/>
          <w:i/>
          <w:iCs/>
          <w:spacing w:val="1"/>
          <w:sz w:val="24"/>
          <w:szCs w:val="24"/>
        </w:rPr>
        <w:t xml:space="preserve"> </w:t>
      </w:r>
    </w:p>
    <w:p w:rsidR="00025206" w:rsidRPr="00E72862" w:rsidP="00E72862" w14:paraId="4BD3B9CA" w14:textId="3A4B15EE">
      <w:pPr>
        <w:keepLines/>
        <w:spacing w:after="80"/>
        <w:ind w:left="360" w:hanging="360"/>
        <w:rPr>
          <w:b/>
          <w:bCs/>
          <w:sz w:val="24"/>
          <w:szCs w:val="24"/>
        </w:rPr>
      </w:pPr>
      <w:r w:rsidRPr="00E72862">
        <w:rPr>
          <w:b/>
          <w:bCs/>
          <w:sz w:val="24"/>
          <w:szCs w:val="24"/>
        </w:rPr>
        <w:t>15.</w:t>
      </w:r>
      <w:r w:rsidRPr="00E72862">
        <w:rPr>
          <w:b/>
          <w:bCs/>
          <w:sz w:val="24"/>
          <w:szCs w:val="24"/>
        </w:rPr>
        <w:tab/>
        <w:t>Explain the reasons for any program changes or adjustments reported in Items 13 and 14 of the OMB Form 83-I.</w:t>
      </w:r>
    </w:p>
    <w:p w:rsidR="00457D18" w:rsidRPr="004A3307" w:rsidP="00025206" w14:paraId="6D754B1B" w14:textId="77777777">
      <w:pPr>
        <w:keepLines/>
        <w:tabs>
          <w:tab w:val="left" w:pos="360"/>
          <w:tab w:val="left" w:pos="720"/>
        </w:tabs>
        <w:ind w:left="360"/>
        <w:rPr>
          <w:sz w:val="24"/>
          <w:szCs w:val="24"/>
        </w:rPr>
      </w:pPr>
    </w:p>
    <w:p w:rsidR="00025206" w:rsidRPr="004A3307" w:rsidP="00025206" w14:paraId="148B641C" w14:textId="3A028145">
      <w:pPr>
        <w:keepLines/>
        <w:tabs>
          <w:tab w:val="left" w:pos="360"/>
          <w:tab w:val="left" w:pos="720"/>
        </w:tabs>
        <w:ind w:left="360"/>
        <w:rPr>
          <w:sz w:val="24"/>
          <w:szCs w:val="24"/>
        </w:rPr>
      </w:pPr>
      <w:r w:rsidRPr="00A14799">
        <w:rPr>
          <w:sz w:val="24"/>
          <w:szCs w:val="24"/>
        </w:rPr>
        <w:t>This is an extension of a currently approved collection</w:t>
      </w:r>
      <w:r w:rsidRPr="004A3307">
        <w:rPr>
          <w:sz w:val="24"/>
          <w:szCs w:val="24"/>
        </w:rPr>
        <w:t xml:space="preserve">  </w:t>
      </w:r>
      <w:r>
        <w:rPr>
          <w:sz w:val="24"/>
          <w:szCs w:val="24"/>
        </w:rPr>
        <w:t xml:space="preserve"> </w:t>
      </w:r>
      <w:r w:rsidRPr="004A3307">
        <w:rPr>
          <w:sz w:val="24"/>
          <w:szCs w:val="24"/>
        </w:rPr>
        <w:t xml:space="preserve">  </w:t>
      </w:r>
    </w:p>
    <w:p w:rsidR="00025206" w:rsidRPr="004A3307" w:rsidP="00025206" w14:paraId="428C44F6" w14:textId="77777777">
      <w:pPr>
        <w:tabs>
          <w:tab w:val="left" w:pos="360"/>
        </w:tabs>
        <w:ind w:left="360" w:hanging="360"/>
        <w:rPr>
          <w:sz w:val="24"/>
          <w:szCs w:val="24"/>
        </w:rPr>
      </w:pPr>
    </w:p>
    <w:p w:rsidR="00025206" w:rsidRPr="00E72862" w:rsidP="00E72862" w14:paraId="1A3E7373" w14:textId="77777777">
      <w:pPr>
        <w:keepLines/>
        <w:spacing w:after="80"/>
        <w:ind w:left="360" w:hanging="360"/>
        <w:rPr>
          <w:b/>
          <w:bCs/>
          <w:sz w:val="24"/>
          <w:szCs w:val="24"/>
        </w:rPr>
      </w:pPr>
      <w:r w:rsidRPr="00E72862">
        <w:rPr>
          <w:b/>
          <w:bCs/>
          <w:sz w:val="24"/>
          <w:szCs w:val="24"/>
        </w:rPr>
        <w:t>16.</w:t>
      </w:r>
      <w:r w:rsidRPr="00E72862">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57D18" w:rsidRPr="004A3307" w:rsidP="00025206" w14:paraId="020BDF4F" w14:textId="77777777">
      <w:pPr>
        <w:keepLines/>
        <w:tabs>
          <w:tab w:val="left" w:pos="360"/>
          <w:tab w:val="left" w:pos="720"/>
        </w:tabs>
        <w:ind w:left="360"/>
        <w:rPr>
          <w:sz w:val="24"/>
          <w:szCs w:val="24"/>
        </w:rPr>
      </w:pPr>
      <w:r w:rsidRPr="004A3307">
        <w:rPr>
          <w:sz w:val="24"/>
          <w:szCs w:val="24"/>
        </w:rPr>
        <w:t xml:space="preserve"> </w:t>
      </w:r>
    </w:p>
    <w:p w:rsidR="00025206" w:rsidRPr="004A3307" w:rsidP="00025206" w14:paraId="68DFD3B3" w14:textId="63685FD1">
      <w:pPr>
        <w:keepLines/>
        <w:tabs>
          <w:tab w:val="left" w:pos="360"/>
          <w:tab w:val="left" w:pos="720"/>
        </w:tabs>
        <w:ind w:left="360"/>
        <w:rPr>
          <w:sz w:val="24"/>
          <w:szCs w:val="24"/>
        </w:rPr>
      </w:pPr>
      <w:r w:rsidRPr="004A3307">
        <w:rPr>
          <w:sz w:val="24"/>
          <w:szCs w:val="24"/>
        </w:rPr>
        <w:t>HUD has no plans to publish any of the information collec</w:t>
      </w:r>
      <w:r w:rsidRPr="004A3307" w:rsidR="00457D18">
        <w:rPr>
          <w:sz w:val="24"/>
          <w:szCs w:val="24"/>
        </w:rPr>
        <w:t>ted</w:t>
      </w:r>
      <w:r w:rsidRPr="004A3307">
        <w:rPr>
          <w:sz w:val="24"/>
          <w:szCs w:val="24"/>
        </w:rPr>
        <w:t>.</w:t>
      </w:r>
    </w:p>
    <w:p w:rsidR="00025206" w:rsidRPr="004A3307" w:rsidP="00025206" w14:paraId="6DC95A75" w14:textId="77777777">
      <w:pPr>
        <w:tabs>
          <w:tab w:val="left" w:pos="360"/>
        </w:tabs>
        <w:ind w:left="360" w:hanging="360"/>
        <w:rPr>
          <w:sz w:val="24"/>
          <w:szCs w:val="24"/>
        </w:rPr>
      </w:pPr>
    </w:p>
    <w:p w:rsidR="00025206" w:rsidRPr="004A3307" w:rsidP="00E72862" w14:paraId="60A031F0" w14:textId="77777777">
      <w:pPr>
        <w:keepLines/>
        <w:spacing w:after="80"/>
        <w:ind w:left="360" w:hanging="360"/>
        <w:rPr>
          <w:sz w:val="24"/>
          <w:szCs w:val="24"/>
        </w:rPr>
      </w:pPr>
      <w:r w:rsidRPr="00E72862">
        <w:rPr>
          <w:b/>
          <w:bCs/>
          <w:sz w:val="24"/>
          <w:szCs w:val="24"/>
        </w:rPr>
        <w:t>17.</w:t>
      </w:r>
      <w:r w:rsidRPr="00E72862">
        <w:rPr>
          <w:b/>
          <w:bCs/>
          <w:sz w:val="24"/>
          <w:szCs w:val="24"/>
        </w:rPr>
        <w:tab/>
        <w:t>If seeking approval to not display the expiration date for OMB approval of the information collection, explain the reasons that display would be inappropriate.</w:t>
      </w:r>
    </w:p>
    <w:p w:rsidR="00457D18" w:rsidRPr="004A3307" w:rsidP="00025206" w14:paraId="0722EA8E" w14:textId="77777777">
      <w:pPr>
        <w:keepLines/>
        <w:tabs>
          <w:tab w:val="left" w:pos="360"/>
          <w:tab w:val="left" w:pos="720"/>
        </w:tabs>
        <w:ind w:left="360"/>
        <w:rPr>
          <w:sz w:val="24"/>
          <w:szCs w:val="24"/>
        </w:rPr>
      </w:pPr>
    </w:p>
    <w:p w:rsidR="00025206" w:rsidRPr="004A3307" w:rsidP="00025206" w14:paraId="7CA8B2B4" w14:textId="6D05BD5D">
      <w:pPr>
        <w:keepLines/>
        <w:tabs>
          <w:tab w:val="left" w:pos="360"/>
          <w:tab w:val="left" w:pos="720"/>
        </w:tabs>
        <w:ind w:left="360"/>
        <w:rPr>
          <w:sz w:val="24"/>
          <w:szCs w:val="24"/>
        </w:rPr>
      </w:pPr>
      <w:r w:rsidRPr="004A3307">
        <w:rPr>
          <w:sz w:val="24"/>
          <w:szCs w:val="24"/>
        </w:rPr>
        <w:t>Not Applicable</w:t>
      </w:r>
      <w:r w:rsidRPr="004A3307">
        <w:rPr>
          <w:sz w:val="24"/>
          <w:szCs w:val="24"/>
        </w:rPr>
        <w:t>.</w:t>
      </w:r>
    </w:p>
    <w:p w:rsidR="00025206" w:rsidRPr="004A3307" w:rsidP="00025206" w14:paraId="6EDCA085" w14:textId="77777777">
      <w:pPr>
        <w:tabs>
          <w:tab w:val="left" w:pos="360"/>
        </w:tabs>
        <w:ind w:left="360" w:hanging="360"/>
        <w:rPr>
          <w:sz w:val="24"/>
          <w:szCs w:val="24"/>
        </w:rPr>
      </w:pPr>
    </w:p>
    <w:p w:rsidR="00025206" w:rsidRPr="00E72862" w:rsidP="00E72862" w14:paraId="2106F558" w14:textId="77777777">
      <w:pPr>
        <w:keepLines/>
        <w:spacing w:after="80"/>
        <w:ind w:left="360" w:hanging="360"/>
        <w:rPr>
          <w:b/>
          <w:bCs/>
          <w:sz w:val="24"/>
          <w:szCs w:val="24"/>
        </w:rPr>
      </w:pPr>
      <w:r w:rsidRPr="00E72862">
        <w:rPr>
          <w:b/>
          <w:bCs/>
          <w:sz w:val="24"/>
          <w:szCs w:val="24"/>
        </w:rPr>
        <w:t>18.</w:t>
      </w:r>
      <w:r w:rsidRPr="00E72862">
        <w:rPr>
          <w:b/>
          <w:bCs/>
          <w:sz w:val="24"/>
          <w:szCs w:val="24"/>
        </w:rPr>
        <w:tab/>
        <w:t>Explain each exception to the certification statement identified in item 19.</w:t>
      </w:r>
    </w:p>
    <w:p w:rsidR="006F4434" w:rsidRPr="004A3307" w:rsidP="00025206" w14:paraId="4F9CCE0D" w14:textId="77777777">
      <w:pPr>
        <w:keepLines/>
        <w:tabs>
          <w:tab w:val="left" w:pos="360"/>
          <w:tab w:val="left" w:pos="720"/>
        </w:tabs>
        <w:ind w:left="360"/>
        <w:rPr>
          <w:sz w:val="24"/>
          <w:szCs w:val="24"/>
        </w:rPr>
      </w:pPr>
    </w:p>
    <w:p w:rsidR="00025206" w:rsidRPr="004A3307" w:rsidP="00025206" w14:paraId="22FF0185" w14:textId="42B9090B">
      <w:pPr>
        <w:keepLines/>
        <w:tabs>
          <w:tab w:val="left" w:pos="360"/>
          <w:tab w:val="left" w:pos="720"/>
        </w:tabs>
        <w:ind w:left="360"/>
        <w:rPr>
          <w:sz w:val="24"/>
          <w:szCs w:val="24"/>
        </w:rPr>
      </w:pPr>
      <w:r w:rsidRPr="004A3307">
        <w:rPr>
          <w:sz w:val="24"/>
          <w:szCs w:val="24"/>
        </w:rPr>
        <w:t>None.</w:t>
      </w:r>
    </w:p>
    <w:p w:rsidR="00025206" w:rsidRPr="004A3307" w:rsidP="00025206" w14:paraId="2BEA08E9" w14:textId="77777777">
      <w:pPr>
        <w:tabs>
          <w:tab w:val="left" w:pos="360"/>
          <w:tab w:val="left" w:pos="720"/>
        </w:tabs>
        <w:rPr>
          <w:sz w:val="24"/>
          <w:szCs w:val="24"/>
        </w:rPr>
      </w:pPr>
    </w:p>
    <w:p w:rsidR="00025206" w:rsidRPr="004A3307" w:rsidP="00025206" w14:paraId="4C6491F5" w14:textId="77777777">
      <w:pPr>
        <w:tabs>
          <w:tab w:val="left" w:pos="360"/>
          <w:tab w:val="left" w:pos="720"/>
        </w:tabs>
        <w:rPr>
          <w:sz w:val="24"/>
          <w:szCs w:val="24"/>
        </w:rPr>
      </w:pPr>
    </w:p>
    <w:p w:rsidR="00025206" w:rsidRPr="004A3307" w:rsidP="00025206" w14:paraId="49405080"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4A3307">
        <w:rPr>
          <w:b/>
          <w:sz w:val="24"/>
          <w:szCs w:val="24"/>
        </w:rPr>
        <w:t xml:space="preserve">B. </w:t>
      </w:r>
      <w:r w:rsidRPr="004A3307">
        <w:rPr>
          <w:b/>
          <w:sz w:val="24"/>
          <w:szCs w:val="24"/>
        </w:rPr>
        <w:tab/>
        <w:t>Collections of Information Employing Statistical Methods</w:t>
      </w:r>
    </w:p>
    <w:p w:rsidR="00025206" w:rsidRPr="004A3307" w:rsidP="00025206" w14:paraId="435D18F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025206" w:rsidRPr="004A3307" w:rsidP="00025206" w14:paraId="6592923E" w14:textId="77777777">
      <w:pPr>
        <w:keepLines/>
        <w:tabs>
          <w:tab w:val="left" w:pos="360"/>
          <w:tab w:val="left" w:pos="720"/>
        </w:tabs>
        <w:ind w:left="360"/>
        <w:rPr>
          <w:color w:val="0070C0"/>
          <w:sz w:val="24"/>
          <w:szCs w:val="24"/>
        </w:rPr>
      </w:pPr>
      <w:r w:rsidRPr="004A3307">
        <w:rPr>
          <w:sz w:val="24"/>
          <w:szCs w:val="24"/>
        </w:rPr>
        <w:t>None</w:t>
      </w:r>
      <w:r w:rsidRPr="004A3307">
        <w:rPr>
          <w:color w:val="0070C0"/>
          <w:sz w:val="24"/>
          <w:szCs w:val="24"/>
        </w:rPr>
        <w:t>.</w:t>
      </w:r>
    </w:p>
    <w:sectPr w:rsidSect="005F319B">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6233913"/>
      <w:docPartObj>
        <w:docPartGallery w:val="Page Numbers (Bottom of Page)"/>
        <w:docPartUnique/>
      </w:docPartObj>
    </w:sdtPr>
    <w:sdtEndPr>
      <w:rPr>
        <w:noProof/>
        <w:sz w:val="24"/>
        <w:szCs w:val="24"/>
      </w:rPr>
    </w:sdtEndPr>
    <w:sdtContent>
      <w:p w:rsidR="005F319B" w:rsidRPr="005F319B" w14:paraId="3B431F86" w14:textId="0FBC9018">
        <w:pPr>
          <w:pStyle w:val="Footer"/>
          <w:jc w:val="center"/>
          <w:rPr>
            <w:sz w:val="24"/>
            <w:szCs w:val="24"/>
          </w:rPr>
        </w:pPr>
        <w:r w:rsidRPr="005F319B">
          <w:rPr>
            <w:sz w:val="24"/>
            <w:szCs w:val="24"/>
          </w:rPr>
          <w:fldChar w:fldCharType="begin"/>
        </w:r>
        <w:r w:rsidRPr="005F319B">
          <w:rPr>
            <w:sz w:val="24"/>
            <w:szCs w:val="24"/>
          </w:rPr>
          <w:instrText xml:space="preserve"> PAGE   \* MERGEFORMAT </w:instrText>
        </w:r>
        <w:r w:rsidRPr="005F319B">
          <w:rPr>
            <w:sz w:val="24"/>
            <w:szCs w:val="24"/>
          </w:rPr>
          <w:fldChar w:fldCharType="separate"/>
        </w:r>
        <w:r w:rsidRPr="005F319B">
          <w:rPr>
            <w:noProof/>
            <w:sz w:val="24"/>
            <w:szCs w:val="24"/>
          </w:rPr>
          <w:t>2</w:t>
        </w:r>
        <w:r w:rsidRPr="005F319B">
          <w:rPr>
            <w:noProof/>
            <w:sz w:val="24"/>
            <w:szCs w:val="24"/>
          </w:rPr>
          <w:fldChar w:fldCharType="end"/>
        </w:r>
      </w:p>
    </w:sdtContent>
  </w:sdt>
  <w:p w:rsidR="005F319B" w14:paraId="345450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97176C2"/>
    <w:multiLevelType w:val="hybridMultilevel"/>
    <w:tmpl w:val="92E6E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1853C2"/>
    <w:multiLevelType w:val="hybridMultilevel"/>
    <w:tmpl w:val="249032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3FA3D4D"/>
    <w:multiLevelType w:val="hybridMultilevel"/>
    <w:tmpl w:val="FBDAA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91098C"/>
    <w:multiLevelType w:val="hybridMultilevel"/>
    <w:tmpl w:val="849AA66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58B7CAB"/>
    <w:multiLevelType w:val="hybridMultilevel"/>
    <w:tmpl w:val="09BCD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8239C9"/>
    <w:multiLevelType w:val="multilevel"/>
    <w:tmpl w:val="15B28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C97D38"/>
    <w:multiLevelType w:val="hybridMultilevel"/>
    <w:tmpl w:val="5F1872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92D18DA"/>
    <w:multiLevelType w:val="hybridMultilevel"/>
    <w:tmpl w:val="8F483D76"/>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4572528">
    <w:abstractNumId w:val="5"/>
  </w:num>
  <w:num w:numId="2" w16cid:durableId="497885718">
    <w:abstractNumId w:val="0"/>
    <w:lvlOverride w:ilvl="0">
      <w:lvl w:ilvl="0">
        <w:start w:val="1"/>
        <w:numFmt w:val="bullet"/>
        <w:lvlText w:val=""/>
        <w:legacy w:legacy="1" w:legacySpace="0" w:legacyIndent="144"/>
        <w:lvlJc w:val="left"/>
        <w:pPr>
          <w:ind w:left="594" w:hanging="144"/>
        </w:pPr>
        <w:rPr>
          <w:rFonts w:ascii="Symbol" w:hAnsi="Symbol" w:hint="default"/>
          <w:sz w:val="16"/>
        </w:rPr>
      </w:lvl>
    </w:lvlOverride>
  </w:num>
  <w:num w:numId="3" w16cid:durableId="265384584">
    <w:abstractNumId w:val="9"/>
  </w:num>
  <w:num w:numId="4" w16cid:durableId="1253970372">
    <w:abstractNumId w:val="2"/>
  </w:num>
  <w:num w:numId="5" w16cid:durableId="389497176">
    <w:abstractNumId w:val="1"/>
  </w:num>
  <w:num w:numId="6" w16cid:durableId="1426538615">
    <w:abstractNumId w:val="6"/>
  </w:num>
  <w:num w:numId="7" w16cid:durableId="622492841">
    <w:abstractNumId w:val="4"/>
  </w:num>
  <w:num w:numId="8" w16cid:durableId="624582586">
    <w:abstractNumId w:val="3"/>
  </w:num>
  <w:num w:numId="9" w16cid:durableId="1373916109">
    <w:abstractNumId w:val="7"/>
  </w:num>
  <w:num w:numId="10" w16cid:durableId="260258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06"/>
    <w:rsid w:val="00025206"/>
    <w:rsid w:val="000315F0"/>
    <w:rsid w:val="00050A8B"/>
    <w:rsid w:val="00053813"/>
    <w:rsid w:val="0006664D"/>
    <w:rsid w:val="00067C16"/>
    <w:rsid w:val="00072232"/>
    <w:rsid w:val="00076D0C"/>
    <w:rsid w:val="0008009E"/>
    <w:rsid w:val="0009152D"/>
    <w:rsid w:val="000A72DF"/>
    <w:rsid w:val="000A7B92"/>
    <w:rsid w:val="000B0F39"/>
    <w:rsid w:val="000C2ECE"/>
    <w:rsid w:val="000C3575"/>
    <w:rsid w:val="000D264E"/>
    <w:rsid w:val="000F7E3C"/>
    <w:rsid w:val="00104929"/>
    <w:rsid w:val="00123218"/>
    <w:rsid w:val="00127644"/>
    <w:rsid w:val="00131D76"/>
    <w:rsid w:val="00142C4A"/>
    <w:rsid w:val="00155FFD"/>
    <w:rsid w:val="00187B4D"/>
    <w:rsid w:val="00187D13"/>
    <w:rsid w:val="00191F06"/>
    <w:rsid w:val="001A46E7"/>
    <w:rsid w:val="001A7F81"/>
    <w:rsid w:val="001D2CAB"/>
    <w:rsid w:val="00251F2D"/>
    <w:rsid w:val="00253D53"/>
    <w:rsid w:val="0027551E"/>
    <w:rsid w:val="002766BC"/>
    <w:rsid w:val="002A2F44"/>
    <w:rsid w:val="002A3EB6"/>
    <w:rsid w:val="002C4122"/>
    <w:rsid w:val="002C7AB1"/>
    <w:rsid w:val="002E4139"/>
    <w:rsid w:val="002F0E10"/>
    <w:rsid w:val="00332AF1"/>
    <w:rsid w:val="0033358F"/>
    <w:rsid w:val="00333E10"/>
    <w:rsid w:val="00334D6A"/>
    <w:rsid w:val="003674EC"/>
    <w:rsid w:val="00367D4A"/>
    <w:rsid w:val="0037125D"/>
    <w:rsid w:val="003967DC"/>
    <w:rsid w:val="003C155C"/>
    <w:rsid w:val="003C3078"/>
    <w:rsid w:val="003E5F02"/>
    <w:rsid w:val="003E6855"/>
    <w:rsid w:val="003F27AE"/>
    <w:rsid w:val="003F51A2"/>
    <w:rsid w:val="003F6C02"/>
    <w:rsid w:val="004215C0"/>
    <w:rsid w:val="00440254"/>
    <w:rsid w:val="00444789"/>
    <w:rsid w:val="00457D18"/>
    <w:rsid w:val="0046543C"/>
    <w:rsid w:val="00467FA1"/>
    <w:rsid w:val="00491230"/>
    <w:rsid w:val="004A3307"/>
    <w:rsid w:val="004A4F68"/>
    <w:rsid w:val="004D1C2A"/>
    <w:rsid w:val="004D4D4B"/>
    <w:rsid w:val="00504B4E"/>
    <w:rsid w:val="00547184"/>
    <w:rsid w:val="00554B7A"/>
    <w:rsid w:val="0057111D"/>
    <w:rsid w:val="00571AFC"/>
    <w:rsid w:val="00574B24"/>
    <w:rsid w:val="005821ED"/>
    <w:rsid w:val="005A57C9"/>
    <w:rsid w:val="005C4698"/>
    <w:rsid w:val="005F290E"/>
    <w:rsid w:val="005F319B"/>
    <w:rsid w:val="00606380"/>
    <w:rsid w:val="006120DE"/>
    <w:rsid w:val="0062114D"/>
    <w:rsid w:val="00636582"/>
    <w:rsid w:val="00641F1C"/>
    <w:rsid w:val="006446C3"/>
    <w:rsid w:val="00650726"/>
    <w:rsid w:val="00654521"/>
    <w:rsid w:val="006A1E5E"/>
    <w:rsid w:val="006B4946"/>
    <w:rsid w:val="006C0D80"/>
    <w:rsid w:val="006C1D88"/>
    <w:rsid w:val="006D1831"/>
    <w:rsid w:val="006D3E32"/>
    <w:rsid w:val="006D766C"/>
    <w:rsid w:val="006F2692"/>
    <w:rsid w:val="006F4434"/>
    <w:rsid w:val="00705B51"/>
    <w:rsid w:val="0071758E"/>
    <w:rsid w:val="0073623D"/>
    <w:rsid w:val="00736C40"/>
    <w:rsid w:val="00737245"/>
    <w:rsid w:val="00753DE4"/>
    <w:rsid w:val="00762409"/>
    <w:rsid w:val="00767A7D"/>
    <w:rsid w:val="00780C3D"/>
    <w:rsid w:val="00783DDB"/>
    <w:rsid w:val="007A63BF"/>
    <w:rsid w:val="007B4578"/>
    <w:rsid w:val="007C4C66"/>
    <w:rsid w:val="007E7F73"/>
    <w:rsid w:val="00811D9C"/>
    <w:rsid w:val="008150E4"/>
    <w:rsid w:val="00820711"/>
    <w:rsid w:val="00820D13"/>
    <w:rsid w:val="00822479"/>
    <w:rsid w:val="00827658"/>
    <w:rsid w:val="00830609"/>
    <w:rsid w:val="008334F9"/>
    <w:rsid w:val="008420FE"/>
    <w:rsid w:val="00850F7E"/>
    <w:rsid w:val="00855F6C"/>
    <w:rsid w:val="00856960"/>
    <w:rsid w:val="0088036A"/>
    <w:rsid w:val="0088121B"/>
    <w:rsid w:val="0088447A"/>
    <w:rsid w:val="008845FD"/>
    <w:rsid w:val="008A4980"/>
    <w:rsid w:val="008B0E04"/>
    <w:rsid w:val="008C504A"/>
    <w:rsid w:val="008C5177"/>
    <w:rsid w:val="008D11FB"/>
    <w:rsid w:val="008D14C8"/>
    <w:rsid w:val="008E2781"/>
    <w:rsid w:val="008F139A"/>
    <w:rsid w:val="008F1858"/>
    <w:rsid w:val="008F68A2"/>
    <w:rsid w:val="008F7032"/>
    <w:rsid w:val="00906968"/>
    <w:rsid w:val="00917E91"/>
    <w:rsid w:val="00935126"/>
    <w:rsid w:val="00936415"/>
    <w:rsid w:val="0094343D"/>
    <w:rsid w:val="00961FA1"/>
    <w:rsid w:val="00963085"/>
    <w:rsid w:val="00970C8C"/>
    <w:rsid w:val="00987BB4"/>
    <w:rsid w:val="00990CFA"/>
    <w:rsid w:val="009A04C3"/>
    <w:rsid w:val="009E3DEE"/>
    <w:rsid w:val="009F0F14"/>
    <w:rsid w:val="009F1834"/>
    <w:rsid w:val="00A00690"/>
    <w:rsid w:val="00A10FCD"/>
    <w:rsid w:val="00A14799"/>
    <w:rsid w:val="00A36EFB"/>
    <w:rsid w:val="00A42556"/>
    <w:rsid w:val="00A47FF7"/>
    <w:rsid w:val="00A51B35"/>
    <w:rsid w:val="00A86733"/>
    <w:rsid w:val="00A97321"/>
    <w:rsid w:val="00AA377E"/>
    <w:rsid w:val="00AB27D0"/>
    <w:rsid w:val="00AB3725"/>
    <w:rsid w:val="00AB74CC"/>
    <w:rsid w:val="00AB7F43"/>
    <w:rsid w:val="00AC4803"/>
    <w:rsid w:val="00AC49F7"/>
    <w:rsid w:val="00AC4B19"/>
    <w:rsid w:val="00AD4EE6"/>
    <w:rsid w:val="00AE6666"/>
    <w:rsid w:val="00B56B8F"/>
    <w:rsid w:val="00B77942"/>
    <w:rsid w:val="00B91E88"/>
    <w:rsid w:val="00BA7C01"/>
    <w:rsid w:val="00BB60CD"/>
    <w:rsid w:val="00BC0157"/>
    <w:rsid w:val="00BC045C"/>
    <w:rsid w:val="00BD1C2E"/>
    <w:rsid w:val="00BD5A25"/>
    <w:rsid w:val="00BF3598"/>
    <w:rsid w:val="00C340FB"/>
    <w:rsid w:val="00C406C0"/>
    <w:rsid w:val="00C564C1"/>
    <w:rsid w:val="00C6565D"/>
    <w:rsid w:val="00C87395"/>
    <w:rsid w:val="00CA18DA"/>
    <w:rsid w:val="00CB5B91"/>
    <w:rsid w:val="00CC31B0"/>
    <w:rsid w:val="00D173EC"/>
    <w:rsid w:val="00D30523"/>
    <w:rsid w:val="00D36D7A"/>
    <w:rsid w:val="00D5057A"/>
    <w:rsid w:val="00D62968"/>
    <w:rsid w:val="00D7143C"/>
    <w:rsid w:val="00D87C80"/>
    <w:rsid w:val="00D87F13"/>
    <w:rsid w:val="00D9313A"/>
    <w:rsid w:val="00DC1333"/>
    <w:rsid w:val="00DD1773"/>
    <w:rsid w:val="00DE4865"/>
    <w:rsid w:val="00DF6629"/>
    <w:rsid w:val="00E0197D"/>
    <w:rsid w:val="00E065AB"/>
    <w:rsid w:val="00E23233"/>
    <w:rsid w:val="00E246D4"/>
    <w:rsid w:val="00E3616B"/>
    <w:rsid w:val="00E57593"/>
    <w:rsid w:val="00E63C04"/>
    <w:rsid w:val="00E72862"/>
    <w:rsid w:val="00E91933"/>
    <w:rsid w:val="00E91E2B"/>
    <w:rsid w:val="00EE19D8"/>
    <w:rsid w:val="00EE1E7E"/>
    <w:rsid w:val="00EF7E2C"/>
    <w:rsid w:val="00F412FD"/>
    <w:rsid w:val="00F56E65"/>
    <w:rsid w:val="00F779DB"/>
    <w:rsid w:val="00F77C05"/>
    <w:rsid w:val="00F826D1"/>
    <w:rsid w:val="00F917D6"/>
    <w:rsid w:val="00F91D35"/>
    <w:rsid w:val="00FA0BDE"/>
    <w:rsid w:val="00FA6679"/>
    <w:rsid w:val="00FE3AA9"/>
    <w:rsid w:val="00FF15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8C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5206"/>
    <w:pPr>
      <w:spacing w:after="120" w:line="480" w:lineRule="auto"/>
      <w:ind w:left="360"/>
    </w:pPr>
  </w:style>
  <w:style w:type="character" w:customStyle="1" w:styleId="BodyTextIndent2Char">
    <w:name w:val="Body Text Indent 2 Char"/>
    <w:basedOn w:val="DefaultParagraphFont"/>
    <w:link w:val="BodyTextIndent2"/>
    <w:rsid w:val="0002520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A2F44"/>
    <w:rPr>
      <w:sz w:val="16"/>
      <w:szCs w:val="16"/>
    </w:rPr>
  </w:style>
  <w:style w:type="paragraph" w:styleId="CommentText">
    <w:name w:val="annotation text"/>
    <w:basedOn w:val="Normal"/>
    <w:link w:val="CommentTextChar"/>
    <w:uiPriority w:val="99"/>
    <w:unhideWhenUsed/>
    <w:rsid w:val="002A2F44"/>
  </w:style>
  <w:style w:type="character" w:customStyle="1" w:styleId="CommentTextChar">
    <w:name w:val="Comment Text Char"/>
    <w:basedOn w:val="DefaultParagraphFont"/>
    <w:link w:val="CommentText"/>
    <w:uiPriority w:val="99"/>
    <w:rsid w:val="002A2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F44"/>
    <w:rPr>
      <w:b/>
      <w:bCs/>
    </w:rPr>
  </w:style>
  <w:style w:type="character" w:customStyle="1" w:styleId="CommentSubjectChar">
    <w:name w:val="Comment Subject Char"/>
    <w:basedOn w:val="CommentTextChar"/>
    <w:link w:val="CommentSubject"/>
    <w:uiPriority w:val="99"/>
    <w:semiHidden/>
    <w:rsid w:val="002A2F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2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F44"/>
    <w:rPr>
      <w:rFonts w:ascii="Segoe UI" w:eastAsia="Times New Roman" w:hAnsi="Segoe UI" w:cs="Segoe UI"/>
      <w:sz w:val="18"/>
      <w:szCs w:val="18"/>
    </w:rPr>
  </w:style>
  <w:style w:type="paragraph" w:styleId="Header">
    <w:name w:val="header"/>
    <w:basedOn w:val="Normal"/>
    <w:link w:val="HeaderChar"/>
    <w:uiPriority w:val="99"/>
    <w:unhideWhenUsed/>
    <w:rsid w:val="005F319B"/>
    <w:pPr>
      <w:tabs>
        <w:tab w:val="center" w:pos="4680"/>
        <w:tab w:val="right" w:pos="9360"/>
      </w:tabs>
    </w:pPr>
  </w:style>
  <w:style w:type="character" w:customStyle="1" w:styleId="HeaderChar">
    <w:name w:val="Header Char"/>
    <w:basedOn w:val="DefaultParagraphFont"/>
    <w:link w:val="Header"/>
    <w:uiPriority w:val="99"/>
    <w:rsid w:val="005F31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319B"/>
    <w:pPr>
      <w:tabs>
        <w:tab w:val="center" w:pos="4680"/>
        <w:tab w:val="right" w:pos="9360"/>
      </w:tabs>
    </w:pPr>
  </w:style>
  <w:style w:type="character" w:customStyle="1" w:styleId="FooterChar">
    <w:name w:val="Footer Char"/>
    <w:basedOn w:val="DefaultParagraphFont"/>
    <w:link w:val="Footer"/>
    <w:uiPriority w:val="99"/>
    <w:rsid w:val="005F319B"/>
    <w:rPr>
      <w:rFonts w:ascii="Times New Roman" w:eastAsia="Times New Roman" w:hAnsi="Times New Roman" w:cs="Times New Roman"/>
      <w:sz w:val="20"/>
      <w:szCs w:val="20"/>
    </w:rPr>
  </w:style>
  <w:style w:type="paragraph" w:styleId="ListParagraph">
    <w:name w:val="List Paragraph"/>
    <w:basedOn w:val="Normal"/>
    <w:uiPriority w:val="34"/>
    <w:qFormat/>
    <w:rsid w:val="00636582"/>
    <w:pPr>
      <w:overflowPunct/>
      <w:autoSpaceDE/>
      <w:autoSpaceDN/>
      <w:adjustRightInd/>
      <w:ind w:left="720"/>
      <w:textAlignment w:val="auto"/>
    </w:pPr>
    <w:rPr>
      <w:rFonts w:ascii="Calibri" w:hAnsi="Calibri" w:eastAsiaTheme="minorHAnsi" w:cs="Calibri"/>
      <w:sz w:val="22"/>
      <w:szCs w:val="22"/>
    </w:rPr>
  </w:style>
  <w:style w:type="character" w:styleId="Hyperlink">
    <w:name w:val="Hyperlink"/>
    <w:basedOn w:val="DefaultParagraphFont"/>
    <w:uiPriority w:val="99"/>
    <w:unhideWhenUsed/>
    <w:rsid w:val="00C564C1"/>
    <w:rPr>
      <w:color w:val="0563C1" w:themeColor="hyperlink"/>
      <w:u w:val="single"/>
    </w:rPr>
  </w:style>
  <w:style w:type="character" w:styleId="UnresolvedMention">
    <w:name w:val="Unresolved Mention"/>
    <w:basedOn w:val="DefaultParagraphFont"/>
    <w:uiPriority w:val="99"/>
    <w:semiHidden/>
    <w:unhideWhenUsed/>
    <w:rsid w:val="00C564C1"/>
    <w:rPr>
      <w:color w:val="605E5C"/>
      <w:shd w:val="clear" w:color="auto" w:fill="E1DFDD"/>
    </w:rPr>
  </w:style>
  <w:style w:type="character" w:styleId="FollowedHyperlink">
    <w:name w:val="FollowedHyperlink"/>
    <w:basedOn w:val="DefaultParagraphFont"/>
    <w:uiPriority w:val="99"/>
    <w:semiHidden/>
    <w:unhideWhenUsed/>
    <w:rsid w:val="00C564C1"/>
    <w:rPr>
      <w:color w:val="954F72" w:themeColor="followedHyperlink"/>
      <w:u w:val="single"/>
    </w:rPr>
  </w:style>
  <w:style w:type="paragraph" w:styleId="Revision">
    <w:name w:val="Revision"/>
    <w:hidden/>
    <w:uiPriority w:val="99"/>
    <w:semiHidden/>
    <w:rsid w:val="008E278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hudatwork.hud.gov/HUD/chco/doc/PSS-5201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1277-3920-4A6D-8F3E-F85A6318E5A6}">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2024-12-18T22:53:00Z</dcterms:created>
  <dcterms:modified xsi:type="dcterms:W3CDTF">2024-12-18T22:53:00Z</dcterms:modified>
</cp:coreProperties>
</file>