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7C08A0" w14:paraId="78239CE7" w14:textId="77777777">
      <w:pPr>
        <w:jc w:val="center"/>
        <w:rPr>
          <w:b/>
          <w:sz w:val="24"/>
          <w:szCs w:val="24"/>
        </w:rPr>
      </w:pPr>
      <w:r w:rsidRPr="00167E53">
        <w:rPr>
          <w:b/>
          <w:sz w:val="24"/>
          <w:szCs w:val="24"/>
        </w:rPr>
        <w:t>Supporting Statement for Paperwork Reduction Act Submissions</w:t>
      </w:r>
    </w:p>
    <w:p w:rsidR="007C08A0" w:rsidP="007C08A0" w14:paraId="0BEB873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4072B8">
        <w:rPr>
          <w:b/>
          <w:sz w:val="24"/>
          <w:szCs w:val="24"/>
        </w:rPr>
        <w:t xml:space="preserve">Operating Fund Shortfall Program Financial Reporting and Monitoring </w:t>
      </w:r>
    </w:p>
    <w:p w:rsidR="00167E53" w:rsidRPr="00167E53" w:rsidP="007C08A0" w14:paraId="0C0ADA6F" w14:textId="760B2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7C08A0">
        <w:rPr>
          <w:b/>
          <w:sz w:val="24"/>
          <w:szCs w:val="24"/>
        </w:rPr>
        <w:t>2577-0300</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t xml:space="preserve">Explain the circumstances that make the collection of information necessary.  </w:t>
      </w:r>
      <w:r w:rsidRPr="006C7FAE">
        <w:rPr>
          <w:sz w:val="24"/>
          <w:szCs w:val="24"/>
        </w:rPr>
        <w:t>Identify any legal or administrative requirements that necessitate the collection.  Attach a copy of the appropriate section of each statute and regulation mandating or authorizing the collection of information.</w:t>
      </w:r>
    </w:p>
    <w:p w:rsidR="00734A7C" w:rsidRPr="00F47A4B" w:rsidP="00734A7C" w14:paraId="09C24C6F" w14:textId="77777777">
      <w:pPr>
        <w:spacing w:before="120"/>
        <w:ind w:left="360"/>
        <w:rPr>
          <w:b/>
          <w:color w:val="000000"/>
          <w:sz w:val="24"/>
          <w:szCs w:val="24"/>
        </w:rPr>
      </w:pPr>
      <w:bookmarkStart w:id="0" w:name="_Hlk183438875"/>
      <w:r w:rsidRPr="00F47A4B">
        <w:rPr>
          <w:color w:val="000000"/>
          <w:sz w:val="24"/>
          <w:szCs w:val="24"/>
        </w:rPr>
        <w:t>The circumstances necessary for this Paperwork Reduction Act Submission came about due to the creation of FMD's Operating Fund Shortfall Program. The Shortfall Program has been in operation since FY 2021 and created through annual Appropriations laws providing $25 million set-aside in the Public Housing Fund to assist Public Housing Agencies (PHA) experiencing or at risk of financial shortfalls. OMB requested that PIH begin to collect enough information from PHAs to evaluate the efficacy of the program.</w:t>
      </w:r>
    </w:p>
    <w:p w:rsidR="00734A7C" w:rsidRPr="00F47A4B" w:rsidP="00734A7C" w14:paraId="7DFAEB47" w14:textId="3173F627">
      <w:pPr>
        <w:spacing w:before="208"/>
        <w:ind w:left="360"/>
        <w:rPr>
          <w:color w:val="000000"/>
          <w:sz w:val="24"/>
          <w:szCs w:val="24"/>
        </w:rPr>
      </w:pPr>
      <w:r w:rsidRPr="00F47A4B">
        <w:rPr>
          <w:color w:val="000000"/>
          <w:spacing w:val="-3"/>
          <w:sz w:val="24"/>
          <w:szCs w:val="24"/>
        </w:rPr>
        <w:t>The Code of Federal Regulations (CFR) 990.280 instructs that all PHAs "shall develop and maintain a system of budgeting and account for each project in a manner that allows for analysis of the actual revenues and expenses</w:t>
      </w:r>
      <w:r w:rsidRPr="00F47A4B">
        <w:rPr>
          <w:b/>
          <w:color w:val="000000"/>
          <w:sz w:val="24"/>
          <w:szCs w:val="24"/>
        </w:rPr>
        <w:t xml:space="preserve"> </w:t>
      </w:r>
      <w:r w:rsidRPr="00F47A4B">
        <w:rPr>
          <w:color w:val="000000"/>
          <w:spacing w:val="-1"/>
          <w:sz w:val="24"/>
          <w:szCs w:val="24"/>
        </w:rPr>
        <w:t xml:space="preserve">associated with each property." CFR 990.285 dictates that "Each PHA shall distribute project-based budgets and year-end financial statements to the Chairman and to each member of the PHA Board of Commissioners, and to such </w:t>
      </w:r>
      <w:r w:rsidRPr="00F47A4B">
        <w:rPr>
          <w:color w:val="000000"/>
          <w:sz w:val="24"/>
          <w:szCs w:val="24"/>
        </w:rPr>
        <w:t>other state and local public officials as HUD may specify." This PRA is built upon CFR 990.280 and CFR 990.285 to include the mandatory completion of schedules for Shortfall in the Shortfall budget described below. FMD is also requesting collection of an Improvement Plan and formalized c</w:t>
      </w:r>
      <w:r w:rsidRPr="00F47A4B">
        <w:rPr>
          <w:color w:val="000000"/>
          <w:sz w:val="24"/>
          <w:szCs w:val="24"/>
        </w:rPr>
        <w:t xml:space="preserve">ollection of the Shortfall Program Application and Appeal forms. These </w:t>
      </w:r>
      <w:r w:rsidR="009D0D12">
        <w:rPr>
          <w:color w:val="000000"/>
          <w:sz w:val="24"/>
          <w:szCs w:val="24"/>
        </w:rPr>
        <w:t xml:space="preserve">forms </w:t>
      </w:r>
      <w:r w:rsidR="00196284">
        <w:rPr>
          <w:color w:val="000000"/>
          <w:sz w:val="24"/>
          <w:szCs w:val="24"/>
        </w:rPr>
        <w:t>assist</w:t>
      </w:r>
      <w:r w:rsidRPr="00F47A4B">
        <w:rPr>
          <w:color w:val="000000"/>
          <w:sz w:val="24"/>
          <w:szCs w:val="24"/>
        </w:rPr>
        <w:t xml:space="preserve"> </w:t>
      </w:r>
      <w:r w:rsidR="00196284">
        <w:rPr>
          <w:color w:val="000000"/>
          <w:sz w:val="24"/>
          <w:szCs w:val="24"/>
        </w:rPr>
        <w:t>HUD</w:t>
      </w:r>
      <w:r w:rsidRPr="00F47A4B">
        <w:rPr>
          <w:color w:val="000000"/>
          <w:sz w:val="24"/>
          <w:szCs w:val="24"/>
        </w:rPr>
        <w:t xml:space="preserve"> to ensure that funds are being used by PHAs to meet the program's objective of stabilizing PHAs financially. This PRA is being submitted to improve the effectiveness of the program (through monitoring and risk management) which ultimately helps the PHAs reach sustainable financial success.</w:t>
      </w:r>
    </w:p>
    <w:p w:rsidR="009E13B1" w:rsidRPr="00734A7C" w:rsidP="00734A7C" w14:paraId="301F0D45" w14:textId="77F66519">
      <w:pPr>
        <w:spacing w:before="208"/>
        <w:ind w:left="360"/>
        <w:rPr>
          <w:b/>
          <w:color w:val="000000"/>
          <w:sz w:val="24"/>
          <w:szCs w:val="24"/>
        </w:rPr>
      </w:pPr>
      <w:r w:rsidRPr="00F47A4B">
        <w:rPr>
          <w:color w:val="000000"/>
          <w:sz w:val="24"/>
          <w:szCs w:val="24"/>
        </w:rPr>
        <w:t>HUD requires PHAs to submit SF-425 annually until they expend the entire funding or the funding period of performance ends.</w:t>
      </w:r>
      <w:bookmarkEnd w:id="0"/>
    </w:p>
    <w:p w:rsidR="00D81406" w:rsidRPr="006C7FAE" w14:paraId="232EE019" w14:textId="77777777">
      <w:pPr>
        <w:tabs>
          <w:tab w:val="left" w:pos="360"/>
        </w:tabs>
        <w:ind w:left="360" w:hanging="360"/>
        <w:rPr>
          <w:sz w:val="24"/>
          <w:szCs w:val="24"/>
        </w:rPr>
      </w:pPr>
    </w:p>
    <w:p w:rsidR="009E13B1" w:rsidRPr="006C7FAE"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t xml:space="preserve">Indicate how, by whom and for what purpose the information is to be used.  </w:t>
      </w:r>
      <w:r w:rsidRPr="006C7FAE">
        <w:rPr>
          <w:sz w:val="24"/>
          <w:szCs w:val="24"/>
        </w:rPr>
        <w:t>Except for a new collection, indicate the actual use the agency has made of the information received from the current collection.</w:t>
      </w:r>
    </w:p>
    <w:p w:rsidR="00734A7C" w:rsidRPr="00F47A4B" w:rsidP="00734A7C" w14:paraId="689AA457" w14:textId="77777777">
      <w:pPr>
        <w:ind w:left="360"/>
        <w:rPr>
          <w:color w:val="000000"/>
          <w:sz w:val="24"/>
          <w:szCs w:val="24"/>
        </w:rPr>
      </w:pPr>
    </w:p>
    <w:p w:rsidR="00734A7C" w:rsidRPr="00F47A4B" w:rsidP="00734A7C" w14:paraId="0F9F84DC" w14:textId="5025CC12">
      <w:pPr>
        <w:ind w:left="360"/>
        <w:rPr>
          <w:color w:val="000000"/>
          <w:sz w:val="24"/>
          <w:szCs w:val="24"/>
        </w:rPr>
      </w:pPr>
      <w:r w:rsidRPr="00F47A4B">
        <w:rPr>
          <w:color w:val="000000"/>
          <w:sz w:val="24"/>
          <w:szCs w:val="24"/>
        </w:rPr>
        <w:t xml:space="preserve">The data collected through this PRA provides adequate reporting to allow for monitoring of the Shortfall Funding Program participants and the use of program funds. HUD </w:t>
      </w:r>
      <w:r w:rsidR="001B7C89">
        <w:rPr>
          <w:color w:val="000000"/>
          <w:sz w:val="24"/>
          <w:szCs w:val="24"/>
        </w:rPr>
        <w:t>requests the participants t</w:t>
      </w:r>
      <w:r w:rsidR="00BA392E">
        <w:rPr>
          <w:color w:val="000000"/>
          <w:sz w:val="24"/>
          <w:szCs w:val="24"/>
        </w:rPr>
        <w:t xml:space="preserve">o identify strategies </w:t>
      </w:r>
      <w:r w:rsidR="00FA7064">
        <w:rPr>
          <w:color w:val="000000"/>
          <w:sz w:val="24"/>
          <w:szCs w:val="24"/>
        </w:rPr>
        <w:t xml:space="preserve">and actions to accomplish those </w:t>
      </w:r>
      <w:r w:rsidR="008C3244">
        <w:rPr>
          <w:color w:val="000000"/>
          <w:sz w:val="24"/>
          <w:szCs w:val="24"/>
        </w:rPr>
        <w:t>strategies</w:t>
      </w:r>
      <w:r w:rsidR="00FA7064">
        <w:rPr>
          <w:color w:val="000000"/>
          <w:sz w:val="24"/>
          <w:szCs w:val="24"/>
        </w:rPr>
        <w:t xml:space="preserve"> that</w:t>
      </w:r>
      <w:r w:rsidR="00BA392E">
        <w:rPr>
          <w:color w:val="000000"/>
          <w:sz w:val="24"/>
          <w:szCs w:val="24"/>
        </w:rPr>
        <w:t xml:space="preserve"> </w:t>
      </w:r>
      <w:r w:rsidR="006218FF">
        <w:rPr>
          <w:color w:val="000000"/>
          <w:sz w:val="24"/>
          <w:szCs w:val="24"/>
        </w:rPr>
        <w:t>improve</w:t>
      </w:r>
      <w:r w:rsidR="00FA7064">
        <w:rPr>
          <w:color w:val="000000"/>
          <w:sz w:val="24"/>
          <w:szCs w:val="24"/>
        </w:rPr>
        <w:t xml:space="preserve"> the </w:t>
      </w:r>
      <w:r w:rsidR="00CF2B00">
        <w:rPr>
          <w:color w:val="000000"/>
          <w:sz w:val="24"/>
          <w:szCs w:val="24"/>
        </w:rPr>
        <w:t xml:space="preserve">participants public housing </w:t>
      </w:r>
      <w:r w:rsidR="00FA7064">
        <w:rPr>
          <w:color w:val="000000"/>
          <w:sz w:val="24"/>
          <w:szCs w:val="24"/>
        </w:rPr>
        <w:t>finances</w:t>
      </w:r>
      <w:r w:rsidR="00BA392E">
        <w:rPr>
          <w:color w:val="000000"/>
          <w:sz w:val="24"/>
          <w:szCs w:val="24"/>
        </w:rPr>
        <w:t xml:space="preserve"> </w:t>
      </w:r>
      <w:r w:rsidR="00CF2B00">
        <w:rPr>
          <w:color w:val="000000"/>
          <w:sz w:val="24"/>
          <w:szCs w:val="24"/>
        </w:rPr>
        <w:t xml:space="preserve">and </w:t>
      </w:r>
      <w:r w:rsidR="006218FF">
        <w:rPr>
          <w:color w:val="000000"/>
          <w:sz w:val="24"/>
          <w:szCs w:val="24"/>
        </w:rPr>
        <w:t>prevent</w:t>
      </w:r>
      <w:r w:rsidR="00CF2B00">
        <w:rPr>
          <w:color w:val="000000"/>
          <w:sz w:val="24"/>
          <w:szCs w:val="24"/>
        </w:rPr>
        <w:t xml:space="preserve"> </w:t>
      </w:r>
      <w:r w:rsidR="006218FF">
        <w:rPr>
          <w:color w:val="000000"/>
          <w:sz w:val="24"/>
          <w:szCs w:val="24"/>
        </w:rPr>
        <w:t xml:space="preserve">future </w:t>
      </w:r>
      <w:r w:rsidR="008C3244">
        <w:rPr>
          <w:color w:val="000000"/>
          <w:sz w:val="24"/>
          <w:szCs w:val="24"/>
        </w:rPr>
        <w:t>insolvency. HUD requests the participants</w:t>
      </w:r>
      <w:r w:rsidR="00A14934">
        <w:rPr>
          <w:color w:val="000000"/>
          <w:sz w:val="24"/>
          <w:szCs w:val="24"/>
        </w:rPr>
        <w:t>’</w:t>
      </w:r>
      <w:r w:rsidR="008C3244">
        <w:rPr>
          <w:color w:val="000000"/>
          <w:sz w:val="24"/>
          <w:szCs w:val="24"/>
        </w:rPr>
        <w:t xml:space="preserve"> </w:t>
      </w:r>
      <w:r w:rsidR="006218FF">
        <w:rPr>
          <w:color w:val="000000"/>
          <w:sz w:val="24"/>
          <w:szCs w:val="24"/>
        </w:rPr>
        <w:t xml:space="preserve">operating budget and actual financials to </w:t>
      </w:r>
      <w:r w:rsidR="00196C2D">
        <w:rPr>
          <w:color w:val="000000"/>
          <w:sz w:val="24"/>
          <w:szCs w:val="24"/>
        </w:rPr>
        <w:t>review the</w:t>
      </w:r>
      <w:r w:rsidR="00A14934">
        <w:rPr>
          <w:color w:val="000000"/>
          <w:sz w:val="24"/>
          <w:szCs w:val="24"/>
        </w:rPr>
        <w:t xml:space="preserve"> perceived</w:t>
      </w:r>
      <w:r w:rsidR="006218FF">
        <w:rPr>
          <w:color w:val="000000"/>
          <w:sz w:val="24"/>
          <w:szCs w:val="24"/>
        </w:rPr>
        <w:t xml:space="preserve"> </w:t>
      </w:r>
      <w:r w:rsidR="00622043">
        <w:rPr>
          <w:color w:val="000000"/>
          <w:sz w:val="24"/>
          <w:szCs w:val="24"/>
        </w:rPr>
        <w:t>impact of</w:t>
      </w:r>
      <w:r w:rsidR="006218FF">
        <w:rPr>
          <w:color w:val="000000"/>
          <w:sz w:val="24"/>
          <w:szCs w:val="24"/>
        </w:rPr>
        <w:t xml:space="preserve"> </w:t>
      </w:r>
      <w:r w:rsidR="00196C2D">
        <w:rPr>
          <w:color w:val="000000"/>
          <w:sz w:val="24"/>
          <w:szCs w:val="24"/>
        </w:rPr>
        <w:t>the participants</w:t>
      </w:r>
      <w:r w:rsidR="006B79B8">
        <w:rPr>
          <w:color w:val="000000"/>
          <w:sz w:val="24"/>
          <w:szCs w:val="24"/>
        </w:rPr>
        <w:t>’</w:t>
      </w:r>
      <w:r w:rsidR="00196C2D">
        <w:rPr>
          <w:color w:val="000000"/>
          <w:sz w:val="24"/>
          <w:szCs w:val="24"/>
        </w:rPr>
        <w:t xml:space="preserve"> </w:t>
      </w:r>
      <w:r w:rsidR="00622043">
        <w:rPr>
          <w:color w:val="000000"/>
          <w:sz w:val="24"/>
          <w:szCs w:val="24"/>
        </w:rPr>
        <w:t xml:space="preserve">improvement </w:t>
      </w:r>
      <w:r w:rsidR="00196C2D">
        <w:rPr>
          <w:color w:val="000000"/>
          <w:sz w:val="24"/>
          <w:szCs w:val="24"/>
        </w:rPr>
        <w:t>strategies and actions</w:t>
      </w:r>
      <w:r w:rsidRPr="00F47A4B">
        <w:rPr>
          <w:color w:val="000000"/>
          <w:sz w:val="24"/>
          <w:szCs w:val="24"/>
        </w:rPr>
        <w:t xml:space="preserve">. </w:t>
      </w:r>
      <w:r w:rsidR="00114717">
        <w:rPr>
          <w:color w:val="000000"/>
          <w:sz w:val="24"/>
          <w:szCs w:val="24"/>
        </w:rPr>
        <w:t xml:space="preserve">If the program </w:t>
      </w:r>
      <w:r w:rsidR="00E36BA4">
        <w:rPr>
          <w:color w:val="000000"/>
          <w:sz w:val="24"/>
          <w:szCs w:val="24"/>
        </w:rPr>
        <w:t>part</w:t>
      </w:r>
      <w:r w:rsidR="00622043">
        <w:rPr>
          <w:color w:val="000000"/>
          <w:sz w:val="24"/>
          <w:szCs w:val="24"/>
        </w:rPr>
        <w:t>icipant</w:t>
      </w:r>
      <w:r w:rsidR="00114717">
        <w:rPr>
          <w:color w:val="000000"/>
          <w:sz w:val="24"/>
          <w:szCs w:val="24"/>
        </w:rPr>
        <w:t xml:space="preserve"> is not meeting their </w:t>
      </w:r>
      <w:r w:rsidR="006B79B8">
        <w:rPr>
          <w:color w:val="000000"/>
          <w:sz w:val="24"/>
          <w:szCs w:val="24"/>
        </w:rPr>
        <w:t>strategies</w:t>
      </w:r>
      <w:r w:rsidR="00E36BA4">
        <w:rPr>
          <w:color w:val="000000"/>
          <w:sz w:val="24"/>
          <w:szCs w:val="24"/>
        </w:rPr>
        <w:t xml:space="preserve"> and actions, and their actual financials are trending below their budget, </w:t>
      </w:r>
      <w:r w:rsidRPr="00F47A4B">
        <w:rPr>
          <w:color w:val="000000"/>
          <w:sz w:val="24"/>
          <w:szCs w:val="24"/>
        </w:rPr>
        <w:t xml:space="preserve">HUD </w:t>
      </w:r>
      <w:r w:rsidR="00E36BA4">
        <w:rPr>
          <w:color w:val="000000"/>
          <w:sz w:val="24"/>
          <w:szCs w:val="24"/>
        </w:rPr>
        <w:t xml:space="preserve">can use </w:t>
      </w:r>
      <w:r w:rsidRPr="00F47A4B">
        <w:rPr>
          <w:color w:val="000000"/>
          <w:sz w:val="24"/>
          <w:szCs w:val="24"/>
        </w:rPr>
        <w:t>take actions to effectively manage them.</w:t>
      </w:r>
    </w:p>
    <w:p w:rsidR="00734A7C" w:rsidRPr="007E66EA" w:rsidP="00734A7C" w14:paraId="2E6750FB" w14:textId="77777777">
      <w:pPr>
        <w:keepLines/>
        <w:tabs>
          <w:tab w:val="left" w:pos="360"/>
          <w:tab w:val="left" w:pos="720"/>
        </w:tabs>
        <w:rPr>
          <w:sz w:val="24"/>
          <w:szCs w:val="24"/>
        </w:rPr>
      </w:pPr>
    </w:p>
    <w:p w:rsidR="00734A7C" w:rsidP="00734A7C" w14:paraId="4C9A824D" w14:textId="77777777">
      <w:pPr>
        <w:keepLines/>
        <w:tabs>
          <w:tab w:val="left" w:pos="360"/>
          <w:tab w:val="left" w:pos="720"/>
        </w:tabs>
        <w:ind w:left="360"/>
        <w:rPr>
          <w:sz w:val="24"/>
          <w:szCs w:val="24"/>
        </w:rPr>
      </w:pPr>
      <w:r w:rsidRPr="007E66EA">
        <w:rPr>
          <w:sz w:val="24"/>
          <w:szCs w:val="24"/>
        </w:rPr>
        <w:t xml:space="preserve">The table below describes the four forms and one correspondence covered by this collection:  </w:t>
      </w:r>
    </w:p>
    <w:p w:rsidR="00734A7C" w:rsidP="00734A7C" w14:paraId="446A5BBF" w14:textId="77777777">
      <w:pPr>
        <w:keepLines/>
        <w:tabs>
          <w:tab w:val="left" w:pos="360"/>
          <w:tab w:val="left" w:pos="720"/>
        </w:tabs>
        <w:ind w:left="360"/>
        <w:rPr>
          <w:sz w:val="24"/>
          <w:szCs w:val="24"/>
        </w:rPr>
      </w:pPr>
    </w:p>
    <w:tbl>
      <w:tblPr>
        <w:tblW w:w="9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1500"/>
        <w:gridCol w:w="1800"/>
        <w:gridCol w:w="5827"/>
      </w:tblGrid>
      <w:tr w14:paraId="26EF167C" w14:textId="77777777" w:rsidTr="00360108">
        <w:tblPrEx>
          <w:tblW w:w="9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570" w:type="dxa"/>
          </w:tcPr>
          <w:p w:rsidR="00734A7C" w:rsidRPr="00026EEB" w:rsidP="00360108" w14:paraId="0EB23484" w14:textId="77777777">
            <w:pPr>
              <w:jc w:val="center"/>
              <w:rPr>
                <w:b/>
                <w:bCs/>
                <w:sz w:val="22"/>
                <w:szCs w:val="22"/>
              </w:rPr>
            </w:pPr>
            <w:r w:rsidRPr="00026EEB">
              <w:rPr>
                <w:b/>
                <w:bCs/>
                <w:sz w:val="22"/>
                <w:szCs w:val="22"/>
              </w:rPr>
              <w:t>No.</w:t>
            </w:r>
          </w:p>
        </w:tc>
        <w:tc>
          <w:tcPr>
            <w:tcW w:w="1500" w:type="dxa"/>
          </w:tcPr>
          <w:p w:rsidR="00734A7C" w:rsidRPr="00026EEB" w:rsidP="00360108" w14:paraId="659552C4" w14:textId="77777777">
            <w:pPr>
              <w:pStyle w:val="Heading6"/>
              <w:overflowPunct w:val="0"/>
              <w:autoSpaceDE w:val="0"/>
              <w:autoSpaceDN w:val="0"/>
              <w:adjustRightInd w:val="0"/>
              <w:textAlignment w:val="baseline"/>
              <w:rPr>
                <w:sz w:val="22"/>
                <w:szCs w:val="22"/>
              </w:rPr>
            </w:pPr>
            <w:r w:rsidRPr="00026EEB">
              <w:rPr>
                <w:sz w:val="22"/>
                <w:szCs w:val="22"/>
              </w:rPr>
              <w:t>Form No.</w:t>
            </w:r>
          </w:p>
        </w:tc>
        <w:tc>
          <w:tcPr>
            <w:tcW w:w="1800" w:type="dxa"/>
          </w:tcPr>
          <w:p w:rsidR="00734A7C" w:rsidRPr="00026EEB" w:rsidP="00360108" w14:paraId="2C95067E" w14:textId="77777777">
            <w:pPr>
              <w:pStyle w:val="Heading6"/>
              <w:overflowPunct w:val="0"/>
              <w:autoSpaceDE w:val="0"/>
              <w:autoSpaceDN w:val="0"/>
              <w:adjustRightInd w:val="0"/>
              <w:textAlignment w:val="baseline"/>
              <w:rPr>
                <w:sz w:val="22"/>
                <w:szCs w:val="22"/>
              </w:rPr>
            </w:pPr>
            <w:r w:rsidRPr="00026EEB">
              <w:rPr>
                <w:sz w:val="22"/>
                <w:szCs w:val="22"/>
              </w:rPr>
              <w:t>Form Name</w:t>
            </w:r>
          </w:p>
        </w:tc>
        <w:tc>
          <w:tcPr>
            <w:tcW w:w="5827" w:type="dxa"/>
          </w:tcPr>
          <w:p w:rsidR="00734A7C" w:rsidRPr="00026EEB" w:rsidP="00360108" w14:paraId="6C26C8B7" w14:textId="77777777">
            <w:pPr>
              <w:pStyle w:val="Heading6"/>
              <w:overflowPunct w:val="0"/>
              <w:autoSpaceDE w:val="0"/>
              <w:autoSpaceDN w:val="0"/>
              <w:adjustRightInd w:val="0"/>
              <w:textAlignment w:val="baseline"/>
              <w:rPr>
                <w:sz w:val="22"/>
                <w:szCs w:val="22"/>
              </w:rPr>
            </w:pPr>
            <w:r w:rsidRPr="00026EEB">
              <w:rPr>
                <w:sz w:val="22"/>
                <w:szCs w:val="22"/>
              </w:rPr>
              <w:t>Form Description</w:t>
            </w:r>
          </w:p>
        </w:tc>
      </w:tr>
      <w:tr w14:paraId="4A0BBC24" w14:textId="77777777" w:rsidTr="00360108">
        <w:tblPrEx>
          <w:tblW w:w="9697" w:type="dxa"/>
          <w:tblInd w:w="198" w:type="dxa"/>
          <w:tblLook w:val="0000"/>
        </w:tblPrEx>
        <w:tc>
          <w:tcPr>
            <w:tcW w:w="570" w:type="dxa"/>
          </w:tcPr>
          <w:p w:rsidR="00734A7C" w:rsidRPr="00734A7C" w:rsidP="00734A7C" w14:paraId="3D3E4C38" w14:textId="2E6CE4B2">
            <w:pPr>
              <w:jc w:val="center"/>
              <w:rPr>
                <w:sz w:val="24"/>
                <w:szCs w:val="24"/>
              </w:rPr>
            </w:pPr>
            <w:r w:rsidRPr="00734A7C">
              <w:rPr>
                <w:color w:val="000000"/>
                <w:sz w:val="24"/>
                <w:szCs w:val="24"/>
              </w:rPr>
              <w:t>1</w:t>
            </w:r>
          </w:p>
        </w:tc>
        <w:tc>
          <w:tcPr>
            <w:tcW w:w="1500" w:type="dxa"/>
          </w:tcPr>
          <w:p w:rsidR="00734A7C" w:rsidRPr="00734A7C" w:rsidP="00734A7C" w14:paraId="19FECA87" w14:textId="46CBDFB9">
            <w:pPr>
              <w:jc w:val="center"/>
              <w:rPr>
                <w:sz w:val="24"/>
                <w:szCs w:val="24"/>
              </w:rPr>
            </w:pPr>
            <w:r w:rsidRPr="00734A7C">
              <w:rPr>
                <w:color w:val="000000"/>
                <w:sz w:val="24"/>
                <w:szCs w:val="24"/>
              </w:rPr>
              <w:t>HUD-50093</w:t>
            </w:r>
          </w:p>
        </w:tc>
        <w:tc>
          <w:tcPr>
            <w:tcW w:w="1800" w:type="dxa"/>
          </w:tcPr>
          <w:p w:rsidR="00734A7C" w:rsidRPr="00660FD1" w:rsidP="00734A7C" w14:paraId="5EAC49C6" w14:textId="646C5253">
            <w:pPr>
              <w:rPr>
                <w:sz w:val="18"/>
                <w:szCs w:val="18"/>
              </w:rPr>
            </w:pPr>
            <w:r>
              <w:rPr>
                <w:color w:val="000000"/>
                <w:spacing w:val="-5"/>
                <w:sz w:val="18"/>
                <w:szCs w:val="18"/>
              </w:rPr>
              <w:t xml:space="preserve">Public Housing Operating Fund </w:t>
            </w:r>
            <w:r w:rsidRPr="00660FD1">
              <w:rPr>
                <w:color w:val="000000"/>
                <w:spacing w:val="-5"/>
                <w:sz w:val="18"/>
                <w:szCs w:val="18"/>
              </w:rPr>
              <w:t>Shortfall Improvement Plan</w:t>
            </w:r>
          </w:p>
        </w:tc>
        <w:tc>
          <w:tcPr>
            <w:tcW w:w="5827" w:type="dxa"/>
          </w:tcPr>
          <w:p w:rsidR="00734A7C" w:rsidRPr="00734A7C" w:rsidP="00734A7C" w14:paraId="12971BA1" w14:textId="794149C7">
            <w:pPr>
              <w:rPr>
                <w:sz w:val="24"/>
                <w:szCs w:val="24"/>
              </w:rPr>
            </w:pPr>
            <w:r w:rsidRPr="00734A7C">
              <w:rPr>
                <w:color w:val="000000"/>
                <w:sz w:val="24"/>
                <w:szCs w:val="24"/>
              </w:rPr>
              <w:t>A template for Shortfall PHAs to explain the strategies and actions they are going to take to improve their Months of Operating Reserve (MOR)</w:t>
            </w:r>
          </w:p>
        </w:tc>
      </w:tr>
      <w:tr w14:paraId="76E9083C" w14:textId="77777777" w:rsidTr="00360108">
        <w:tblPrEx>
          <w:tblW w:w="9697" w:type="dxa"/>
          <w:tblInd w:w="198" w:type="dxa"/>
          <w:tblLook w:val="0000"/>
        </w:tblPrEx>
        <w:tc>
          <w:tcPr>
            <w:tcW w:w="570" w:type="dxa"/>
          </w:tcPr>
          <w:p w:rsidR="00734A7C" w:rsidRPr="00734A7C" w:rsidP="00734A7C" w14:paraId="3F3D83F3" w14:textId="2F809D3C">
            <w:pPr>
              <w:jc w:val="center"/>
              <w:rPr>
                <w:sz w:val="24"/>
                <w:szCs w:val="24"/>
              </w:rPr>
            </w:pPr>
            <w:r w:rsidRPr="00734A7C">
              <w:rPr>
                <w:color w:val="000000"/>
                <w:sz w:val="24"/>
                <w:szCs w:val="24"/>
              </w:rPr>
              <w:t>2</w:t>
            </w:r>
          </w:p>
        </w:tc>
        <w:tc>
          <w:tcPr>
            <w:tcW w:w="1500" w:type="dxa"/>
          </w:tcPr>
          <w:p w:rsidR="00734A7C" w:rsidRPr="00734A7C" w:rsidP="00734A7C" w14:paraId="35FBD712" w14:textId="1113D3B6">
            <w:pPr>
              <w:jc w:val="center"/>
              <w:rPr>
                <w:sz w:val="24"/>
                <w:szCs w:val="24"/>
              </w:rPr>
            </w:pPr>
            <w:r w:rsidRPr="00734A7C">
              <w:rPr>
                <w:color w:val="000000"/>
                <w:sz w:val="24"/>
                <w:szCs w:val="24"/>
              </w:rPr>
              <w:t>HUD-50094</w:t>
            </w:r>
          </w:p>
        </w:tc>
        <w:tc>
          <w:tcPr>
            <w:tcW w:w="1800" w:type="dxa"/>
          </w:tcPr>
          <w:p w:rsidR="00734A7C" w:rsidRPr="00660FD1" w:rsidP="00734A7C" w14:paraId="1976A68E" w14:textId="37721F0B">
            <w:pPr>
              <w:rPr>
                <w:sz w:val="18"/>
                <w:szCs w:val="18"/>
              </w:rPr>
            </w:pPr>
            <w:r>
              <w:rPr>
                <w:color w:val="000000"/>
                <w:spacing w:val="-5"/>
                <w:sz w:val="18"/>
                <w:szCs w:val="18"/>
              </w:rPr>
              <w:t xml:space="preserve">Public Housing Operating Fund </w:t>
            </w:r>
            <w:r w:rsidRPr="00660FD1">
              <w:rPr>
                <w:color w:val="000000"/>
                <w:sz w:val="18"/>
                <w:szCs w:val="18"/>
              </w:rPr>
              <w:t>Shortfall Budget</w:t>
            </w:r>
          </w:p>
        </w:tc>
        <w:tc>
          <w:tcPr>
            <w:tcW w:w="5827" w:type="dxa"/>
          </w:tcPr>
          <w:p w:rsidR="00734A7C" w:rsidRPr="00734A7C" w:rsidP="00734A7C" w14:paraId="77E06754" w14:textId="1DD5DC2D">
            <w:pPr>
              <w:rPr>
                <w:sz w:val="24"/>
                <w:szCs w:val="24"/>
              </w:rPr>
            </w:pPr>
            <w:r w:rsidRPr="00734A7C">
              <w:rPr>
                <w:color w:val="000000"/>
                <w:sz w:val="24"/>
                <w:szCs w:val="24"/>
              </w:rPr>
              <w:t>An annotated budget for Shortfall Program PHAs to more easily update their budget while being a part of the Shortfall Program</w:t>
            </w:r>
          </w:p>
        </w:tc>
      </w:tr>
      <w:tr w14:paraId="1EB46827" w14:textId="77777777" w:rsidTr="00360108">
        <w:tblPrEx>
          <w:tblW w:w="9697" w:type="dxa"/>
          <w:tblInd w:w="198" w:type="dxa"/>
          <w:tblLook w:val="0000"/>
        </w:tblPrEx>
        <w:tc>
          <w:tcPr>
            <w:tcW w:w="570" w:type="dxa"/>
          </w:tcPr>
          <w:p w:rsidR="00734A7C" w:rsidRPr="00734A7C" w:rsidP="00734A7C" w14:paraId="64EDD66A" w14:textId="49B129CE">
            <w:pPr>
              <w:jc w:val="center"/>
              <w:rPr>
                <w:sz w:val="24"/>
                <w:szCs w:val="24"/>
              </w:rPr>
            </w:pPr>
            <w:r w:rsidRPr="00734A7C">
              <w:rPr>
                <w:color w:val="000000"/>
                <w:sz w:val="24"/>
                <w:szCs w:val="24"/>
              </w:rPr>
              <w:t>3</w:t>
            </w:r>
          </w:p>
        </w:tc>
        <w:tc>
          <w:tcPr>
            <w:tcW w:w="1500" w:type="dxa"/>
          </w:tcPr>
          <w:p w:rsidR="00734A7C" w:rsidRPr="00734A7C" w:rsidP="00734A7C" w14:paraId="13477AA6" w14:textId="3646810E">
            <w:pPr>
              <w:jc w:val="center"/>
              <w:rPr>
                <w:sz w:val="24"/>
                <w:szCs w:val="24"/>
              </w:rPr>
            </w:pPr>
            <w:r w:rsidRPr="00734A7C">
              <w:rPr>
                <w:color w:val="000000"/>
                <w:sz w:val="24"/>
                <w:szCs w:val="24"/>
              </w:rPr>
              <w:t>HUD-50095</w:t>
            </w:r>
          </w:p>
        </w:tc>
        <w:tc>
          <w:tcPr>
            <w:tcW w:w="1800" w:type="dxa"/>
          </w:tcPr>
          <w:p w:rsidR="00734A7C" w:rsidRPr="00660FD1" w:rsidP="00734A7C" w14:paraId="3838F97D" w14:textId="301DC9E1">
            <w:pPr>
              <w:rPr>
                <w:sz w:val="18"/>
                <w:szCs w:val="18"/>
              </w:rPr>
            </w:pPr>
            <w:r>
              <w:rPr>
                <w:color w:val="000000"/>
                <w:spacing w:val="-5"/>
                <w:sz w:val="18"/>
                <w:szCs w:val="18"/>
              </w:rPr>
              <w:t xml:space="preserve">Public Housing Operating Fund </w:t>
            </w:r>
            <w:r w:rsidRPr="00660FD1">
              <w:rPr>
                <w:color w:val="000000"/>
                <w:sz w:val="18"/>
                <w:szCs w:val="18"/>
              </w:rPr>
              <w:t>Shortfall Application</w:t>
            </w:r>
          </w:p>
        </w:tc>
        <w:tc>
          <w:tcPr>
            <w:tcW w:w="5827" w:type="dxa"/>
          </w:tcPr>
          <w:p w:rsidR="00734A7C" w:rsidRPr="00734A7C" w:rsidP="00734A7C" w14:paraId="7CC7F950" w14:textId="27A10B7D">
            <w:pPr>
              <w:rPr>
                <w:sz w:val="24"/>
                <w:szCs w:val="24"/>
              </w:rPr>
            </w:pPr>
            <w:r w:rsidRPr="00734A7C">
              <w:rPr>
                <w:color w:val="000000"/>
                <w:sz w:val="24"/>
                <w:szCs w:val="24"/>
              </w:rPr>
              <w:t>A form for PHAs applying to the Shortfall Funding Program to complete</w:t>
            </w:r>
          </w:p>
        </w:tc>
      </w:tr>
      <w:tr w14:paraId="0E9E6597" w14:textId="77777777" w:rsidTr="00360108">
        <w:tblPrEx>
          <w:tblW w:w="9697" w:type="dxa"/>
          <w:tblInd w:w="198" w:type="dxa"/>
          <w:tblLook w:val="0000"/>
        </w:tblPrEx>
        <w:tc>
          <w:tcPr>
            <w:tcW w:w="570" w:type="dxa"/>
          </w:tcPr>
          <w:p w:rsidR="00734A7C" w:rsidRPr="00734A7C" w:rsidP="00734A7C" w14:paraId="0A0C5DD6" w14:textId="5B1645C0">
            <w:pPr>
              <w:jc w:val="center"/>
              <w:rPr>
                <w:sz w:val="24"/>
                <w:szCs w:val="24"/>
              </w:rPr>
            </w:pPr>
            <w:r w:rsidRPr="00734A7C">
              <w:rPr>
                <w:color w:val="000000"/>
                <w:sz w:val="24"/>
                <w:szCs w:val="24"/>
              </w:rPr>
              <w:t>4</w:t>
            </w:r>
          </w:p>
        </w:tc>
        <w:tc>
          <w:tcPr>
            <w:tcW w:w="1500" w:type="dxa"/>
          </w:tcPr>
          <w:p w:rsidR="00734A7C" w:rsidRPr="00734A7C" w:rsidP="00734A7C" w14:paraId="1778A107" w14:textId="1ACFF9EC">
            <w:pPr>
              <w:jc w:val="center"/>
              <w:rPr>
                <w:sz w:val="24"/>
                <w:szCs w:val="24"/>
              </w:rPr>
            </w:pPr>
            <w:r w:rsidRPr="00734A7C">
              <w:rPr>
                <w:color w:val="000000"/>
                <w:sz w:val="24"/>
                <w:szCs w:val="24"/>
              </w:rPr>
              <w:t>HUD-50096</w:t>
            </w:r>
          </w:p>
        </w:tc>
        <w:tc>
          <w:tcPr>
            <w:tcW w:w="1800" w:type="dxa"/>
          </w:tcPr>
          <w:p w:rsidR="00734A7C" w:rsidRPr="00660FD1" w:rsidP="00734A7C" w14:paraId="09C64B8F" w14:textId="01D69143">
            <w:pPr>
              <w:rPr>
                <w:sz w:val="18"/>
                <w:szCs w:val="18"/>
              </w:rPr>
            </w:pPr>
            <w:r>
              <w:rPr>
                <w:color w:val="000000"/>
                <w:spacing w:val="-5"/>
                <w:sz w:val="18"/>
                <w:szCs w:val="18"/>
              </w:rPr>
              <w:t xml:space="preserve">Public Housing Operating Fund </w:t>
            </w:r>
            <w:r w:rsidRPr="00660FD1">
              <w:rPr>
                <w:color w:val="000000"/>
                <w:sz w:val="18"/>
                <w:szCs w:val="18"/>
              </w:rPr>
              <w:t>Shortfall Appeal</w:t>
            </w:r>
          </w:p>
        </w:tc>
        <w:tc>
          <w:tcPr>
            <w:tcW w:w="5827" w:type="dxa"/>
          </w:tcPr>
          <w:p w:rsidR="00734A7C" w:rsidRPr="00734A7C" w:rsidP="00734A7C" w14:paraId="174D6167" w14:textId="269B73B4">
            <w:pPr>
              <w:rPr>
                <w:sz w:val="24"/>
                <w:szCs w:val="24"/>
              </w:rPr>
            </w:pPr>
            <w:r w:rsidRPr="00734A7C">
              <w:rPr>
                <w:color w:val="000000"/>
                <w:sz w:val="24"/>
                <w:szCs w:val="24"/>
              </w:rPr>
              <w:t>A form for PHAs appealing their Shortfall Funding eligibility to complete</w:t>
            </w:r>
          </w:p>
        </w:tc>
      </w:tr>
      <w:tr w14:paraId="73B20EA8" w14:textId="77777777" w:rsidTr="00360108">
        <w:tblPrEx>
          <w:tblW w:w="9697" w:type="dxa"/>
          <w:tblInd w:w="198" w:type="dxa"/>
          <w:tblLook w:val="0000"/>
        </w:tblPrEx>
        <w:tc>
          <w:tcPr>
            <w:tcW w:w="570" w:type="dxa"/>
          </w:tcPr>
          <w:p w:rsidR="00734A7C" w:rsidRPr="00734A7C" w:rsidP="00360108" w14:paraId="6DAC1C08" w14:textId="77777777">
            <w:pPr>
              <w:jc w:val="center"/>
              <w:rPr>
                <w:sz w:val="24"/>
                <w:szCs w:val="24"/>
              </w:rPr>
            </w:pPr>
            <w:r w:rsidRPr="00734A7C">
              <w:rPr>
                <w:sz w:val="24"/>
                <w:szCs w:val="24"/>
              </w:rPr>
              <w:t>5</w:t>
            </w:r>
          </w:p>
        </w:tc>
        <w:tc>
          <w:tcPr>
            <w:tcW w:w="1500" w:type="dxa"/>
          </w:tcPr>
          <w:p w:rsidR="00734A7C" w:rsidRPr="00734A7C" w:rsidP="00360108" w14:paraId="7EBC585D" w14:textId="77777777">
            <w:pPr>
              <w:jc w:val="center"/>
              <w:rPr>
                <w:sz w:val="24"/>
                <w:szCs w:val="24"/>
              </w:rPr>
            </w:pPr>
            <w:r w:rsidRPr="00734A7C">
              <w:rPr>
                <w:sz w:val="24"/>
                <w:szCs w:val="24"/>
              </w:rPr>
              <w:t>SF-425</w:t>
            </w:r>
          </w:p>
        </w:tc>
        <w:tc>
          <w:tcPr>
            <w:tcW w:w="1800" w:type="dxa"/>
          </w:tcPr>
          <w:p w:rsidR="00734A7C" w:rsidRPr="00734A7C" w:rsidP="00360108" w14:paraId="1A96D290" w14:textId="77777777">
            <w:pPr>
              <w:rPr>
                <w:sz w:val="24"/>
                <w:szCs w:val="24"/>
              </w:rPr>
            </w:pPr>
            <w:r w:rsidRPr="00734A7C">
              <w:rPr>
                <w:sz w:val="24"/>
                <w:szCs w:val="24"/>
              </w:rPr>
              <w:t>Federal Financial Form</w:t>
            </w:r>
          </w:p>
        </w:tc>
        <w:tc>
          <w:tcPr>
            <w:tcW w:w="5827" w:type="dxa"/>
          </w:tcPr>
          <w:p w:rsidR="00734A7C" w:rsidRPr="00734A7C" w:rsidP="00360108" w14:paraId="27188BA5" w14:textId="0AC822E1">
            <w:pPr>
              <w:rPr>
                <w:sz w:val="24"/>
                <w:szCs w:val="24"/>
              </w:rPr>
            </w:pPr>
            <w:r w:rsidRPr="00F47A4B">
              <w:rPr>
                <w:color w:val="000000"/>
                <w:sz w:val="24"/>
                <w:szCs w:val="24"/>
              </w:rPr>
              <w:t xml:space="preserve">A </w:t>
            </w:r>
            <w:r>
              <w:rPr>
                <w:color w:val="000000"/>
                <w:sz w:val="24"/>
                <w:szCs w:val="24"/>
              </w:rPr>
              <w:t>Federal Standard F</w:t>
            </w:r>
            <w:r w:rsidRPr="00F47A4B">
              <w:rPr>
                <w:color w:val="000000"/>
                <w:sz w:val="24"/>
                <w:szCs w:val="24"/>
              </w:rPr>
              <w:t xml:space="preserve">orm used by </w:t>
            </w:r>
            <w:r w:rsidRPr="00F47A4B">
              <w:rPr>
                <w:color w:val="000000"/>
                <w:sz w:val="24"/>
                <w:szCs w:val="24"/>
              </w:rPr>
              <w:t>PHAs to report on the Shortfall Funding obligations and expenditures.</w:t>
            </w:r>
          </w:p>
        </w:tc>
      </w:tr>
    </w:tbl>
    <w:p w:rsidR="00734A7C" w:rsidP="00734A7C" w14:paraId="4348852E" w14:textId="77777777">
      <w:pPr>
        <w:keepLines/>
        <w:tabs>
          <w:tab w:val="left" w:pos="360"/>
          <w:tab w:val="left" w:pos="720"/>
        </w:tabs>
        <w:ind w:left="360"/>
        <w:rPr>
          <w:sz w:val="24"/>
          <w:szCs w:val="24"/>
        </w:rPr>
      </w:pPr>
    </w:p>
    <w:p w:rsidR="00734A7C" w:rsidRPr="006C7FAE" w14:paraId="55AC6B40" w14:textId="77777777">
      <w:pPr>
        <w:keepLines/>
        <w:tabs>
          <w:tab w:val="left" w:pos="360"/>
          <w:tab w:val="left" w:pos="720"/>
        </w:tabs>
        <w:ind w:left="36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rsidP="006A49AC" w14:paraId="58B111F6" w14:textId="372BF51E">
      <w:pPr>
        <w:spacing w:before="287"/>
        <w:ind w:left="360"/>
        <w:rPr>
          <w:sz w:val="24"/>
          <w:szCs w:val="24"/>
        </w:rPr>
      </w:pPr>
      <w:r>
        <w:rPr>
          <w:color w:val="000000"/>
          <w:sz w:val="24"/>
          <w:szCs w:val="24"/>
        </w:rPr>
        <w:t>HUD</w:t>
      </w:r>
      <w:r w:rsidRPr="00F47A4B">
        <w:rPr>
          <w:color w:val="000000"/>
          <w:sz w:val="24"/>
          <w:szCs w:val="24"/>
        </w:rPr>
        <w:t xml:space="preserve"> collects data through the web-based platform called the Public Housing Portal. This tool is currently being used to perform data</w:t>
      </w:r>
      <w:r w:rsidRPr="00F47A4B">
        <w:rPr>
          <w:b/>
          <w:color w:val="000000"/>
          <w:spacing w:val="-1"/>
          <w:sz w:val="24"/>
          <w:szCs w:val="24"/>
        </w:rPr>
        <w:t xml:space="preserve"> </w:t>
      </w:r>
      <w:r w:rsidRPr="00F47A4B">
        <w:rPr>
          <w:color w:val="000000"/>
          <w:sz w:val="24"/>
          <w:szCs w:val="24"/>
        </w:rPr>
        <w:t xml:space="preserve">collection for the Operating Fund program. Because of this, program participants are familiar with the user interface and the tool itself. </w:t>
      </w:r>
      <w:r w:rsidR="00B84661">
        <w:rPr>
          <w:sz w:val="24"/>
          <w:szCs w:val="24"/>
        </w:rPr>
        <w:t>The Public Housing Portal has an Authority to Operate issued on April 3, 2024. The portal possesses security and privacy controls that meet federal requirements.</w:t>
      </w:r>
    </w:p>
    <w:p w:rsidR="00B77258" w:rsidRPr="006C7FAE" w14:paraId="3C03F301" w14:textId="77777777">
      <w:pPr>
        <w:tabs>
          <w:tab w:val="left" w:pos="360"/>
        </w:tabs>
        <w:ind w:left="360" w:hanging="360"/>
        <w:rPr>
          <w:sz w:val="24"/>
          <w:szCs w:val="24"/>
        </w:rPr>
      </w:pPr>
    </w:p>
    <w:p w:rsidR="009E13B1" w:rsidRPr="006C7FAE"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 xml:space="preserve">Describe efforts to identify duplication.  Show specifically why any similar </w:t>
      </w:r>
      <w:r w:rsidRPr="006C7FAE">
        <w:rPr>
          <w:sz w:val="24"/>
          <w:szCs w:val="24"/>
        </w:rPr>
        <w:t>information already available cannot be used or modified for use for the purposes described in Item 2 above.</w:t>
      </w:r>
    </w:p>
    <w:p w:rsidR="009E13B1" w:rsidRPr="00A405F3" w:rsidP="00A405F3" w14:paraId="68859B10" w14:textId="65C6FB3A">
      <w:pPr>
        <w:spacing w:before="287"/>
        <w:ind w:left="360"/>
        <w:rPr>
          <w:b/>
          <w:color w:val="000000"/>
          <w:spacing w:val="-1"/>
          <w:sz w:val="24"/>
          <w:szCs w:val="24"/>
        </w:rPr>
      </w:pPr>
      <w:r>
        <w:rPr>
          <w:color w:val="000000"/>
          <w:sz w:val="24"/>
          <w:szCs w:val="24"/>
        </w:rPr>
        <w:t xml:space="preserve">The forms capture data that is not collected by any other HUD systems or forms. </w:t>
      </w:r>
    </w:p>
    <w:p w:rsidR="006E3623" w:rsidRPr="006C7FAE" w14:paraId="34C5D146" w14:textId="77777777">
      <w:pPr>
        <w:keepLines/>
        <w:tabs>
          <w:tab w:val="left" w:pos="360"/>
          <w:tab w:val="left" w:pos="720"/>
        </w:tabs>
        <w:ind w:left="360"/>
        <w:rPr>
          <w:sz w:val="24"/>
          <w:szCs w:val="24"/>
        </w:rPr>
      </w:pPr>
    </w:p>
    <w:p w:rsidR="009E13B1" w:rsidRPr="006C7FAE"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1C258D" w:rsidP="001C258D" w14:paraId="31D6CBE5" w14:textId="77777777">
      <w:pPr>
        <w:ind w:left="360"/>
        <w:rPr>
          <w:color w:val="000000"/>
          <w:spacing w:val="-1"/>
          <w:sz w:val="24"/>
          <w:szCs w:val="24"/>
        </w:rPr>
      </w:pPr>
    </w:p>
    <w:p w:rsidR="009E13B1" w:rsidRPr="001C258D" w:rsidP="001C258D" w14:paraId="0ED21226" w14:textId="5C643527">
      <w:pPr>
        <w:ind w:left="360"/>
        <w:rPr>
          <w:b/>
          <w:color w:val="000000"/>
          <w:sz w:val="24"/>
          <w:szCs w:val="24"/>
        </w:rPr>
      </w:pPr>
      <w:r w:rsidRPr="00F47A4B">
        <w:rPr>
          <w:color w:val="000000"/>
          <w:spacing w:val="-1"/>
          <w:sz w:val="24"/>
          <w:szCs w:val="24"/>
        </w:rPr>
        <w:t>Not Applicable.</w:t>
      </w:r>
    </w:p>
    <w:p w:rsidR="001C258D" w:rsidRPr="006C7FAE" w14:paraId="5E86DE23" w14:textId="77777777">
      <w:pPr>
        <w:tabs>
          <w:tab w:val="left" w:pos="360"/>
        </w:tabs>
        <w:ind w:left="360" w:hanging="360"/>
        <w:rPr>
          <w:sz w:val="24"/>
          <w:szCs w:val="24"/>
        </w:rPr>
      </w:pPr>
    </w:p>
    <w:p w:rsidR="009E13B1" w:rsidRPr="006C7FAE" w14:paraId="2C0F0529" w14:textId="77777777">
      <w:pPr>
        <w:keepLines/>
        <w:tabs>
          <w:tab w:val="left" w:pos="360"/>
        </w:tabs>
        <w:spacing w:after="80"/>
        <w:ind w:left="360" w:hanging="360"/>
        <w:rPr>
          <w:sz w:val="24"/>
          <w:szCs w:val="24"/>
        </w:rPr>
      </w:pPr>
      <w:r w:rsidRPr="006C7FAE">
        <w:rPr>
          <w:sz w:val="24"/>
          <w:szCs w:val="24"/>
        </w:rPr>
        <w:t>6.</w:t>
      </w:r>
      <w:r w:rsidRPr="006C7FAE">
        <w:rPr>
          <w:sz w:val="24"/>
          <w:szCs w:val="24"/>
        </w:rPr>
        <w:tab/>
        <w:t xml:space="preserve">Describe the consequence to Federal program or policy activities if the collection is not conducted or is conducted less frequently, as well as any technical or </w:t>
      </w:r>
      <w:r w:rsidRPr="006C7FAE">
        <w:rPr>
          <w:sz w:val="24"/>
          <w:szCs w:val="24"/>
        </w:rPr>
        <w:t>legal obstacles to reducing burden.</w:t>
      </w:r>
    </w:p>
    <w:p w:rsidR="009E13B1" w:rsidRPr="00A60A48" w:rsidP="00A60A48" w14:paraId="5745C910" w14:textId="6AD7B2AA">
      <w:pPr>
        <w:spacing w:after="155"/>
        <w:ind w:left="387"/>
        <w:rPr>
          <w:b/>
          <w:color w:val="000000"/>
          <w:sz w:val="24"/>
          <w:szCs w:val="24"/>
        </w:rPr>
      </w:pPr>
      <w:r w:rsidRPr="00F47A4B">
        <w:rPr>
          <w:color w:val="000000"/>
          <w:sz w:val="24"/>
          <w:szCs w:val="24"/>
        </w:rPr>
        <w:t>The policy objective of the Shortfall Funding Program is to financially stabilize at-risk or insolvent PHAs. HUD to solvency through self-directed actions.</w:t>
      </w: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9E13B1" w:rsidRPr="006C7FAE" w:rsidP="00725B54" w14:paraId="77414839" w14:textId="0E9139E5">
      <w:pPr>
        <w:numPr>
          <w:ilvl w:val="0"/>
          <w:numId w:val="14"/>
        </w:numPr>
        <w:ind w:left="450"/>
        <w:rPr>
          <w:sz w:val="24"/>
          <w:szCs w:val="24"/>
        </w:rPr>
      </w:pPr>
      <w:r w:rsidRPr="006C7FAE">
        <w:rPr>
          <w:sz w:val="24"/>
          <w:szCs w:val="24"/>
        </w:rPr>
        <w:t xml:space="preserve">requiring respondents to report information to the agency more than quarterly; </w:t>
      </w:r>
      <w:r w:rsidR="00A60A48">
        <w:rPr>
          <w:sz w:val="24"/>
          <w:szCs w:val="24"/>
        </w:rPr>
        <w:t>Not Applicable</w:t>
      </w:r>
    </w:p>
    <w:p w:rsidR="00A65F9E" w:rsidP="00725B54" w14:paraId="1E7CAB58" w14:textId="77777777">
      <w:pPr>
        <w:ind w:left="450" w:hanging="144"/>
        <w:rPr>
          <w:sz w:val="24"/>
          <w:szCs w:val="24"/>
        </w:rPr>
      </w:pPr>
    </w:p>
    <w:p w:rsidR="009E13B1" w:rsidP="00725B54" w14:paraId="2FC61388" w14:textId="2729818D">
      <w:pPr>
        <w:numPr>
          <w:ilvl w:val="0"/>
          <w:numId w:val="14"/>
        </w:numPr>
        <w:ind w:left="450"/>
        <w:rPr>
          <w:sz w:val="24"/>
          <w:szCs w:val="24"/>
        </w:rPr>
      </w:pPr>
      <w:r w:rsidRPr="006C7FAE">
        <w:rPr>
          <w:sz w:val="24"/>
          <w:szCs w:val="24"/>
        </w:rPr>
        <w:t xml:space="preserve">requiring respondents to prepare a written response to a collection of information in fewer than 30 days after receipt of it; </w:t>
      </w:r>
      <w:r w:rsidR="00A60A48">
        <w:rPr>
          <w:sz w:val="24"/>
          <w:szCs w:val="24"/>
        </w:rPr>
        <w:t>Not Applicable</w:t>
      </w:r>
    </w:p>
    <w:p w:rsidR="00A65F9E" w:rsidP="00725B54" w14:paraId="5CE80399" w14:textId="77777777">
      <w:pPr>
        <w:pStyle w:val="ListParagraph"/>
        <w:ind w:left="450" w:hanging="144"/>
        <w:rPr>
          <w:sz w:val="24"/>
          <w:szCs w:val="24"/>
        </w:rPr>
      </w:pPr>
    </w:p>
    <w:p w:rsidR="009E13B1" w:rsidP="00725B54" w14:paraId="4BDEF174" w14:textId="7E5BB3CB">
      <w:pPr>
        <w:numPr>
          <w:ilvl w:val="0"/>
          <w:numId w:val="14"/>
        </w:numPr>
        <w:ind w:left="450"/>
        <w:rPr>
          <w:sz w:val="24"/>
          <w:szCs w:val="24"/>
        </w:rPr>
      </w:pPr>
      <w:r w:rsidRPr="006C7FAE">
        <w:rPr>
          <w:sz w:val="24"/>
          <w:szCs w:val="24"/>
        </w:rPr>
        <w:t xml:space="preserve">requiring respondents to submit more than an original and two copies of any document; </w:t>
      </w:r>
      <w:r w:rsidR="00A60A48">
        <w:rPr>
          <w:sz w:val="24"/>
          <w:szCs w:val="24"/>
        </w:rPr>
        <w:t>Not Applicable</w:t>
      </w:r>
    </w:p>
    <w:p w:rsidR="00A65F9E" w:rsidP="00725B54" w14:paraId="42E1C60F" w14:textId="77777777">
      <w:pPr>
        <w:pStyle w:val="ListParagraph"/>
        <w:ind w:left="450" w:hanging="144"/>
        <w:rPr>
          <w:sz w:val="24"/>
          <w:szCs w:val="24"/>
        </w:rPr>
      </w:pPr>
    </w:p>
    <w:p w:rsidR="009E13B1" w:rsidRPr="006C7FAE" w:rsidP="00725B54" w14:paraId="6A77FBE6" w14:textId="1F0D6E15">
      <w:pPr>
        <w:numPr>
          <w:ilvl w:val="0"/>
          <w:numId w:val="14"/>
        </w:numPr>
        <w:ind w:left="450"/>
        <w:rPr>
          <w:sz w:val="24"/>
          <w:szCs w:val="24"/>
        </w:rPr>
      </w:pPr>
      <w:r w:rsidRPr="006C7FAE">
        <w:rPr>
          <w:sz w:val="24"/>
          <w:szCs w:val="24"/>
        </w:rPr>
        <w:t xml:space="preserve">requiring respondents to retain records other than health, medical, government contract, grant-in-aid, or tax records for more than three years; </w:t>
      </w:r>
      <w:r w:rsidR="00A60A48">
        <w:rPr>
          <w:sz w:val="24"/>
          <w:szCs w:val="24"/>
        </w:rPr>
        <w:t>Not Applicable</w:t>
      </w:r>
    </w:p>
    <w:p w:rsidR="00A65F9E" w:rsidP="00725B54" w14:paraId="18078737" w14:textId="77777777">
      <w:pPr>
        <w:ind w:left="450" w:hanging="144"/>
        <w:rPr>
          <w:sz w:val="24"/>
          <w:szCs w:val="24"/>
        </w:rPr>
      </w:pPr>
    </w:p>
    <w:p w:rsidR="009E13B1" w:rsidP="00725B54" w14:paraId="73DB0897" w14:textId="6144CE81">
      <w:pPr>
        <w:numPr>
          <w:ilvl w:val="0"/>
          <w:numId w:val="14"/>
        </w:numPr>
        <w:ind w:left="450"/>
        <w:rPr>
          <w:sz w:val="24"/>
          <w:szCs w:val="24"/>
        </w:rPr>
      </w:pPr>
      <w:r w:rsidRPr="006C7FAE">
        <w:rPr>
          <w:sz w:val="24"/>
          <w:szCs w:val="24"/>
        </w:rPr>
        <w:t xml:space="preserve">in connection with a statistical survey, that is not designed to produce valid and reliable results than can be generalized to the universe of study; </w:t>
      </w:r>
      <w:r w:rsidR="00A60A48">
        <w:rPr>
          <w:sz w:val="24"/>
          <w:szCs w:val="24"/>
        </w:rPr>
        <w:t>Not Applicable</w:t>
      </w:r>
    </w:p>
    <w:p w:rsidR="00A60A48" w:rsidRPr="006C7FAE" w:rsidP="00725B54" w14:paraId="1BB3C8F3" w14:textId="77777777">
      <w:pPr>
        <w:ind w:left="450" w:hanging="144"/>
        <w:rPr>
          <w:sz w:val="24"/>
          <w:szCs w:val="24"/>
        </w:rPr>
      </w:pPr>
    </w:p>
    <w:p w:rsidR="00A65F9E" w:rsidP="00725B54" w14:paraId="34E5913A" w14:textId="1886D7FB">
      <w:pPr>
        <w:numPr>
          <w:ilvl w:val="0"/>
          <w:numId w:val="14"/>
        </w:numPr>
        <w:ind w:left="450"/>
        <w:rPr>
          <w:sz w:val="24"/>
          <w:szCs w:val="24"/>
        </w:rPr>
      </w:pPr>
      <w:r w:rsidRPr="006C7FAE">
        <w:rPr>
          <w:sz w:val="24"/>
          <w:szCs w:val="24"/>
        </w:rPr>
        <w:t>requiring the use of a statistical data classification that has not been reviewed and approved by OMB;</w:t>
      </w:r>
      <w:r w:rsidR="00A60A48">
        <w:rPr>
          <w:sz w:val="24"/>
          <w:szCs w:val="24"/>
        </w:rPr>
        <w:t xml:space="preserve"> Not Applicable</w:t>
      </w:r>
    </w:p>
    <w:p w:rsidR="009E13B1" w:rsidRPr="006C7FAE" w:rsidP="00725B54" w14:paraId="66012806" w14:textId="77777777">
      <w:pPr>
        <w:ind w:left="450" w:hanging="144"/>
        <w:rPr>
          <w:sz w:val="24"/>
          <w:szCs w:val="24"/>
        </w:rPr>
      </w:pPr>
      <w:r w:rsidRPr="006C7FAE">
        <w:rPr>
          <w:sz w:val="24"/>
          <w:szCs w:val="24"/>
        </w:rPr>
        <w:t xml:space="preserve"> </w:t>
      </w:r>
    </w:p>
    <w:p w:rsidR="009E13B1" w:rsidRPr="006C7FAE" w:rsidP="00725B54" w14:paraId="556952BC" w14:textId="081871CF">
      <w:pPr>
        <w:numPr>
          <w:ilvl w:val="0"/>
          <w:numId w:val="14"/>
        </w:numPr>
        <w:ind w:left="450"/>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A60A48">
        <w:rPr>
          <w:sz w:val="24"/>
          <w:szCs w:val="24"/>
        </w:rPr>
        <w:t>Not Applicable</w:t>
      </w:r>
    </w:p>
    <w:p w:rsidR="00A65F9E" w:rsidP="00725B54" w14:paraId="4497C6FF" w14:textId="77777777">
      <w:pPr>
        <w:keepLines/>
        <w:spacing w:after="80"/>
        <w:ind w:left="450" w:hanging="144"/>
        <w:rPr>
          <w:sz w:val="24"/>
          <w:szCs w:val="24"/>
        </w:rPr>
      </w:pPr>
    </w:p>
    <w:p w:rsidR="009E13B1" w:rsidRPr="006C7FAE" w:rsidP="00725B54" w14:paraId="0DB9F02B" w14:textId="2B21C49A">
      <w:pPr>
        <w:keepLines/>
        <w:numPr>
          <w:ilvl w:val="0"/>
          <w:numId w:val="14"/>
        </w:numPr>
        <w:spacing w:after="80"/>
        <w:ind w:left="45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A60A48">
        <w:rPr>
          <w:sz w:val="24"/>
          <w:szCs w:val="24"/>
        </w:rPr>
        <w:t xml:space="preserve"> Not Applicable</w:t>
      </w:r>
    </w:p>
    <w:p w:rsidR="009E13B1" w:rsidRPr="006C7FAE" w14:paraId="313F58B2" w14:textId="77777777">
      <w:pPr>
        <w:tabs>
          <w:tab w:val="left" w:pos="360"/>
        </w:tabs>
        <w:ind w:left="360" w:hanging="36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 xml:space="preserve">Describe efforts to consult with persons outside the </w:t>
      </w:r>
      <w:r w:rsidRPr="006C7FAE">
        <w:rPr>
          <w:sz w:val="24"/>
          <w:szCs w:val="24"/>
        </w:rPr>
        <w:t>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rsidRPr="006C7FAE" w14:paraId="3AA6A4A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4309E" w:rsidP="0044309E" w14:paraId="7BBD7FCB" w14:textId="77777777">
      <w:pPr>
        <w:rPr>
          <w:color w:val="000000"/>
          <w:spacing w:val="-1"/>
          <w:sz w:val="24"/>
          <w:szCs w:val="24"/>
        </w:rPr>
      </w:pPr>
    </w:p>
    <w:p w:rsidR="0044309E" w:rsidP="0044309E" w14:paraId="54DDCB07" w14:textId="407F3D7B">
      <w:pPr>
        <w:ind w:left="360"/>
        <w:rPr>
          <w:rFonts w:eastAsia="Calibri"/>
          <w:b/>
          <w:bCs/>
          <w:sz w:val="22"/>
          <w:szCs w:val="22"/>
        </w:rPr>
      </w:pPr>
      <w:r w:rsidRPr="0044309E">
        <w:rPr>
          <w:color w:val="000000"/>
          <w:spacing w:val="-1"/>
          <w:sz w:val="24"/>
          <w:szCs w:val="24"/>
        </w:rPr>
        <w:t xml:space="preserve">HUD published a Notice of Proposed Information Collection for public comments in the Federal Register, Volume 90; Number 50; Page 12335 on March 17, 2025. The public was given until May 16, 2025, to submit comments on the Proposed Information Collection. HUD received </w:t>
      </w:r>
      <w:r>
        <w:rPr>
          <w:color w:val="000000"/>
          <w:spacing w:val="-1"/>
          <w:sz w:val="24"/>
          <w:szCs w:val="24"/>
        </w:rPr>
        <w:t xml:space="preserve">one </w:t>
      </w:r>
      <w:r w:rsidRPr="0044309E">
        <w:rPr>
          <w:color w:val="000000"/>
          <w:spacing w:val="-1"/>
          <w:sz w:val="24"/>
          <w:szCs w:val="24"/>
        </w:rPr>
        <w:t xml:space="preserve">public </w:t>
      </w:r>
      <w:r w:rsidRPr="0044309E">
        <w:rPr>
          <w:color w:val="000000"/>
          <w:spacing w:val="-1"/>
          <w:sz w:val="24"/>
          <w:szCs w:val="24"/>
        </w:rPr>
        <w:t>comments on this Proposed Information Collection.</w:t>
      </w:r>
      <w:r w:rsidR="00973C47">
        <w:rPr>
          <w:color w:val="000000"/>
          <w:spacing w:val="-1"/>
          <w:sz w:val="24"/>
          <w:szCs w:val="24"/>
        </w:rPr>
        <w:t xml:space="preserve"> </w:t>
      </w:r>
      <w:r w:rsidRPr="00B90FD7" w:rsidR="00973C47">
        <w:rPr>
          <w:rFonts w:eastAsia="Calibri"/>
          <w:sz w:val="22"/>
          <w:szCs w:val="22"/>
        </w:rPr>
        <w:t xml:space="preserve">HUD </w:t>
      </w:r>
      <w:r w:rsidR="00ED6AFF">
        <w:rPr>
          <w:rFonts w:eastAsia="Calibri"/>
          <w:sz w:val="22"/>
          <w:szCs w:val="22"/>
        </w:rPr>
        <w:t xml:space="preserve">addressed the comments in the </w:t>
      </w:r>
      <w:r w:rsidRPr="00B90FD7" w:rsidR="00973C47">
        <w:rPr>
          <w:rFonts w:eastAsia="Calibri"/>
          <w:sz w:val="22"/>
          <w:szCs w:val="22"/>
        </w:rPr>
        <w:t xml:space="preserve">30-day Notice of Proposed Information Collection for Public Comments in the </w:t>
      </w:r>
      <w:r w:rsidRPr="00B90FD7" w:rsidR="00973C47">
        <w:rPr>
          <w:rFonts w:eastAsia="Calibri"/>
          <w:i/>
          <w:iCs/>
          <w:sz w:val="22"/>
          <w:szCs w:val="22"/>
        </w:rPr>
        <w:t>Federal Register</w:t>
      </w:r>
      <w:r w:rsidR="00ED6AFF">
        <w:rPr>
          <w:rFonts w:eastAsia="Calibri"/>
          <w:i/>
          <w:iCs/>
          <w:sz w:val="22"/>
          <w:szCs w:val="22"/>
        </w:rPr>
        <w:t xml:space="preserve"> </w:t>
      </w:r>
      <w:r w:rsidRPr="00ED6AFF" w:rsidR="00ED6AFF">
        <w:rPr>
          <w:rFonts w:eastAsia="Calibri"/>
          <w:sz w:val="22"/>
          <w:szCs w:val="22"/>
        </w:rPr>
        <w:t>and below.</w:t>
      </w:r>
      <w:r w:rsidRPr="00B90FD7" w:rsidR="00973C47">
        <w:rPr>
          <w:rFonts w:eastAsia="Calibri"/>
          <w:b/>
          <w:bCs/>
          <w:sz w:val="22"/>
          <w:szCs w:val="22"/>
        </w:rPr>
        <w:t xml:space="preserve"> </w:t>
      </w:r>
    </w:p>
    <w:p w:rsidR="00973C47" w:rsidP="0044309E" w14:paraId="21EA5A70" w14:textId="77777777">
      <w:pPr>
        <w:ind w:left="360"/>
        <w:rPr>
          <w:color w:val="000000"/>
          <w:spacing w:val="-1"/>
          <w:sz w:val="24"/>
          <w:szCs w:val="24"/>
        </w:rPr>
      </w:pPr>
    </w:p>
    <w:p w:rsidR="00513C9D" w:rsidRPr="00513C9D" w:rsidP="00B11E3A" w14:paraId="4EF67BF0" w14:textId="07D5A09D">
      <w:pPr>
        <w:ind w:left="360"/>
        <w:rPr>
          <w:color w:val="000000"/>
          <w:spacing w:val="-1"/>
          <w:sz w:val="24"/>
          <w:szCs w:val="24"/>
        </w:rPr>
      </w:pPr>
      <w:r w:rsidRPr="00B11E3A">
        <w:rPr>
          <w:b/>
          <w:bCs/>
          <w:color w:val="000000"/>
          <w:spacing w:val="-1"/>
          <w:sz w:val="24"/>
          <w:szCs w:val="24"/>
        </w:rPr>
        <w:t xml:space="preserve">On </w:t>
      </w:r>
      <w:r w:rsidR="00B11E3A">
        <w:rPr>
          <w:b/>
          <w:bCs/>
          <w:color w:val="000000"/>
          <w:spacing w:val="-1"/>
          <w:sz w:val="24"/>
          <w:szCs w:val="24"/>
        </w:rPr>
        <w:t>a</w:t>
      </w:r>
      <w:r w:rsidRPr="00B11E3A">
        <w:rPr>
          <w:b/>
          <w:bCs/>
          <w:color w:val="000000"/>
          <w:spacing w:val="-1"/>
          <w:sz w:val="24"/>
          <w:szCs w:val="24"/>
        </w:rPr>
        <w:t xml:space="preserve">ddressing </w:t>
      </w:r>
      <w:r w:rsidR="00B11E3A">
        <w:rPr>
          <w:b/>
          <w:bCs/>
          <w:color w:val="000000"/>
          <w:spacing w:val="-1"/>
          <w:sz w:val="24"/>
          <w:szCs w:val="24"/>
        </w:rPr>
        <w:t>c</w:t>
      </w:r>
      <w:r w:rsidRPr="00B11E3A">
        <w:rPr>
          <w:b/>
          <w:bCs/>
          <w:color w:val="000000"/>
          <w:spacing w:val="-1"/>
          <w:sz w:val="24"/>
          <w:szCs w:val="24"/>
        </w:rPr>
        <w:t xml:space="preserve">hronic </w:t>
      </w:r>
      <w:r w:rsidR="00B11E3A">
        <w:rPr>
          <w:b/>
          <w:bCs/>
          <w:color w:val="000000"/>
          <w:spacing w:val="-1"/>
          <w:sz w:val="24"/>
          <w:szCs w:val="24"/>
        </w:rPr>
        <w:t>u</w:t>
      </w:r>
      <w:r w:rsidRPr="00B11E3A">
        <w:rPr>
          <w:b/>
          <w:bCs/>
          <w:color w:val="000000"/>
          <w:spacing w:val="-1"/>
          <w:sz w:val="24"/>
          <w:szCs w:val="24"/>
        </w:rPr>
        <w:t>nderfunding</w:t>
      </w:r>
      <w:r w:rsidRPr="00B11E3A" w:rsidR="00B11E3A">
        <w:rPr>
          <w:b/>
          <w:bCs/>
          <w:color w:val="000000"/>
          <w:spacing w:val="-1"/>
          <w:sz w:val="24"/>
          <w:szCs w:val="24"/>
        </w:rPr>
        <w:t>:</w:t>
      </w:r>
      <w:r w:rsidR="00B11E3A">
        <w:rPr>
          <w:color w:val="000000"/>
          <w:spacing w:val="-1"/>
          <w:sz w:val="24"/>
          <w:szCs w:val="24"/>
        </w:rPr>
        <w:t xml:space="preserve"> </w:t>
      </w:r>
      <w:r w:rsidRPr="00513C9D">
        <w:rPr>
          <w:color w:val="000000"/>
          <w:spacing w:val="-1"/>
          <w:sz w:val="24"/>
          <w:szCs w:val="24"/>
        </w:rPr>
        <w:t>HUD must acknowledge that the core problem is decades of chronic federal underfunding of public housing. This program is a band-aid; the real solution is full funding and expansion of public housing to ensure every family has a safe and affordable home.</w:t>
      </w:r>
    </w:p>
    <w:p w:rsidR="00513C9D" w:rsidRPr="00513C9D" w:rsidP="00513C9D" w14:paraId="60FD7AA1" w14:textId="110CE9C0">
      <w:pPr>
        <w:ind w:left="360"/>
        <w:rPr>
          <w:color w:val="000000"/>
          <w:spacing w:val="-1"/>
          <w:sz w:val="24"/>
          <w:szCs w:val="24"/>
        </w:rPr>
      </w:pPr>
      <w:r w:rsidRPr="00E95649">
        <w:rPr>
          <w:b/>
          <w:bCs/>
          <w:color w:val="000000"/>
          <w:spacing w:val="-1"/>
          <w:sz w:val="24"/>
          <w:szCs w:val="24"/>
        </w:rPr>
        <w:t xml:space="preserve">HUD </w:t>
      </w:r>
      <w:r w:rsidRPr="00E95649" w:rsidR="00E95649">
        <w:rPr>
          <w:b/>
          <w:bCs/>
          <w:color w:val="000000"/>
          <w:spacing w:val="-1"/>
          <w:sz w:val="24"/>
          <w:szCs w:val="24"/>
        </w:rPr>
        <w:t>r</w:t>
      </w:r>
      <w:r w:rsidRPr="00E95649">
        <w:rPr>
          <w:b/>
          <w:bCs/>
          <w:color w:val="000000"/>
          <w:spacing w:val="-1"/>
          <w:sz w:val="24"/>
          <w:szCs w:val="24"/>
        </w:rPr>
        <w:t>esponse:</w:t>
      </w:r>
      <w:r w:rsidRPr="00513C9D">
        <w:rPr>
          <w:color w:val="000000"/>
          <w:spacing w:val="-1"/>
          <w:sz w:val="24"/>
          <w:szCs w:val="24"/>
        </w:rPr>
        <w:t xml:space="preserve"> Congress appropriates the amount of funding for Operating Funds, Capital Funds and Shortfall.  This PRA focusses on data collection associated with the Shortfall program as funded by Congress.  </w:t>
      </w:r>
    </w:p>
    <w:p w:rsidR="00513C9D" w:rsidRPr="00513C9D" w:rsidP="00513C9D" w14:paraId="77566786" w14:textId="77777777">
      <w:pPr>
        <w:ind w:left="360"/>
        <w:rPr>
          <w:color w:val="000000"/>
          <w:spacing w:val="-1"/>
          <w:sz w:val="24"/>
          <w:szCs w:val="24"/>
        </w:rPr>
      </w:pPr>
    </w:p>
    <w:p w:rsidR="00513C9D" w:rsidRPr="00513C9D" w:rsidP="00E95649" w14:paraId="1CF2F2B8" w14:textId="1F94423D">
      <w:pPr>
        <w:ind w:left="360"/>
        <w:rPr>
          <w:color w:val="000000"/>
          <w:spacing w:val="-1"/>
          <w:sz w:val="24"/>
          <w:szCs w:val="24"/>
        </w:rPr>
      </w:pPr>
      <w:r w:rsidRPr="00E95649">
        <w:rPr>
          <w:b/>
          <w:bCs/>
          <w:color w:val="000000"/>
          <w:spacing w:val="-1"/>
          <w:sz w:val="24"/>
          <w:szCs w:val="24"/>
        </w:rPr>
        <w:t xml:space="preserve">On </w:t>
      </w:r>
      <w:r w:rsidRPr="00E95649" w:rsidR="00E95649">
        <w:rPr>
          <w:b/>
          <w:bCs/>
          <w:color w:val="000000"/>
          <w:spacing w:val="-1"/>
          <w:sz w:val="24"/>
          <w:szCs w:val="24"/>
        </w:rPr>
        <w:t>b</w:t>
      </w:r>
      <w:r w:rsidRPr="00E95649">
        <w:rPr>
          <w:b/>
          <w:bCs/>
          <w:color w:val="000000"/>
          <w:spacing w:val="-1"/>
          <w:sz w:val="24"/>
          <w:szCs w:val="24"/>
        </w:rPr>
        <w:t xml:space="preserve">urden to </w:t>
      </w:r>
      <w:r w:rsidRPr="00E95649" w:rsidR="00E95649">
        <w:rPr>
          <w:b/>
          <w:bCs/>
          <w:color w:val="000000"/>
          <w:spacing w:val="-1"/>
          <w:sz w:val="24"/>
          <w:szCs w:val="24"/>
        </w:rPr>
        <w:t>s</w:t>
      </w:r>
      <w:r w:rsidRPr="00E95649">
        <w:rPr>
          <w:b/>
          <w:bCs/>
          <w:color w:val="000000"/>
          <w:spacing w:val="-1"/>
          <w:sz w:val="24"/>
          <w:szCs w:val="24"/>
        </w:rPr>
        <w:t>mall PHAs</w:t>
      </w:r>
      <w:r w:rsidRPr="00E95649" w:rsidR="00E95649">
        <w:rPr>
          <w:b/>
          <w:bCs/>
          <w:color w:val="000000"/>
          <w:spacing w:val="-1"/>
          <w:sz w:val="24"/>
          <w:szCs w:val="24"/>
        </w:rPr>
        <w:t>:</w:t>
      </w:r>
      <w:r w:rsidR="00E95649">
        <w:rPr>
          <w:color w:val="000000"/>
          <w:spacing w:val="-1"/>
          <w:sz w:val="24"/>
          <w:szCs w:val="24"/>
        </w:rPr>
        <w:t xml:space="preserve"> </w:t>
      </w:r>
      <w:r w:rsidRPr="00513C9D">
        <w:rPr>
          <w:color w:val="000000"/>
          <w:spacing w:val="-1"/>
          <w:sz w:val="24"/>
          <w:szCs w:val="24"/>
        </w:rPr>
        <w:t>The information collection should not add administrative burden to smaller, understaffed PHAs already stretched thin. Streamline requirements, provide technical assistance, and offer grants to help PHAs with compliance.</w:t>
      </w:r>
    </w:p>
    <w:p w:rsidR="00513C9D" w:rsidRPr="00513C9D" w:rsidP="00513C9D" w14:paraId="2F56381D" w14:textId="5E602596">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HUD recently modified the forms to request the minimal amount of information possible to administer Public Housing Shortfall program. HUD continues to refine the process to further streamline requirements and reduce burden where possible. </w:t>
      </w:r>
    </w:p>
    <w:p w:rsidR="00513C9D" w:rsidRPr="00513C9D" w:rsidP="00513C9D" w14:paraId="19B37E04" w14:textId="77777777">
      <w:pPr>
        <w:ind w:left="360"/>
        <w:rPr>
          <w:color w:val="000000"/>
          <w:spacing w:val="-1"/>
          <w:sz w:val="24"/>
          <w:szCs w:val="24"/>
        </w:rPr>
      </w:pPr>
    </w:p>
    <w:p w:rsidR="00513C9D" w:rsidRPr="00513C9D" w:rsidP="00E95649" w14:paraId="07BA3E06" w14:textId="50D9F2DC">
      <w:pPr>
        <w:ind w:left="360"/>
        <w:rPr>
          <w:color w:val="000000"/>
          <w:spacing w:val="-1"/>
          <w:sz w:val="24"/>
          <w:szCs w:val="24"/>
        </w:rPr>
      </w:pPr>
      <w:r w:rsidRPr="00C450DC">
        <w:rPr>
          <w:b/>
          <w:bCs/>
          <w:color w:val="000000"/>
          <w:spacing w:val="-1"/>
          <w:sz w:val="24"/>
          <w:szCs w:val="24"/>
        </w:rPr>
        <w:t xml:space="preserve">On </w:t>
      </w:r>
      <w:r w:rsidRPr="00C450DC" w:rsidR="00E95649">
        <w:rPr>
          <w:b/>
          <w:bCs/>
          <w:color w:val="000000"/>
          <w:spacing w:val="-1"/>
          <w:sz w:val="24"/>
          <w:szCs w:val="24"/>
        </w:rPr>
        <w:t>e</w:t>
      </w:r>
      <w:r w:rsidRPr="00C450DC">
        <w:rPr>
          <w:b/>
          <w:bCs/>
          <w:color w:val="000000"/>
          <w:spacing w:val="-1"/>
          <w:sz w:val="24"/>
          <w:szCs w:val="24"/>
        </w:rPr>
        <w:t xml:space="preserve">quity and </w:t>
      </w:r>
      <w:r w:rsidRPr="00C450DC" w:rsidR="00E95649">
        <w:rPr>
          <w:b/>
          <w:bCs/>
          <w:color w:val="000000"/>
          <w:spacing w:val="-1"/>
          <w:sz w:val="24"/>
          <w:szCs w:val="24"/>
        </w:rPr>
        <w:t>r</w:t>
      </w:r>
      <w:r w:rsidRPr="00C450DC">
        <w:rPr>
          <w:b/>
          <w:bCs/>
          <w:color w:val="000000"/>
          <w:spacing w:val="-1"/>
          <w:sz w:val="24"/>
          <w:szCs w:val="24"/>
        </w:rPr>
        <w:t xml:space="preserve">acial </w:t>
      </w:r>
      <w:r w:rsidRPr="00C450DC" w:rsidR="00C450DC">
        <w:rPr>
          <w:b/>
          <w:bCs/>
          <w:color w:val="000000"/>
          <w:spacing w:val="-1"/>
          <w:sz w:val="24"/>
          <w:szCs w:val="24"/>
        </w:rPr>
        <w:t>j</w:t>
      </w:r>
      <w:r w:rsidRPr="00C450DC">
        <w:rPr>
          <w:b/>
          <w:bCs/>
          <w:color w:val="000000"/>
          <w:spacing w:val="-1"/>
          <w:sz w:val="24"/>
          <w:szCs w:val="24"/>
        </w:rPr>
        <w:t>ustice</w:t>
      </w:r>
      <w:r w:rsidRPr="00C450DC" w:rsidR="00E95649">
        <w:rPr>
          <w:b/>
          <w:bCs/>
          <w:color w:val="000000"/>
          <w:spacing w:val="-1"/>
          <w:sz w:val="24"/>
          <w:szCs w:val="24"/>
        </w:rPr>
        <w:t>:</w:t>
      </w:r>
      <w:r w:rsidR="00E95649">
        <w:rPr>
          <w:color w:val="000000"/>
          <w:spacing w:val="-1"/>
          <w:sz w:val="24"/>
          <w:szCs w:val="24"/>
        </w:rPr>
        <w:t xml:space="preserve"> </w:t>
      </w:r>
      <w:r w:rsidRPr="00513C9D">
        <w:rPr>
          <w:color w:val="000000"/>
          <w:spacing w:val="-1"/>
          <w:sz w:val="24"/>
          <w:szCs w:val="24"/>
        </w:rPr>
        <w:t>The rule must ensure that funding distribution prioritizes PHAs serving communities of color and marginalized groups, who are disproportionately harmed by housing insecurity.</w:t>
      </w:r>
    </w:p>
    <w:p w:rsidR="00513C9D" w:rsidRPr="00513C9D" w:rsidP="00513C9D" w14:paraId="0EEA1731" w14:textId="67D0018C">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HUD appreciates the comment, however; its content is beyond the scope of this PRA action.  This PRA action focusses on data collection associated with the Public Housing Shortfall program funded by Congress.  Historically, Congress has directed that funding be prioritized based upon the size of the PHA and its level of financial distress. </w:t>
      </w:r>
    </w:p>
    <w:p w:rsidR="00513C9D" w:rsidRPr="00513C9D" w:rsidP="00513C9D" w14:paraId="45887051" w14:textId="77777777">
      <w:pPr>
        <w:ind w:left="360"/>
        <w:rPr>
          <w:color w:val="000000"/>
          <w:spacing w:val="-1"/>
          <w:sz w:val="24"/>
          <w:szCs w:val="24"/>
        </w:rPr>
      </w:pPr>
    </w:p>
    <w:p w:rsidR="00513C9D" w:rsidRPr="00513C9D" w:rsidP="00C450DC" w14:paraId="1C35AE29" w14:textId="0AC2547B">
      <w:pPr>
        <w:ind w:left="360"/>
        <w:rPr>
          <w:color w:val="000000"/>
          <w:spacing w:val="-1"/>
          <w:sz w:val="24"/>
          <w:szCs w:val="24"/>
        </w:rPr>
      </w:pPr>
      <w:r w:rsidRPr="007011A7">
        <w:rPr>
          <w:b/>
          <w:bCs/>
          <w:color w:val="000000"/>
          <w:spacing w:val="-1"/>
          <w:sz w:val="24"/>
          <w:szCs w:val="24"/>
        </w:rPr>
        <w:t xml:space="preserve">On </w:t>
      </w:r>
      <w:r w:rsidRPr="007011A7" w:rsidR="00C450DC">
        <w:rPr>
          <w:b/>
          <w:bCs/>
          <w:color w:val="000000"/>
          <w:spacing w:val="-1"/>
          <w:sz w:val="24"/>
          <w:szCs w:val="24"/>
        </w:rPr>
        <w:t>t</w:t>
      </w:r>
      <w:r w:rsidRPr="007011A7">
        <w:rPr>
          <w:b/>
          <w:bCs/>
          <w:color w:val="000000"/>
          <w:spacing w:val="-1"/>
          <w:sz w:val="24"/>
          <w:szCs w:val="24"/>
        </w:rPr>
        <w:t xml:space="preserve">enant </w:t>
      </w:r>
      <w:r w:rsidRPr="007011A7" w:rsidR="00C450DC">
        <w:rPr>
          <w:b/>
          <w:bCs/>
          <w:color w:val="000000"/>
          <w:spacing w:val="-1"/>
          <w:sz w:val="24"/>
          <w:szCs w:val="24"/>
        </w:rPr>
        <w:t>v</w:t>
      </w:r>
      <w:r w:rsidRPr="007011A7">
        <w:rPr>
          <w:b/>
          <w:bCs/>
          <w:color w:val="000000"/>
          <w:spacing w:val="-1"/>
          <w:sz w:val="24"/>
          <w:szCs w:val="24"/>
        </w:rPr>
        <w:t xml:space="preserve">oice and </w:t>
      </w:r>
      <w:r w:rsidRPr="007011A7" w:rsidR="00C450DC">
        <w:rPr>
          <w:b/>
          <w:bCs/>
          <w:color w:val="000000"/>
          <w:spacing w:val="-1"/>
          <w:sz w:val="24"/>
          <w:szCs w:val="24"/>
        </w:rPr>
        <w:t>p</w:t>
      </w:r>
      <w:r w:rsidRPr="007011A7">
        <w:rPr>
          <w:b/>
          <w:bCs/>
          <w:color w:val="000000"/>
          <w:spacing w:val="-1"/>
          <w:sz w:val="24"/>
          <w:szCs w:val="24"/>
        </w:rPr>
        <w:t>articipation</w:t>
      </w:r>
      <w:r w:rsidRPr="007011A7" w:rsidR="00C450DC">
        <w:rPr>
          <w:b/>
          <w:bCs/>
          <w:color w:val="000000"/>
          <w:spacing w:val="-1"/>
          <w:sz w:val="24"/>
          <w:szCs w:val="24"/>
        </w:rPr>
        <w:t>:</w:t>
      </w:r>
      <w:r w:rsidR="00C450DC">
        <w:rPr>
          <w:color w:val="000000"/>
          <w:spacing w:val="-1"/>
          <w:sz w:val="24"/>
          <w:szCs w:val="24"/>
        </w:rPr>
        <w:t xml:space="preserve"> </w:t>
      </w:r>
      <w:r w:rsidRPr="00513C9D">
        <w:rPr>
          <w:color w:val="000000"/>
          <w:spacing w:val="-1"/>
          <w:sz w:val="24"/>
          <w:szCs w:val="24"/>
        </w:rPr>
        <w:t>The regulation should mandate that PHAs include tenants and resident associations in creating Improvement Plans and reporting budgets, giving those most affected a real voice.</w:t>
      </w:r>
    </w:p>
    <w:p w:rsidR="00513C9D" w:rsidRPr="00513C9D" w:rsidP="00513C9D" w14:paraId="52671B1B" w14:textId="2AE3C61F">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PHA’s must seek and include residents and the public comment and the PHA’ Board of Commissioners approval when finalizing the PHA’s policies, programs, operations, and budget for each fiscal year. The PHA’s final policies, programs, operations, and budget direct how the PHA utilize the Public Housings Operating Shortfall Funds.</w:t>
      </w:r>
    </w:p>
    <w:p w:rsidR="00513C9D" w:rsidRPr="00513C9D" w:rsidP="00513C9D" w14:paraId="5887CE32" w14:textId="77777777">
      <w:pPr>
        <w:ind w:left="360"/>
        <w:rPr>
          <w:color w:val="000000"/>
          <w:spacing w:val="-1"/>
          <w:sz w:val="24"/>
          <w:szCs w:val="24"/>
        </w:rPr>
      </w:pPr>
    </w:p>
    <w:p w:rsidR="00513C9D" w:rsidRPr="00513C9D" w:rsidP="007011A7" w14:paraId="276E4823" w14:textId="4EA24FB3">
      <w:pPr>
        <w:ind w:left="360"/>
        <w:rPr>
          <w:color w:val="000000"/>
          <w:spacing w:val="-1"/>
          <w:sz w:val="24"/>
          <w:szCs w:val="24"/>
        </w:rPr>
      </w:pPr>
      <w:r w:rsidRPr="007011A7">
        <w:rPr>
          <w:b/>
          <w:bCs/>
          <w:color w:val="000000"/>
          <w:spacing w:val="-1"/>
          <w:sz w:val="24"/>
          <w:szCs w:val="24"/>
        </w:rPr>
        <w:t xml:space="preserve">On </w:t>
      </w:r>
      <w:r w:rsidRPr="007011A7" w:rsidR="007011A7">
        <w:rPr>
          <w:b/>
          <w:bCs/>
          <w:color w:val="000000"/>
          <w:spacing w:val="-1"/>
          <w:sz w:val="24"/>
          <w:szCs w:val="24"/>
        </w:rPr>
        <w:t>p</w:t>
      </w:r>
      <w:r w:rsidRPr="007011A7">
        <w:rPr>
          <w:b/>
          <w:bCs/>
          <w:color w:val="000000"/>
          <w:spacing w:val="-1"/>
          <w:sz w:val="24"/>
          <w:szCs w:val="24"/>
        </w:rPr>
        <w:t xml:space="preserve">reventing </w:t>
      </w:r>
      <w:r w:rsidRPr="007011A7" w:rsidR="007011A7">
        <w:rPr>
          <w:b/>
          <w:bCs/>
          <w:color w:val="000000"/>
          <w:spacing w:val="-1"/>
          <w:sz w:val="24"/>
          <w:szCs w:val="24"/>
        </w:rPr>
        <w:t>p</w:t>
      </w:r>
      <w:r w:rsidRPr="007011A7">
        <w:rPr>
          <w:b/>
          <w:bCs/>
          <w:color w:val="000000"/>
          <w:spacing w:val="-1"/>
          <w:sz w:val="24"/>
          <w:szCs w:val="24"/>
        </w:rPr>
        <w:t>rivatization</w:t>
      </w:r>
      <w:r w:rsidRPr="007011A7" w:rsidR="007011A7">
        <w:rPr>
          <w:b/>
          <w:bCs/>
          <w:color w:val="000000"/>
          <w:spacing w:val="-1"/>
          <w:sz w:val="24"/>
          <w:szCs w:val="24"/>
        </w:rPr>
        <w:t>:</w:t>
      </w:r>
      <w:r w:rsidR="007011A7">
        <w:rPr>
          <w:color w:val="000000"/>
          <w:spacing w:val="-1"/>
          <w:sz w:val="24"/>
          <w:szCs w:val="24"/>
        </w:rPr>
        <w:t xml:space="preserve"> </w:t>
      </w:r>
      <w:r w:rsidRPr="00513C9D">
        <w:rPr>
          <w:color w:val="000000"/>
          <w:spacing w:val="-1"/>
          <w:sz w:val="24"/>
          <w:szCs w:val="24"/>
        </w:rPr>
        <w:t>Ensure program requirements do not incentivize PHAs to privatize or convert public housing assets under threat of financial distress.</w:t>
      </w:r>
    </w:p>
    <w:p w:rsidR="00513C9D" w:rsidRPr="00513C9D" w:rsidP="00513C9D" w14:paraId="3742ED6F" w14:textId="1522BFF8">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w:t>
      </w:r>
      <w:r w:rsidRPr="00513C9D">
        <w:rPr>
          <w:color w:val="000000"/>
          <w:spacing w:val="-1"/>
          <w:sz w:val="24"/>
          <w:szCs w:val="24"/>
        </w:rPr>
        <w:t xml:space="preserve">This PRA action focusses on data collection associated with the Public Housing Shortfall program as funded by Congress.  Historically, Congress has not incentivized privatization through the Public Housing Shortfall program, but rather directed that funding be prioritized based upon the size of the PHA and its level of financial distress. </w:t>
      </w:r>
    </w:p>
    <w:p w:rsidR="002065AD" w:rsidP="00513C9D" w14:paraId="2CC51BA9" w14:textId="77777777">
      <w:pPr>
        <w:ind w:left="360"/>
        <w:rPr>
          <w:color w:val="000000"/>
          <w:spacing w:val="-1"/>
          <w:sz w:val="24"/>
          <w:szCs w:val="24"/>
        </w:rPr>
      </w:pPr>
    </w:p>
    <w:p w:rsidR="00513C9D" w:rsidRPr="00513C9D" w:rsidP="007011A7" w14:paraId="0EB0E711" w14:textId="0AAE020B">
      <w:pPr>
        <w:ind w:left="360"/>
        <w:rPr>
          <w:color w:val="000000"/>
          <w:spacing w:val="-1"/>
          <w:sz w:val="24"/>
          <w:szCs w:val="24"/>
        </w:rPr>
      </w:pPr>
      <w:r w:rsidRPr="007011A7">
        <w:rPr>
          <w:b/>
          <w:bCs/>
          <w:color w:val="000000"/>
          <w:spacing w:val="-1"/>
          <w:sz w:val="24"/>
          <w:szCs w:val="24"/>
        </w:rPr>
        <w:t xml:space="preserve">On </w:t>
      </w:r>
      <w:r w:rsidRPr="007011A7" w:rsidR="007011A7">
        <w:rPr>
          <w:b/>
          <w:bCs/>
          <w:color w:val="000000"/>
          <w:spacing w:val="-1"/>
          <w:sz w:val="24"/>
          <w:szCs w:val="24"/>
        </w:rPr>
        <w:t>d</w:t>
      </w:r>
      <w:r w:rsidRPr="007011A7">
        <w:rPr>
          <w:b/>
          <w:bCs/>
          <w:color w:val="000000"/>
          <w:spacing w:val="-1"/>
          <w:sz w:val="24"/>
          <w:szCs w:val="24"/>
        </w:rPr>
        <w:t xml:space="preserve">ata </w:t>
      </w:r>
      <w:r w:rsidRPr="007011A7" w:rsidR="007011A7">
        <w:rPr>
          <w:b/>
          <w:bCs/>
          <w:color w:val="000000"/>
          <w:spacing w:val="-1"/>
          <w:sz w:val="24"/>
          <w:szCs w:val="24"/>
        </w:rPr>
        <w:t>p</w:t>
      </w:r>
      <w:r w:rsidRPr="007011A7">
        <w:rPr>
          <w:b/>
          <w:bCs/>
          <w:color w:val="000000"/>
          <w:spacing w:val="-1"/>
          <w:sz w:val="24"/>
          <w:szCs w:val="24"/>
        </w:rPr>
        <w:t>rivacy</w:t>
      </w:r>
      <w:r w:rsidRPr="007011A7" w:rsidR="007011A7">
        <w:rPr>
          <w:b/>
          <w:bCs/>
          <w:color w:val="000000"/>
          <w:spacing w:val="-1"/>
          <w:sz w:val="24"/>
          <w:szCs w:val="24"/>
        </w:rPr>
        <w:t>:</w:t>
      </w:r>
      <w:r w:rsidR="007011A7">
        <w:rPr>
          <w:color w:val="000000"/>
          <w:spacing w:val="-1"/>
          <w:sz w:val="24"/>
          <w:szCs w:val="24"/>
        </w:rPr>
        <w:t xml:space="preserve"> </w:t>
      </w:r>
      <w:r w:rsidRPr="00513C9D">
        <w:rPr>
          <w:color w:val="000000"/>
          <w:spacing w:val="-1"/>
          <w:sz w:val="24"/>
          <w:szCs w:val="24"/>
        </w:rPr>
        <w:t>Guarantee that personal and financial information collected from PHAs is protected and not used for punitive measures against tenants or local housing authorities.</w:t>
      </w:r>
    </w:p>
    <w:p w:rsidR="00513C9D" w:rsidRPr="00513C9D" w:rsidP="00513C9D" w14:paraId="31F27DE4" w14:textId="2791C216">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HUD does not collect personal or financial information through this collection. </w:t>
      </w:r>
    </w:p>
    <w:p w:rsidR="00513C9D" w:rsidRPr="00513C9D" w:rsidP="00513C9D" w14:paraId="3ED454F1" w14:textId="77777777">
      <w:pPr>
        <w:ind w:left="360"/>
        <w:rPr>
          <w:color w:val="000000"/>
          <w:spacing w:val="-1"/>
          <w:sz w:val="24"/>
          <w:szCs w:val="24"/>
        </w:rPr>
      </w:pPr>
    </w:p>
    <w:p w:rsidR="00513C9D" w:rsidRPr="00513C9D" w:rsidP="006A08D7" w14:paraId="2D92951A" w14:textId="32CA6AC7">
      <w:pPr>
        <w:ind w:left="360"/>
        <w:rPr>
          <w:color w:val="000000"/>
          <w:spacing w:val="-1"/>
          <w:sz w:val="24"/>
          <w:szCs w:val="24"/>
        </w:rPr>
      </w:pPr>
      <w:r w:rsidRPr="006A08D7">
        <w:rPr>
          <w:b/>
          <w:bCs/>
          <w:color w:val="000000"/>
          <w:spacing w:val="-1"/>
          <w:sz w:val="24"/>
          <w:szCs w:val="24"/>
        </w:rPr>
        <w:t xml:space="preserve">On </w:t>
      </w:r>
      <w:r w:rsidRPr="006A08D7" w:rsidR="006A08D7">
        <w:rPr>
          <w:b/>
          <w:bCs/>
          <w:color w:val="000000"/>
          <w:spacing w:val="-1"/>
          <w:sz w:val="24"/>
          <w:szCs w:val="24"/>
        </w:rPr>
        <w:t>p</w:t>
      </w:r>
      <w:r w:rsidRPr="006A08D7">
        <w:rPr>
          <w:b/>
          <w:bCs/>
          <w:color w:val="000000"/>
          <w:spacing w:val="-1"/>
          <w:sz w:val="24"/>
          <w:szCs w:val="24"/>
        </w:rPr>
        <w:t xml:space="preserve">rogram </w:t>
      </w:r>
      <w:r w:rsidRPr="006A08D7" w:rsidR="006A08D7">
        <w:rPr>
          <w:b/>
          <w:bCs/>
          <w:color w:val="000000"/>
          <w:spacing w:val="-1"/>
          <w:sz w:val="24"/>
          <w:szCs w:val="24"/>
        </w:rPr>
        <w:t>t</w:t>
      </w:r>
      <w:r w:rsidRPr="006A08D7">
        <w:rPr>
          <w:b/>
          <w:bCs/>
          <w:color w:val="000000"/>
          <w:spacing w:val="-1"/>
          <w:sz w:val="24"/>
          <w:szCs w:val="24"/>
        </w:rPr>
        <w:t>ransparency:</w:t>
      </w:r>
      <w:r w:rsidRPr="00513C9D">
        <w:rPr>
          <w:color w:val="000000"/>
          <w:spacing w:val="-1"/>
          <w:sz w:val="24"/>
          <w:szCs w:val="24"/>
        </w:rPr>
        <w:t xml:space="preserve"> HUD must publish aggregate data on funding allocations, PHA performance, and outcomes so the public can hold the agency and local PHAs accountable for results.</w:t>
      </w:r>
    </w:p>
    <w:p w:rsidR="00513C9D" w:rsidRPr="00513C9D" w:rsidP="00513C9D" w14:paraId="183D5216" w14:textId="7F317EF4">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HUD publishes the Public Housing Shortfall Operating Fund allocations for public view. Similarly, HUD publishes all funding allocations and PHA performance scores for public view. </w:t>
      </w:r>
      <w:r w:rsidR="007011A7">
        <w:rPr>
          <w:color w:val="000000"/>
          <w:spacing w:val="-1"/>
          <w:sz w:val="24"/>
          <w:szCs w:val="24"/>
        </w:rPr>
        <w:t xml:space="preserve">HUD publishes this data to HUD.gov. </w:t>
      </w:r>
    </w:p>
    <w:p w:rsidR="00513C9D" w:rsidRPr="00513C9D" w:rsidP="00513C9D" w14:paraId="0382C37A" w14:textId="77777777">
      <w:pPr>
        <w:ind w:left="360"/>
        <w:rPr>
          <w:color w:val="000000"/>
          <w:spacing w:val="-1"/>
          <w:sz w:val="24"/>
          <w:szCs w:val="24"/>
        </w:rPr>
      </w:pPr>
    </w:p>
    <w:p w:rsidR="00513C9D" w:rsidRPr="00513C9D" w:rsidP="006A08D7" w14:paraId="3B2FDAB9" w14:textId="3E20E392">
      <w:pPr>
        <w:ind w:left="360"/>
        <w:rPr>
          <w:color w:val="000000"/>
          <w:spacing w:val="-1"/>
          <w:sz w:val="24"/>
          <w:szCs w:val="24"/>
        </w:rPr>
      </w:pPr>
      <w:r w:rsidRPr="006A08D7">
        <w:rPr>
          <w:b/>
          <w:bCs/>
          <w:color w:val="000000"/>
          <w:spacing w:val="-1"/>
          <w:sz w:val="24"/>
          <w:szCs w:val="24"/>
        </w:rPr>
        <w:t xml:space="preserve">On </w:t>
      </w:r>
      <w:r w:rsidRPr="006A08D7" w:rsidR="006A08D7">
        <w:rPr>
          <w:b/>
          <w:bCs/>
          <w:color w:val="000000"/>
          <w:spacing w:val="-1"/>
          <w:sz w:val="24"/>
          <w:szCs w:val="24"/>
        </w:rPr>
        <w:t>e</w:t>
      </w:r>
      <w:r w:rsidRPr="006A08D7">
        <w:rPr>
          <w:b/>
          <w:bCs/>
          <w:color w:val="000000"/>
          <w:spacing w:val="-1"/>
          <w:sz w:val="24"/>
          <w:szCs w:val="24"/>
        </w:rPr>
        <w:t xml:space="preserve">xpanding </w:t>
      </w:r>
      <w:r w:rsidRPr="006A08D7" w:rsidR="006A08D7">
        <w:rPr>
          <w:b/>
          <w:bCs/>
          <w:color w:val="000000"/>
          <w:spacing w:val="-1"/>
          <w:sz w:val="24"/>
          <w:szCs w:val="24"/>
        </w:rPr>
        <w:t>r</w:t>
      </w:r>
      <w:r w:rsidRPr="006A08D7">
        <w:rPr>
          <w:b/>
          <w:bCs/>
          <w:color w:val="000000"/>
          <w:spacing w:val="-1"/>
          <w:sz w:val="24"/>
          <w:szCs w:val="24"/>
        </w:rPr>
        <w:t>esources</w:t>
      </w:r>
      <w:r w:rsidRPr="006A08D7" w:rsidR="006A08D7">
        <w:rPr>
          <w:b/>
          <w:bCs/>
          <w:color w:val="000000"/>
          <w:spacing w:val="-1"/>
          <w:sz w:val="24"/>
          <w:szCs w:val="24"/>
        </w:rPr>
        <w:t>:</w:t>
      </w:r>
      <w:r w:rsidR="006A08D7">
        <w:rPr>
          <w:color w:val="000000"/>
          <w:spacing w:val="-1"/>
          <w:sz w:val="24"/>
          <w:szCs w:val="24"/>
        </w:rPr>
        <w:t xml:space="preserve"> </w:t>
      </w:r>
      <w:r w:rsidRPr="00513C9D">
        <w:rPr>
          <w:color w:val="000000"/>
          <w:spacing w:val="-1"/>
          <w:sz w:val="24"/>
          <w:szCs w:val="24"/>
        </w:rPr>
        <w:t>In addition to paperwork reforms, HUD should use this process to push Congress for a major reinvestment in public housing capital repairs and construction to address the real crisis.</w:t>
      </w:r>
    </w:p>
    <w:p w:rsidR="00513C9D" w:rsidRPr="00513C9D" w:rsidP="00513C9D" w14:paraId="70FFB095" w14:textId="37D8D966">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HUD appreciates the comment, however; its content is out of scope for the Public Housing Operating Shortfall Program and this collection.</w:t>
      </w:r>
    </w:p>
    <w:p w:rsidR="00513C9D" w:rsidRPr="00513C9D" w:rsidP="00513C9D" w14:paraId="1C26289C" w14:textId="77777777">
      <w:pPr>
        <w:ind w:left="360"/>
        <w:rPr>
          <w:color w:val="000000"/>
          <w:spacing w:val="-1"/>
          <w:sz w:val="24"/>
          <w:szCs w:val="24"/>
        </w:rPr>
      </w:pPr>
    </w:p>
    <w:p w:rsidR="00513C9D" w:rsidRPr="00513C9D" w:rsidP="006A08D7" w14:paraId="40587821" w14:textId="3E7E9FBF">
      <w:pPr>
        <w:ind w:left="360"/>
        <w:rPr>
          <w:color w:val="000000"/>
          <w:spacing w:val="-1"/>
          <w:sz w:val="24"/>
          <w:szCs w:val="24"/>
        </w:rPr>
      </w:pPr>
      <w:r w:rsidRPr="006A08D7">
        <w:rPr>
          <w:b/>
          <w:bCs/>
          <w:color w:val="000000"/>
          <w:spacing w:val="-1"/>
          <w:sz w:val="24"/>
          <w:szCs w:val="24"/>
        </w:rPr>
        <w:t xml:space="preserve">On </w:t>
      </w:r>
      <w:r w:rsidRPr="006A08D7" w:rsidR="006A08D7">
        <w:rPr>
          <w:b/>
          <w:bCs/>
          <w:color w:val="000000"/>
          <w:spacing w:val="-1"/>
          <w:sz w:val="24"/>
          <w:szCs w:val="24"/>
        </w:rPr>
        <w:t>m</w:t>
      </w:r>
      <w:r w:rsidRPr="006A08D7">
        <w:rPr>
          <w:b/>
          <w:bCs/>
          <w:color w:val="000000"/>
          <w:spacing w:val="-1"/>
          <w:sz w:val="24"/>
          <w:szCs w:val="24"/>
        </w:rPr>
        <w:t xml:space="preserve">onitoring and </w:t>
      </w:r>
      <w:r w:rsidRPr="006A08D7" w:rsidR="006A08D7">
        <w:rPr>
          <w:b/>
          <w:bCs/>
          <w:color w:val="000000"/>
          <w:spacing w:val="-1"/>
          <w:sz w:val="24"/>
          <w:szCs w:val="24"/>
        </w:rPr>
        <w:t>r</w:t>
      </w:r>
      <w:r w:rsidRPr="006A08D7">
        <w:rPr>
          <w:b/>
          <w:bCs/>
          <w:color w:val="000000"/>
          <w:spacing w:val="-1"/>
          <w:sz w:val="24"/>
          <w:szCs w:val="24"/>
        </w:rPr>
        <w:t xml:space="preserve">isk </w:t>
      </w:r>
      <w:r w:rsidRPr="006A08D7" w:rsidR="006A08D7">
        <w:rPr>
          <w:b/>
          <w:bCs/>
          <w:color w:val="000000"/>
          <w:spacing w:val="-1"/>
          <w:sz w:val="24"/>
          <w:szCs w:val="24"/>
        </w:rPr>
        <w:t>m</w:t>
      </w:r>
      <w:r w:rsidRPr="006A08D7">
        <w:rPr>
          <w:b/>
          <w:bCs/>
          <w:color w:val="000000"/>
          <w:spacing w:val="-1"/>
          <w:sz w:val="24"/>
          <w:szCs w:val="24"/>
        </w:rPr>
        <w:t>anagement</w:t>
      </w:r>
      <w:r w:rsidRPr="006A08D7" w:rsidR="006A08D7">
        <w:rPr>
          <w:b/>
          <w:bCs/>
          <w:color w:val="000000"/>
          <w:spacing w:val="-1"/>
          <w:sz w:val="24"/>
          <w:szCs w:val="24"/>
        </w:rPr>
        <w:t>:</w:t>
      </w:r>
      <w:r w:rsidR="006A08D7">
        <w:rPr>
          <w:color w:val="000000"/>
          <w:spacing w:val="-1"/>
          <w:sz w:val="24"/>
          <w:szCs w:val="24"/>
        </w:rPr>
        <w:t xml:space="preserve"> </w:t>
      </w:r>
      <w:r w:rsidRPr="00513C9D">
        <w:rPr>
          <w:color w:val="000000"/>
          <w:spacing w:val="-1"/>
          <w:sz w:val="24"/>
          <w:szCs w:val="24"/>
        </w:rPr>
        <w:t>Improvement Plans should require PHAs to address not only fiscal issues but also health and safety repairs, climate resilience, and tenant well-being.</w:t>
      </w:r>
    </w:p>
    <w:p w:rsidR="00513C9D" w:rsidRPr="00513C9D" w:rsidP="00513C9D" w14:paraId="7094A78D" w14:textId="763C0847">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Through the Public Housing Shortfall program, HUD encourages PHAs to take all appropriate steps to ensure the PHA’s long-term financial solvency.  Financial solvency is a foundational requirement for ensuring PHA’s comply with statutory requirement to provide decent, safe and sanitary housing to its residents. </w:t>
      </w:r>
    </w:p>
    <w:p w:rsidR="00513C9D" w:rsidRPr="00513C9D" w:rsidP="00513C9D" w14:paraId="11ECB833" w14:textId="77777777">
      <w:pPr>
        <w:ind w:left="360"/>
        <w:rPr>
          <w:color w:val="000000"/>
          <w:spacing w:val="-1"/>
          <w:sz w:val="24"/>
          <w:szCs w:val="24"/>
        </w:rPr>
      </w:pPr>
    </w:p>
    <w:p w:rsidR="00513C9D" w:rsidRPr="00513C9D" w:rsidP="00C450DC" w14:paraId="3D2334E0" w14:textId="6EB4F590">
      <w:pPr>
        <w:ind w:left="360"/>
        <w:rPr>
          <w:color w:val="000000"/>
          <w:spacing w:val="-1"/>
          <w:sz w:val="24"/>
          <w:szCs w:val="24"/>
        </w:rPr>
      </w:pPr>
      <w:r w:rsidRPr="00C450DC">
        <w:rPr>
          <w:b/>
          <w:bCs/>
          <w:color w:val="000000"/>
          <w:spacing w:val="-1"/>
          <w:sz w:val="24"/>
          <w:szCs w:val="24"/>
        </w:rPr>
        <w:t xml:space="preserve">On </w:t>
      </w:r>
      <w:r w:rsidRPr="00C450DC" w:rsidR="00C450DC">
        <w:rPr>
          <w:b/>
          <w:bCs/>
          <w:color w:val="000000"/>
          <w:spacing w:val="-1"/>
          <w:sz w:val="24"/>
          <w:szCs w:val="24"/>
        </w:rPr>
        <w:t>a</w:t>
      </w:r>
      <w:r w:rsidRPr="00C450DC">
        <w:rPr>
          <w:b/>
          <w:bCs/>
          <w:color w:val="000000"/>
          <w:spacing w:val="-1"/>
          <w:sz w:val="24"/>
          <w:szCs w:val="24"/>
        </w:rPr>
        <w:t xml:space="preserve">utomation and </w:t>
      </w:r>
      <w:r w:rsidRPr="00C450DC" w:rsidR="00C450DC">
        <w:rPr>
          <w:b/>
          <w:bCs/>
          <w:color w:val="000000"/>
          <w:spacing w:val="-1"/>
          <w:sz w:val="24"/>
          <w:szCs w:val="24"/>
        </w:rPr>
        <w:t>t</w:t>
      </w:r>
      <w:r w:rsidRPr="00C450DC">
        <w:rPr>
          <w:b/>
          <w:bCs/>
          <w:color w:val="000000"/>
          <w:spacing w:val="-1"/>
          <w:sz w:val="24"/>
          <w:szCs w:val="24"/>
        </w:rPr>
        <w:t>echnology</w:t>
      </w:r>
      <w:r w:rsidRPr="00C450DC" w:rsidR="00C450DC">
        <w:rPr>
          <w:b/>
          <w:bCs/>
          <w:color w:val="000000"/>
          <w:spacing w:val="-1"/>
          <w:sz w:val="24"/>
          <w:szCs w:val="24"/>
        </w:rPr>
        <w:t>:</w:t>
      </w:r>
      <w:r w:rsidRPr="00513C9D">
        <w:rPr>
          <w:color w:val="000000"/>
          <w:spacing w:val="-1"/>
          <w:sz w:val="24"/>
          <w:szCs w:val="24"/>
        </w:rPr>
        <w:t xml:space="preserve"> </w:t>
      </w:r>
      <w:r w:rsidR="006A08D7">
        <w:rPr>
          <w:color w:val="000000"/>
          <w:spacing w:val="-1"/>
          <w:sz w:val="24"/>
          <w:szCs w:val="24"/>
        </w:rPr>
        <w:t xml:space="preserve">Electronic </w:t>
      </w:r>
      <w:r w:rsidRPr="00513C9D">
        <w:rPr>
          <w:color w:val="000000"/>
          <w:spacing w:val="-1"/>
          <w:sz w:val="24"/>
          <w:szCs w:val="24"/>
        </w:rPr>
        <w:t>forms must be accessible for all PHAs, with training for those lacking digital literacy or internet access, ensuring no agency is left behind.</w:t>
      </w:r>
    </w:p>
    <w:p w:rsidR="009A1AFA" w:rsidP="00513C9D" w14:paraId="7B1B04BA" w14:textId="154D38A5">
      <w:pPr>
        <w:ind w:left="360"/>
        <w:rPr>
          <w:color w:val="000000"/>
          <w:spacing w:val="-1"/>
          <w:sz w:val="24"/>
          <w:szCs w:val="24"/>
        </w:rPr>
      </w:pPr>
      <w:r w:rsidRPr="00E95649">
        <w:rPr>
          <w:b/>
          <w:bCs/>
          <w:color w:val="000000"/>
          <w:spacing w:val="-1"/>
          <w:sz w:val="24"/>
          <w:szCs w:val="24"/>
        </w:rPr>
        <w:t>HUD response:</w:t>
      </w:r>
      <w:r w:rsidRPr="00513C9D">
        <w:rPr>
          <w:color w:val="000000"/>
          <w:spacing w:val="-1"/>
          <w:sz w:val="24"/>
          <w:szCs w:val="24"/>
        </w:rPr>
        <w:t xml:space="preserve"> </w:t>
      </w:r>
      <w:r w:rsidRPr="00513C9D" w:rsidR="00513C9D">
        <w:rPr>
          <w:color w:val="000000"/>
          <w:spacing w:val="-1"/>
          <w:sz w:val="24"/>
          <w:szCs w:val="24"/>
        </w:rPr>
        <w:t xml:space="preserve">All PHAs obtained the appropriate system credentials to access these forms. Additionally, HUD provides virtual training sessions to all PHAs on obtaining access and completing the forms in this information collection.  </w:t>
      </w:r>
    </w:p>
    <w:p w:rsidR="0044309E" w:rsidRPr="0044309E" w:rsidP="0044309E" w14:paraId="27EF175F" w14:textId="77777777">
      <w:pPr>
        <w:ind w:left="360"/>
        <w:rPr>
          <w:color w:val="000000"/>
          <w:spacing w:val="-1"/>
          <w:sz w:val="24"/>
          <w:szCs w:val="24"/>
        </w:rPr>
      </w:pPr>
    </w:p>
    <w:p w:rsidR="009E13B1" w:rsidRPr="006C7FAE" w14:paraId="0FD54BC5"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9E13B1" w:rsidRPr="00393E37" w:rsidP="00393E37" w14:paraId="04C87772" w14:textId="10A4E094">
      <w:pPr>
        <w:pStyle w:val="ListParagraph"/>
        <w:spacing w:before="284"/>
        <w:ind w:left="360"/>
        <w:rPr>
          <w:color w:val="000000"/>
          <w:sz w:val="24"/>
          <w:szCs w:val="24"/>
        </w:rPr>
      </w:pPr>
      <w:r w:rsidRPr="00F47A4B">
        <w:rPr>
          <w:color w:val="000000"/>
          <w:sz w:val="24"/>
          <w:szCs w:val="24"/>
        </w:rPr>
        <w:t>No payments or gifts to respondents are provided.</w:t>
      </w:r>
    </w:p>
    <w:p w:rsidR="00393E37" w:rsidRPr="006C7FAE" w14:paraId="729B0C6D" w14:textId="77777777">
      <w:pPr>
        <w:tabs>
          <w:tab w:val="left" w:pos="360"/>
        </w:tabs>
        <w:ind w:left="360" w:hanging="360"/>
        <w:rPr>
          <w:sz w:val="24"/>
          <w:szCs w:val="24"/>
        </w:rPr>
      </w:pPr>
    </w:p>
    <w:p w:rsidR="009E13B1" w:rsidP="008C3BC1" w14:paraId="6CDC9D62" w14:textId="641F3744">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r w:rsidRPr="006C7FAE">
        <w:rPr>
          <w:sz w:val="24"/>
          <w:szCs w:val="24"/>
        </w:rPr>
        <w:t>regulation or agency policy.</w:t>
      </w:r>
      <w:r w:rsidRPr="000D5079" w:rsidR="000D5079">
        <w:t xml:space="preserve"> </w:t>
      </w:r>
      <w:r w:rsidRPr="000D5079" w:rsidR="000D5079">
        <w:rPr>
          <w:sz w:val="24"/>
          <w:szCs w:val="24"/>
        </w:rPr>
        <w:t xml:space="preserve">If the collection requires a </w:t>
      </w:r>
      <w:r w:rsidRPr="000D5079" w:rsidR="00BB2518">
        <w:rPr>
          <w:sz w:val="24"/>
          <w:szCs w:val="24"/>
        </w:rPr>
        <w:t>system of records notice (SORN)</w:t>
      </w:r>
      <w:r w:rsidRPr="000D5079" w:rsidR="000D5079">
        <w:rPr>
          <w:sz w:val="24"/>
          <w:szCs w:val="24"/>
        </w:rPr>
        <w:t xml:space="preserve"> or privacy impact assessment (PIA), those should be cited and described here.</w:t>
      </w:r>
    </w:p>
    <w:p w:rsidR="008C3BC1" w:rsidRPr="00F47A4B" w:rsidP="008C3BC1" w14:paraId="48E46727" w14:textId="77777777">
      <w:pPr>
        <w:pStyle w:val="ListParagraph"/>
        <w:spacing w:before="207"/>
        <w:ind w:left="360"/>
        <w:rPr>
          <w:color w:val="000000"/>
          <w:sz w:val="24"/>
          <w:szCs w:val="24"/>
        </w:rPr>
      </w:pPr>
      <w:r w:rsidRPr="00F47A4B">
        <w:rPr>
          <w:color w:val="000000"/>
          <w:sz w:val="24"/>
          <w:szCs w:val="24"/>
        </w:rPr>
        <w:t>No assurance of confidentiality is needed nor are any provided.</w:t>
      </w:r>
    </w:p>
    <w:p w:rsidR="008C3BC1" w:rsidRPr="006C7FAE" w14:paraId="5D8EC33A" w14:textId="77777777">
      <w:pPr>
        <w:tabs>
          <w:tab w:val="left" w:pos="360"/>
        </w:tabs>
        <w:ind w:left="360" w:hanging="360"/>
        <w:rPr>
          <w:sz w:val="24"/>
          <w:szCs w:val="24"/>
        </w:rPr>
      </w:pPr>
    </w:p>
    <w:p w:rsidR="009E13B1" w:rsidRPr="006C7FAE" w:rsidP="00CD5BF1" w14:paraId="0A2401BB" w14:textId="0AC81542">
      <w:pPr>
        <w:keepLines/>
        <w:tabs>
          <w:tab w:val="left" w:pos="360"/>
        </w:tabs>
        <w:spacing w:after="80"/>
        <w:ind w:left="360" w:hanging="360"/>
        <w:rPr>
          <w:sz w:val="24"/>
          <w:szCs w:val="24"/>
        </w:rPr>
      </w:pPr>
      <w:r w:rsidRPr="006C7FAE">
        <w:rPr>
          <w:sz w:val="24"/>
          <w:szCs w:val="24"/>
        </w:rPr>
        <w:t>11.</w:t>
      </w:r>
      <w:r w:rsidRPr="006C7FAE">
        <w:rPr>
          <w:sz w:val="24"/>
          <w:szCs w:val="24"/>
        </w:rPr>
        <w:tab/>
        <w:t xml:space="preserve">Provide </w:t>
      </w:r>
      <w:r w:rsidRPr="006C7FAE">
        <w:rPr>
          <w:sz w:val="24"/>
          <w:szCs w:val="24"/>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5BF1" w:rsidRPr="00F47A4B" w:rsidP="00CD5BF1" w14:paraId="79752100" w14:textId="77777777">
      <w:pPr>
        <w:pStyle w:val="ListParagraph"/>
        <w:spacing w:before="208"/>
        <w:ind w:left="360"/>
        <w:rPr>
          <w:color w:val="000000"/>
          <w:sz w:val="24"/>
          <w:szCs w:val="24"/>
        </w:rPr>
      </w:pPr>
      <w:r w:rsidRPr="00F47A4B">
        <w:rPr>
          <w:color w:val="000000"/>
          <w:sz w:val="24"/>
          <w:szCs w:val="24"/>
        </w:rPr>
        <w:t>No sensitive questions are being asked.</w:t>
      </w:r>
    </w:p>
    <w:p w:rsidR="00A65F9E" w:rsidP="00CD5BF1" w14:paraId="06BC304E" w14:textId="77777777">
      <w:pPr>
        <w:tabs>
          <w:tab w:val="left" w:pos="360"/>
        </w:tabs>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w:t>
      </w:r>
      <w:r w:rsidRPr="006C7FAE">
        <w:rPr>
          <w:sz w:val="24"/>
          <w:szCs w:val="24"/>
        </w:rPr>
        <w:t>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w:t>
      </w:r>
      <w:r w:rsidRPr="006C7FAE">
        <w:rPr>
          <w:sz w:val="24"/>
          <w:szCs w:val="24"/>
        </w:rPr>
        <w:t xml:space="preserve">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F96B4C" w:rsidRPr="00F96B4C" w:rsidP="00F96B4C" w14:paraId="042B171E" w14:textId="77777777">
      <w:pPr>
        <w:spacing w:before="376"/>
        <w:ind w:left="360"/>
        <w:rPr>
          <w:b/>
          <w:color w:val="000000"/>
          <w:sz w:val="24"/>
          <w:szCs w:val="24"/>
        </w:rPr>
      </w:pPr>
      <w:r w:rsidRPr="00F96B4C">
        <w:rPr>
          <w:bCs/>
          <w:color w:val="000000"/>
          <w:sz w:val="24"/>
          <w:szCs w:val="24"/>
        </w:rPr>
        <w:t xml:space="preserve">The estimated burden hours for the collection of this data reflects the PHA's experience with completing these forms </w:t>
      </w:r>
      <w:r w:rsidRPr="00F96B4C">
        <w:rPr>
          <w:bCs/>
          <w:sz w:val="24"/>
          <w:szCs w:val="24"/>
        </w:rPr>
        <w:t>from CY 2022 to CY 2024. During CY 2022 to CY 2024, there was an average of 187 respondents annually for HUD-50093, HUD-50094, and HUD-50095. HUD estimates that the annual information collection requirements for the collection for HUD-50093 is 187 burden hours (one hour per response, one response per year), the HUD-50094 is 280.5 burden hours (30 minutes per response, three responses per year), The HUD-50095 is 31.79 burden hours (10 minutes per response, one response per year). HUD averaged 4 respondents t</w:t>
      </w:r>
      <w:r w:rsidRPr="00F96B4C">
        <w:rPr>
          <w:bCs/>
          <w:sz w:val="24"/>
          <w:szCs w:val="24"/>
        </w:rPr>
        <w:t xml:space="preserve">o HUD-50096 from CY </w:t>
      </w:r>
      <w:r w:rsidRPr="00F96B4C">
        <w:rPr>
          <w:sz w:val="24"/>
          <w:szCs w:val="24"/>
        </w:rPr>
        <w:t>2022 to CY 2024 and amounted to four burden hours, at one hour estimated per response.</w:t>
      </w:r>
    </w:p>
    <w:p w:rsidR="009E13B1" w:rsidRPr="00115854" w:rsidP="00115854" w14:paraId="197E2D1B" w14:textId="15B1D461">
      <w:pPr>
        <w:spacing w:before="287" w:after="227"/>
        <w:ind w:left="360"/>
        <w:rPr>
          <w:color w:val="000000"/>
          <w:sz w:val="24"/>
          <w:szCs w:val="24"/>
        </w:rPr>
      </w:pPr>
      <w:r w:rsidRPr="00F96B4C">
        <w:rPr>
          <w:color w:val="000000"/>
          <w:sz w:val="24"/>
          <w:szCs w:val="24"/>
        </w:rPr>
        <w:t xml:space="preserve">The estimated annualized cost to respondents is based on the latest available (May 2023) Bureau of Labor Statistics’ national hourly mean rates </w:t>
      </w:r>
      <w:r w:rsidRPr="00F96B4C">
        <w:rPr>
          <w:color w:val="000000"/>
          <w:sz w:val="24"/>
          <w:szCs w:val="24"/>
        </w:rPr>
        <w:t>for Financial Specialists (Occupation Code: 13-2000) which is $46.37 per hour. (</w:t>
      </w:r>
      <w:hyperlink r:id="rId7" w:anchor="13-0000" w:history="1">
        <w:r w:rsidRPr="00F96B4C">
          <w:rPr>
            <w:rStyle w:val="Hyperlink"/>
            <w:sz w:val="24"/>
            <w:szCs w:val="24"/>
          </w:rPr>
          <w:t>https://www.bls.gov/oes/2023/may/oes_nat.htm#13-0000</w:t>
        </w:r>
      </w:hyperlink>
      <w:r w:rsidRPr="00F96B4C">
        <w:rPr>
          <w:color w:val="000000"/>
          <w:sz w:val="24"/>
          <w:szCs w:val="24"/>
        </w:rPr>
        <w:t xml:space="preserve">). </w:t>
      </w:r>
    </w:p>
    <w:tbl>
      <w:tblPr>
        <w:tblW w:w="9468" w:type="dxa"/>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47"/>
        <w:gridCol w:w="1408"/>
        <w:gridCol w:w="1214"/>
        <w:gridCol w:w="1177"/>
        <w:gridCol w:w="1092"/>
        <w:gridCol w:w="922"/>
        <w:gridCol w:w="1092"/>
        <w:gridCol w:w="1116"/>
      </w:tblGrid>
      <w:tr w14:paraId="2AF62206" w14:textId="77777777" w:rsidTr="001A7E49">
        <w:tblPrEx>
          <w:tblW w:w="9468" w:type="dxa"/>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167E53" w:rsidRPr="006C7FAE" w:rsidP="00167E53" w14:paraId="18951238" w14:textId="77777777">
            <w:pPr>
              <w:adjustRightInd/>
              <w:jc w:val="center"/>
              <w:textAlignment w:val="auto"/>
              <w:rPr>
                <w:rFonts w:eastAsia="Calibri"/>
                <w:b/>
                <w:bCs/>
                <w:color w:val="000000"/>
              </w:rPr>
            </w:pPr>
            <w:bookmarkStart w:id="1" w:name="_Hlk72491044"/>
            <w:r w:rsidRPr="006C7FAE">
              <w:rPr>
                <w:rFonts w:eastAsia="Calibri"/>
                <w:b/>
                <w:bCs/>
                <w:color w:val="000000"/>
              </w:rPr>
              <w:t>Information Collection</w:t>
            </w:r>
          </w:p>
        </w:tc>
        <w:tc>
          <w:tcPr>
            <w:tcW w:w="1419" w:type="dxa"/>
            <w:tcMar>
              <w:top w:w="0" w:type="dxa"/>
              <w:left w:w="108" w:type="dxa"/>
              <w:bottom w:w="0" w:type="dxa"/>
              <w:right w:w="108" w:type="dxa"/>
            </w:tcMar>
            <w:hideMark/>
          </w:tcPr>
          <w:p w:rsidR="00167E53" w:rsidRPr="006C7FAE" w:rsidP="00167E53" w14:paraId="29E8A4AB"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167E53" w:rsidRPr="006C7FAE" w:rsidP="00167E53" w14:paraId="5D02020C"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167E53" w:rsidRPr="006C7FAE" w:rsidP="00167E53" w14:paraId="31155C9A"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1B8E5C69"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167E53" w:rsidRPr="006C7FAE" w:rsidP="00167E53" w14:paraId="3F7BE12A"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167E53" w:rsidRPr="006C7FAE" w:rsidP="00167E53" w14:paraId="0E79EADE"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167E53" w:rsidRPr="006C7FAE" w:rsidP="00167E53" w14:paraId="7633FB9F"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Mar>
              <w:top w:w="0" w:type="dxa"/>
              <w:left w:w="108" w:type="dxa"/>
              <w:bottom w:w="0" w:type="dxa"/>
              <w:right w:w="108" w:type="dxa"/>
            </w:tcMar>
          </w:tcPr>
          <w:p w:rsidR="00167E53" w:rsidRPr="006C7FAE" w:rsidP="00167E53" w14:paraId="4348ECB6"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5FADD5F6" w14:textId="77777777">
            <w:pPr>
              <w:adjustRightInd/>
              <w:jc w:val="center"/>
              <w:textAlignment w:val="auto"/>
              <w:rPr>
                <w:rFonts w:eastAsia="Calibri"/>
                <w:b/>
                <w:bCs/>
                <w:color w:val="000000"/>
              </w:rPr>
            </w:pPr>
          </w:p>
        </w:tc>
      </w:tr>
      <w:tr w14:paraId="1F2840D6" w14:textId="77777777" w:rsidTr="00137261">
        <w:tblPrEx>
          <w:tblW w:w="9468" w:type="dxa"/>
          <w:tblInd w:w="588" w:type="dxa"/>
          <w:tblCellMar>
            <w:left w:w="0" w:type="dxa"/>
            <w:right w:w="0" w:type="dxa"/>
          </w:tblCellMar>
          <w:tblLook w:val="04A0"/>
        </w:tblPrEx>
        <w:tc>
          <w:tcPr>
            <w:tcW w:w="1469" w:type="dxa"/>
            <w:tcMar>
              <w:top w:w="0" w:type="dxa"/>
              <w:left w:w="108" w:type="dxa"/>
              <w:bottom w:w="0" w:type="dxa"/>
              <w:right w:w="108" w:type="dxa"/>
            </w:tcMar>
          </w:tcPr>
          <w:p w:rsidR="00465DA0" w:rsidRPr="00465DA0" w:rsidP="00465DA0" w14:paraId="3F8409FC" w14:textId="588B8449">
            <w:pPr>
              <w:spacing w:line="230" w:lineRule="exact"/>
              <w:rPr>
                <w:color w:val="000000"/>
              </w:rPr>
            </w:pPr>
            <w:r w:rsidRPr="00465DA0">
              <w:rPr>
                <w:color w:val="000000"/>
              </w:rPr>
              <w:t>HUD-50093</w:t>
            </w:r>
            <w:r>
              <w:rPr>
                <w:color w:val="000000"/>
              </w:rPr>
              <w:t xml:space="preserve"> </w:t>
            </w:r>
          </w:p>
        </w:tc>
        <w:tc>
          <w:tcPr>
            <w:tcW w:w="1419" w:type="dxa"/>
            <w:tcMar>
              <w:top w:w="0" w:type="dxa"/>
              <w:left w:w="108" w:type="dxa"/>
              <w:bottom w:w="0" w:type="dxa"/>
              <w:right w:w="108" w:type="dxa"/>
            </w:tcMar>
            <w:vAlign w:val="center"/>
          </w:tcPr>
          <w:p w:rsidR="00465DA0" w:rsidRPr="00465DA0" w:rsidP="00465DA0" w14:paraId="477FDF2A" w14:textId="774D6E2F">
            <w:pPr>
              <w:adjustRightInd/>
              <w:jc w:val="center"/>
              <w:textAlignment w:val="auto"/>
              <w:rPr>
                <w:rFonts w:eastAsia="Calibri"/>
                <w:b/>
                <w:bCs/>
                <w:color w:val="000000"/>
              </w:rPr>
            </w:pPr>
            <w:r w:rsidRPr="00465DA0">
              <w:rPr>
                <w:color w:val="000000"/>
              </w:rPr>
              <w:t>187</w:t>
            </w:r>
          </w:p>
        </w:tc>
        <w:tc>
          <w:tcPr>
            <w:tcW w:w="1224" w:type="dxa"/>
            <w:tcMar>
              <w:top w:w="0" w:type="dxa"/>
              <w:left w:w="108" w:type="dxa"/>
              <w:bottom w:w="0" w:type="dxa"/>
              <w:right w:w="108" w:type="dxa"/>
            </w:tcMar>
            <w:vAlign w:val="center"/>
          </w:tcPr>
          <w:p w:rsidR="00465DA0" w:rsidRPr="00465DA0" w:rsidP="00465DA0" w14:paraId="0FA12733" w14:textId="7089046C">
            <w:pPr>
              <w:adjustRightInd/>
              <w:jc w:val="center"/>
              <w:textAlignment w:val="auto"/>
              <w:rPr>
                <w:rFonts w:eastAsia="Calibri"/>
                <w:b/>
                <w:bCs/>
                <w:color w:val="000000"/>
              </w:rPr>
            </w:pPr>
            <w:r w:rsidRPr="00465DA0">
              <w:rPr>
                <w:color w:val="000000"/>
              </w:rPr>
              <w:t>1</w:t>
            </w:r>
          </w:p>
        </w:tc>
        <w:tc>
          <w:tcPr>
            <w:tcW w:w="1186" w:type="dxa"/>
            <w:tcMar>
              <w:top w:w="0" w:type="dxa"/>
              <w:left w:w="108" w:type="dxa"/>
              <w:bottom w:w="0" w:type="dxa"/>
              <w:right w:w="108" w:type="dxa"/>
            </w:tcMar>
            <w:vAlign w:val="center"/>
          </w:tcPr>
          <w:p w:rsidR="00465DA0" w:rsidRPr="00465DA0" w:rsidP="00465DA0" w14:paraId="34699A4F" w14:textId="537B8D1B">
            <w:pPr>
              <w:adjustRightInd/>
              <w:jc w:val="center"/>
              <w:textAlignment w:val="auto"/>
              <w:rPr>
                <w:rFonts w:eastAsia="Calibri"/>
                <w:b/>
                <w:bCs/>
                <w:color w:val="000000"/>
              </w:rPr>
            </w:pPr>
            <w:r w:rsidRPr="00465DA0">
              <w:rPr>
                <w:color w:val="000000"/>
              </w:rPr>
              <w:t>187</w:t>
            </w:r>
          </w:p>
        </w:tc>
        <w:tc>
          <w:tcPr>
            <w:tcW w:w="1100" w:type="dxa"/>
            <w:tcMar>
              <w:top w:w="0" w:type="dxa"/>
              <w:left w:w="108" w:type="dxa"/>
              <w:bottom w:w="0" w:type="dxa"/>
              <w:right w:w="108" w:type="dxa"/>
            </w:tcMar>
            <w:vAlign w:val="center"/>
          </w:tcPr>
          <w:p w:rsidR="00465DA0" w:rsidRPr="00465DA0" w:rsidP="00465DA0" w14:paraId="525186D0" w14:textId="399FA42C">
            <w:pPr>
              <w:adjustRightInd/>
              <w:jc w:val="center"/>
              <w:textAlignment w:val="auto"/>
              <w:rPr>
                <w:rFonts w:eastAsia="Calibri"/>
                <w:b/>
                <w:bCs/>
                <w:color w:val="000000"/>
              </w:rPr>
            </w:pPr>
            <w:r w:rsidRPr="00465DA0">
              <w:rPr>
                <w:color w:val="000000"/>
              </w:rPr>
              <w:t>1</w:t>
            </w:r>
          </w:p>
        </w:tc>
        <w:tc>
          <w:tcPr>
            <w:tcW w:w="929" w:type="dxa"/>
            <w:tcMar>
              <w:top w:w="0" w:type="dxa"/>
              <w:left w:w="108" w:type="dxa"/>
              <w:bottom w:w="0" w:type="dxa"/>
              <w:right w:w="108" w:type="dxa"/>
            </w:tcMar>
            <w:vAlign w:val="center"/>
          </w:tcPr>
          <w:p w:rsidR="00465DA0" w:rsidRPr="00465DA0" w:rsidP="00465DA0" w14:paraId="1CADC9A8" w14:textId="3C6A0A52">
            <w:pPr>
              <w:adjustRightInd/>
              <w:jc w:val="center"/>
              <w:textAlignment w:val="auto"/>
              <w:rPr>
                <w:rFonts w:eastAsia="Calibri"/>
                <w:b/>
                <w:bCs/>
                <w:color w:val="000000"/>
              </w:rPr>
            </w:pPr>
            <w:r w:rsidRPr="00465DA0">
              <w:rPr>
                <w:color w:val="000000"/>
              </w:rPr>
              <w:t>187</w:t>
            </w:r>
          </w:p>
        </w:tc>
        <w:tc>
          <w:tcPr>
            <w:tcW w:w="1100" w:type="dxa"/>
            <w:tcMar>
              <w:top w:w="0" w:type="dxa"/>
              <w:left w:w="108" w:type="dxa"/>
              <w:bottom w:w="0" w:type="dxa"/>
              <w:right w:w="108" w:type="dxa"/>
            </w:tcMar>
            <w:vAlign w:val="center"/>
          </w:tcPr>
          <w:p w:rsidR="00465DA0" w:rsidRPr="00465DA0" w:rsidP="00465DA0" w14:paraId="521E01AE" w14:textId="4B1AB990">
            <w:pPr>
              <w:adjustRightInd/>
              <w:jc w:val="right"/>
              <w:textAlignment w:val="auto"/>
              <w:rPr>
                <w:rFonts w:eastAsia="Calibri"/>
                <w:b/>
                <w:bCs/>
                <w:color w:val="000000"/>
              </w:rPr>
            </w:pPr>
            <w:r w:rsidRPr="00465DA0">
              <w:rPr>
                <w:color w:val="000000"/>
              </w:rPr>
              <w:t>$46.37</w:t>
            </w:r>
          </w:p>
        </w:tc>
        <w:tc>
          <w:tcPr>
            <w:tcW w:w="1041" w:type="dxa"/>
            <w:tcMar>
              <w:top w:w="0" w:type="dxa"/>
              <w:left w:w="108" w:type="dxa"/>
              <w:bottom w:w="0" w:type="dxa"/>
              <w:right w:w="108" w:type="dxa"/>
            </w:tcMar>
            <w:vAlign w:val="center"/>
          </w:tcPr>
          <w:p w:rsidR="00465DA0" w:rsidRPr="00863B16" w:rsidP="00465DA0" w14:paraId="64334D45" w14:textId="5B4DB7FB">
            <w:pPr>
              <w:adjustRightInd/>
              <w:jc w:val="right"/>
              <w:textAlignment w:val="auto"/>
              <w:rPr>
                <w:rFonts w:eastAsia="Calibri"/>
                <w:bCs/>
                <w:color w:val="000000"/>
              </w:rPr>
            </w:pPr>
            <w:r w:rsidRPr="00863B16">
              <w:rPr>
                <w:bCs/>
                <w:color w:val="000000"/>
              </w:rPr>
              <w:t>$8,671.19</w:t>
            </w:r>
          </w:p>
        </w:tc>
      </w:tr>
      <w:tr w14:paraId="7D4EF46E" w14:textId="77777777" w:rsidTr="00137261">
        <w:tblPrEx>
          <w:tblW w:w="9468" w:type="dxa"/>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465DA0" w:rsidRPr="00465DA0" w:rsidP="00465DA0" w14:paraId="664C1361" w14:textId="55730206">
            <w:pPr>
              <w:adjustRightInd/>
              <w:textAlignment w:val="auto"/>
              <w:rPr>
                <w:rFonts w:eastAsia="Calibri"/>
                <w:b/>
                <w:bCs/>
                <w:color w:val="000000"/>
              </w:rPr>
            </w:pPr>
            <w:r w:rsidRPr="00465DA0">
              <w:rPr>
                <w:color w:val="000000"/>
                <w:spacing w:val="-4"/>
              </w:rPr>
              <w:t xml:space="preserve">HUD-50094 </w:t>
            </w:r>
          </w:p>
        </w:tc>
        <w:tc>
          <w:tcPr>
            <w:tcW w:w="1419" w:type="dxa"/>
            <w:tcMar>
              <w:top w:w="0" w:type="dxa"/>
              <w:left w:w="108" w:type="dxa"/>
              <w:bottom w:w="0" w:type="dxa"/>
              <w:right w:w="108" w:type="dxa"/>
            </w:tcMar>
            <w:vAlign w:val="center"/>
          </w:tcPr>
          <w:p w:rsidR="00465DA0" w:rsidRPr="00465DA0" w:rsidP="00465DA0" w14:paraId="0F904E94" w14:textId="45E137F9">
            <w:pPr>
              <w:adjustRightInd/>
              <w:jc w:val="center"/>
              <w:textAlignment w:val="auto"/>
              <w:rPr>
                <w:rFonts w:eastAsia="Calibri"/>
                <w:b/>
                <w:bCs/>
                <w:color w:val="000000"/>
              </w:rPr>
            </w:pPr>
            <w:r w:rsidRPr="00465DA0">
              <w:rPr>
                <w:color w:val="000000"/>
              </w:rPr>
              <w:t>187</w:t>
            </w:r>
          </w:p>
        </w:tc>
        <w:tc>
          <w:tcPr>
            <w:tcW w:w="1224" w:type="dxa"/>
            <w:tcMar>
              <w:top w:w="0" w:type="dxa"/>
              <w:left w:w="108" w:type="dxa"/>
              <w:bottom w:w="0" w:type="dxa"/>
              <w:right w:w="108" w:type="dxa"/>
            </w:tcMar>
            <w:vAlign w:val="center"/>
          </w:tcPr>
          <w:p w:rsidR="00465DA0" w:rsidRPr="00465DA0" w:rsidP="00465DA0" w14:paraId="2E232B2E" w14:textId="6C2D2C43">
            <w:pPr>
              <w:adjustRightInd/>
              <w:jc w:val="center"/>
              <w:textAlignment w:val="auto"/>
              <w:rPr>
                <w:rFonts w:eastAsia="Calibri"/>
                <w:b/>
                <w:bCs/>
                <w:color w:val="000000"/>
              </w:rPr>
            </w:pPr>
            <w:r w:rsidRPr="00465DA0">
              <w:rPr>
                <w:color w:val="000000"/>
              </w:rPr>
              <w:t>3</w:t>
            </w:r>
          </w:p>
        </w:tc>
        <w:tc>
          <w:tcPr>
            <w:tcW w:w="1186" w:type="dxa"/>
            <w:tcMar>
              <w:top w:w="0" w:type="dxa"/>
              <w:left w:w="108" w:type="dxa"/>
              <w:bottom w:w="0" w:type="dxa"/>
              <w:right w:w="108" w:type="dxa"/>
            </w:tcMar>
            <w:vAlign w:val="center"/>
          </w:tcPr>
          <w:p w:rsidR="00465DA0" w:rsidRPr="00465DA0" w:rsidP="00465DA0" w14:paraId="163C4C05" w14:textId="1C07FA42">
            <w:pPr>
              <w:adjustRightInd/>
              <w:jc w:val="center"/>
              <w:textAlignment w:val="auto"/>
              <w:rPr>
                <w:rFonts w:eastAsia="Calibri"/>
                <w:b/>
                <w:bCs/>
                <w:color w:val="000000"/>
              </w:rPr>
            </w:pPr>
            <w:r w:rsidRPr="00465DA0">
              <w:rPr>
                <w:color w:val="000000"/>
              </w:rPr>
              <w:t>561</w:t>
            </w:r>
          </w:p>
        </w:tc>
        <w:tc>
          <w:tcPr>
            <w:tcW w:w="1100" w:type="dxa"/>
            <w:tcMar>
              <w:top w:w="0" w:type="dxa"/>
              <w:left w:w="108" w:type="dxa"/>
              <w:bottom w:w="0" w:type="dxa"/>
              <w:right w:w="108" w:type="dxa"/>
            </w:tcMar>
            <w:vAlign w:val="center"/>
          </w:tcPr>
          <w:p w:rsidR="00465DA0" w:rsidRPr="00465DA0" w:rsidP="00465DA0" w14:paraId="223D1A29" w14:textId="4F97FCE3">
            <w:pPr>
              <w:adjustRightInd/>
              <w:jc w:val="center"/>
              <w:textAlignment w:val="auto"/>
              <w:rPr>
                <w:rFonts w:eastAsia="Calibri"/>
                <w:b/>
                <w:bCs/>
                <w:color w:val="000000"/>
              </w:rPr>
            </w:pPr>
            <w:r w:rsidRPr="00465DA0">
              <w:rPr>
                <w:color w:val="000000"/>
              </w:rPr>
              <w:t>0.5</w:t>
            </w:r>
          </w:p>
        </w:tc>
        <w:tc>
          <w:tcPr>
            <w:tcW w:w="929" w:type="dxa"/>
            <w:tcMar>
              <w:top w:w="0" w:type="dxa"/>
              <w:left w:w="108" w:type="dxa"/>
              <w:bottom w:w="0" w:type="dxa"/>
              <w:right w:w="108" w:type="dxa"/>
            </w:tcMar>
            <w:vAlign w:val="center"/>
          </w:tcPr>
          <w:p w:rsidR="00465DA0" w:rsidRPr="00465DA0" w:rsidP="00465DA0" w14:paraId="1D214F2B" w14:textId="14CD6F1A">
            <w:pPr>
              <w:adjustRightInd/>
              <w:jc w:val="center"/>
              <w:textAlignment w:val="auto"/>
              <w:rPr>
                <w:rFonts w:eastAsia="Calibri"/>
                <w:b/>
                <w:bCs/>
                <w:color w:val="000000"/>
              </w:rPr>
            </w:pPr>
            <w:r w:rsidRPr="00465DA0">
              <w:rPr>
                <w:color w:val="000000"/>
              </w:rPr>
              <w:t>280.5</w:t>
            </w:r>
          </w:p>
        </w:tc>
        <w:tc>
          <w:tcPr>
            <w:tcW w:w="1100" w:type="dxa"/>
            <w:tcMar>
              <w:top w:w="0" w:type="dxa"/>
              <w:left w:w="108" w:type="dxa"/>
              <w:bottom w:w="0" w:type="dxa"/>
              <w:right w:w="108" w:type="dxa"/>
            </w:tcMar>
            <w:vAlign w:val="center"/>
          </w:tcPr>
          <w:p w:rsidR="00465DA0" w:rsidRPr="00465DA0" w:rsidP="00465DA0" w14:paraId="21E6E7E9" w14:textId="282BFBBC">
            <w:pPr>
              <w:adjustRightInd/>
              <w:jc w:val="right"/>
              <w:textAlignment w:val="auto"/>
              <w:rPr>
                <w:rFonts w:eastAsia="Calibri"/>
                <w:b/>
                <w:bCs/>
                <w:color w:val="000000"/>
              </w:rPr>
            </w:pPr>
            <w:r w:rsidRPr="00465DA0">
              <w:rPr>
                <w:color w:val="000000"/>
              </w:rPr>
              <w:t>$46.37</w:t>
            </w:r>
          </w:p>
        </w:tc>
        <w:tc>
          <w:tcPr>
            <w:tcW w:w="1041" w:type="dxa"/>
            <w:tcMar>
              <w:top w:w="0" w:type="dxa"/>
              <w:left w:w="108" w:type="dxa"/>
              <w:bottom w:w="0" w:type="dxa"/>
              <w:right w:w="108" w:type="dxa"/>
            </w:tcMar>
            <w:vAlign w:val="center"/>
          </w:tcPr>
          <w:p w:rsidR="00465DA0" w:rsidRPr="00863B16" w:rsidP="00465DA0" w14:paraId="325B8D78" w14:textId="3A65131E">
            <w:pPr>
              <w:adjustRightInd/>
              <w:jc w:val="right"/>
              <w:textAlignment w:val="auto"/>
              <w:rPr>
                <w:rFonts w:eastAsia="Calibri"/>
                <w:bCs/>
                <w:color w:val="000000"/>
              </w:rPr>
            </w:pPr>
            <w:r w:rsidRPr="00863B16">
              <w:rPr>
                <w:bCs/>
                <w:color w:val="000000"/>
              </w:rPr>
              <w:t>$13,006.79</w:t>
            </w:r>
          </w:p>
        </w:tc>
      </w:tr>
      <w:tr w14:paraId="7C7BE0D8" w14:textId="77777777" w:rsidTr="00137261">
        <w:tblPrEx>
          <w:tblW w:w="9468" w:type="dxa"/>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465DA0" w:rsidRPr="00465DA0" w:rsidP="00465DA0" w14:paraId="5C2BCE9F" w14:textId="38218496">
            <w:pPr>
              <w:adjustRightInd/>
              <w:textAlignment w:val="auto"/>
              <w:rPr>
                <w:color w:val="000000"/>
                <w:spacing w:val="-4"/>
              </w:rPr>
            </w:pPr>
            <w:r w:rsidRPr="00465DA0">
              <w:rPr>
                <w:color w:val="000000"/>
              </w:rPr>
              <w:t xml:space="preserve">HUD-50095 </w:t>
            </w:r>
          </w:p>
        </w:tc>
        <w:tc>
          <w:tcPr>
            <w:tcW w:w="1419" w:type="dxa"/>
            <w:tcMar>
              <w:top w:w="0" w:type="dxa"/>
              <w:left w:w="108" w:type="dxa"/>
              <w:bottom w:w="0" w:type="dxa"/>
              <w:right w:w="108" w:type="dxa"/>
            </w:tcMar>
            <w:vAlign w:val="center"/>
          </w:tcPr>
          <w:p w:rsidR="00465DA0" w:rsidRPr="00465DA0" w:rsidP="00465DA0" w14:paraId="17A28C38" w14:textId="79186973">
            <w:pPr>
              <w:adjustRightInd/>
              <w:jc w:val="center"/>
              <w:textAlignment w:val="auto"/>
              <w:rPr>
                <w:rFonts w:eastAsia="Calibri"/>
                <w:b/>
                <w:bCs/>
                <w:color w:val="000000"/>
              </w:rPr>
            </w:pPr>
            <w:r w:rsidRPr="00465DA0">
              <w:rPr>
                <w:color w:val="000000"/>
              </w:rPr>
              <w:t>187</w:t>
            </w:r>
          </w:p>
        </w:tc>
        <w:tc>
          <w:tcPr>
            <w:tcW w:w="1224" w:type="dxa"/>
            <w:tcMar>
              <w:top w:w="0" w:type="dxa"/>
              <w:left w:w="108" w:type="dxa"/>
              <w:bottom w:w="0" w:type="dxa"/>
              <w:right w:w="108" w:type="dxa"/>
            </w:tcMar>
            <w:vAlign w:val="center"/>
          </w:tcPr>
          <w:p w:rsidR="00465DA0" w:rsidRPr="00465DA0" w:rsidP="00465DA0" w14:paraId="51EA0DBE" w14:textId="389258D0">
            <w:pPr>
              <w:adjustRightInd/>
              <w:jc w:val="center"/>
              <w:textAlignment w:val="auto"/>
              <w:rPr>
                <w:rFonts w:eastAsia="Calibri"/>
                <w:b/>
                <w:bCs/>
                <w:color w:val="000000"/>
              </w:rPr>
            </w:pPr>
            <w:r w:rsidRPr="00465DA0">
              <w:rPr>
                <w:color w:val="000000"/>
              </w:rPr>
              <w:t>1</w:t>
            </w:r>
          </w:p>
        </w:tc>
        <w:tc>
          <w:tcPr>
            <w:tcW w:w="1186" w:type="dxa"/>
            <w:tcMar>
              <w:top w:w="0" w:type="dxa"/>
              <w:left w:w="108" w:type="dxa"/>
              <w:bottom w:w="0" w:type="dxa"/>
              <w:right w:w="108" w:type="dxa"/>
            </w:tcMar>
            <w:vAlign w:val="center"/>
          </w:tcPr>
          <w:p w:rsidR="00465DA0" w:rsidRPr="00465DA0" w:rsidP="00465DA0" w14:paraId="1B1E2437" w14:textId="6165FD1A">
            <w:pPr>
              <w:adjustRightInd/>
              <w:jc w:val="center"/>
              <w:textAlignment w:val="auto"/>
              <w:rPr>
                <w:rFonts w:eastAsia="Calibri"/>
                <w:b/>
                <w:bCs/>
                <w:color w:val="000000"/>
              </w:rPr>
            </w:pPr>
            <w:r w:rsidRPr="00465DA0">
              <w:rPr>
                <w:color w:val="000000"/>
              </w:rPr>
              <w:t>187</w:t>
            </w:r>
          </w:p>
        </w:tc>
        <w:tc>
          <w:tcPr>
            <w:tcW w:w="1100" w:type="dxa"/>
            <w:tcMar>
              <w:top w:w="0" w:type="dxa"/>
              <w:left w:w="108" w:type="dxa"/>
              <w:bottom w:w="0" w:type="dxa"/>
              <w:right w:w="108" w:type="dxa"/>
            </w:tcMar>
            <w:vAlign w:val="center"/>
          </w:tcPr>
          <w:p w:rsidR="00465DA0" w:rsidRPr="00465DA0" w:rsidP="00465DA0" w14:paraId="6E6024EC" w14:textId="5B6BA176">
            <w:pPr>
              <w:adjustRightInd/>
              <w:jc w:val="center"/>
              <w:textAlignment w:val="auto"/>
              <w:rPr>
                <w:rFonts w:eastAsia="Calibri"/>
                <w:b/>
                <w:bCs/>
                <w:color w:val="000000"/>
              </w:rPr>
            </w:pPr>
            <w:r w:rsidRPr="00465DA0">
              <w:rPr>
                <w:color w:val="000000"/>
              </w:rPr>
              <w:t>0.17</w:t>
            </w:r>
          </w:p>
        </w:tc>
        <w:tc>
          <w:tcPr>
            <w:tcW w:w="929" w:type="dxa"/>
            <w:tcMar>
              <w:top w:w="0" w:type="dxa"/>
              <w:left w:w="108" w:type="dxa"/>
              <w:bottom w:w="0" w:type="dxa"/>
              <w:right w:w="108" w:type="dxa"/>
            </w:tcMar>
            <w:vAlign w:val="center"/>
          </w:tcPr>
          <w:p w:rsidR="00465DA0" w:rsidRPr="00465DA0" w:rsidP="00465DA0" w14:paraId="797574DB" w14:textId="5B8332E2">
            <w:pPr>
              <w:adjustRightInd/>
              <w:jc w:val="center"/>
              <w:textAlignment w:val="auto"/>
              <w:rPr>
                <w:rFonts w:eastAsia="Calibri"/>
                <w:b/>
                <w:bCs/>
                <w:color w:val="000000"/>
              </w:rPr>
            </w:pPr>
            <w:r w:rsidRPr="00465DA0">
              <w:rPr>
                <w:color w:val="000000"/>
              </w:rPr>
              <w:t>31.79</w:t>
            </w:r>
          </w:p>
        </w:tc>
        <w:tc>
          <w:tcPr>
            <w:tcW w:w="1100" w:type="dxa"/>
            <w:tcMar>
              <w:top w:w="0" w:type="dxa"/>
              <w:left w:w="108" w:type="dxa"/>
              <w:bottom w:w="0" w:type="dxa"/>
              <w:right w:w="108" w:type="dxa"/>
            </w:tcMar>
            <w:vAlign w:val="center"/>
          </w:tcPr>
          <w:p w:rsidR="00465DA0" w:rsidRPr="00465DA0" w:rsidP="00465DA0" w14:paraId="2A10F0F8" w14:textId="5343E28A">
            <w:pPr>
              <w:adjustRightInd/>
              <w:jc w:val="right"/>
              <w:textAlignment w:val="auto"/>
              <w:rPr>
                <w:rFonts w:eastAsia="Calibri"/>
                <w:b/>
                <w:bCs/>
                <w:color w:val="000000"/>
              </w:rPr>
            </w:pPr>
            <w:r w:rsidRPr="00465DA0">
              <w:rPr>
                <w:color w:val="000000"/>
              </w:rPr>
              <w:t>$46.37</w:t>
            </w:r>
          </w:p>
        </w:tc>
        <w:tc>
          <w:tcPr>
            <w:tcW w:w="1041" w:type="dxa"/>
            <w:tcMar>
              <w:top w:w="0" w:type="dxa"/>
              <w:left w:w="108" w:type="dxa"/>
              <w:bottom w:w="0" w:type="dxa"/>
              <w:right w:w="108" w:type="dxa"/>
            </w:tcMar>
            <w:vAlign w:val="center"/>
          </w:tcPr>
          <w:p w:rsidR="00465DA0" w:rsidRPr="00863B16" w:rsidP="00465DA0" w14:paraId="66F913DD" w14:textId="6E56AB2F">
            <w:pPr>
              <w:adjustRightInd/>
              <w:jc w:val="right"/>
              <w:textAlignment w:val="auto"/>
              <w:rPr>
                <w:rFonts w:eastAsia="Calibri"/>
                <w:bCs/>
                <w:color w:val="000000"/>
              </w:rPr>
            </w:pPr>
            <w:r w:rsidRPr="00863B16">
              <w:rPr>
                <w:bCs/>
                <w:color w:val="000000"/>
              </w:rPr>
              <w:t>$1,474.10</w:t>
            </w:r>
          </w:p>
        </w:tc>
      </w:tr>
      <w:tr w14:paraId="2AE00A63" w14:textId="77777777" w:rsidTr="00137261">
        <w:tblPrEx>
          <w:tblW w:w="9468" w:type="dxa"/>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465DA0" w:rsidRPr="00465DA0" w:rsidP="00465DA0" w14:paraId="6E2F4C1F" w14:textId="78E83140">
            <w:pPr>
              <w:adjustRightInd/>
              <w:textAlignment w:val="auto"/>
              <w:rPr>
                <w:color w:val="000000"/>
                <w:spacing w:val="-4"/>
              </w:rPr>
            </w:pPr>
            <w:r w:rsidRPr="00465DA0">
              <w:rPr>
                <w:color w:val="000000"/>
                <w:spacing w:val="-4"/>
              </w:rPr>
              <w:t xml:space="preserve">HUD-50096 </w:t>
            </w:r>
          </w:p>
        </w:tc>
        <w:tc>
          <w:tcPr>
            <w:tcW w:w="1419" w:type="dxa"/>
            <w:tcMar>
              <w:top w:w="0" w:type="dxa"/>
              <w:left w:w="108" w:type="dxa"/>
              <w:bottom w:w="0" w:type="dxa"/>
              <w:right w:w="108" w:type="dxa"/>
            </w:tcMar>
            <w:vAlign w:val="center"/>
          </w:tcPr>
          <w:p w:rsidR="00465DA0" w:rsidRPr="00465DA0" w:rsidP="00465DA0" w14:paraId="2788254B" w14:textId="20ABAA9C">
            <w:pPr>
              <w:adjustRightInd/>
              <w:jc w:val="center"/>
              <w:textAlignment w:val="auto"/>
              <w:rPr>
                <w:rFonts w:eastAsia="Calibri"/>
                <w:b/>
                <w:bCs/>
                <w:color w:val="000000"/>
              </w:rPr>
            </w:pPr>
            <w:r w:rsidRPr="00465DA0">
              <w:rPr>
                <w:color w:val="000000"/>
              </w:rPr>
              <w:t>4</w:t>
            </w:r>
          </w:p>
        </w:tc>
        <w:tc>
          <w:tcPr>
            <w:tcW w:w="1224" w:type="dxa"/>
            <w:tcMar>
              <w:top w:w="0" w:type="dxa"/>
              <w:left w:w="108" w:type="dxa"/>
              <w:bottom w:w="0" w:type="dxa"/>
              <w:right w:w="108" w:type="dxa"/>
            </w:tcMar>
            <w:vAlign w:val="center"/>
          </w:tcPr>
          <w:p w:rsidR="00465DA0" w:rsidRPr="00465DA0" w:rsidP="00465DA0" w14:paraId="2D0B749B" w14:textId="74BCE62E">
            <w:pPr>
              <w:adjustRightInd/>
              <w:jc w:val="center"/>
              <w:textAlignment w:val="auto"/>
              <w:rPr>
                <w:rFonts w:eastAsia="Calibri"/>
                <w:b/>
                <w:bCs/>
                <w:color w:val="000000"/>
              </w:rPr>
            </w:pPr>
            <w:r w:rsidRPr="00465DA0">
              <w:rPr>
                <w:color w:val="000000"/>
              </w:rPr>
              <w:t>1</w:t>
            </w:r>
          </w:p>
        </w:tc>
        <w:tc>
          <w:tcPr>
            <w:tcW w:w="1186" w:type="dxa"/>
            <w:tcMar>
              <w:top w:w="0" w:type="dxa"/>
              <w:left w:w="108" w:type="dxa"/>
              <w:bottom w:w="0" w:type="dxa"/>
              <w:right w:w="108" w:type="dxa"/>
            </w:tcMar>
            <w:vAlign w:val="center"/>
          </w:tcPr>
          <w:p w:rsidR="00465DA0" w:rsidRPr="00465DA0" w:rsidP="00465DA0" w14:paraId="2B85274A" w14:textId="0DD765CE">
            <w:pPr>
              <w:adjustRightInd/>
              <w:jc w:val="center"/>
              <w:textAlignment w:val="auto"/>
              <w:rPr>
                <w:rFonts w:eastAsia="Calibri"/>
                <w:b/>
                <w:bCs/>
                <w:color w:val="000000"/>
              </w:rPr>
            </w:pPr>
            <w:r w:rsidRPr="00465DA0">
              <w:rPr>
                <w:color w:val="000000"/>
              </w:rPr>
              <w:t>4</w:t>
            </w:r>
          </w:p>
        </w:tc>
        <w:tc>
          <w:tcPr>
            <w:tcW w:w="1100" w:type="dxa"/>
            <w:tcMar>
              <w:top w:w="0" w:type="dxa"/>
              <w:left w:w="108" w:type="dxa"/>
              <w:bottom w:w="0" w:type="dxa"/>
              <w:right w:w="108" w:type="dxa"/>
            </w:tcMar>
            <w:vAlign w:val="center"/>
          </w:tcPr>
          <w:p w:rsidR="00465DA0" w:rsidRPr="00465DA0" w:rsidP="00465DA0" w14:paraId="2E411894" w14:textId="0DF22F3A">
            <w:pPr>
              <w:adjustRightInd/>
              <w:jc w:val="center"/>
              <w:textAlignment w:val="auto"/>
              <w:rPr>
                <w:rFonts w:eastAsia="Calibri"/>
                <w:b/>
                <w:bCs/>
                <w:color w:val="000000"/>
              </w:rPr>
            </w:pPr>
            <w:r w:rsidRPr="00465DA0">
              <w:rPr>
                <w:color w:val="000000"/>
              </w:rPr>
              <w:t>1</w:t>
            </w:r>
          </w:p>
        </w:tc>
        <w:tc>
          <w:tcPr>
            <w:tcW w:w="929" w:type="dxa"/>
            <w:tcMar>
              <w:top w:w="0" w:type="dxa"/>
              <w:left w:w="108" w:type="dxa"/>
              <w:bottom w:w="0" w:type="dxa"/>
              <w:right w:w="108" w:type="dxa"/>
            </w:tcMar>
            <w:vAlign w:val="center"/>
          </w:tcPr>
          <w:p w:rsidR="00465DA0" w:rsidRPr="00465DA0" w:rsidP="00465DA0" w14:paraId="12589F50" w14:textId="1F0A6F02">
            <w:pPr>
              <w:adjustRightInd/>
              <w:jc w:val="center"/>
              <w:textAlignment w:val="auto"/>
              <w:rPr>
                <w:rFonts w:eastAsia="Calibri"/>
                <w:b/>
                <w:bCs/>
                <w:color w:val="000000"/>
              </w:rPr>
            </w:pPr>
            <w:r w:rsidRPr="00465DA0">
              <w:rPr>
                <w:color w:val="000000"/>
              </w:rPr>
              <w:t>4</w:t>
            </w:r>
          </w:p>
        </w:tc>
        <w:tc>
          <w:tcPr>
            <w:tcW w:w="1100" w:type="dxa"/>
            <w:tcMar>
              <w:top w:w="0" w:type="dxa"/>
              <w:left w:w="108" w:type="dxa"/>
              <w:bottom w:w="0" w:type="dxa"/>
              <w:right w:w="108" w:type="dxa"/>
            </w:tcMar>
            <w:vAlign w:val="center"/>
          </w:tcPr>
          <w:p w:rsidR="00465DA0" w:rsidRPr="00465DA0" w:rsidP="00465DA0" w14:paraId="6CE486B8" w14:textId="6E515646">
            <w:pPr>
              <w:adjustRightInd/>
              <w:jc w:val="right"/>
              <w:textAlignment w:val="auto"/>
              <w:rPr>
                <w:rFonts w:eastAsia="Calibri"/>
                <w:b/>
                <w:bCs/>
                <w:color w:val="000000"/>
              </w:rPr>
            </w:pPr>
            <w:r w:rsidRPr="00465DA0">
              <w:rPr>
                <w:color w:val="000000"/>
              </w:rPr>
              <w:t>$46.37</w:t>
            </w:r>
          </w:p>
        </w:tc>
        <w:tc>
          <w:tcPr>
            <w:tcW w:w="1041" w:type="dxa"/>
            <w:tcMar>
              <w:top w:w="0" w:type="dxa"/>
              <w:left w:w="108" w:type="dxa"/>
              <w:bottom w:w="0" w:type="dxa"/>
              <w:right w:w="108" w:type="dxa"/>
            </w:tcMar>
            <w:vAlign w:val="center"/>
          </w:tcPr>
          <w:p w:rsidR="00465DA0" w:rsidRPr="00863B16" w:rsidP="00465DA0" w14:paraId="161125B3" w14:textId="41679E43">
            <w:pPr>
              <w:adjustRightInd/>
              <w:jc w:val="right"/>
              <w:textAlignment w:val="auto"/>
              <w:rPr>
                <w:rFonts w:eastAsia="Calibri"/>
                <w:bCs/>
                <w:color w:val="000000"/>
              </w:rPr>
            </w:pPr>
            <w:r w:rsidRPr="00863B16">
              <w:rPr>
                <w:bCs/>
                <w:color w:val="000000"/>
              </w:rPr>
              <w:t>$185.48</w:t>
            </w:r>
          </w:p>
        </w:tc>
      </w:tr>
      <w:tr w14:paraId="0FD54EC8" w14:textId="77777777" w:rsidTr="001A7E49">
        <w:tblPrEx>
          <w:tblW w:w="9468" w:type="dxa"/>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465DA0" w:rsidRPr="00465DA0" w:rsidP="00465DA0" w14:paraId="463087CA" w14:textId="4022EF06">
            <w:pPr>
              <w:adjustRightInd/>
              <w:textAlignment w:val="auto"/>
              <w:rPr>
                <w:color w:val="000000"/>
                <w:spacing w:val="-4"/>
              </w:rPr>
            </w:pPr>
            <w:r w:rsidRPr="00465DA0">
              <w:rPr>
                <w:color w:val="000000"/>
                <w:spacing w:val="-4"/>
              </w:rPr>
              <w:t>SF-425</w:t>
            </w:r>
          </w:p>
        </w:tc>
        <w:tc>
          <w:tcPr>
            <w:tcW w:w="1419" w:type="dxa"/>
            <w:tcMar>
              <w:top w:w="0" w:type="dxa"/>
              <w:left w:w="108" w:type="dxa"/>
              <w:bottom w:w="0" w:type="dxa"/>
              <w:right w:w="108" w:type="dxa"/>
            </w:tcMar>
          </w:tcPr>
          <w:p w:rsidR="00465DA0" w:rsidRPr="00465DA0" w:rsidP="00465DA0" w14:paraId="4ED63636" w14:textId="24FC66DE">
            <w:pPr>
              <w:adjustRightInd/>
              <w:jc w:val="center"/>
              <w:textAlignment w:val="auto"/>
              <w:rPr>
                <w:rFonts w:eastAsia="Calibri"/>
                <w:color w:val="000000"/>
              </w:rPr>
            </w:pPr>
            <w:r w:rsidRPr="00465DA0">
              <w:rPr>
                <w:rFonts w:eastAsia="Calibri"/>
                <w:color w:val="000000"/>
              </w:rPr>
              <w:t>0</w:t>
            </w:r>
          </w:p>
        </w:tc>
        <w:tc>
          <w:tcPr>
            <w:tcW w:w="1224" w:type="dxa"/>
            <w:tcMar>
              <w:top w:w="0" w:type="dxa"/>
              <w:left w:w="108" w:type="dxa"/>
              <w:bottom w:w="0" w:type="dxa"/>
              <w:right w:w="108" w:type="dxa"/>
            </w:tcMar>
          </w:tcPr>
          <w:p w:rsidR="00465DA0" w:rsidRPr="00465DA0" w:rsidP="00465DA0" w14:paraId="0AEA89B1" w14:textId="0203266C">
            <w:pPr>
              <w:adjustRightInd/>
              <w:jc w:val="center"/>
              <w:textAlignment w:val="auto"/>
              <w:rPr>
                <w:rFonts w:eastAsia="Calibri"/>
                <w:color w:val="000000"/>
              </w:rPr>
            </w:pPr>
            <w:r w:rsidRPr="00465DA0">
              <w:rPr>
                <w:rFonts w:eastAsia="Calibri"/>
                <w:color w:val="000000"/>
              </w:rPr>
              <w:t>0</w:t>
            </w:r>
          </w:p>
        </w:tc>
        <w:tc>
          <w:tcPr>
            <w:tcW w:w="1186" w:type="dxa"/>
            <w:tcMar>
              <w:top w:w="0" w:type="dxa"/>
              <w:left w:w="108" w:type="dxa"/>
              <w:bottom w:w="0" w:type="dxa"/>
              <w:right w:w="108" w:type="dxa"/>
            </w:tcMar>
          </w:tcPr>
          <w:p w:rsidR="00465DA0" w:rsidRPr="00465DA0" w:rsidP="00465DA0" w14:paraId="62B0F722" w14:textId="4DE5B38F">
            <w:pPr>
              <w:adjustRightInd/>
              <w:jc w:val="center"/>
              <w:textAlignment w:val="auto"/>
              <w:rPr>
                <w:rFonts w:eastAsia="Calibri"/>
                <w:color w:val="000000"/>
              </w:rPr>
            </w:pPr>
            <w:r w:rsidRPr="00465DA0">
              <w:rPr>
                <w:rFonts w:eastAsia="Calibri"/>
                <w:color w:val="000000"/>
              </w:rPr>
              <w:t>0</w:t>
            </w:r>
          </w:p>
        </w:tc>
        <w:tc>
          <w:tcPr>
            <w:tcW w:w="1100" w:type="dxa"/>
            <w:tcMar>
              <w:top w:w="0" w:type="dxa"/>
              <w:left w:w="108" w:type="dxa"/>
              <w:bottom w:w="0" w:type="dxa"/>
              <w:right w:w="108" w:type="dxa"/>
            </w:tcMar>
          </w:tcPr>
          <w:p w:rsidR="00465DA0" w:rsidRPr="00465DA0" w:rsidP="00465DA0" w14:paraId="3A05B728" w14:textId="002642E2">
            <w:pPr>
              <w:adjustRightInd/>
              <w:jc w:val="center"/>
              <w:textAlignment w:val="auto"/>
              <w:rPr>
                <w:rFonts w:eastAsia="Calibri"/>
                <w:color w:val="000000"/>
              </w:rPr>
            </w:pPr>
            <w:r w:rsidRPr="00465DA0">
              <w:rPr>
                <w:rFonts w:eastAsia="Calibri"/>
                <w:color w:val="000000"/>
              </w:rPr>
              <w:t>0</w:t>
            </w:r>
          </w:p>
        </w:tc>
        <w:tc>
          <w:tcPr>
            <w:tcW w:w="929" w:type="dxa"/>
            <w:tcMar>
              <w:top w:w="0" w:type="dxa"/>
              <w:left w:w="108" w:type="dxa"/>
              <w:bottom w:w="0" w:type="dxa"/>
              <w:right w:w="108" w:type="dxa"/>
            </w:tcMar>
          </w:tcPr>
          <w:p w:rsidR="00465DA0" w:rsidRPr="00465DA0" w:rsidP="00465DA0" w14:paraId="08505147" w14:textId="56E0789F">
            <w:pPr>
              <w:adjustRightInd/>
              <w:jc w:val="center"/>
              <w:textAlignment w:val="auto"/>
              <w:rPr>
                <w:rFonts w:eastAsia="Calibri"/>
                <w:color w:val="000000"/>
              </w:rPr>
            </w:pPr>
            <w:r w:rsidRPr="00465DA0">
              <w:rPr>
                <w:rFonts w:eastAsia="Calibri"/>
                <w:color w:val="000000"/>
              </w:rPr>
              <w:t>0</w:t>
            </w:r>
          </w:p>
        </w:tc>
        <w:tc>
          <w:tcPr>
            <w:tcW w:w="1100" w:type="dxa"/>
            <w:tcMar>
              <w:top w:w="0" w:type="dxa"/>
              <w:left w:w="108" w:type="dxa"/>
              <w:bottom w:w="0" w:type="dxa"/>
              <w:right w:w="108" w:type="dxa"/>
            </w:tcMar>
          </w:tcPr>
          <w:p w:rsidR="00465DA0" w:rsidRPr="00465DA0" w:rsidP="00465DA0" w14:paraId="0C4AB8CF" w14:textId="7C803F28">
            <w:pPr>
              <w:adjustRightInd/>
              <w:jc w:val="right"/>
              <w:textAlignment w:val="auto"/>
              <w:rPr>
                <w:rFonts w:eastAsia="Calibri"/>
                <w:color w:val="000000"/>
              </w:rPr>
            </w:pPr>
            <w:r w:rsidRPr="00465DA0">
              <w:rPr>
                <w:rFonts w:eastAsia="Calibri"/>
                <w:color w:val="000000"/>
              </w:rPr>
              <w:t>0</w:t>
            </w:r>
          </w:p>
        </w:tc>
        <w:tc>
          <w:tcPr>
            <w:tcW w:w="1041" w:type="dxa"/>
            <w:tcMar>
              <w:top w:w="0" w:type="dxa"/>
              <w:left w:w="108" w:type="dxa"/>
              <w:bottom w:w="0" w:type="dxa"/>
              <w:right w:w="108" w:type="dxa"/>
            </w:tcMar>
          </w:tcPr>
          <w:p w:rsidR="00465DA0" w:rsidRPr="00863B16" w:rsidP="00465DA0" w14:paraId="29A09087" w14:textId="5F03D020">
            <w:pPr>
              <w:adjustRightInd/>
              <w:jc w:val="right"/>
              <w:textAlignment w:val="auto"/>
              <w:rPr>
                <w:rFonts w:eastAsia="Calibri"/>
                <w:bCs/>
                <w:color w:val="000000"/>
              </w:rPr>
            </w:pPr>
            <w:r w:rsidRPr="00863B16">
              <w:rPr>
                <w:rFonts w:eastAsia="Calibri"/>
                <w:bCs/>
                <w:color w:val="000000"/>
              </w:rPr>
              <w:t>0</w:t>
            </w:r>
          </w:p>
        </w:tc>
      </w:tr>
      <w:tr w14:paraId="472EC351" w14:textId="77777777" w:rsidTr="001A7E49">
        <w:tblPrEx>
          <w:tblW w:w="9468" w:type="dxa"/>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465DA0" w:rsidRPr="005A452F" w:rsidP="00465DA0" w14:paraId="779D7705" w14:textId="771BDB89">
            <w:pPr>
              <w:adjustRightInd/>
              <w:textAlignment w:val="auto"/>
              <w:rPr>
                <w:b/>
                <w:bCs/>
                <w:color w:val="000000"/>
                <w:spacing w:val="-4"/>
              </w:rPr>
            </w:pPr>
            <w:r w:rsidRPr="005A452F">
              <w:rPr>
                <w:b/>
                <w:bCs/>
                <w:color w:val="000000"/>
                <w:spacing w:val="-4"/>
              </w:rPr>
              <w:t>Totals</w:t>
            </w:r>
          </w:p>
        </w:tc>
        <w:tc>
          <w:tcPr>
            <w:tcW w:w="1419" w:type="dxa"/>
            <w:tcMar>
              <w:top w:w="0" w:type="dxa"/>
              <w:left w:w="108" w:type="dxa"/>
              <w:bottom w:w="0" w:type="dxa"/>
              <w:right w:w="108" w:type="dxa"/>
            </w:tcMar>
          </w:tcPr>
          <w:p w:rsidR="00465DA0" w:rsidRPr="00465DA0" w:rsidP="00465DA0" w14:paraId="6EEBE74F" w14:textId="135AC3F6">
            <w:pPr>
              <w:adjustRightInd/>
              <w:jc w:val="center"/>
              <w:textAlignment w:val="auto"/>
              <w:rPr>
                <w:rFonts w:eastAsia="Calibri"/>
                <w:b/>
                <w:bCs/>
                <w:color w:val="000000"/>
              </w:rPr>
            </w:pPr>
            <w:r>
              <w:rPr>
                <w:rFonts w:eastAsia="Calibri"/>
                <w:b/>
                <w:bCs/>
                <w:color w:val="000000"/>
              </w:rPr>
              <w:t>565</w:t>
            </w:r>
          </w:p>
        </w:tc>
        <w:tc>
          <w:tcPr>
            <w:tcW w:w="1224" w:type="dxa"/>
            <w:tcMar>
              <w:top w:w="0" w:type="dxa"/>
              <w:left w:w="108" w:type="dxa"/>
              <w:bottom w:w="0" w:type="dxa"/>
              <w:right w:w="108" w:type="dxa"/>
            </w:tcMar>
          </w:tcPr>
          <w:p w:rsidR="00465DA0" w:rsidRPr="00465DA0" w:rsidP="00465DA0" w14:paraId="6B15C280" w14:textId="77777777">
            <w:pPr>
              <w:adjustRightInd/>
              <w:jc w:val="center"/>
              <w:textAlignment w:val="auto"/>
              <w:rPr>
                <w:rFonts w:eastAsia="Calibri"/>
                <w:b/>
                <w:bCs/>
                <w:color w:val="000000"/>
              </w:rPr>
            </w:pPr>
          </w:p>
        </w:tc>
        <w:tc>
          <w:tcPr>
            <w:tcW w:w="1186" w:type="dxa"/>
            <w:tcMar>
              <w:top w:w="0" w:type="dxa"/>
              <w:left w:w="108" w:type="dxa"/>
              <w:bottom w:w="0" w:type="dxa"/>
              <w:right w:w="108" w:type="dxa"/>
            </w:tcMar>
          </w:tcPr>
          <w:p w:rsidR="00465DA0" w:rsidRPr="00465DA0" w:rsidP="00465DA0" w14:paraId="3CD38BA1" w14:textId="3143D01E">
            <w:pPr>
              <w:adjustRightInd/>
              <w:jc w:val="center"/>
              <w:textAlignment w:val="auto"/>
              <w:rPr>
                <w:rFonts w:eastAsia="Calibri"/>
                <w:b/>
                <w:bCs/>
                <w:color w:val="000000"/>
              </w:rPr>
            </w:pPr>
            <w:r>
              <w:rPr>
                <w:rFonts w:eastAsia="Calibri"/>
                <w:b/>
                <w:bCs/>
                <w:color w:val="000000"/>
              </w:rPr>
              <w:t>939</w:t>
            </w:r>
          </w:p>
        </w:tc>
        <w:tc>
          <w:tcPr>
            <w:tcW w:w="1100" w:type="dxa"/>
            <w:tcMar>
              <w:top w:w="0" w:type="dxa"/>
              <w:left w:w="108" w:type="dxa"/>
              <w:bottom w:w="0" w:type="dxa"/>
              <w:right w:w="108" w:type="dxa"/>
            </w:tcMar>
          </w:tcPr>
          <w:p w:rsidR="00465DA0" w:rsidRPr="00465DA0" w:rsidP="00465DA0" w14:paraId="1AA08552" w14:textId="77777777">
            <w:pPr>
              <w:adjustRightInd/>
              <w:jc w:val="center"/>
              <w:textAlignment w:val="auto"/>
              <w:rPr>
                <w:rFonts w:eastAsia="Calibri"/>
                <w:b/>
                <w:bCs/>
                <w:color w:val="000000"/>
              </w:rPr>
            </w:pPr>
          </w:p>
        </w:tc>
        <w:tc>
          <w:tcPr>
            <w:tcW w:w="929" w:type="dxa"/>
            <w:tcMar>
              <w:top w:w="0" w:type="dxa"/>
              <w:left w:w="108" w:type="dxa"/>
              <w:bottom w:w="0" w:type="dxa"/>
              <w:right w:w="108" w:type="dxa"/>
            </w:tcMar>
          </w:tcPr>
          <w:p w:rsidR="00465DA0" w:rsidRPr="00465DA0" w:rsidP="00465DA0" w14:paraId="1B27487F" w14:textId="73AF1B7F">
            <w:pPr>
              <w:adjustRightInd/>
              <w:jc w:val="center"/>
              <w:textAlignment w:val="auto"/>
              <w:rPr>
                <w:rFonts w:eastAsia="Calibri"/>
                <w:b/>
                <w:bCs/>
                <w:color w:val="000000"/>
              </w:rPr>
            </w:pPr>
            <w:r>
              <w:rPr>
                <w:rFonts w:eastAsia="Calibri"/>
                <w:b/>
                <w:bCs/>
                <w:color w:val="000000"/>
              </w:rPr>
              <w:t>503.29</w:t>
            </w:r>
          </w:p>
        </w:tc>
        <w:tc>
          <w:tcPr>
            <w:tcW w:w="1100" w:type="dxa"/>
            <w:tcMar>
              <w:top w:w="0" w:type="dxa"/>
              <w:left w:w="108" w:type="dxa"/>
              <w:bottom w:w="0" w:type="dxa"/>
              <w:right w:w="108" w:type="dxa"/>
            </w:tcMar>
          </w:tcPr>
          <w:p w:rsidR="00465DA0" w:rsidRPr="00465DA0" w:rsidP="00465DA0" w14:paraId="4D150255" w14:textId="77777777">
            <w:pPr>
              <w:adjustRightInd/>
              <w:jc w:val="right"/>
              <w:textAlignment w:val="auto"/>
              <w:rPr>
                <w:rFonts w:eastAsia="Calibri"/>
                <w:b/>
                <w:bCs/>
                <w:color w:val="000000"/>
              </w:rPr>
            </w:pPr>
          </w:p>
        </w:tc>
        <w:tc>
          <w:tcPr>
            <w:tcW w:w="1041" w:type="dxa"/>
            <w:tcMar>
              <w:top w:w="0" w:type="dxa"/>
              <w:left w:w="108" w:type="dxa"/>
              <w:bottom w:w="0" w:type="dxa"/>
              <w:right w:w="108" w:type="dxa"/>
            </w:tcMar>
          </w:tcPr>
          <w:p w:rsidR="00465DA0" w:rsidRPr="00465DA0" w:rsidP="00465DA0" w14:paraId="3A075AAF" w14:textId="3F9C9578">
            <w:pPr>
              <w:adjustRightInd/>
              <w:jc w:val="right"/>
              <w:textAlignment w:val="auto"/>
              <w:rPr>
                <w:rFonts w:eastAsia="Calibri"/>
                <w:b/>
                <w:bCs/>
                <w:color w:val="000000"/>
              </w:rPr>
            </w:pPr>
            <w:r>
              <w:rPr>
                <w:rFonts w:eastAsia="Calibri"/>
                <w:b/>
                <w:bCs/>
                <w:color w:val="000000"/>
              </w:rPr>
              <w:t>$23,337.56</w:t>
            </w:r>
          </w:p>
        </w:tc>
      </w:tr>
      <w:bookmarkEnd w:id="1"/>
    </w:tbl>
    <w:p w:rsidR="00167E53" w:rsidRPr="006C7FAE"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w:t>
      </w:r>
      <w:r w:rsidRPr="006C7FAE">
        <w:rPr>
          <w:sz w:val="24"/>
          <w:szCs w:val="24"/>
        </w:rPr>
        <w:t>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w:t>
      </w:r>
      <w:r w:rsidRPr="006C7FAE">
        <w:rPr>
          <w:sz w:val="24"/>
          <w:szCs w:val="24"/>
        </w:rPr>
        <w:t xml:space="preserve">e discount rate(s) and the time period over which costs will be incurred.  Capital and start-up costs include, among other items, preparations for collecting </w:t>
      </w:r>
      <w:r w:rsidRPr="006C7FAE">
        <w:rPr>
          <w:sz w:val="24"/>
          <w:szCs w:val="24"/>
        </w:rPr>
        <w:t xml:space="preserve">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w:t>
      </w:r>
      <w:r w:rsidRPr="006C7FAE">
        <w:rPr>
          <w:sz w:val="24"/>
          <w:szCs w:val="24"/>
        </w:rPr>
        <w:t xml:space="preserve">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 xml:space="preserve">enerally, estimates should not include purchases of equipment or services, or portions thereof made: (1) prior to October 1, 1995, (2) to achieve regulatory compliance with requirements not </w:t>
      </w:r>
      <w:r w:rsidRPr="006C7FAE">
        <w:rPr>
          <w:sz w:val="24"/>
          <w:szCs w:val="24"/>
        </w:rPr>
        <w:t>associated with the information collection, (3) for reasons other than to provide information or keep records for the government, or (4) as part of customary and usual business or private practices.</w:t>
      </w:r>
    </w:p>
    <w:p w:rsidR="00F07DA0" w:rsidP="00F07DA0" w14:paraId="052AD8CD" w14:textId="77777777">
      <w:pPr>
        <w:spacing w:before="20"/>
        <w:jc w:val="both"/>
        <w:rPr>
          <w:color w:val="000000"/>
          <w:sz w:val="24"/>
          <w:szCs w:val="24"/>
        </w:rPr>
      </w:pPr>
    </w:p>
    <w:p w:rsidR="00F07DA0" w:rsidRPr="00F07DA0" w:rsidP="00F07DA0" w14:paraId="2806CD71" w14:textId="3D4DEA1A">
      <w:pPr>
        <w:spacing w:before="20"/>
        <w:ind w:left="360"/>
        <w:jc w:val="both"/>
        <w:rPr>
          <w:b/>
          <w:color w:val="000000"/>
          <w:sz w:val="24"/>
          <w:szCs w:val="24"/>
        </w:rPr>
      </w:pPr>
      <w:r w:rsidRPr="00F07DA0">
        <w:rPr>
          <w:color w:val="000000"/>
          <w:sz w:val="24"/>
          <w:szCs w:val="24"/>
        </w:rPr>
        <w:t xml:space="preserve">There will be no additional costs </w:t>
      </w:r>
      <w:r w:rsidRPr="00F07DA0" w:rsidR="00A77E7C">
        <w:rPr>
          <w:color w:val="000000"/>
          <w:sz w:val="24"/>
          <w:szCs w:val="24"/>
        </w:rPr>
        <w:t>for</w:t>
      </w:r>
      <w:r w:rsidRPr="00F07DA0">
        <w:rPr>
          <w:color w:val="000000"/>
          <w:sz w:val="24"/>
          <w:szCs w:val="24"/>
        </w:rPr>
        <w:t xml:space="preserve"> the respondents.</w:t>
      </w:r>
    </w:p>
    <w:p w:rsidR="00F07DA0" w:rsidRPr="006C7FAE" w:rsidP="00F07DA0" w14:paraId="4D2DAD0E" w14:textId="77777777">
      <w:pPr>
        <w:keepLines/>
        <w:tabs>
          <w:tab w:val="left" w:pos="360"/>
        </w:tabs>
        <w:spacing w:after="80"/>
        <w:ind w:left="336"/>
        <w:rPr>
          <w:sz w:val="24"/>
          <w:szCs w:val="24"/>
        </w:rPr>
      </w:pPr>
    </w:p>
    <w:p w:rsidR="009E13B1" w:rsidRPr="006C7FAE"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7E52AF" w:rsidP="007E52AF" w14:paraId="5BB0C48A" w14:textId="72E016CD">
      <w:pPr>
        <w:pStyle w:val="ListParagraph"/>
        <w:spacing w:before="204"/>
        <w:ind w:left="360"/>
        <w:rPr>
          <w:color w:val="000000"/>
          <w:sz w:val="24"/>
          <w:szCs w:val="24"/>
        </w:rPr>
      </w:pPr>
      <w:r w:rsidRPr="00F47A4B">
        <w:rPr>
          <w:color w:val="000000"/>
          <w:sz w:val="24"/>
          <w:szCs w:val="24"/>
        </w:rPr>
        <w:t>The estimated annualized cost to the federal government is based on the 2025 general pay schedule for a GS-13, Step 1 rate for Washington-Baltimore-Arlington, DC-MD-WV-PA which is the average salary for a management analyst and is $</w:t>
      </w:r>
      <w:r w:rsidR="009660CF">
        <w:rPr>
          <w:color w:val="000000"/>
          <w:sz w:val="24"/>
          <w:szCs w:val="24"/>
        </w:rPr>
        <w:t>57.78</w:t>
      </w:r>
      <w:r w:rsidRPr="00F47A4B">
        <w:rPr>
          <w:color w:val="000000"/>
          <w:sz w:val="24"/>
          <w:szCs w:val="24"/>
        </w:rPr>
        <w:t xml:space="preserve"> per hour (</w:t>
      </w:r>
      <w:hyperlink r:id="rId8" w:history="1">
        <w:r w:rsidRPr="00F47A4B">
          <w:rPr>
            <w:rStyle w:val="Hyperlink"/>
            <w:sz w:val="24"/>
            <w:szCs w:val="24"/>
          </w:rPr>
          <w:t>https://www.opm.gov/policy-data-oversight/pay-leave/salaries-wages/salary-tables/24Tables/html/DCB_h.aspx</w:t>
        </w:r>
      </w:hyperlink>
      <w:r w:rsidRPr="00F47A4B">
        <w:rPr>
          <w:color w:val="000000"/>
          <w:sz w:val="24"/>
          <w:szCs w:val="24"/>
        </w:rPr>
        <w:t>). It is estimated that it takes approximately 1 hour to review the submission package from each PHA for the Shortfall Funding Program.</w:t>
      </w:r>
    </w:p>
    <w:p w:rsidR="007E52AF" w:rsidRPr="006C7FAE" w:rsidP="00167E53" w14:paraId="7297BFE1" w14:textId="77777777">
      <w:pPr>
        <w:overflowPunct/>
        <w:autoSpaceDE/>
        <w:autoSpaceDN/>
        <w:adjustRightInd/>
        <w:spacing w:after="80"/>
        <w:ind w:left="360"/>
        <w:textAlignment w:val="auto"/>
        <w:rPr>
          <w:rFonts w:eastAsia="Calibri"/>
          <w:color w:val="000000"/>
        </w:rPr>
      </w:pPr>
    </w:p>
    <w:tbl>
      <w:tblPr>
        <w:tblW w:w="9468"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40"/>
        <w:gridCol w:w="1403"/>
        <w:gridCol w:w="1211"/>
        <w:gridCol w:w="1173"/>
        <w:gridCol w:w="1088"/>
        <w:gridCol w:w="919"/>
        <w:gridCol w:w="1118"/>
        <w:gridCol w:w="1116"/>
      </w:tblGrid>
      <w:tr w14:paraId="1B46F95A" w14:textId="77777777" w:rsidTr="004530C6">
        <w:tblPrEx>
          <w:tblW w:w="9468"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40" w:type="dxa"/>
            <w:tcMar>
              <w:top w:w="0" w:type="dxa"/>
              <w:left w:w="108" w:type="dxa"/>
              <w:bottom w:w="0" w:type="dxa"/>
              <w:right w:w="108" w:type="dxa"/>
            </w:tcMar>
            <w:hideMark/>
          </w:tcPr>
          <w:p w:rsidR="00167E53" w:rsidRPr="006C7FAE" w:rsidP="00167E53" w14:paraId="2770CCD5"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03" w:type="dxa"/>
            <w:tcMar>
              <w:top w:w="0" w:type="dxa"/>
              <w:left w:w="108" w:type="dxa"/>
              <w:bottom w:w="0" w:type="dxa"/>
              <w:right w:w="108" w:type="dxa"/>
            </w:tcMar>
            <w:hideMark/>
          </w:tcPr>
          <w:p w:rsidR="00167E53" w:rsidRPr="006C7FAE" w:rsidP="00167E53" w14:paraId="2D6ED408"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11" w:type="dxa"/>
            <w:tcMar>
              <w:top w:w="0" w:type="dxa"/>
              <w:left w:w="108" w:type="dxa"/>
              <w:bottom w:w="0" w:type="dxa"/>
              <w:right w:w="108" w:type="dxa"/>
            </w:tcMar>
            <w:hideMark/>
          </w:tcPr>
          <w:p w:rsidR="00167E53" w:rsidRPr="006C7FAE" w:rsidP="00167E53" w14:paraId="0FC909C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73" w:type="dxa"/>
            <w:tcMar>
              <w:top w:w="0" w:type="dxa"/>
              <w:left w:w="108" w:type="dxa"/>
              <w:bottom w:w="0" w:type="dxa"/>
              <w:right w:w="108" w:type="dxa"/>
            </w:tcMar>
            <w:hideMark/>
          </w:tcPr>
          <w:p w:rsidR="00167E53" w:rsidRPr="006C7FAE" w:rsidP="00167E53" w14:paraId="2E88ED1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5FC3E02" w14:textId="77777777">
            <w:pPr>
              <w:adjustRightInd/>
              <w:jc w:val="center"/>
              <w:textAlignment w:val="auto"/>
              <w:rPr>
                <w:rFonts w:eastAsia="Calibri"/>
                <w:b/>
                <w:bCs/>
                <w:color w:val="000000"/>
              </w:rPr>
            </w:pPr>
            <w:r w:rsidRPr="006C7FAE">
              <w:rPr>
                <w:rFonts w:eastAsia="Calibri"/>
                <w:b/>
                <w:bCs/>
                <w:color w:val="000000"/>
              </w:rPr>
              <w:t>Per Annum</w:t>
            </w:r>
          </w:p>
        </w:tc>
        <w:tc>
          <w:tcPr>
            <w:tcW w:w="1088" w:type="dxa"/>
            <w:tcMar>
              <w:top w:w="0" w:type="dxa"/>
              <w:left w:w="108" w:type="dxa"/>
              <w:bottom w:w="0" w:type="dxa"/>
              <w:right w:w="108" w:type="dxa"/>
            </w:tcMar>
            <w:hideMark/>
          </w:tcPr>
          <w:p w:rsidR="00167E53" w:rsidRPr="006C7FAE" w:rsidP="00167E53" w14:paraId="48E3A479"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19" w:type="dxa"/>
            <w:tcMar>
              <w:top w:w="0" w:type="dxa"/>
              <w:left w:w="108" w:type="dxa"/>
              <w:bottom w:w="0" w:type="dxa"/>
              <w:right w:w="108" w:type="dxa"/>
            </w:tcMar>
            <w:hideMark/>
          </w:tcPr>
          <w:p w:rsidR="00167E53" w:rsidRPr="006C7FAE" w:rsidP="00167E53" w14:paraId="60299650" w14:textId="77777777">
            <w:pPr>
              <w:adjustRightInd/>
              <w:jc w:val="center"/>
              <w:textAlignment w:val="auto"/>
              <w:rPr>
                <w:rFonts w:eastAsia="Calibri"/>
                <w:b/>
                <w:bCs/>
                <w:color w:val="000000"/>
              </w:rPr>
            </w:pPr>
            <w:r w:rsidRPr="006C7FAE">
              <w:rPr>
                <w:rFonts w:eastAsia="Calibri"/>
                <w:b/>
                <w:bCs/>
                <w:color w:val="000000"/>
              </w:rPr>
              <w:t>Annual Burden Hours</w:t>
            </w:r>
          </w:p>
        </w:tc>
        <w:tc>
          <w:tcPr>
            <w:tcW w:w="1118" w:type="dxa"/>
            <w:tcMar>
              <w:top w:w="0" w:type="dxa"/>
              <w:left w:w="108" w:type="dxa"/>
              <w:bottom w:w="0" w:type="dxa"/>
              <w:right w:w="108" w:type="dxa"/>
            </w:tcMar>
            <w:hideMark/>
          </w:tcPr>
          <w:p w:rsidR="00167E53" w:rsidRPr="006C7FAE" w:rsidP="00167E53" w14:paraId="36786B88"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116" w:type="dxa"/>
            <w:tcMar>
              <w:top w:w="0" w:type="dxa"/>
              <w:left w:w="108" w:type="dxa"/>
              <w:bottom w:w="0" w:type="dxa"/>
              <w:right w:w="108" w:type="dxa"/>
            </w:tcMar>
          </w:tcPr>
          <w:p w:rsidR="00167E53" w:rsidRPr="006C7FAE" w:rsidP="00167E53" w14:paraId="44C20C8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6367AC39" w14:textId="77777777">
            <w:pPr>
              <w:adjustRightInd/>
              <w:jc w:val="center"/>
              <w:textAlignment w:val="auto"/>
              <w:rPr>
                <w:rFonts w:eastAsia="Calibri"/>
                <w:b/>
                <w:bCs/>
                <w:color w:val="000000"/>
              </w:rPr>
            </w:pPr>
          </w:p>
        </w:tc>
      </w:tr>
      <w:tr w14:paraId="6A87C799" w14:textId="77777777" w:rsidTr="004530C6">
        <w:tblPrEx>
          <w:tblW w:w="9468" w:type="dxa"/>
          <w:tblInd w:w="468" w:type="dxa"/>
          <w:tblCellMar>
            <w:left w:w="0" w:type="dxa"/>
            <w:right w:w="0" w:type="dxa"/>
          </w:tblCellMar>
          <w:tblLook w:val="04A0"/>
        </w:tblPrEx>
        <w:tc>
          <w:tcPr>
            <w:tcW w:w="1440" w:type="dxa"/>
            <w:tcMar>
              <w:top w:w="0" w:type="dxa"/>
              <w:left w:w="108" w:type="dxa"/>
              <w:bottom w:w="0" w:type="dxa"/>
              <w:right w:w="108" w:type="dxa"/>
            </w:tcMar>
          </w:tcPr>
          <w:p w:rsidR="001B2908" w:rsidRPr="006C7FAE" w:rsidP="001B2908" w14:paraId="0CD8A1BA" w14:textId="7EB65E61">
            <w:pPr>
              <w:adjustRightInd/>
              <w:textAlignment w:val="auto"/>
              <w:rPr>
                <w:rFonts w:eastAsia="Calibri"/>
                <w:b/>
                <w:bCs/>
                <w:color w:val="000000"/>
              </w:rPr>
            </w:pPr>
            <w:r w:rsidRPr="00465DA0">
              <w:rPr>
                <w:color w:val="000000"/>
              </w:rPr>
              <w:t>HUD-50093</w:t>
            </w:r>
            <w:r>
              <w:rPr>
                <w:color w:val="000000"/>
              </w:rPr>
              <w:t xml:space="preserve"> </w:t>
            </w:r>
          </w:p>
        </w:tc>
        <w:tc>
          <w:tcPr>
            <w:tcW w:w="1403" w:type="dxa"/>
            <w:tcMar>
              <w:top w:w="0" w:type="dxa"/>
              <w:left w:w="108" w:type="dxa"/>
              <w:bottom w:w="0" w:type="dxa"/>
              <w:right w:w="108" w:type="dxa"/>
            </w:tcMar>
            <w:vAlign w:val="center"/>
          </w:tcPr>
          <w:p w:rsidR="001B2908" w:rsidRPr="006C7FAE" w:rsidP="001B2908" w14:paraId="6DC1209A" w14:textId="6C4AD837">
            <w:pPr>
              <w:adjustRightInd/>
              <w:jc w:val="center"/>
              <w:textAlignment w:val="auto"/>
              <w:rPr>
                <w:rFonts w:eastAsia="Calibri"/>
                <w:b/>
                <w:bCs/>
                <w:color w:val="000000"/>
              </w:rPr>
            </w:pPr>
            <w:r w:rsidRPr="00465DA0">
              <w:rPr>
                <w:color w:val="000000"/>
              </w:rPr>
              <w:t>187</w:t>
            </w:r>
          </w:p>
        </w:tc>
        <w:tc>
          <w:tcPr>
            <w:tcW w:w="1211" w:type="dxa"/>
            <w:tcMar>
              <w:top w:w="0" w:type="dxa"/>
              <w:left w:w="108" w:type="dxa"/>
              <w:bottom w:w="0" w:type="dxa"/>
              <w:right w:w="108" w:type="dxa"/>
            </w:tcMar>
            <w:vAlign w:val="center"/>
          </w:tcPr>
          <w:p w:rsidR="001B2908" w:rsidRPr="006C7FAE" w:rsidP="001B2908" w14:paraId="250CB174" w14:textId="0E55A1A8">
            <w:pPr>
              <w:adjustRightInd/>
              <w:jc w:val="center"/>
              <w:textAlignment w:val="auto"/>
              <w:rPr>
                <w:rFonts w:eastAsia="Calibri"/>
                <w:b/>
                <w:bCs/>
                <w:color w:val="000000"/>
              </w:rPr>
            </w:pPr>
            <w:r w:rsidRPr="00465DA0">
              <w:rPr>
                <w:color w:val="000000"/>
              </w:rPr>
              <w:t>1</w:t>
            </w:r>
          </w:p>
        </w:tc>
        <w:tc>
          <w:tcPr>
            <w:tcW w:w="1173" w:type="dxa"/>
            <w:tcMar>
              <w:top w:w="0" w:type="dxa"/>
              <w:left w:w="108" w:type="dxa"/>
              <w:bottom w:w="0" w:type="dxa"/>
              <w:right w:w="108" w:type="dxa"/>
            </w:tcMar>
            <w:vAlign w:val="center"/>
          </w:tcPr>
          <w:p w:rsidR="001B2908" w:rsidRPr="006C7FAE" w:rsidP="001B2908" w14:paraId="73006C34" w14:textId="06275E43">
            <w:pPr>
              <w:adjustRightInd/>
              <w:jc w:val="center"/>
              <w:textAlignment w:val="auto"/>
              <w:rPr>
                <w:rFonts w:eastAsia="Calibri"/>
                <w:b/>
                <w:bCs/>
                <w:color w:val="000000"/>
              </w:rPr>
            </w:pPr>
            <w:r w:rsidRPr="00465DA0">
              <w:rPr>
                <w:color w:val="000000"/>
              </w:rPr>
              <w:t>187</w:t>
            </w:r>
          </w:p>
        </w:tc>
        <w:tc>
          <w:tcPr>
            <w:tcW w:w="1088" w:type="dxa"/>
            <w:tcMar>
              <w:top w:w="0" w:type="dxa"/>
              <w:left w:w="108" w:type="dxa"/>
              <w:bottom w:w="0" w:type="dxa"/>
              <w:right w:w="108" w:type="dxa"/>
            </w:tcMar>
            <w:vAlign w:val="center"/>
          </w:tcPr>
          <w:p w:rsidR="001B2908" w:rsidRPr="006C7FAE" w:rsidP="001B2908" w14:paraId="72440884" w14:textId="018D771D">
            <w:pPr>
              <w:adjustRightInd/>
              <w:jc w:val="center"/>
              <w:textAlignment w:val="auto"/>
              <w:rPr>
                <w:rFonts w:eastAsia="Calibri"/>
                <w:b/>
                <w:bCs/>
                <w:color w:val="000000"/>
              </w:rPr>
            </w:pPr>
            <w:r w:rsidRPr="00752244">
              <w:rPr>
                <w:color w:val="000000"/>
                <w:sz w:val="18"/>
                <w:szCs w:val="18"/>
              </w:rPr>
              <w:t>1</w:t>
            </w:r>
          </w:p>
        </w:tc>
        <w:tc>
          <w:tcPr>
            <w:tcW w:w="919" w:type="dxa"/>
            <w:tcMar>
              <w:top w:w="0" w:type="dxa"/>
              <w:left w:w="108" w:type="dxa"/>
              <w:bottom w:w="0" w:type="dxa"/>
              <w:right w:w="108" w:type="dxa"/>
            </w:tcMar>
            <w:vAlign w:val="center"/>
          </w:tcPr>
          <w:p w:rsidR="001B2908" w:rsidRPr="006C7FAE" w:rsidP="001B2908" w14:paraId="37079316" w14:textId="2B1F42AB">
            <w:pPr>
              <w:adjustRightInd/>
              <w:jc w:val="center"/>
              <w:textAlignment w:val="auto"/>
              <w:rPr>
                <w:rFonts w:eastAsia="Calibri"/>
                <w:b/>
                <w:bCs/>
                <w:color w:val="000000"/>
              </w:rPr>
            </w:pPr>
            <w:r w:rsidRPr="00752244">
              <w:rPr>
                <w:color w:val="000000"/>
                <w:sz w:val="18"/>
                <w:szCs w:val="18"/>
              </w:rPr>
              <w:t>187</w:t>
            </w:r>
          </w:p>
        </w:tc>
        <w:tc>
          <w:tcPr>
            <w:tcW w:w="1118" w:type="dxa"/>
            <w:tcMar>
              <w:top w:w="0" w:type="dxa"/>
              <w:left w:w="108" w:type="dxa"/>
              <w:bottom w:w="0" w:type="dxa"/>
              <w:right w:w="108" w:type="dxa"/>
            </w:tcMar>
            <w:vAlign w:val="center"/>
          </w:tcPr>
          <w:p w:rsidR="001B2908" w:rsidRPr="006C7FAE" w:rsidP="001B2908" w14:paraId="38A27275" w14:textId="173A2E4B">
            <w:pPr>
              <w:adjustRightInd/>
              <w:jc w:val="right"/>
              <w:textAlignment w:val="auto"/>
              <w:rPr>
                <w:rFonts w:eastAsia="Calibri"/>
                <w:b/>
                <w:bCs/>
                <w:color w:val="000000"/>
              </w:rPr>
            </w:pPr>
            <w:r w:rsidRPr="00752244">
              <w:rPr>
                <w:color w:val="000000"/>
                <w:sz w:val="18"/>
                <w:szCs w:val="18"/>
              </w:rPr>
              <w:t>$</w:t>
            </w:r>
            <w:r w:rsidR="009660CF">
              <w:rPr>
                <w:color w:val="000000"/>
                <w:sz w:val="18"/>
                <w:szCs w:val="18"/>
              </w:rPr>
              <w:t>57.58</w:t>
            </w:r>
          </w:p>
        </w:tc>
        <w:tc>
          <w:tcPr>
            <w:tcW w:w="1116" w:type="dxa"/>
            <w:tcMar>
              <w:top w:w="0" w:type="dxa"/>
              <w:left w:w="108" w:type="dxa"/>
              <w:bottom w:w="0" w:type="dxa"/>
              <w:right w:w="108" w:type="dxa"/>
            </w:tcMar>
            <w:vAlign w:val="center"/>
          </w:tcPr>
          <w:p w:rsidR="001B2908" w:rsidRPr="00863B16" w:rsidP="001B2908" w14:paraId="4B0DC693" w14:textId="1775DC69">
            <w:pPr>
              <w:adjustRightInd/>
              <w:jc w:val="right"/>
              <w:textAlignment w:val="auto"/>
              <w:rPr>
                <w:rFonts w:eastAsia="Calibri"/>
                <w:color w:val="000000"/>
              </w:rPr>
            </w:pPr>
            <w:r w:rsidRPr="00863B16">
              <w:rPr>
                <w:rFonts w:eastAsia="Calibri"/>
                <w:color w:val="000000"/>
              </w:rPr>
              <w:t>$10,767.46</w:t>
            </w:r>
          </w:p>
        </w:tc>
      </w:tr>
      <w:tr w14:paraId="3BBA5C4B" w14:textId="77777777" w:rsidTr="004530C6">
        <w:tblPrEx>
          <w:tblW w:w="9468" w:type="dxa"/>
          <w:tblInd w:w="468" w:type="dxa"/>
          <w:tblCellMar>
            <w:left w:w="0" w:type="dxa"/>
            <w:right w:w="0" w:type="dxa"/>
          </w:tblCellMar>
          <w:tblLook w:val="04A0"/>
        </w:tblPrEx>
        <w:tc>
          <w:tcPr>
            <w:tcW w:w="1440" w:type="dxa"/>
            <w:tcMar>
              <w:top w:w="0" w:type="dxa"/>
              <w:left w:w="108" w:type="dxa"/>
              <w:bottom w:w="0" w:type="dxa"/>
              <w:right w:w="108" w:type="dxa"/>
            </w:tcMar>
          </w:tcPr>
          <w:p w:rsidR="001B2908" w:rsidRPr="006C7FAE" w:rsidP="001B2908" w14:paraId="76011C62" w14:textId="354FB270">
            <w:pPr>
              <w:adjustRightInd/>
              <w:textAlignment w:val="auto"/>
              <w:rPr>
                <w:rFonts w:eastAsia="Calibri"/>
                <w:b/>
                <w:bCs/>
                <w:color w:val="000000"/>
              </w:rPr>
            </w:pPr>
            <w:r w:rsidRPr="00465DA0">
              <w:rPr>
                <w:color w:val="000000"/>
                <w:spacing w:val="-4"/>
              </w:rPr>
              <w:t xml:space="preserve">HUD-50094 </w:t>
            </w:r>
          </w:p>
        </w:tc>
        <w:tc>
          <w:tcPr>
            <w:tcW w:w="1403" w:type="dxa"/>
            <w:tcMar>
              <w:top w:w="0" w:type="dxa"/>
              <w:left w:w="108" w:type="dxa"/>
              <w:bottom w:w="0" w:type="dxa"/>
              <w:right w:w="108" w:type="dxa"/>
            </w:tcMar>
            <w:vAlign w:val="center"/>
          </w:tcPr>
          <w:p w:rsidR="001B2908" w:rsidRPr="006C7FAE" w:rsidP="001B2908" w14:paraId="23AAD9B5" w14:textId="578414DA">
            <w:pPr>
              <w:adjustRightInd/>
              <w:jc w:val="center"/>
              <w:textAlignment w:val="auto"/>
              <w:rPr>
                <w:rFonts w:eastAsia="Calibri"/>
                <w:b/>
                <w:bCs/>
                <w:color w:val="000000"/>
              </w:rPr>
            </w:pPr>
            <w:r w:rsidRPr="00465DA0">
              <w:rPr>
                <w:color w:val="000000"/>
              </w:rPr>
              <w:t>187</w:t>
            </w:r>
          </w:p>
        </w:tc>
        <w:tc>
          <w:tcPr>
            <w:tcW w:w="1211" w:type="dxa"/>
            <w:tcMar>
              <w:top w:w="0" w:type="dxa"/>
              <w:left w:w="108" w:type="dxa"/>
              <w:bottom w:w="0" w:type="dxa"/>
              <w:right w:w="108" w:type="dxa"/>
            </w:tcMar>
            <w:vAlign w:val="center"/>
          </w:tcPr>
          <w:p w:rsidR="001B2908" w:rsidRPr="006C7FAE" w:rsidP="001B2908" w14:paraId="6C6EC334" w14:textId="0120C12C">
            <w:pPr>
              <w:adjustRightInd/>
              <w:jc w:val="center"/>
              <w:textAlignment w:val="auto"/>
              <w:rPr>
                <w:rFonts w:eastAsia="Calibri"/>
                <w:b/>
                <w:bCs/>
                <w:color w:val="000000"/>
              </w:rPr>
            </w:pPr>
            <w:r w:rsidRPr="00465DA0">
              <w:rPr>
                <w:color w:val="000000"/>
              </w:rPr>
              <w:t>3</w:t>
            </w:r>
          </w:p>
        </w:tc>
        <w:tc>
          <w:tcPr>
            <w:tcW w:w="1173" w:type="dxa"/>
            <w:tcMar>
              <w:top w:w="0" w:type="dxa"/>
              <w:left w:w="108" w:type="dxa"/>
              <w:bottom w:w="0" w:type="dxa"/>
              <w:right w:w="108" w:type="dxa"/>
            </w:tcMar>
            <w:vAlign w:val="center"/>
          </w:tcPr>
          <w:p w:rsidR="001B2908" w:rsidRPr="006C7FAE" w:rsidP="001B2908" w14:paraId="7043828C" w14:textId="609F5D85">
            <w:pPr>
              <w:adjustRightInd/>
              <w:jc w:val="center"/>
              <w:textAlignment w:val="auto"/>
              <w:rPr>
                <w:rFonts w:eastAsia="Calibri"/>
                <w:b/>
                <w:bCs/>
                <w:color w:val="000000"/>
              </w:rPr>
            </w:pPr>
            <w:r w:rsidRPr="00465DA0">
              <w:rPr>
                <w:color w:val="000000"/>
              </w:rPr>
              <w:t>561</w:t>
            </w:r>
          </w:p>
        </w:tc>
        <w:tc>
          <w:tcPr>
            <w:tcW w:w="1088" w:type="dxa"/>
            <w:tcMar>
              <w:top w:w="0" w:type="dxa"/>
              <w:left w:w="108" w:type="dxa"/>
              <w:bottom w:w="0" w:type="dxa"/>
              <w:right w:w="108" w:type="dxa"/>
            </w:tcMar>
            <w:vAlign w:val="center"/>
          </w:tcPr>
          <w:p w:rsidR="001B2908" w:rsidRPr="006C7FAE" w:rsidP="001B2908" w14:paraId="68F41AFC" w14:textId="52BB0A47">
            <w:pPr>
              <w:adjustRightInd/>
              <w:jc w:val="center"/>
              <w:textAlignment w:val="auto"/>
              <w:rPr>
                <w:rFonts w:eastAsia="Calibri"/>
                <w:b/>
                <w:bCs/>
                <w:color w:val="000000"/>
              </w:rPr>
            </w:pPr>
            <w:r w:rsidRPr="00752244">
              <w:rPr>
                <w:color w:val="000000"/>
                <w:sz w:val="18"/>
                <w:szCs w:val="18"/>
              </w:rPr>
              <w:t>0.5</w:t>
            </w:r>
          </w:p>
        </w:tc>
        <w:tc>
          <w:tcPr>
            <w:tcW w:w="919" w:type="dxa"/>
            <w:tcMar>
              <w:top w:w="0" w:type="dxa"/>
              <w:left w:w="108" w:type="dxa"/>
              <w:bottom w:w="0" w:type="dxa"/>
              <w:right w:w="108" w:type="dxa"/>
            </w:tcMar>
            <w:vAlign w:val="center"/>
          </w:tcPr>
          <w:p w:rsidR="001B2908" w:rsidRPr="006C7FAE" w:rsidP="001B2908" w14:paraId="77BC2590" w14:textId="6C8629D2">
            <w:pPr>
              <w:adjustRightInd/>
              <w:jc w:val="center"/>
              <w:textAlignment w:val="auto"/>
              <w:rPr>
                <w:rFonts w:eastAsia="Calibri"/>
                <w:b/>
                <w:bCs/>
                <w:color w:val="000000"/>
              </w:rPr>
            </w:pPr>
            <w:r w:rsidRPr="00752244">
              <w:rPr>
                <w:color w:val="000000"/>
                <w:sz w:val="18"/>
                <w:szCs w:val="18"/>
              </w:rPr>
              <w:t>280.5</w:t>
            </w:r>
          </w:p>
        </w:tc>
        <w:tc>
          <w:tcPr>
            <w:tcW w:w="1118" w:type="dxa"/>
            <w:tcMar>
              <w:top w:w="0" w:type="dxa"/>
              <w:left w:w="108" w:type="dxa"/>
              <w:bottom w:w="0" w:type="dxa"/>
              <w:right w:w="108" w:type="dxa"/>
            </w:tcMar>
            <w:vAlign w:val="center"/>
          </w:tcPr>
          <w:p w:rsidR="001B2908" w:rsidRPr="006C7FAE" w:rsidP="001B2908" w14:paraId="07F9F45C" w14:textId="3D561A87">
            <w:pPr>
              <w:adjustRightInd/>
              <w:jc w:val="right"/>
              <w:textAlignment w:val="auto"/>
              <w:rPr>
                <w:rFonts w:eastAsia="Calibri"/>
                <w:b/>
                <w:bCs/>
                <w:color w:val="000000"/>
              </w:rPr>
            </w:pPr>
            <w:r w:rsidRPr="00752244">
              <w:rPr>
                <w:color w:val="000000"/>
                <w:sz w:val="18"/>
                <w:szCs w:val="18"/>
              </w:rPr>
              <w:t>$</w:t>
            </w:r>
            <w:r>
              <w:rPr>
                <w:color w:val="000000"/>
                <w:sz w:val="18"/>
                <w:szCs w:val="18"/>
              </w:rPr>
              <w:t>57.58</w:t>
            </w:r>
          </w:p>
        </w:tc>
        <w:tc>
          <w:tcPr>
            <w:tcW w:w="1116" w:type="dxa"/>
            <w:tcMar>
              <w:top w:w="0" w:type="dxa"/>
              <w:left w:w="108" w:type="dxa"/>
              <w:bottom w:w="0" w:type="dxa"/>
              <w:right w:w="108" w:type="dxa"/>
            </w:tcMar>
            <w:vAlign w:val="center"/>
          </w:tcPr>
          <w:p w:rsidR="001B2908" w:rsidRPr="00863B16" w:rsidP="001B2908" w14:paraId="1B202865" w14:textId="526463CB">
            <w:pPr>
              <w:adjustRightInd/>
              <w:jc w:val="right"/>
              <w:textAlignment w:val="auto"/>
              <w:rPr>
                <w:rFonts w:eastAsia="Calibri"/>
                <w:color w:val="000000"/>
              </w:rPr>
            </w:pPr>
            <w:r w:rsidRPr="00863B16">
              <w:rPr>
                <w:rFonts w:eastAsia="Calibri"/>
                <w:color w:val="000000"/>
              </w:rPr>
              <w:t>$16,151.19</w:t>
            </w:r>
          </w:p>
        </w:tc>
      </w:tr>
      <w:tr w14:paraId="34421EC7" w14:textId="77777777" w:rsidTr="004530C6">
        <w:tblPrEx>
          <w:tblW w:w="9468" w:type="dxa"/>
          <w:tblInd w:w="468" w:type="dxa"/>
          <w:tblCellMar>
            <w:left w:w="0" w:type="dxa"/>
            <w:right w:w="0" w:type="dxa"/>
          </w:tblCellMar>
          <w:tblLook w:val="04A0"/>
        </w:tblPrEx>
        <w:tc>
          <w:tcPr>
            <w:tcW w:w="1440" w:type="dxa"/>
            <w:tcMar>
              <w:top w:w="0" w:type="dxa"/>
              <w:left w:w="108" w:type="dxa"/>
              <w:bottom w:w="0" w:type="dxa"/>
              <w:right w:w="108" w:type="dxa"/>
            </w:tcMar>
          </w:tcPr>
          <w:p w:rsidR="001B2908" w:rsidRPr="004530C6" w:rsidP="001B2908" w14:paraId="45462A0F" w14:textId="22CFF2BA">
            <w:pPr>
              <w:adjustRightInd/>
              <w:textAlignment w:val="auto"/>
              <w:rPr>
                <w:rFonts w:eastAsia="Calibri"/>
                <w:color w:val="000000"/>
              </w:rPr>
            </w:pPr>
            <w:r w:rsidRPr="004530C6">
              <w:rPr>
                <w:rFonts w:eastAsia="Calibri"/>
                <w:color w:val="000000"/>
              </w:rPr>
              <w:t>HUD-50095</w:t>
            </w:r>
          </w:p>
        </w:tc>
        <w:tc>
          <w:tcPr>
            <w:tcW w:w="1403" w:type="dxa"/>
            <w:tcMar>
              <w:top w:w="0" w:type="dxa"/>
              <w:left w:w="108" w:type="dxa"/>
              <w:bottom w:w="0" w:type="dxa"/>
              <w:right w:w="108" w:type="dxa"/>
            </w:tcMar>
            <w:vAlign w:val="center"/>
          </w:tcPr>
          <w:p w:rsidR="001B2908" w:rsidRPr="006C7FAE" w:rsidP="001B2908" w14:paraId="2FC85260" w14:textId="7CF419CF">
            <w:pPr>
              <w:adjustRightInd/>
              <w:jc w:val="center"/>
              <w:textAlignment w:val="auto"/>
              <w:rPr>
                <w:rFonts w:eastAsia="Calibri"/>
                <w:b/>
                <w:bCs/>
                <w:color w:val="000000"/>
              </w:rPr>
            </w:pPr>
            <w:r>
              <w:rPr>
                <w:color w:val="000000"/>
              </w:rPr>
              <w:t>187</w:t>
            </w:r>
          </w:p>
        </w:tc>
        <w:tc>
          <w:tcPr>
            <w:tcW w:w="1211" w:type="dxa"/>
            <w:tcMar>
              <w:top w:w="0" w:type="dxa"/>
              <w:left w:w="108" w:type="dxa"/>
              <w:bottom w:w="0" w:type="dxa"/>
              <w:right w:w="108" w:type="dxa"/>
            </w:tcMar>
            <w:vAlign w:val="center"/>
          </w:tcPr>
          <w:p w:rsidR="001B2908" w:rsidRPr="006C7FAE" w:rsidP="001B2908" w14:paraId="330CE6F2" w14:textId="0F6D8700">
            <w:pPr>
              <w:adjustRightInd/>
              <w:jc w:val="center"/>
              <w:textAlignment w:val="auto"/>
              <w:rPr>
                <w:rFonts w:eastAsia="Calibri"/>
                <w:b/>
                <w:bCs/>
                <w:color w:val="000000"/>
              </w:rPr>
            </w:pPr>
            <w:r w:rsidRPr="00465DA0">
              <w:rPr>
                <w:color w:val="000000"/>
              </w:rPr>
              <w:t>1</w:t>
            </w:r>
          </w:p>
        </w:tc>
        <w:tc>
          <w:tcPr>
            <w:tcW w:w="1173" w:type="dxa"/>
            <w:tcMar>
              <w:top w:w="0" w:type="dxa"/>
              <w:left w:w="108" w:type="dxa"/>
              <w:bottom w:w="0" w:type="dxa"/>
              <w:right w:w="108" w:type="dxa"/>
            </w:tcMar>
            <w:vAlign w:val="center"/>
          </w:tcPr>
          <w:p w:rsidR="001B2908" w:rsidRPr="006C7FAE" w:rsidP="001B2908" w14:paraId="1104A2FD" w14:textId="38CDC883">
            <w:pPr>
              <w:adjustRightInd/>
              <w:jc w:val="center"/>
              <w:textAlignment w:val="auto"/>
              <w:rPr>
                <w:rFonts w:eastAsia="Calibri"/>
                <w:b/>
                <w:bCs/>
                <w:color w:val="000000"/>
              </w:rPr>
            </w:pPr>
            <w:r>
              <w:rPr>
                <w:color w:val="000000"/>
              </w:rPr>
              <w:t>187</w:t>
            </w:r>
          </w:p>
        </w:tc>
        <w:tc>
          <w:tcPr>
            <w:tcW w:w="1088" w:type="dxa"/>
            <w:tcMar>
              <w:top w:w="0" w:type="dxa"/>
              <w:left w:w="108" w:type="dxa"/>
              <w:bottom w:w="0" w:type="dxa"/>
              <w:right w:w="108" w:type="dxa"/>
            </w:tcMar>
            <w:vAlign w:val="center"/>
          </w:tcPr>
          <w:p w:rsidR="001B2908" w:rsidRPr="006C7FAE" w:rsidP="001B2908" w14:paraId="79ED8BEA" w14:textId="56FD4202">
            <w:pPr>
              <w:adjustRightInd/>
              <w:jc w:val="center"/>
              <w:textAlignment w:val="auto"/>
              <w:rPr>
                <w:rFonts w:eastAsia="Calibri"/>
                <w:b/>
                <w:bCs/>
                <w:color w:val="000000"/>
              </w:rPr>
            </w:pPr>
            <w:r>
              <w:rPr>
                <w:color w:val="000000"/>
                <w:sz w:val="18"/>
                <w:szCs w:val="18"/>
              </w:rPr>
              <w:t>0.17</w:t>
            </w:r>
          </w:p>
        </w:tc>
        <w:tc>
          <w:tcPr>
            <w:tcW w:w="919" w:type="dxa"/>
            <w:tcMar>
              <w:top w:w="0" w:type="dxa"/>
              <w:left w:w="108" w:type="dxa"/>
              <w:bottom w:w="0" w:type="dxa"/>
              <w:right w:w="108" w:type="dxa"/>
            </w:tcMar>
            <w:vAlign w:val="center"/>
          </w:tcPr>
          <w:p w:rsidR="001B2908" w:rsidRPr="006C7FAE" w:rsidP="001B2908" w14:paraId="291D7F34" w14:textId="18A2B953">
            <w:pPr>
              <w:adjustRightInd/>
              <w:jc w:val="center"/>
              <w:textAlignment w:val="auto"/>
              <w:rPr>
                <w:rFonts w:eastAsia="Calibri"/>
                <w:b/>
                <w:bCs/>
                <w:color w:val="000000"/>
              </w:rPr>
            </w:pPr>
            <w:r>
              <w:rPr>
                <w:color w:val="000000"/>
                <w:sz w:val="18"/>
                <w:szCs w:val="18"/>
              </w:rPr>
              <w:t>31.79</w:t>
            </w:r>
          </w:p>
        </w:tc>
        <w:tc>
          <w:tcPr>
            <w:tcW w:w="1118" w:type="dxa"/>
            <w:tcMar>
              <w:top w:w="0" w:type="dxa"/>
              <w:left w:w="108" w:type="dxa"/>
              <w:bottom w:w="0" w:type="dxa"/>
              <w:right w:w="108" w:type="dxa"/>
            </w:tcMar>
            <w:vAlign w:val="center"/>
          </w:tcPr>
          <w:p w:rsidR="001B2908" w:rsidRPr="006C7FAE" w:rsidP="001B2908" w14:paraId="6BA5B6A5" w14:textId="4A118324">
            <w:pPr>
              <w:adjustRightInd/>
              <w:jc w:val="right"/>
              <w:textAlignment w:val="auto"/>
              <w:rPr>
                <w:rFonts w:eastAsia="Calibri"/>
                <w:b/>
                <w:bCs/>
                <w:color w:val="000000"/>
              </w:rPr>
            </w:pPr>
            <w:r w:rsidRPr="00752244">
              <w:rPr>
                <w:color w:val="000000"/>
                <w:sz w:val="18"/>
                <w:szCs w:val="18"/>
              </w:rPr>
              <w:t>$</w:t>
            </w:r>
            <w:r>
              <w:rPr>
                <w:color w:val="000000"/>
                <w:sz w:val="18"/>
                <w:szCs w:val="18"/>
              </w:rPr>
              <w:t>57.58</w:t>
            </w:r>
          </w:p>
        </w:tc>
        <w:tc>
          <w:tcPr>
            <w:tcW w:w="1116" w:type="dxa"/>
            <w:tcMar>
              <w:top w:w="0" w:type="dxa"/>
              <w:left w:w="108" w:type="dxa"/>
              <w:bottom w:w="0" w:type="dxa"/>
              <w:right w:w="108" w:type="dxa"/>
            </w:tcMar>
            <w:vAlign w:val="center"/>
          </w:tcPr>
          <w:p w:rsidR="001B2908" w:rsidRPr="00863B16" w:rsidP="001B2908" w14:paraId="4F5CC017" w14:textId="2AF304FC">
            <w:pPr>
              <w:adjustRightInd/>
              <w:jc w:val="right"/>
              <w:textAlignment w:val="auto"/>
              <w:rPr>
                <w:rFonts w:eastAsia="Calibri"/>
                <w:color w:val="000000"/>
              </w:rPr>
            </w:pPr>
            <w:r w:rsidRPr="00863B16">
              <w:rPr>
                <w:rFonts w:eastAsia="Calibri"/>
                <w:color w:val="000000"/>
              </w:rPr>
              <w:t>$1,830.47</w:t>
            </w:r>
          </w:p>
        </w:tc>
      </w:tr>
      <w:tr w14:paraId="64286B4C" w14:textId="77777777" w:rsidTr="004530C6">
        <w:tblPrEx>
          <w:tblW w:w="9468" w:type="dxa"/>
          <w:tblInd w:w="468" w:type="dxa"/>
          <w:tblCellMar>
            <w:left w:w="0" w:type="dxa"/>
            <w:right w:w="0" w:type="dxa"/>
          </w:tblCellMar>
          <w:tblLook w:val="04A0"/>
        </w:tblPrEx>
        <w:tc>
          <w:tcPr>
            <w:tcW w:w="1440" w:type="dxa"/>
            <w:tcMar>
              <w:top w:w="0" w:type="dxa"/>
              <w:left w:w="108" w:type="dxa"/>
              <w:bottom w:w="0" w:type="dxa"/>
              <w:right w:w="108" w:type="dxa"/>
            </w:tcMar>
          </w:tcPr>
          <w:p w:rsidR="004530C6" w:rsidRPr="00465DA0" w:rsidP="004530C6" w14:paraId="61B98ECB" w14:textId="24860380">
            <w:pPr>
              <w:adjustRightInd/>
              <w:textAlignment w:val="auto"/>
              <w:rPr>
                <w:color w:val="000000"/>
                <w:spacing w:val="-4"/>
              </w:rPr>
            </w:pPr>
            <w:r w:rsidRPr="00465DA0">
              <w:rPr>
                <w:color w:val="000000"/>
                <w:spacing w:val="-4"/>
              </w:rPr>
              <w:t>HUD-50096</w:t>
            </w:r>
          </w:p>
        </w:tc>
        <w:tc>
          <w:tcPr>
            <w:tcW w:w="1403" w:type="dxa"/>
            <w:tcMar>
              <w:top w:w="0" w:type="dxa"/>
              <w:left w:w="108" w:type="dxa"/>
              <w:bottom w:w="0" w:type="dxa"/>
              <w:right w:w="108" w:type="dxa"/>
            </w:tcMar>
            <w:vAlign w:val="center"/>
          </w:tcPr>
          <w:p w:rsidR="004530C6" w:rsidRPr="00465DA0" w:rsidP="004530C6" w14:paraId="26A7FCC8" w14:textId="1841B28C">
            <w:pPr>
              <w:adjustRightInd/>
              <w:jc w:val="center"/>
              <w:textAlignment w:val="auto"/>
              <w:rPr>
                <w:color w:val="000000"/>
              </w:rPr>
            </w:pPr>
            <w:r w:rsidRPr="00465DA0">
              <w:rPr>
                <w:color w:val="000000"/>
              </w:rPr>
              <w:t>4</w:t>
            </w:r>
          </w:p>
        </w:tc>
        <w:tc>
          <w:tcPr>
            <w:tcW w:w="1211" w:type="dxa"/>
            <w:tcMar>
              <w:top w:w="0" w:type="dxa"/>
              <w:left w:w="108" w:type="dxa"/>
              <w:bottom w:w="0" w:type="dxa"/>
              <w:right w:w="108" w:type="dxa"/>
            </w:tcMar>
            <w:vAlign w:val="center"/>
          </w:tcPr>
          <w:p w:rsidR="004530C6" w:rsidRPr="00465DA0" w:rsidP="004530C6" w14:paraId="159941E0" w14:textId="2B6B5D82">
            <w:pPr>
              <w:adjustRightInd/>
              <w:jc w:val="center"/>
              <w:textAlignment w:val="auto"/>
              <w:rPr>
                <w:color w:val="000000"/>
              </w:rPr>
            </w:pPr>
            <w:r w:rsidRPr="00465DA0">
              <w:rPr>
                <w:color w:val="000000"/>
              </w:rPr>
              <w:t>1</w:t>
            </w:r>
          </w:p>
        </w:tc>
        <w:tc>
          <w:tcPr>
            <w:tcW w:w="1173" w:type="dxa"/>
            <w:tcMar>
              <w:top w:w="0" w:type="dxa"/>
              <w:left w:w="108" w:type="dxa"/>
              <w:bottom w:w="0" w:type="dxa"/>
              <w:right w:w="108" w:type="dxa"/>
            </w:tcMar>
            <w:vAlign w:val="center"/>
          </w:tcPr>
          <w:p w:rsidR="004530C6" w:rsidRPr="00465DA0" w:rsidP="004530C6" w14:paraId="3380F136" w14:textId="50EF03FD">
            <w:pPr>
              <w:adjustRightInd/>
              <w:jc w:val="center"/>
              <w:textAlignment w:val="auto"/>
              <w:rPr>
                <w:color w:val="000000"/>
              </w:rPr>
            </w:pPr>
            <w:r w:rsidRPr="00465DA0">
              <w:rPr>
                <w:color w:val="000000"/>
              </w:rPr>
              <w:t>4</w:t>
            </w:r>
          </w:p>
        </w:tc>
        <w:tc>
          <w:tcPr>
            <w:tcW w:w="1088" w:type="dxa"/>
            <w:tcMar>
              <w:top w:w="0" w:type="dxa"/>
              <w:left w:w="108" w:type="dxa"/>
              <w:bottom w:w="0" w:type="dxa"/>
              <w:right w:w="108" w:type="dxa"/>
            </w:tcMar>
            <w:vAlign w:val="center"/>
          </w:tcPr>
          <w:p w:rsidR="004530C6" w:rsidRPr="00752244" w:rsidP="004530C6" w14:paraId="74B27F5A" w14:textId="7C78F0DA">
            <w:pPr>
              <w:adjustRightInd/>
              <w:jc w:val="center"/>
              <w:textAlignment w:val="auto"/>
              <w:rPr>
                <w:color w:val="000000"/>
                <w:sz w:val="18"/>
                <w:szCs w:val="18"/>
              </w:rPr>
            </w:pPr>
            <w:r w:rsidRPr="00752244">
              <w:rPr>
                <w:color w:val="000000"/>
                <w:sz w:val="18"/>
                <w:szCs w:val="18"/>
              </w:rPr>
              <w:t>2</w:t>
            </w:r>
          </w:p>
        </w:tc>
        <w:tc>
          <w:tcPr>
            <w:tcW w:w="919" w:type="dxa"/>
            <w:tcMar>
              <w:top w:w="0" w:type="dxa"/>
              <w:left w:w="108" w:type="dxa"/>
              <w:bottom w:w="0" w:type="dxa"/>
              <w:right w:w="108" w:type="dxa"/>
            </w:tcMar>
            <w:vAlign w:val="center"/>
          </w:tcPr>
          <w:p w:rsidR="004530C6" w:rsidRPr="00752244" w:rsidP="004530C6" w14:paraId="7ECC9E9F" w14:textId="46BCC345">
            <w:pPr>
              <w:adjustRightInd/>
              <w:jc w:val="center"/>
              <w:textAlignment w:val="auto"/>
              <w:rPr>
                <w:color w:val="000000"/>
                <w:sz w:val="18"/>
                <w:szCs w:val="18"/>
              </w:rPr>
            </w:pPr>
            <w:r w:rsidRPr="00752244">
              <w:rPr>
                <w:color w:val="000000"/>
                <w:sz w:val="18"/>
                <w:szCs w:val="18"/>
              </w:rPr>
              <w:t>8</w:t>
            </w:r>
          </w:p>
        </w:tc>
        <w:tc>
          <w:tcPr>
            <w:tcW w:w="1118" w:type="dxa"/>
            <w:tcMar>
              <w:top w:w="0" w:type="dxa"/>
              <w:left w:w="108" w:type="dxa"/>
              <w:bottom w:w="0" w:type="dxa"/>
              <w:right w:w="108" w:type="dxa"/>
            </w:tcMar>
            <w:vAlign w:val="center"/>
          </w:tcPr>
          <w:p w:rsidR="004530C6" w:rsidRPr="00752244" w:rsidP="004530C6" w14:paraId="0AEE2E94" w14:textId="529C1372">
            <w:pPr>
              <w:adjustRightInd/>
              <w:jc w:val="right"/>
              <w:textAlignment w:val="auto"/>
              <w:rPr>
                <w:color w:val="000000"/>
                <w:sz w:val="18"/>
                <w:szCs w:val="18"/>
              </w:rPr>
            </w:pPr>
            <w:r w:rsidRPr="00752244">
              <w:rPr>
                <w:color w:val="000000"/>
                <w:sz w:val="18"/>
                <w:szCs w:val="18"/>
              </w:rPr>
              <w:t>$</w:t>
            </w:r>
            <w:r>
              <w:rPr>
                <w:color w:val="000000"/>
                <w:sz w:val="18"/>
                <w:szCs w:val="18"/>
              </w:rPr>
              <w:t>57.58</w:t>
            </w:r>
          </w:p>
        </w:tc>
        <w:tc>
          <w:tcPr>
            <w:tcW w:w="1116" w:type="dxa"/>
            <w:tcMar>
              <w:top w:w="0" w:type="dxa"/>
              <w:left w:w="108" w:type="dxa"/>
              <w:bottom w:w="0" w:type="dxa"/>
              <w:right w:w="108" w:type="dxa"/>
            </w:tcMar>
            <w:vAlign w:val="center"/>
          </w:tcPr>
          <w:p w:rsidR="004530C6" w:rsidRPr="00863B16" w:rsidP="004530C6" w14:paraId="6E7D9E22" w14:textId="48A2CD09">
            <w:pPr>
              <w:adjustRightInd/>
              <w:jc w:val="right"/>
              <w:textAlignment w:val="auto"/>
              <w:rPr>
                <w:rFonts w:eastAsia="Calibri"/>
                <w:color w:val="000000"/>
              </w:rPr>
            </w:pPr>
            <w:r w:rsidRPr="00863B16">
              <w:rPr>
                <w:rFonts w:eastAsia="Calibri"/>
                <w:color w:val="000000"/>
              </w:rPr>
              <w:t>$460.64</w:t>
            </w:r>
          </w:p>
        </w:tc>
      </w:tr>
      <w:tr w14:paraId="201674DF" w14:textId="77777777" w:rsidTr="004530C6">
        <w:tblPrEx>
          <w:tblW w:w="9468" w:type="dxa"/>
          <w:tblInd w:w="468" w:type="dxa"/>
          <w:tblCellMar>
            <w:left w:w="0" w:type="dxa"/>
            <w:right w:w="0" w:type="dxa"/>
          </w:tblCellMar>
          <w:tblLook w:val="04A0"/>
        </w:tblPrEx>
        <w:tc>
          <w:tcPr>
            <w:tcW w:w="1440" w:type="dxa"/>
            <w:tcMar>
              <w:top w:w="0" w:type="dxa"/>
              <w:left w:w="108" w:type="dxa"/>
              <w:bottom w:w="0" w:type="dxa"/>
              <w:right w:w="108" w:type="dxa"/>
            </w:tcMar>
          </w:tcPr>
          <w:p w:rsidR="004530C6" w:rsidRPr="006C7FAE" w:rsidP="004530C6" w14:paraId="23756768" w14:textId="0690221F">
            <w:pPr>
              <w:adjustRightInd/>
              <w:textAlignment w:val="auto"/>
              <w:rPr>
                <w:rFonts w:eastAsia="Calibri"/>
                <w:b/>
                <w:bCs/>
                <w:color w:val="000000"/>
              </w:rPr>
            </w:pPr>
            <w:r w:rsidRPr="00465DA0">
              <w:rPr>
                <w:color w:val="000000"/>
                <w:spacing w:val="-4"/>
              </w:rPr>
              <w:t>SF-425</w:t>
            </w:r>
          </w:p>
        </w:tc>
        <w:tc>
          <w:tcPr>
            <w:tcW w:w="1403" w:type="dxa"/>
            <w:tcMar>
              <w:top w:w="0" w:type="dxa"/>
              <w:left w:w="108" w:type="dxa"/>
              <w:bottom w:w="0" w:type="dxa"/>
              <w:right w:w="108" w:type="dxa"/>
            </w:tcMar>
          </w:tcPr>
          <w:p w:rsidR="004530C6" w:rsidRPr="006C7FAE" w:rsidP="004530C6" w14:paraId="6A0CC5A3" w14:textId="6279B97B">
            <w:pPr>
              <w:adjustRightInd/>
              <w:jc w:val="center"/>
              <w:textAlignment w:val="auto"/>
              <w:rPr>
                <w:rFonts w:eastAsia="Calibri"/>
                <w:b/>
                <w:bCs/>
                <w:color w:val="000000"/>
              </w:rPr>
            </w:pPr>
            <w:r w:rsidRPr="00465DA0">
              <w:rPr>
                <w:rFonts w:eastAsia="Calibri"/>
                <w:color w:val="000000"/>
              </w:rPr>
              <w:t>0</w:t>
            </w:r>
          </w:p>
        </w:tc>
        <w:tc>
          <w:tcPr>
            <w:tcW w:w="1211" w:type="dxa"/>
            <w:tcMar>
              <w:top w:w="0" w:type="dxa"/>
              <w:left w:w="108" w:type="dxa"/>
              <w:bottom w:w="0" w:type="dxa"/>
              <w:right w:w="108" w:type="dxa"/>
            </w:tcMar>
          </w:tcPr>
          <w:p w:rsidR="004530C6" w:rsidRPr="006C7FAE" w:rsidP="004530C6" w14:paraId="0706FBA6" w14:textId="72CD82B1">
            <w:pPr>
              <w:adjustRightInd/>
              <w:jc w:val="center"/>
              <w:textAlignment w:val="auto"/>
              <w:rPr>
                <w:rFonts w:eastAsia="Calibri"/>
                <w:b/>
                <w:bCs/>
                <w:color w:val="000000"/>
              </w:rPr>
            </w:pPr>
            <w:r w:rsidRPr="00465DA0">
              <w:rPr>
                <w:rFonts w:eastAsia="Calibri"/>
                <w:color w:val="000000"/>
              </w:rPr>
              <w:t>0</w:t>
            </w:r>
          </w:p>
        </w:tc>
        <w:tc>
          <w:tcPr>
            <w:tcW w:w="1173" w:type="dxa"/>
            <w:tcMar>
              <w:top w:w="0" w:type="dxa"/>
              <w:left w:w="108" w:type="dxa"/>
              <w:bottom w:w="0" w:type="dxa"/>
              <w:right w:w="108" w:type="dxa"/>
            </w:tcMar>
          </w:tcPr>
          <w:p w:rsidR="004530C6" w:rsidRPr="006C7FAE" w:rsidP="004530C6" w14:paraId="31F0C554" w14:textId="511BA66D">
            <w:pPr>
              <w:adjustRightInd/>
              <w:jc w:val="center"/>
              <w:textAlignment w:val="auto"/>
              <w:rPr>
                <w:rFonts w:eastAsia="Calibri"/>
                <w:b/>
                <w:bCs/>
                <w:color w:val="000000"/>
              </w:rPr>
            </w:pPr>
            <w:r w:rsidRPr="00465DA0">
              <w:rPr>
                <w:rFonts w:eastAsia="Calibri"/>
                <w:color w:val="000000"/>
              </w:rPr>
              <w:t>0</w:t>
            </w:r>
          </w:p>
        </w:tc>
        <w:tc>
          <w:tcPr>
            <w:tcW w:w="1088" w:type="dxa"/>
            <w:tcMar>
              <w:top w:w="0" w:type="dxa"/>
              <w:left w:w="108" w:type="dxa"/>
              <w:bottom w:w="0" w:type="dxa"/>
              <w:right w:w="108" w:type="dxa"/>
            </w:tcMar>
          </w:tcPr>
          <w:p w:rsidR="004530C6" w:rsidRPr="006C7FAE" w:rsidP="004530C6" w14:paraId="7CCEFFED" w14:textId="7A907A1B">
            <w:pPr>
              <w:adjustRightInd/>
              <w:jc w:val="center"/>
              <w:textAlignment w:val="auto"/>
              <w:rPr>
                <w:rFonts w:eastAsia="Calibri"/>
                <w:b/>
                <w:bCs/>
                <w:color w:val="000000"/>
              </w:rPr>
            </w:pPr>
            <w:r w:rsidRPr="00465DA0">
              <w:rPr>
                <w:rFonts w:eastAsia="Calibri"/>
                <w:color w:val="000000"/>
              </w:rPr>
              <w:t>0</w:t>
            </w:r>
          </w:p>
        </w:tc>
        <w:tc>
          <w:tcPr>
            <w:tcW w:w="919" w:type="dxa"/>
            <w:tcMar>
              <w:top w:w="0" w:type="dxa"/>
              <w:left w:w="108" w:type="dxa"/>
              <w:bottom w:w="0" w:type="dxa"/>
              <w:right w:w="108" w:type="dxa"/>
            </w:tcMar>
          </w:tcPr>
          <w:p w:rsidR="004530C6" w:rsidRPr="006C7FAE" w:rsidP="004530C6" w14:paraId="2C3D3430" w14:textId="13A95A7E">
            <w:pPr>
              <w:adjustRightInd/>
              <w:jc w:val="center"/>
              <w:textAlignment w:val="auto"/>
              <w:rPr>
                <w:rFonts w:eastAsia="Calibri"/>
                <w:b/>
                <w:bCs/>
                <w:color w:val="000000"/>
              </w:rPr>
            </w:pPr>
            <w:r w:rsidRPr="00465DA0">
              <w:rPr>
                <w:rFonts w:eastAsia="Calibri"/>
                <w:color w:val="000000"/>
              </w:rPr>
              <w:t>0</w:t>
            </w:r>
          </w:p>
        </w:tc>
        <w:tc>
          <w:tcPr>
            <w:tcW w:w="1118" w:type="dxa"/>
            <w:tcMar>
              <w:top w:w="0" w:type="dxa"/>
              <w:left w:w="108" w:type="dxa"/>
              <w:bottom w:w="0" w:type="dxa"/>
              <w:right w:w="108" w:type="dxa"/>
            </w:tcMar>
          </w:tcPr>
          <w:p w:rsidR="004530C6" w:rsidRPr="006C7FAE" w:rsidP="004530C6" w14:paraId="4307F07A" w14:textId="630150D7">
            <w:pPr>
              <w:adjustRightInd/>
              <w:jc w:val="right"/>
              <w:textAlignment w:val="auto"/>
              <w:rPr>
                <w:rFonts w:eastAsia="Calibri"/>
                <w:b/>
                <w:bCs/>
                <w:color w:val="000000"/>
              </w:rPr>
            </w:pPr>
            <w:r w:rsidRPr="00465DA0">
              <w:rPr>
                <w:rFonts w:eastAsia="Calibri"/>
                <w:color w:val="000000"/>
              </w:rPr>
              <w:t>0</w:t>
            </w:r>
          </w:p>
        </w:tc>
        <w:tc>
          <w:tcPr>
            <w:tcW w:w="1116" w:type="dxa"/>
            <w:tcMar>
              <w:top w:w="0" w:type="dxa"/>
              <w:left w:w="108" w:type="dxa"/>
              <w:bottom w:w="0" w:type="dxa"/>
              <w:right w:w="108" w:type="dxa"/>
            </w:tcMar>
          </w:tcPr>
          <w:p w:rsidR="004530C6" w:rsidRPr="00863B16" w:rsidP="004530C6" w14:paraId="22A14666" w14:textId="2E314592">
            <w:pPr>
              <w:adjustRightInd/>
              <w:jc w:val="right"/>
              <w:textAlignment w:val="auto"/>
              <w:rPr>
                <w:rFonts w:eastAsia="Calibri"/>
                <w:color w:val="000000"/>
              </w:rPr>
            </w:pPr>
            <w:r w:rsidRPr="00863B16">
              <w:rPr>
                <w:rFonts w:eastAsia="Calibri"/>
                <w:color w:val="000000"/>
              </w:rPr>
              <w:t>0</w:t>
            </w:r>
          </w:p>
        </w:tc>
      </w:tr>
      <w:tr w14:paraId="16EA08C4" w14:textId="77777777" w:rsidTr="004530C6">
        <w:tblPrEx>
          <w:tblW w:w="9468" w:type="dxa"/>
          <w:tblInd w:w="468" w:type="dxa"/>
          <w:tblCellMar>
            <w:left w:w="0" w:type="dxa"/>
            <w:right w:w="0" w:type="dxa"/>
          </w:tblCellMar>
          <w:tblLook w:val="04A0"/>
        </w:tblPrEx>
        <w:tc>
          <w:tcPr>
            <w:tcW w:w="1440" w:type="dxa"/>
            <w:tcMar>
              <w:top w:w="0" w:type="dxa"/>
              <w:left w:w="108" w:type="dxa"/>
              <w:bottom w:w="0" w:type="dxa"/>
              <w:right w:w="108" w:type="dxa"/>
            </w:tcMar>
          </w:tcPr>
          <w:p w:rsidR="004530C6" w:rsidRPr="006C7FAE" w:rsidP="004530C6" w14:paraId="15FB0A53" w14:textId="77777777">
            <w:pPr>
              <w:adjustRightInd/>
              <w:textAlignment w:val="auto"/>
              <w:rPr>
                <w:rFonts w:eastAsia="Calibri"/>
                <w:b/>
                <w:bCs/>
                <w:color w:val="000000"/>
              </w:rPr>
            </w:pPr>
          </w:p>
        </w:tc>
        <w:tc>
          <w:tcPr>
            <w:tcW w:w="1403" w:type="dxa"/>
            <w:tcMar>
              <w:top w:w="0" w:type="dxa"/>
              <w:left w:w="108" w:type="dxa"/>
              <w:bottom w:w="0" w:type="dxa"/>
              <w:right w:w="108" w:type="dxa"/>
            </w:tcMar>
          </w:tcPr>
          <w:p w:rsidR="004530C6" w:rsidRPr="006C7FAE" w:rsidP="004530C6" w14:paraId="5AC7BFA2" w14:textId="45AC3BD8">
            <w:pPr>
              <w:adjustRightInd/>
              <w:jc w:val="center"/>
              <w:textAlignment w:val="auto"/>
              <w:rPr>
                <w:rFonts w:eastAsia="Calibri"/>
                <w:b/>
                <w:bCs/>
                <w:color w:val="000000"/>
              </w:rPr>
            </w:pPr>
            <w:r>
              <w:rPr>
                <w:rFonts w:eastAsia="Calibri"/>
                <w:b/>
                <w:bCs/>
                <w:color w:val="000000"/>
              </w:rPr>
              <w:t>565</w:t>
            </w:r>
          </w:p>
        </w:tc>
        <w:tc>
          <w:tcPr>
            <w:tcW w:w="1211" w:type="dxa"/>
            <w:tcMar>
              <w:top w:w="0" w:type="dxa"/>
              <w:left w:w="108" w:type="dxa"/>
              <w:bottom w:w="0" w:type="dxa"/>
              <w:right w:w="108" w:type="dxa"/>
            </w:tcMar>
          </w:tcPr>
          <w:p w:rsidR="004530C6" w:rsidRPr="006C7FAE" w:rsidP="004530C6" w14:paraId="3C0F8D82" w14:textId="77777777">
            <w:pPr>
              <w:adjustRightInd/>
              <w:jc w:val="center"/>
              <w:textAlignment w:val="auto"/>
              <w:rPr>
                <w:rFonts w:eastAsia="Calibri"/>
                <w:b/>
                <w:bCs/>
                <w:color w:val="000000"/>
              </w:rPr>
            </w:pPr>
          </w:p>
        </w:tc>
        <w:tc>
          <w:tcPr>
            <w:tcW w:w="1173" w:type="dxa"/>
            <w:tcMar>
              <w:top w:w="0" w:type="dxa"/>
              <w:left w:w="108" w:type="dxa"/>
              <w:bottom w:w="0" w:type="dxa"/>
              <w:right w:w="108" w:type="dxa"/>
            </w:tcMar>
          </w:tcPr>
          <w:p w:rsidR="004530C6" w:rsidRPr="006C7FAE" w:rsidP="004530C6" w14:paraId="3BB47E08" w14:textId="7B80A07C">
            <w:pPr>
              <w:adjustRightInd/>
              <w:jc w:val="center"/>
              <w:textAlignment w:val="auto"/>
              <w:rPr>
                <w:rFonts w:eastAsia="Calibri"/>
                <w:b/>
                <w:bCs/>
                <w:color w:val="000000"/>
              </w:rPr>
            </w:pPr>
            <w:r>
              <w:rPr>
                <w:rFonts w:eastAsia="Calibri"/>
                <w:b/>
                <w:bCs/>
                <w:color w:val="000000"/>
              </w:rPr>
              <w:t>939</w:t>
            </w:r>
          </w:p>
        </w:tc>
        <w:tc>
          <w:tcPr>
            <w:tcW w:w="1088" w:type="dxa"/>
            <w:tcMar>
              <w:top w:w="0" w:type="dxa"/>
              <w:left w:w="108" w:type="dxa"/>
              <w:bottom w:w="0" w:type="dxa"/>
              <w:right w:w="108" w:type="dxa"/>
            </w:tcMar>
          </w:tcPr>
          <w:p w:rsidR="004530C6" w:rsidRPr="006C7FAE" w:rsidP="004530C6" w14:paraId="1653CF87" w14:textId="77777777">
            <w:pPr>
              <w:adjustRightInd/>
              <w:jc w:val="center"/>
              <w:textAlignment w:val="auto"/>
              <w:rPr>
                <w:rFonts w:eastAsia="Calibri"/>
                <w:b/>
                <w:bCs/>
                <w:color w:val="000000"/>
              </w:rPr>
            </w:pPr>
          </w:p>
        </w:tc>
        <w:tc>
          <w:tcPr>
            <w:tcW w:w="919" w:type="dxa"/>
            <w:tcMar>
              <w:top w:w="0" w:type="dxa"/>
              <w:left w:w="108" w:type="dxa"/>
              <w:bottom w:w="0" w:type="dxa"/>
              <w:right w:w="108" w:type="dxa"/>
            </w:tcMar>
          </w:tcPr>
          <w:p w:rsidR="004530C6" w:rsidRPr="006C7FAE" w:rsidP="004530C6" w14:paraId="284D209F" w14:textId="28063E2E">
            <w:pPr>
              <w:adjustRightInd/>
              <w:jc w:val="center"/>
              <w:textAlignment w:val="auto"/>
              <w:rPr>
                <w:rFonts w:eastAsia="Calibri"/>
                <w:b/>
                <w:bCs/>
                <w:color w:val="000000"/>
              </w:rPr>
            </w:pPr>
            <w:r>
              <w:rPr>
                <w:rFonts w:eastAsia="Calibri"/>
                <w:b/>
                <w:bCs/>
                <w:color w:val="000000"/>
              </w:rPr>
              <w:t>507.29</w:t>
            </w:r>
          </w:p>
        </w:tc>
        <w:tc>
          <w:tcPr>
            <w:tcW w:w="1118" w:type="dxa"/>
            <w:tcMar>
              <w:top w:w="0" w:type="dxa"/>
              <w:left w:w="108" w:type="dxa"/>
              <w:bottom w:w="0" w:type="dxa"/>
              <w:right w:w="108" w:type="dxa"/>
            </w:tcMar>
          </w:tcPr>
          <w:p w:rsidR="004530C6" w:rsidRPr="006C7FAE" w:rsidP="004530C6" w14:paraId="31E93E8B" w14:textId="77777777">
            <w:pPr>
              <w:adjustRightInd/>
              <w:jc w:val="right"/>
              <w:textAlignment w:val="auto"/>
              <w:rPr>
                <w:rFonts w:eastAsia="Calibri"/>
                <w:b/>
                <w:bCs/>
                <w:color w:val="000000"/>
              </w:rPr>
            </w:pPr>
          </w:p>
        </w:tc>
        <w:tc>
          <w:tcPr>
            <w:tcW w:w="1116" w:type="dxa"/>
            <w:tcMar>
              <w:top w:w="0" w:type="dxa"/>
              <w:left w:w="108" w:type="dxa"/>
              <w:bottom w:w="0" w:type="dxa"/>
              <w:right w:w="108" w:type="dxa"/>
            </w:tcMar>
          </w:tcPr>
          <w:p w:rsidR="004530C6" w:rsidRPr="006C7FAE" w:rsidP="004530C6" w14:paraId="5C11189C" w14:textId="698D3AE9">
            <w:pPr>
              <w:adjustRightInd/>
              <w:jc w:val="right"/>
              <w:textAlignment w:val="auto"/>
              <w:rPr>
                <w:rFonts w:eastAsia="Calibri"/>
                <w:b/>
                <w:bCs/>
                <w:color w:val="000000"/>
              </w:rPr>
            </w:pPr>
            <w:r>
              <w:rPr>
                <w:rFonts w:eastAsia="Calibri"/>
                <w:b/>
                <w:bCs/>
                <w:color w:val="000000"/>
              </w:rPr>
              <w:t>$29,209.76</w:t>
            </w:r>
          </w:p>
        </w:tc>
      </w:tr>
    </w:tbl>
    <w:p w:rsidR="006C7FAE" w:rsidRPr="006C7FAE" w:rsidP="008F41D4" w14:paraId="67B75C61" w14:textId="77777777">
      <w:pPr>
        <w:tabs>
          <w:tab w:val="left" w:pos="360"/>
        </w:tabs>
        <w:rPr>
          <w:sz w:val="24"/>
          <w:szCs w:val="24"/>
        </w:rPr>
      </w:pPr>
    </w:p>
    <w:p w:rsidR="009E13B1"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 xml:space="preserve">Explain the reasons for any </w:t>
      </w:r>
      <w:r w:rsidRPr="006C7FAE">
        <w:rPr>
          <w:sz w:val="24"/>
          <w:szCs w:val="24"/>
        </w:rPr>
        <w:t>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1C786B" w:rsidRPr="00F529AF" w:rsidP="001E5FC8" w14:paraId="259BA892" w14:textId="394163C8">
      <w:pPr>
        <w:keepLines/>
        <w:spacing w:after="80"/>
        <w:ind w:left="360"/>
        <w:rPr>
          <w:color w:val="000000"/>
          <w:sz w:val="24"/>
          <w:szCs w:val="24"/>
        </w:rPr>
      </w:pPr>
      <w:r w:rsidRPr="00F529AF">
        <w:rPr>
          <w:sz w:val="24"/>
          <w:szCs w:val="24"/>
        </w:rPr>
        <w:t xml:space="preserve">This request is </w:t>
      </w:r>
      <w:r w:rsidRPr="00F529AF" w:rsidR="00E55DDB">
        <w:rPr>
          <w:sz w:val="24"/>
          <w:szCs w:val="24"/>
        </w:rPr>
        <w:t>t</w:t>
      </w:r>
      <w:r w:rsidRPr="00F529AF" w:rsidR="00A52EBB">
        <w:rPr>
          <w:sz w:val="24"/>
          <w:szCs w:val="24"/>
        </w:rPr>
        <w:t>o reinstate</w:t>
      </w:r>
      <w:r w:rsidRPr="00F529AF" w:rsidR="001E5FC8">
        <w:rPr>
          <w:sz w:val="24"/>
          <w:szCs w:val="24"/>
        </w:rPr>
        <w:t xml:space="preserve"> this PRA</w:t>
      </w:r>
      <w:r w:rsidRPr="00F529AF">
        <w:rPr>
          <w:sz w:val="24"/>
          <w:szCs w:val="24"/>
        </w:rPr>
        <w:t xml:space="preserve"> with changes</w:t>
      </w:r>
      <w:r w:rsidRPr="00F529AF" w:rsidR="001E5FC8">
        <w:rPr>
          <w:sz w:val="24"/>
          <w:szCs w:val="24"/>
        </w:rPr>
        <w:t xml:space="preserve">. The </w:t>
      </w:r>
      <w:r w:rsidRPr="00F529AF" w:rsidR="002401BF">
        <w:rPr>
          <w:sz w:val="24"/>
          <w:szCs w:val="24"/>
        </w:rPr>
        <w:t xml:space="preserve">changes reduced the </w:t>
      </w:r>
      <w:r w:rsidRPr="00F529AF" w:rsidR="002401BF">
        <w:rPr>
          <w:color w:val="000000"/>
          <w:sz w:val="24"/>
          <w:szCs w:val="24"/>
        </w:rPr>
        <w:t xml:space="preserve">estimated </w:t>
      </w:r>
      <w:r w:rsidRPr="00F529AF" w:rsidR="00A52EBB">
        <w:rPr>
          <w:color w:val="000000"/>
          <w:sz w:val="24"/>
          <w:szCs w:val="24"/>
        </w:rPr>
        <w:t>burden hours</w:t>
      </w:r>
      <w:r w:rsidRPr="00F529AF" w:rsidR="00D47159">
        <w:rPr>
          <w:color w:val="000000"/>
          <w:sz w:val="24"/>
          <w:szCs w:val="24"/>
        </w:rPr>
        <w:t xml:space="preserve"> </w:t>
      </w:r>
      <w:r w:rsidRPr="00F529AF">
        <w:rPr>
          <w:color w:val="000000"/>
          <w:sz w:val="24"/>
          <w:szCs w:val="24"/>
        </w:rPr>
        <w:t>and increased the estimated costs</w:t>
      </w:r>
      <w:r w:rsidRPr="00F529AF" w:rsidR="00D47159">
        <w:rPr>
          <w:color w:val="000000"/>
          <w:sz w:val="24"/>
          <w:szCs w:val="24"/>
        </w:rPr>
        <w:t xml:space="preserve"> the public</w:t>
      </w:r>
      <w:r w:rsidRPr="00F529AF" w:rsidR="00323B2A">
        <w:rPr>
          <w:color w:val="000000"/>
          <w:sz w:val="24"/>
          <w:szCs w:val="24"/>
        </w:rPr>
        <w:t xml:space="preserve">, and </w:t>
      </w:r>
      <w:r w:rsidRPr="00F529AF" w:rsidR="00F11BFF">
        <w:rPr>
          <w:color w:val="000000"/>
          <w:sz w:val="24"/>
          <w:szCs w:val="24"/>
        </w:rPr>
        <w:t>reduced</w:t>
      </w:r>
      <w:r w:rsidRPr="00F529AF" w:rsidR="003D45F1">
        <w:rPr>
          <w:color w:val="000000"/>
          <w:sz w:val="24"/>
          <w:szCs w:val="24"/>
        </w:rPr>
        <w:t xml:space="preserve"> burden hours and reduced estimated costs to the Federal </w:t>
      </w:r>
      <w:r w:rsidRPr="00F529AF" w:rsidR="00140D60">
        <w:rPr>
          <w:color w:val="000000"/>
          <w:sz w:val="24"/>
          <w:szCs w:val="24"/>
        </w:rPr>
        <w:t xml:space="preserve">government. </w:t>
      </w:r>
    </w:p>
    <w:p w:rsidR="007A45F9" w:rsidRPr="00F529AF" w:rsidP="00F561EC" w14:paraId="28EF2183" w14:textId="77777777">
      <w:pPr>
        <w:pStyle w:val="ListParagraph"/>
        <w:keepLines/>
        <w:numPr>
          <w:ilvl w:val="0"/>
          <w:numId w:val="16"/>
        </w:numPr>
        <w:spacing w:after="80"/>
        <w:ind w:left="720"/>
        <w:rPr>
          <w:color w:val="000000"/>
          <w:sz w:val="24"/>
          <w:szCs w:val="24"/>
        </w:rPr>
      </w:pPr>
      <w:r w:rsidRPr="00F529AF">
        <w:rPr>
          <w:color w:val="000000"/>
          <w:sz w:val="24"/>
          <w:szCs w:val="24"/>
        </w:rPr>
        <w:t xml:space="preserve">HUD removed the burden hours </w:t>
      </w:r>
      <w:r w:rsidRPr="00F529AF" w:rsidR="00A52EBB">
        <w:rPr>
          <w:color w:val="000000"/>
          <w:sz w:val="24"/>
          <w:szCs w:val="24"/>
        </w:rPr>
        <w:t xml:space="preserve">and costs associated with the </w:t>
      </w:r>
      <w:r w:rsidRPr="00F529AF" w:rsidR="001E4D63">
        <w:rPr>
          <w:color w:val="000000"/>
          <w:sz w:val="24"/>
          <w:szCs w:val="24"/>
        </w:rPr>
        <w:t>HUD-52574</w:t>
      </w:r>
      <w:r w:rsidRPr="00F529AF" w:rsidR="00A52EBB">
        <w:rPr>
          <w:color w:val="000000"/>
          <w:sz w:val="24"/>
          <w:szCs w:val="24"/>
        </w:rPr>
        <w:t xml:space="preserve">. This form </w:t>
      </w:r>
      <w:r w:rsidRPr="00F529AF" w:rsidR="001E4D63">
        <w:rPr>
          <w:color w:val="000000"/>
          <w:sz w:val="24"/>
          <w:szCs w:val="24"/>
        </w:rPr>
        <w:t>is part of OMB</w:t>
      </w:r>
      <w:r w:rsidRPr="00F529AF" w:rsidR="008B1867">
        <w:rPr>
          <w:color w:val="000000"/>
          <w:sz w:val="24"/>
          <w:szCs w:val="24"/>
        </w:rPr>
        <w:t>#</w:t>
      </w:r>
      <w:r w:rsidRPr="00F529AF" w:rsidR="001E4D63">
        <w:rPr>
          <w:color w:val="000000"/>
          <w:sz w:val="24"/>
          <w:szCs w:val="24"/>
        </w:rPr>
        <w:t xml:space="preserve"> 2577-0026. </w:t>
      </w:r>
    </w:p>
    <w:p w:rsidR="00D47159" w:rsidRPr="00F529AF" w:rsidP="00F561EC" w14:paraId="4709CD41" w14:textId="242F4E42">
      <w:pPr>
        <w:pStyle w:val="ListParagraph"/>
        <w:keepLines/>
        <w:numPr>
          <w:ilvl w:val="0"/>
          <w:numId w:val="16"/>
        </w:numPr>
        <w:spacing w:after="80"/>
        <w:ind w:left="720"/>
        <w:rPr>
          <w:color w:val="000000"/>
          <w:sz w:val="24"/>
          <w:szCs w:val="24"/>
        </w:rPr>
      </w:pPr>
      <w:r w:rsidRPr="00F529AF">
        <w:rPr>
          <w:color w:val="000000"/>
          <w:sz w:val="24"/>
          <w:szCs w:val="24"/>
        </w:rPr>
        <w:t>HUD</w:t>
      </w:r>
      <w:r w:rsidRPr="00F529AF" w:rsidR="002F7341">
        <w:rPr>
          <w:color w:val="000000"/>
          <w:sz w:val="24"/>
          <w:szCs w:val="24"/>
        </w:rPr>
        <w:t xml:space="preserve"> re</w:t>
      </w:r>
      <w:r w:rsidRPr="00F529AF" w:rsidR="00AE1069">
        <w:rPr>
          <w:color w:val="000000"/>
          <w:sz w:val="24"/>
          <w:szCs w:val="24"/>
        </w:rPr>
        <w:t xml:space="preserve">moved sections in </w:t>
      </w:r>
      <w:r w:rsidRPr="00F529AF" w:rsidR="007A45F9">
        <w:rPr>
          <w:color w:val="000000"/>
          <w:sz w:val="24"/>
          <w:szCs w:val="24"/>
        </w:rPr>
        <w:t>HUD</w:t>
      </w:r>
      <w:r w:rsidRPr="00F529AF" w:rsidR="00AE1069">
        <w:rPr>
          <w:color w:val="000000"/>
          <w:sz w:val="24"/>
          <w:szCs w:val="24"/>
        </w:rPr>
        <w:t>-50095</w:t>
      </w:r>
      <w:r w:rsidRPr="00F529AF" w:rsidR="00BF2809">
        <w:rPr>
          <w:color w:val="000000"/>
          <w:sz w:val="24"/>
          <w:szCs w:val="24"/>
        </w:rPr>
        <w:t xml:space="preserve"> which lessened the data collected in the form</w:t>
      </w:r>
      <w:r w:rsidRPr="00F529AF" w:rsidR="00AE1069">
        <w:rPr>
          <w:color w:val="000000"/>
          <w:sz w:val="24"/>
          <w:szCs w:val="24"/>
        </w:rPr>
        <w:t xml:space="preserve">. </w:t>
      </w:r>
    </w:p>
    <w:p w:rsidR="00460A7A" w:rsidRPr="00F529AF" w:rsidP="00460A7A" w14:paraId="1D60E7AD" w14:textId="13F7F773">
      <w:pPr>
        <w:pStyle w:val="ListParagraph"/>
        <w:keepLines/>
        <w:numPr>
          <w:ilvl w:val="0"/>
          <w:numId w:val="16"/>
        </w:numPr>
        <w:spacing w:after="80"/>
        <w:ind w:left="720"/>
        <w:rPr>
          <w:sz w:val="24"/>
          <w:szCs w:val="24"/>
        </w:rPr>
      </w:pPr>
      <w:r w:rsidRPr="00F529AF">
        <w:rPr>
          <w:color w:val="000000"/>
          <w:sz w:val="24"/>
          <w:szCs w:val="24"/>
        </w:rPr>
        <w:t>T</w:t>
      </w:r>
      <w:r w:rsidRPr="00F529AF" w:rsidR="001E4D63">
        <w:rPr>
          <w:color w:val="000000"/>
          <w:sz w:val="24"/>
          <w:szCs w:val="24"/>
        </w:rPr>
        <w:t xml:space="preserve">he program </w:t>
      </w:r>
      <w:r w:rsidRPr="00F529AF">
        <w:rPr>
          <w:color w:val="000000"/>
          <w:sz w:val="24"/>
          <w:szCs w:val="24"/>
        </w:rPr>
        <w:t>refined the</w:t>
      </w:r>
      <w:r w:rsidRPr="00F529AF" w:rsidR="001E4D63">
        <w:rPr>
          <w:color w:val="000000"/>
          <w:sz w:val="24"/>
          <w:szCs w:val="24"/>
        </w:rPr>
        <w:t xml:space="preserve"> estimated burden hours using average participation for the last three years</w:t>
      </w:r>
      <w:r w:rsidRPr="00F529AF">
        <w:rPr>
          <w:color w:val="000000"/>
          <w:sz w:val="24"/>
          <w:szCs w:val="24"/>
        </w:rPr>
        <w:t xml:space="preserve">. </w:t>
      </w:r>
    </w:p>
    <w:p w:rsidR="00F561EC" w:rsidRPr="00F529AF" w:rsidP="00F561EC" w14:paraId="7B9C0100" w14:textId="305B5AE7">
      <w:pPr>
        <w:pStyle w:val="ListParagraph"/>
        <w:keepLines/>
        <w:numPr>
          <w:ilvl w:val="0"/>
          <w:numId w:val="16"/>
        </w:numPr>
        <w:spacing w:after="80"/>
        <w:ind w:left="720"/>
        <w:rPr>
          <w:color w:val="000000"/>
          <w:sz w:val="24"/>
          <w:szCs w:val="24"/>
        </w:rPr>
      </w:pPr>
      <w:r w:rsidRPr="00F529AF">
        <w:rPr>
          <w:color w:val="000000"/>
          <w:sz w:val="24"/>
          <w:szCs w:val="24"/>
        </w:rPr>
        <w:t xml:space="preserve">The program </w:t>
      </w:r>
      <w:r w:rsidRPr="00F529AF" w:rsidR="00D91E3E">
        <w:rPr>
          <w:color w:val="000000"/>
          <w:sz w:val="24"/>
          <w:szCs w:val="24"/>
        </w:rPr>
        <w:t>increased the</w:t>
      </w:r>
      <w:r w:rsidRPr="00F529AF" w:rsidR="001E4D63">
        <w:rPr>
          <w:color w:val="000000"/>
          <w:sz w:val="24"/>
          <w:szCs w:val="24"/>
        </w:rPr>
        <w:t xml:space="preserve"> hourly cost</w:t>
      </w:r>
      <w:r w:rsidRPr="00F529AF" w:rsidR="00D91E3E">
        <w:rPr>
          <w:color w:val="000000"/>
          <w:sz w:val="24"/>
          <w:szCs w:val="24"/>
        </w:rPr>
        <w:t>s</w:t>
      </w:r>
      <w:r w:rsidRPr="00F529AF" w:rsidR="001E4D63">
        <w:rPr>
          <w:color w:val="000000"/>
          <w:sz w:val="24"/>
          <w:szCs w:val="24"/>
        </w:rPr>
        <w:t xml:space="preserve"> </w:t>
      </w:r>
      <w:r w:rsidRPr="00F529AF" w:rsidR="00B327F6">
        <w:rPr>
          <w:color w:val="000000"/>
          <w:sz w:val="24"/>
          <w:szCs w:val="24"/>
        </w:rPr>
        <w:t xml:space="preserve">for the public </w:t>
      </w:r>
      <w:r w:rsidRPr="00F529AF" w:rsidR="001E4D63">
        <w:rPr>
          <w:color w:val="000000"/>
          <w:sz w:val="24"/>
          <w:szCs w:val="24"/>
        </w:rPr>
        <w:t xml:space="preserve">to </w:t>
      </w:r>
      <w:r w:rsidRPr="00F529AF" w:rsidR="00D91E3E">
        <w:rPr>
          <w:color w:val="000000"/>
          <w:sz w:val="24"/>
          <w:szCs w:val="24"/>
        </w:rPr>
        <w:t>align with</w:t>
      </w:r>
      <w:r w:rsidRPr="00F529AF">
        <w:rPr>
          <w:color w:val="000000"/>
          <w:sz w:val="24"/>
          <w:szCs w:val="24"/>
        </w:rPr>
        <w:t xml:space="preserve"> May 2023</w:t>
      </w:r>
      <w:r w:rsidRPr="00F529AF" w:rsidR="00D91E3E">
        <w:rPr>
          <w:color w:val="000000"/>
          <w:sz w:val="24"/>
          <w:szCs w:val="24"/>
        </w:rPr>
        <w:t xml:space="preserve"> (latest)</w:t>
      </w:r>
      <w:r w:rsidRPr="00F529AF">
        <w:rPr>
          <w:color w:val="000000"/>
          <w:sz w:val="24"/>
          <w:szCs w:val="24"/>
        </w:rPr>
        <w:t xml:space="preserve"> Bureau of Labor Statistics’ national hourly mean rates for Financial Specialists</w:t>
      </w:r>
      <w:r w:rsidRPr="00F529AF" w:rsidR="00BB59DF">
        <w:rPr>
          <w:color w:val="000000"/>
          <w:sz w:val="24"/>
          <w:szCs w:val="24"/>
        </w:rPr>
        <w:t xml:space="preserve"> to </w:t>
      </w:r>
      <w:r w:rsidRPr="00F529AF" w:rsidR="00323B2A">
        <w:rPr>
          <w:color w:val="000000"/>
          <w:sz w:val="24"/>
          <w:szCs w:val="24"/>
        </w:rPr>
        <w:t xml:space="preserve">$46.37 per hour. Previously, HUD used 2021 general pay schedule for a GS-11, Step 1, rate for Washington-Baltimore-Arlington, DC-MD-WV-PA </w:t>
      </w:r>
      <w:r w:rsidRPr="00F529AF" w:rsidR="00BB2F36">
        <w:rPr>
          <w:color w:val="000000"/>
          <w:sz w:val="24"/>
          <w:szCs w:val="24"/>
        </w:rPr>
        <w:t>which was</w:t>
      </w:r>
      <w:r w:rsidRPr="00F529AF" w:rsidR="00323B2A">
        <w:rPr>
          <w:color w:val="000000"/>
          <w:sz w:val="24"/>
          <w:szCs w:val="24"/>
        </w:rPr>
        <w:t xml:space="preserve"> $34.86 per hour</w:t>
      </w:r>
      <w:r w:rsidRPr="00F529AF" w:rsidR="006B045F">
        <w:rPr>
          <w:color w:val="000000"/>
          <w:sz w:val="24"/>
          <w:szCs w:val="24"/>
        </w:rPr>
        <w:t>.</w:t>
      </w:r>
    </w:p>
    <w:p w:rsidR="0063433F" w:rsidRPr="00F529AF" w:rsidP="00C458C4" w14:paraId="5458FB9F" w14:textId="4CBFF390">
      <w:pPr>
        <w:pStyle w:val="ListParagraph"/>
        <w:keepLines/>
        <w:numPr>
          <w:ilvl w:val="0"/>
          <w:numId w:val="17"/>
        </w:numPr>
        <w:spacing w:after="80"/>
        <w:rPr>
          <w:color w:val="000000"/>
          <w:sz w:val="24"/>
          <w:szCs w:val="24"/>
        </w:rPr>
      </w:pPr>
      <w:r w:rsidRPr="00F529AF">
        <w:rPr>
          <w:color w:val="000000"/>
          <w:sz w:val="24"/>
          <w:szCs w:val="24"/>
        </w:rPr>
        <w:t xml:space="preserve">The program increased the hourly costs for </w:t>
      </w:r>
      <w:r w:rsidRPr="00F529AF" w:rsidR="00BB2F36">
        <w:rPr>
          <w:color w:val="000000"/>
          <w:sz w:val="24"/>
          <w:szCs w:val="24"/>
        </w:rPr>
        <w:t xml:space="preserve">the Federal government </w:t>
      </w:r>
      <w:r w:rsidRPr="00F529AF">
        <w:rPr>
          <w:color w:val="000000"/>
          <w:sz w:val="24"/>
          <w:szCs w:val="24"/>
        </w:rPr>
        <w:t xml:space="preserve">to align with </w:t>
      </w:r>
      <w:r w:rsidRPr="00F529AF" w:rsidR="00BB2F36">
        <w:rPr>
          <w:color w:val="000000"/>
          <w:sz w:val="24"/>
          <w:szCs w:val="24"/>
        </w:rPr>
        <w:t>CY 2025 general pay schedule for a GS-13, Step 1 rate for Washington-Baltimore-Arlington, DC-MD-WV-PA which is $57.78 per hour</w:t>
      </w:r>
      <w:r w:rsidRPr="00F529AF" w:rsidR="00180A33">
        <w:rPr>
          <w:color w:val="000000"/>
          <w:sz w:val="24"/>
          <w:szCs w:val="24"/>
        </w:rPr>
        <w:t xml:space="preserve">. </w:t>
      </w:r>
      <w:r w:rsidRPr="00F529AF">
        <w:rPr>
          <w:color w:val="000000"/>
          <w:sz w:val="24"/>
          <w:szCs w:val="24"/>
        </w:rPr>
        <w:t>HUD used</w:t>
      </w:r>
      <w:r w:rsidRPr="00F529AF" w:rsidR="00180A33">
        <w:rPr>
          <w:color w:val="000000"/>
          <w:sz w:val="24"/>
          <w:szCs w:val="24"/>
        </w:rPr>
        <w:t xml:space="preserve"> CY</w:t>
      </w:r>
      <w:r w:rsidRPr="00F529AF">
        <w:rPr>
          <w:color w:val="000000"/>
          <w:sz w:val="24"/>
          <w:szCs w:val="24"/>
        </w:rPr>
        <w:t xml:space="preserve"> </w:t>
      </w:r>
      <w:r w:rsidRPr="00F529AF" w:rsidR="00BB2F36">
        <w:rPr>
          <w:color w:val="000000"/>
          <w:sz w:val="24"/>
          <w:szCs w:val="24"/>
        </w:rPr>
        <w:t xml:space="preserve">2021 general pay schedule for a GS-13, Step 1 rate for Washington-Baltimore-Arlington, DC-MD-WV-PA (an average salary for a management analyst) that </w:t>
      </w:r>
      <w:r w:rsidRPr="00F529AF" w:rsidR="00F561EC">
        <w:rPr>
          <w:color w:val="000000"/>
          <w:sz w:val="24"/>
          <w:szCs w:val="24"/>
        </w:rPr>
        <w:t>was</w:t>
      </w:r>
      <w:r w:rsidRPr="00F529AF" w:rsidR="00BB2F36">
        <w:rPr>
          <w:color w:val="000000"/>
          <w:sz w:val="24"/>
          <w:szCs w:val="24"/>
        </w:rPr>
        <w:t xml:space="preserve"> $49.68</w:t>
      </w:r>
    </w:p>
    <w:p w:rsidR="001E4D63" w:rsidRPr="00F561EC" w:rsidP="00F561EC" w14:paraId="58D24EF9" w14:textId="1AB8CF76">
      <w:pPr>
        <w:keepLines/>
        <w:spacing w:after="80"/>
        <w:ind w:left="360"/>
        <w:rPr>
          <w:color w:val="000000"/>
          <w:sz w:val="24"/>
          <w:szCs w:val="24"/>
        </w:rPr>
      </w:pPr>
      <w:r>
        <w:rPr>
          <w:color w:val="000000"/>
          <w:sz w:val="24"/>
          <w:szCs w:val="24"/>
        </w:rPr>
        <w:t xml:space="preserve">The estimated burden hours to the public reduced by 34.21 hours from 537.5 hours to 503.29 hours and the annual costs increased by $4,600 from $18,737 to $23,337. </w:t>
      </w:r>
      <w:r w:rsidR="00D11E0F">
        <w:rPr>
          <w:color w:val="000000"/>
          <w:sz w:val="24"/>
          <w:szCs w:val="24"/>
        </w:rPr>
        <w:t xml:space="preserve">The estimated burden hours to the Federal government </w:t>
      </w:r>
      <w:r w:rsidR="00F11BFF">
        <w:rPr>
          <w:color w:val="000000"/>
          <w:sz w:val="24"/>
          <w:szCs w:val="24"/>
        </w:rPr>
        <w:t>decreased</w:t>
      </w:r>
      <w:r w:rsidR="00D11E0F">
        <w:rPr>
          <w:color w:val="000000"/>
          <w:sz w:val="24"/>
          <w:szCs w:val="24"/>
        </w:rPr>
        <w:t xml:space="preserve"> by </w:t>
      </w:r>
      <w:r w:rsidR="00CE7F08">
        <w:rPr>
          <w:color w:val="000000"/>
          <w:sz w:val="24"/>
          <w:szCs w:val="24"/>
        </w:rPr>
        <w:t>247.71</w:t>
      </w:r>
      <w:r w:rsidR="00D11E0F">
        <w:rPr>
          <w:color w:val="000000"/>
          <w:sz w:val="24"/>
          <w:szCs w:val="24"/>
        </w:rPr>
        <w:t xml:space="preserve"> hours from </w:t>
      </w:r>
      <w:r w:rsidR="00C71CE7">
        <w:rPr>
          <w:color w:val="000000"/>
          <w:sz w:val="24"/>
          <w:szCs w:val="24"/>
        </w:rPr>
        <w:t>755</w:t>
      </w:r>
      <w:r w:rsidR="00D11E0F">
        <w:rPr>
          <w:color w:val="000000"/>
          <w:sz w:val="24"/>
          <w:szCs w:val="24"/>
        </w:rPr>
        <w:t xml:space="preserve"> hours to 50</w:t>
      </w:r>
      <w:r w:rsidR="00C71CE7">
        <w:rPr>
          <w:color w:val="000000"/>
          <w:sz w:val="24"/>
          <w:szCs w:val="24"/>
        </w:rPr>
        <w:t>7</w:t>
      </w:r>
      <w:r w:rsidR="00D11E0F">
        <w:rPr>
          <w:color w:val="000000"/>
          <w:sz w:val="24"/>
          <w:szCs w:val="24"/>
        </w:rPr>
        <w:t>.29 hours and the annual costs decreased by $</w:t>
      </w:r>
      <w:r w:rsidR="0095549E">
        <w:rPr>
          <w:color w:val="000000"/>
          <w:sz w:val="24"/>
          <w:szCs w:val="24"/>
        </w:rPr>
        <w:t>7,599.24</w:t>
      </w:r>
      <w:r w:rsidR="00D11E0F">
        <w:rPr>
          <w:color w:val="000000"/>
          <w:sz w:val="24"/>
          <w:szCs w:val="24"/>
        </w:rPr>
        <w:t xml:space="preserve"> from $</w:t>
      </w:r>
      <w:r w:rsidR="0095549E">
        <w:rPr>
          <w:color w:val="000000"/>
          <w:sz w:val="24"/>
          <w:szCs w:val="24"/>
        </w:rPr>
        <w:t>37,509</w:t>
      </w:r>
      <w:r w:rsidR="00D11E0F">
        <w:rPr>
          <w:color w:val="000000"/>
          <w:sz w:val="24"/>
          <w:szCs w:val="24"/>
        </w:rPr>
        <w:t xml:space="preserve"> to $</w:t>
      </w:r>
      <w:r w:rsidR="0095549E">
        <w:rPr>
          <w:color w:val="000000"/>
          <w:sz w:val="24"/>
          <w:szCs w:val="24"/>
        </w:rPr>
        <w:t>29,209.76</w:t>
      </w:r>
      <w:r w:rsidR="00D11E0F">
        <w:rPr>
          <w:color w:val="000000"/>
          <w:sz w:val="24"/>
          <w:szCs w:val="24"/>
        </w:rPr>
        <w:t xml:space="preserve">.  </w:t>
      </w:r>
    </w:p>
    <w:p w:rsidR="009E13B1" w:rsidRPr="006C7FAE" w14:paraId="78BA2B5D" w14:textId="77777777">
      <w:pPr>
        <w:keepLines/>
        <w:tabs>
          <w:tab w:val="left" w:pos="360"/>
          <w:tab w:val="left" w:pos="720"/>
        </w:tabs>
        <w:ind w:left="360"/>
        <w:rPr>
          <w:sz w:val="24"/>
          <w:szCs w:val="24"/>
        </w:rPr>
      </w:pPr>
    </w:p>
    <w:p w:rsidR="009E13B1" w:rsidRPr="006C7FAE"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 xml:space="preserve">For collection of </w:t>
      </w:r>
      <w:r w:rsidRPr="006C7FAE">
        <w:rPr>
          <w:sz w:val="24"/>
          <w:szCs w:val="24"/>
        </w:rPr>
        <w:t>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1279" w:rsidP="00861279" w14:paraId="60FA0405" w14:textId="77777777">
      <w:pPr>
        <w:tabs>
          <w:tab w:val="left" w:pos="720"/>
        </w:tabs>
        <w:ind w:left="720"/>
        <w:rPr>
          <w:color w:val="000000"/>
          <w:sz w:val="24"/>
          <w:szCs w:val="24"/>
        </w:rPr>
      </w:pPr>
    </w:p>
    <w:p w:rsidR="009E13B1" w:rsidRPr="00861279" w:rsidP="00861279" w14:paraId="41F37BFA" w14:textId="096E2123">
      <w:pPr>
        <w:ind w:left="360"/>
        <w:rPr>
          <w:b/>
          <w:color w:val="000000"/>
          <w:sz w:val="24"/>
          <w:szCs w:val="24"/>
        </w:rPr>
      </w:pPr>
      <w:r w:rsidRPr="00F47A4B">
        <w:rPr>
          <w:color w:val="000000"/>
          <w:sz w:val="24"/>
          <w:szCs w:val="24"/>
        </w:rPr>
        <w:t>The information collection will not be published.</w:t>
      </w:r>
    </w:p>
    <w:p w:rsidR="00A122DF" w:rsidRPr="006C7FAE" w14:paraId="3FDF704D" w14:textId="77777777">
      <w:pPr>
        <w:tabs>
          <w:tab w:val="left" w:pos="360"/>
        </w:tabs>
        <w:ind w:left="360" w:hanging="360"/>
        <w:rPr>
          <w:sz w:val="24"/>
          <w:szCs w:val="24"/>
        </w:rPr>
      </w:pPr>
    </w:p>
    <w:p w:rsidR="009E13B1" w:rsidRPr="006C7FAE" w14:paraId="34E8092D"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EE6842" w:rsidRPr="00F47A4B" w:rsidP="00861279" w14:paraId="767D1610" w14:textId="77777777">
      <w:pPr>
        <w:pStyle w:val="ListParagraph"/>
        <w:ind w:left="360"/>
        <w:rPr>
          <w:color w:val="000000"/>
          <w:sz w:val="24"/>
          <w:szCs w:val="24"/>
        </w:rPr>
      </w:pPr>
      <w:r w:rsidRPr="00F47A4B">
        <w:rPr>
          <w:color w:val="000000"/>
          <w:sz w:val="24"/>
          <w:szCs w:val="24"/>
        </w:rPr>
        <w:t xml:space="preserve">HUD is not seeking approval to not display the expiration date of the OMB approval. The OMB number and expiration date will be displayed on a “Disclosure Statement” on each template after OMB approval is </w:t>
      </w:r>
      <w:r w:rsidRPr="00F47A4B">
        <w:rPr>
          <w:color w:val="000000"/>
          <w:sz w:val="24"/>
          <w:szCs w:val="24"/>
        </w:rPr>
        <w:t>received.</w:t>
      </w:r>
    </w:p>
    <w:p w:rsidR="009E13B1" w:rsidRPr="006C7FAE" w14:paraId="44B4D7A4" w14:textId="77777777">
      <w:pPr>
        <w:keepLines/>
        <w:tabs>
          <w:tab w:val="left" w:pos="360"/>
          <w:tab w:val="left" w:pos="720"/>
        </w:tabs>
        <w:ind w:left="360"/>
        <w:rPr>
          <w:sz w:val="24"/>
          <w:szCs w:val="24"/>
        </w:rPr>
      </w:pPr>
    </w:p>
    <w:p w:rsidR="009E13B1" w:rsidRPr="006C7FAE" w14:paraId="68C195AD"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861279" w:rsidRPr="00F47A4B" w:rsidP="00861279" w14:paraId="5FC9AFD5" w14:textId="77777777">
      <w:pPr>
        <w:pStyle w:val="ListParagraph"/>
        <w:spacing w:before="284" w:after="30"/>
        <w:ind w:left="360"/>
        <w:rPr>
          <w:color w:val="000000"/>
          <w:sz w:val="24"/>
          <w:szCs w:val="24"/>
        </w:rPr>
      </w:pPr>
      <w:r w:rsidRPr="00F47A4B">
        <w:rPr>
          <w:color w:val="000000"/>
          <w:sz w:val="24"/>
          <w:szCs w:val="24"/>
        </w:rPr>
        <w:t>There are no exceptions to items 19 of OMB 83-I.</w:t>
      </w:r>
    </w:p>
    <w:p w:rsidR="009E13B1" w:rsidRPr="006C7FAE" w14:paraId="65980BA6"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rsidRPr="006C7FAE"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35D7FF6"/>
    <w:multiLevelType w:val="hybridMultilevel"/>
    <w:tmpl w:val="CDCCBF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4A3383"/>
    <w:multiLevelType w:val="hybridMultilevel"/>
    <w:tmpl w:val="BB78A0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nsid w:val="4B845CDC"/>
    <w:multiLevelType w:val="hybridMultilevel"/>
    <w:tmpl w:val="39527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6"/>
  </w:num>
  <w:num w:numId="2" w16cid:durableId="1939675396">
    <w:abstractNumId w:val="2"/>
  </w:num>
  <w:num w:numId="3" w16cid:durableId="1587377701">
    <w:abstractNumId w:val="11"/>
  </w:num>
  <w:num w:numId="4" w16cid:durableId="887451858">
    <w:abstractNumId w:val="7"/>
  </w:num>
  <w:num w:numId="5" w16cid:durableId="1830825219">
    <w:abstractNumId w:val="8"/>
  </w:num>
  <w:num w:numId="6" w16cid:durableId="2036811765">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3"/>
  </w:num>
  <w:num w:numId="8" w16cid:durableId="1708868018">
    <w:abstractNumId w:val="14"/>
  </w:num>
  <w:num w:numId="9" w16cid:durableId="36247648">
    <w:abstractNumId w:val="1"/>
  </w:num>
  <w:num w:numId="10" w16cid:durableId="1269002932">
    <w:abstractNumId w:val="13"/>
  </w:num>
  <w:num w:numId="11" w16cid:durableId="804929379">
    <w:abstractNumId w:val="12"/>
  </w:num>
  <w:num w:numId="12" w16cid:durableId="1778601022">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9"/>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032802129">
    <w:abstractNumId w:val="4"/>
  </w:num>
  <w:num w:numId="16" w16cid:durableId="379285181">
    <w:abstractNumId w:val="5"/>
  </w:num>
  <w:num w:numId="17" w16cid:durableId="113909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26EEB"/>
    <w:rsid w:val="00064DDD"/>
    <w:rsid w:val="00086E2D"/>
    <w:rsid w:val="000A1639"/>
    <w:rsid w:val="000B6109"/>
    <w:rsid w:val="000B7B7C"/>
    <w:rsid w:val="000C117C"/>
    <w:rsid w:val="000C38FD"/>
    <w:rsid w:val="000D5079"/>
    <w:rsid w:val="000E00A8"/>
    <w:rsid w:val="000E2A89"/>
    <w:rsid w:val="000F00D1"/>
    <w:rsid w:val="00103AFE"/>
    <w:rsid w:val="00114717"/>
    <w:rsid w:val="00115854"/>
    <w:rsid w:val="00125C58"/>
    <w:rsid w:val="00140D60"/>
    <w:rsid w:val="00142CD1"/>
    <w:rsid w:val="00147C96"/>
    <w:rsid w:val="00162420"/>
    <w:rsid w:val="00167E53"/>
    <w:rsid w:val="00180A33"/>
    <w:rsid w:val="00196284"/>
    <w:rsid w:val="00196C2D"/>
    <w:rsid w:val="001A7E49"/>
    <w:rsid w:val="001B2908"/>
    <w:rsid w:val="001B7C89"/>
    <w:rsid w:val="001C258D"/>
    <w:rsid w:val="001C786B"/>
    <w:rsid w:val="001E4D63"/>
    <w:rsid w:val="001E5FC8"/>
    <w:rsid w:val="00201ED7"/>
    <w:rsid w:val="002065AD"/>
    <w:rsid w:val="0023256B"/>
    <w:rsid w:val="002401BF"/>
    <w:rsid w:val="00262B6C"/>
    <w:rsid w:val="0028513A"/>
    <w:rsid w:val="002B4A39"/>
    <w:rsid w:val="002C5BA8"/>
    <w:rsid w:val="002F6CE8"/>
    <w:rsid w:val="002F7341"/>
    <w:rsid w:val="002F7F85"/>
    <w:rsid w:val="003035C0"/>
    <w:rsid w:val="00311AC5"/>
    <w:rsid w:val="00320197"/>
    <w:rsid w:val="00323B2A"/>
    <w:rsid w:val="003412BE"/>
    <w:rsid w:val="00350C35"/>
    <w:rsid w:val="00360090"/>
    <w:rsid w:val="00360108"/>
    <w:rsid w:val="003631E8"/>
    <w:rsid w:val="00374EC2"/>
    <w:rsid w:val="00393E37"/>
    <w:rsid w:val="003C568A"/>
    <w:rsid w:val="003D45F1"/>
    <w:rsid w:val="003E27EE"/>
    <w:rsid w:val="004072B8"/>
    <w:rsid w:val="00437B37"/>
    <w:rsid w:val="0044309E"/>
    <w:rsid w:val="00450591"/>
    <w:rsid w:val="004530C6"/>
    <w:rsid w:val="00460A7A"/>
    <w:rsid w:val="00465DA0"/>
    <w:rsid w:val="0046733A"/>
    <w:rsid w:val="00494C0C"/>
    <w:rsid w:val="004A1D14"/>
    <w:rsid w:val="004C6186"/>
    <w:rsid w:val="004F74BE"/>
    <w:rsid w:val="00513C9D"/>
    <w:rsid w:val="00532200"/>
    <w:rsid w:val="0058747D"/>
    <w:rsid w:val="005A452F"/>
    <w:rsid w:val="005D4178"/>
    <w:rsid w:val="005D6462"/>
    <w:rsid w:val="00600373"/>
    <w:rsid w:val="006218FF"/>
    <w:rsid w:val="00622043"/>
    <w:rsid w:val="0063433F"/>
    <w:rsid w:val="00660FD1"/>
    <w:rsid w:val="006A08D7"/>
    <w:rsid w:val="006A49AC"/>
    <w:rsid w:val="006B045F"/>
    <w:rsid w:val="006B7674"/>
    <w:rsid w:val="006B79B8"/>
    <w:rsid w:val="006C02A2"/>
    <w:rsid w:val="006C4830"/>
    <w:rsid w:val="006C7FAE"/>
    <w:rsid w:val="006E3623"/>
    <w:rsid w:val="007011A7"/>
    <w:rsid w:val="00725B54"/>
    <w:rsid w:val="00734A7C"/>
    <w:rsid w:val="00752244"/>
    <w:rsid w:val="007A45F9"/>
    <w:rsid w:val="007A7BCF"/>
    <w:rsid w:val="007B2EE4"/>
    <w:rsid w:val="007B4A33"/>
    <w:rsid w:val="007C08A0"/>
    <w:rsid w:val="007E52AF"/>
    <w:rsid w:val="007E66EA"/>
    <w:rsid w:val="008314BA"/>
    <w:rsid w:val="00854848"/>
    <w:rsid w:val="00861279"/>
    <w:rsid w:val="00863B16"/>
    <w:rsid w:val="00866B80"/>
    <w:rsid w:val="008A7175"/>
    <w:rsid w:val="008B1867"/>
    <w:rsid w:val="008C3244"/>
    <w:rsid w:val="008C3BC1"/>
    <w:rsid w:val="008C602F"/>
    <w:rsid w:val="008E0A84"/>
    <w:rsid w:val="008F41D4"/>
    <w:rsid w:val="00931F21"/>
    <w:rsid w:val="0095549E"/>
    <w:rsid w:val="009660CF"/>
    <w:rsid w:val="00972E40"/>
    <w:rsid w:val="00973C47"/>
    <w:rsid w:val="00997E20"/>
    <w:rsid w:val="009A1AFA"/>
    <w:rsid w:val="009D0D12"/>
    <w:rsid w:val="009E0C3E"/>
    <w:rsid w:val="009E13B1"/>
    <w:rsid w:val="00A122DF"/>
    <w:rsid w:val="00A14934"/>
    <w:rsid w:val="00A16FA9"/>
    <w:rsid w:val="00A33345"/>
    <w:rsid w:val="00A405F3"/>
    <w:rsid w:val="00A52EBB"/>
    <w:rsid w:val="00A60A48"/>
    <w:rsid w:val="00A65F9E"/>
    <w:rsid w:val="00A77E7C"/>
    <w:rsid w:val="00A80C85"/>
    <w:rsid w:val="00A82FF4"/>
    <w:rsid w:val="00A83E46"/>
    <w:rsid w:val="00AC1743"/>
    <w:rsid w:val="00AC2EB1"/>
    <w:rsid w:val="00AE1069"/>
    <w:rsid w:val="00B01940"/>
    <w:rsid w:val="00B03398"/>
    <w:rsid w:val="00B04BA6"/>
    <w:rsid w:val="00B06EAE"/>
    <w:rsid w:val="00B11E3A"/>
    <w:rsid w:val="00B327F6"/>
    <w:rsid w:val="00B407D7"/>
    <w:rsid w:val="00B64365"/>
    <w:rsid w:val="00B77258"/>
    <w:rsid w:val="00B84661"/>
    <w:rsid w:val="00B90413"/>
    <w:rsid w:val="00B90FD7"/>
    <w:rsid w:val="00B94401"/>
    <w:rsid w:val="00BA392E"/>
    <w:rsid w:val="00BB2518"/>
    <w:rsid w:val="00BB2F36"/>
    <w:rsid w:val="00BB59DF"/>
    <w:rsid w:val="00BC10AF"/>
    <w:rsid w:val="00BC50C0"/>
    <w:rsid w:val="00BE490F"/>
    <w:rsid w:val="00BF2809"/>
    <w:rsid w:val="00C06B8A"/>
    <w:rsid w:val="00C1081C"/>
    <w:rsid w:val="00C450DC"/>
    <w:rsid w:val="00C458C4"/>
    <w:rsid w:val="00C71CE7"/>
    <w:rsid w:val="00CA06CC"/>
    <w:rsid w:val="00CD5BF1"/>
    <w:rsid w:val="00CE1567"/>
    <w:rsid w:val="00CE7F08"/>
    <w:rsid w:val="00CF2B00"/>
    <w:rsid w:val="00D11E0F"/>
    <w:rsid w:val="00D47159"/>
    <w:rsid w:val="00D717DB"/>
    <w:rsid w:val="00D74136"/>
    <w:rsid w:val="00D81406"/>
    <w:rsid w:val="00D91E3E"/>
    <w:rsid w:val="00DD3286"/>
    <w:rsid w:val="00E01140"/>
    <w:rsid w:val="00E36BA4"/>
    <w:rsid w:val="00E53A12"/>
    <w:rsid w:val="00E55DDB"/>
    <w:rsid w:val="00E94309"/>
    <w:rsid w:val="00E95649"/>
    <w:rsid w:val="00ED6AFF"/>
    <w:rsid w:val="00EE6842"/>
    <w:rsid w:val="00EF5307"/>
    <w:rsid w:val="00F035D5"/>
    <w:rsid w:val="00F07DA0"/>
    <w:rsid w:val="00F11BFF"/>
    <w:rsid w:val="00F27C8F"/>
    <w:rsid w:val="00F47A4B"/>
    <w:rsid w:val="00F5145B"/>
    <w:rsid w:val="00F529AF"/>
    <w:rsid w:val="00F560A5"/>
    <w:rsid w:val="00F561EC"/>
    <w:rsid w:val="00F62113"/>
    <w:rsid w:val="00F96B4C"/>
    <w:rsid w:val="00FA7064"/>
    <w:rsid w:val="00FC4DF0"/>
    <w:rsid w:val="00FD717C"/>
    <w:rsid w:val="00FE462E"/>
    <w:rsid w:val="00FF4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6">
    <w:name w:val="heading 6"/>
    <w:basedOn w:val="Normal"/>
    <w:next w:val="Normal"/>
    <w:link w:val="Heading6Char"/>
    <w:qFormat/>
    <w:rsid w:val="00734A7C"/>
    <w:pPr>
      <w:keepNext/>
      <w:overflowPunct/>
      <w:autoSpaceDE/>
      <w:autoSpaceDN/>
      <w:adjustRightInd/>
      <w:jc w:val="center"/>
      <w:textAlignment w:val="auto"/>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CommentReference">
    <w:name w:val="annotation reference"/>
    <w:basedOn w:val="DefaultParagraphFont"/>
    <w:uiPriority w:val="99"/>
    <w:semiHidden/>
    <w:unhideWhenUsed/>
    <w:rsid w:val="00734A7C"/>
    <w:rPr>
      <w:sz w:val="16"/>
      <w:szCs w:val="16"/>
    </w:rPr>
  </w:style>
  <w:style w:type="paragraph" w:styleId="CommentText">
    <w:name w:val="annotation text"/>
    <w:basedOn w:val="Normal"/>
    <w:link w:val="CommentTextChar"/>
    <w:uiPriority w:val="99"/>
    <w:unhideWhenUsed/>
    <w:rsid w:val="00734A7C"/>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734A7C"/>
    <w:rPr>
      <w:rFonts w:eastAsia="PMingLiU"/>
    </w:rPr>
  </w:style>
  <w:style w:type="character" w:customStyle="1" w:styleId="Heading6Char">
    <w:name w:val="Heading 6 Char"/>
    <w:basedOn w:val="DefaultParagraphFont"/>
    <w:link w:val="Heading6"/>
    <w:rsid w:val="00734A7C"/>
    <w:rPr>
      <w:b/>
      <w:bCs/>
      <w:sz w:val="24"/>
    </w:rPr>
  </w:style>
  <w:style w:type="character" w:styleId="Hyperlink">
    <w:name w:val="Hyperlink"/>
    <w:basedOn w:val="DefaultParagraphFont"/>
    <w:uiPriority w:val="99"/>
    <w:unhideWhenUsed/>
    <w:rsid w:val="00F96B4C"/>
    <w:rPr>
      <w:color w:val="467886" w:themeColor="hyperlink"/>
      <w:u w:val="single"/>
    </w:rPr>
  </w:style>
  <w:style w:type="character" w:styleId="FollowedHyperlink">
    <w:name w:val="FollowedHyperlink"/>
    <w:basedOn w:val="DefaultParagraphFont"/>
    <w:uiPriority w:val="99"/>
    <w:semiHidden/>
    <w:unhideWhenUsed/>
    <w:rsid w:val="00D91E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2023/may/oes_nat.htm" TargetMode="External" /><Relationship Id="rId8" Type="http://schemas.openxmlformats.org/officeDocument/2006/relationships/hyperlink" Target="https://www.opm.gov/policy-data-oversight/pay-leave/salaries-wages/salary-tables/24Tables/html/DCB_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3473</Words>
  <Characters>19842</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Patel, Mehul</cp:lastModifiedBy>
  <cp:revision>2</cp:revision>
  <cp:lastPrinted>2016-10-19T20:19:00Z</cp:lastPrinted>
  <dcterms:created xsi:type="dcterms:W3CDTF">2025-06-17T13:37:00Z</dcterms:created>
  <dcterms:modified xsi:type="dcterms:W3CDTF">2025-06-17T13:37:00Z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