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P="006C7FAE" w14:paraId="78239CE7" w14:textId="77777777">
      <w:pPr>
        <w:jc w:val="center"/>
        <w:rPr>
          <w:b/>
          <w:sz w:val="24"/>
          <w:szCs w:val="24"/>
        </w:rPr>
      </w:pPr>
      <w:r w:rsidRPr="00167E53">
        <w:rPr>
          <w:b/>
          <w:sz w:val="24"/>
          <w:szCs w:val="24"/>
        </w:rPr>
        <w:t>Supporting Statement for Paperwork Reduction Act Submissions</w:t>
      </w:r>
    </w:p>
    <w:p w:rsidR="00D2262E" w14:paraId="0D72FAF6" w14:textId="488A2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Pr>
          <w:b/>
          <w:sz w:val="24"/>
          <w:szCs w:val="24"/>
        </w:rPr>
        <w:t>(</w:t>
      </w:r>
      <w:r w:rsidRPr="00D2262E">
        <w:rPr>
          <w:b/>
          <w:sz w:val="24"/>
          <w:szCs w:val="24"/>
        </w:rPr>
        <w:t>Transfer and Consolidation of Public Housing Programs</w:t>
      </w:r>
      <w:r>
        <w:rPr>
          <w:b/>
          <w:sz w:val="24"/>
          <w:szCs w:val="24"/>
        </w:rPr>
        <w:t>)</w:t>
      </w:r>
    </w:p>
    <w:p w:rsidR="00167E53" w:rsidRPr="00167E53" w14:paraId="0C0ADA6F" w14:textId="2D47F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D2262E">
        <w:rPr>
          <w:b/>
          <w:sz w:val="24"/>
          <w:szCs w:val="24"/>
        </w:rPr>
        <w:t xml:space="preserve"> </w:t>
      </w:r>
      <w:r w:rsidRPr="00167E53">
        <w:rPr>
          <w:b/>
          <w:sz w:val="24"/>
          <w:szCs w:val="24"/>
        </w:rPr>
        <w:t xml:space="preserve">(OMB# </w:t>
      </w:r>
      <w:r w:rsidRPr="00D2262E">
        <w:rPr>
          <w:b/>
          <w:sz w:val="24"/>
          <w:szCs w:val="24"/>
        </w:rPr>
        <w:t>2577-0280</w:t>
      </w:r>
      <w:r w:rsidRPr="00167E53">
        <w:rPr>
          <w:b/>
          <w:sz w:val="24"/>
          <w:szCs w:val="24"/>
        </w:rPr>
        <w:t>)</w:t>
      </w:r>
    </w:p>
    <w:p w:rsidR="009E13B1" w:rsidP="006C7FAE" w14:paraId="176A8089" w14:textId="77777777">
      <w:pPr>
        <w:rPr>
          <w:b/>
          <w:sz w:val="24"/>
          <w:szCs w:val="24"/>
        </w:rPr>
      </w:pPr>
    </w:p>
    <w:p w:rsidR="009E13B1" w:rsidRPr="006C7FAE" w14:paraId="6BD1C1B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9E13B1" w:rsidRPr="006C7FAE"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rsidRPr="006C7FAE" w14:paraId="4F66A6EF" w14:textId="77777777">
      <w:pPr>
        <w:keepLines/>
        <w:tabs>
          <w:tab w:val="left" w:pos="360"/>
        </w:tabs>
        <w:spacing w:after="80"/>
        <w:ind w:left="360" w:hanging="360"/>
        <w:rPr>
          <w:sz w:val="24"/>
          <w:szCs w:val="24"/>
        </w:rPr>
      </w:pPr>
      <w:r w:rsidRPr="006C7FAE">
        <w:rPr>
          <w:sz w:val="24"/>
          <w:szCs w:val="24"/>
        </w:rPr>
        <w:t>1.</w:t>
      </w:r>
      <w:r w:rsidRPr="006C7FAE">
        <w:rPr>
          <w:sz w:val="24"/>
          <w:szCs w:val="24"/>
        </w:rPr>
        <w:tab/>
      </w:r>
      <w:r w:rsidRPr="00476BB9">
        <w:rPr>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76BB9" w:rsidRPr="00476BB9" w:rsidP="00476BB9" w14:paraId="091DC0D3" w14:textId="77777777">
      <w:pPr>
        <w:tabs>
          <w:tab w:val="left" w:pos="360"/>
        </w:tabs>
        <w:ind w:left="360" w:hanging="360"/>
        <w:rPr>
          <w:sz w:val="24"/>
          <w:szCs w:val="24"/>
        </w:rPr>
      </w:pPr>
      <w:r>
        <w:rPr>
          <w:sz w:val="24"/>
          <w:szCs w:val="24"/>
        </w:rPr>
        <w:tab/>
      </w:r>
      <w:r w:rsidRPr="00476BB9">
        <w:rPr>
          <w:sz w:val="24"/>
          <w:szCs w:val="24"/>
        </w:rPr>
        <w:t>Public housing agencies (PHAs) are state-chartered entities, authorized for Federal funding by Section 3 of the United States Housing Act of 1937 (“the Act,” 42 USC 1437f). Federal funding for the public housing program is authorized by Section 9 of the Act. A State, or other properly delegated local authority, such as a city, county, or parish, may periodically act to turn the public housing of one PHA over to another PHA or act to combine two or more PHAs into one, multijurisdictional PHA. HUD must be informed in order to (1) perfect its security interest in the public housing, (2) ensure the continued use of the housing as public housing, and (3) guarantee that Federal funding is paid to the proper PHA on behalf of the public housing actually owned by the PHA.</w:t>
      </w:r>
    </w:p>
    <w:p w:rsidR="00D81406" w:rsidRPr="006C7FAE" w14:paraId="232EE019" w14:textId="77777777">
      <w:pPr>
        <w:tabs>
          <w:tab w:val="left" w:pos="360"/>
        </w:tabs>
        <w:ind w:left="360" w:hanging="360"/>
        <w:rPr>
          <w:sz w:val="24"/>
          <w:szCs w:val="24"/>
        </w:rPr>
      </w:pPr>
    </w:p>
    <w:p w:rsidR="009E13B1" w:rsidRPr="006C7FAE" w14:paraId="324CDFDE" w14:textId="77777777">
      <w:pPr>
        <w:keepLines/>
        <w:tabs>
          <w:tab w:val="left" w:pos="360"/>
        </w:tabs>
        <w:spacing w:after="80"/>
        <w:ind w:left="360" w:hanging="360"/>
        <w:rPr>
          <w:sz w:val="24"/>
          <w:szCs w:val="24"/>
        </w:rPr>
      </w:pPr>
      <w:r w:rsidRPr="006C7FAE">
        <w:rPr>
          <w:sz w:val="24"/>
          <w:szCs w:val="24"/>
        </w:rPr>
        <w:t>2.</w:t>
      </w:r>
      <w:r w:rsidRPr="006C7FAE">
        <w:rPr>
          <w:sz w:val="24"/>
          <w:szCs w:val="24"/>
        </w:rPr>
        <w:tab/>
      </w:r>
      <w:r w:rsidRPr="00476BB9">
        <w:rPr>
          <w:b/>
          <w:bCs/>
          <w:sz w:val="24"/>
          <w:szCs w:val="24"/>
        </w:rPr>
        <w:t>Indicate how, by whom and for what purpose the information is to be used.  Except for a new collection, indicate the actual use the agency has made of the information received from the current collection.</w:t>
      </w:r>
    </w:p>
    <w:p w:rsidR="00476BB9" w:rsidRPr="00476BB9" w:rsidP="00476BB9" w14:paraId="05523220" w14:textId="77777777">
      <w:pPr>
        <w:keepLines/>
        <w:tabs>
          <w:tab w:val="left" w:pos="360"/>
          <w:tab w:val="left" w:pos="720"/>
        </w:tabs>
        <w:ind w:left="360"/>
        <w:rPr>
          <w:sz w:val="24"/>
          <w:szCs w:val="24"/>
        </w:rPr>
      </w:pPr>
      <w:r w:rsidRPr="00476BB9">
        <w:rPr>
          <w:sz w:val="24"/>
          <w:szCs w:val="24"/>
        </w:rPr>
        <w:t>HUD will use the data collected to execute as necessary a new Annual Contributions Contract with a consolidated PHA; ensure that proper Declarations of Trust, vesting the Secretary with an interest in each public housing property. HUD will modify its funding data systems so that subsequent fund awards are made to the proper PHA.</w:t>
      </w:r>
    </w:p>
    <w:p w:rsidR="009E13B1" w:rsidRPr="006C7FAE" w14:paraId="4A350C48" w14:textId="77777777">
      <w:pPr>
        <w:keepLines/>
        <w:tabs>
          <w:tab w:val="left" w:pos="360"/>
          <w:tab w:val="left" w:pos="720"/>
        </w:tabs>
        <w:ind w:left="360"/>
        <w:rPr>
          <w:sz w:val="24"/>
          <w:szCs w:val="24"/>
        </w:rPr>
      </w:pPr>
    </w:p>
    <w:p w:rsidR="009E13B1" w:rsidRPr="006C7FAE" w14:paraId="70250EAE" w14:textId="77777777">
      <w:pPr>
        <w:keepLines/>
        <w:tabs>
          <w:tab w:val="left" w:pos="360"/>
        </w:tabs>
        <w:spacing w:after="80"/>
        <w:ind w:left="360" w:hanging="360"/>
        <w:rPr>
          <w:sz w:val="24"/>
          <w:szCs w:val="24"/>
        </w:rPr>
      </w:pPr>
      <w:r w:rsidRPr="006C7FAE">
        <w:rPr>
          <w:sz w:val="24"/>
          <w:szCs w:val="24"/>
        </w:rPr>
        <w:t>3.</w:t>
      </w:r>
      <w:r w:rsidRPr="006C7FAE">
        <w:rPr>
          <w:sz w:val="24"/>
          <w:szCs w:val="24"/>
        </w:rPr>
        <w:tab/>
      </w:r>
      <w:r w:rsidRPr="00476BB9">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76BB9" w:rsidP="00476BB9" w14:paraId="3F8FE5B8" w14:textId="43555893">
      <w:pPr>
        <w:tabs>
          <w:tab w:val="left" w:pos="360"/>
        </w:tabs>
        <w:ind w:left="360" w:hanging="360"/>
        <w:rPr>
          <w:sz w:val="24"/>
          <w:szCs w:val="24"/>
        </w:rPr>
      </w:pPr>
      <w:r>
        <w:rPr>
          <w:sz w:val="24"/>
          <w:szCs w:val="24"/>
        </w:rPr>
        <w:tab/>
      </w:r>
      <w:r w:rsidRPr="00476BB9">
        <w:rPr>
          <w:sz w:val="24"/>
          <w:szCs w:val="24"/>
        </w:rPr>
        <w:t>The requested data is transmitted to HUD both in paper form and electronically</w:t>
      </w:r>
      <w:r w:rsidR="00BB0258">
        <w:rPr>
          <w:sz w:val="24"/>
          <w:szCs w:val="24"/>
        </w:rPr>
        <w:t xml:space="preserve"> </w:t>
      </w:r>
      <w:r w:rsidR="00777CCD">
        <w:rPr>
          <w:sz w:val="24"/>
          <w:szCs w:val="24"/>
        </w:rPr>
        <w:t>by email</w:t>
      </w:r>
      <w:r w:rsidRPr="00476BB9">
        <w:rPr>
          <w:sz w:val="24"/>
          <w:szCs w:val="24"/>
        </w:rPr>
        <w:t>. Paper submissions are necessary because of the nature of the transaction, transfer of ownership in real property, in which most jurisdictions require original signatures on various instruments, including deeds of trust, quitclaims, assignments of beneficial interest, declarations of title, and so forth. Further, HUD’s Annual Contributions Contract and Declaration of Trust require original signatures. PHAs will make the necessary changes to public housing project and tenant records in HUD’s on-line data systems to tie basic project information, occupancy, fiscal data, and physical condition data to the proper PHA.</w:t>
      </w:r>
    </w:p>
    <w:p w:rsidR="00CE6AD4" w:rsidRPr="00476BB9" w:rsidP="00476BB9" w14:paraId="4BAE7989" w14:textId="77777777">
      <w:pPr>
        <w:tabs>
          <w:tab w:val="left" w:pos="360"/>
        </w:tabs>
        <w:ind w:left="360" w:hanging="360"/>
        <w:rPr>
          <w:sz w:val="24"/>
          <w:szCs w:val="24"/>
        </w:rPr>
      </w:pPr>
    </w:p>
    <w:p w:rsidR="00476BB9" w:rsidRPr="00476BB9" w:rsidP="00476BB9" w14:paraId="0E6C8808" w14:textId="7CA642B5">
      <w:pPr>
        <w:tabs>
          <w:tab w:val="left" w:pos="360"/>
        </w:tabs>
        <w:ind w:left="360" w:hanging="360"/>
        <w:rPr>
          <w:sz w:val="24"/>
          <w:szCs w:val="24"/>
        </w:rPr>
      </w:pPr>
      <w:r>
        <w:rPr>
          <w:sz w:val="24"/>
          <w:szCs w:val="24"/>
        </w:rPr>
        <w:tab/>
      </w:r>
      <w:r w:rsidRPr="00476BB9">
        <w:rPr>
          <w:sz w:val="24"/>
          <w:szCs w:val="24"/>
        </w:rPr>
        <w:t>The collection of information involves limited use of automated, electronic, mechanical, or other technological methods. Electronic submission of responses is permitted and encouraged wherever possible, with a preference for fully electronic processes to reduce respondent burden. Below is a detailed breakdown of the methods, their basis, and considerations for electronic submission:</w:t>
      </w:r>
    </w:p>
    <w:p w:rsidR="00476BB9" w:rsidRPr="00476BB9" w:rsidP="008822C9" w14:paraId="0621487C" w14:textId="41BD81BD">
      <w:pPr>
        <w:tabs>
          <w:tab w:val="left" w:pos="360"/>
        </w:tabs>
        <w:ind w:left="360" w:hanging="360"/>
        <w:rPr>
          <w:sz w:val="24"/>
          <w:szCs w:val="24"/>
        </w:rPr>
      </w:pPr>
      <w:r>
        <w:rPr>
          <w:sz w:val="24"/>
          <w:szCs w:val="24"/>
        </w:rPr>
        <w:tab/>
      </w:r>
    </w:p>
    <w:p w:rsidR="00476BB9" w:rsidRPr="00C03700" w:rsidP="00C03700" w14:paraId="45E67338" w14:textId="738BC9C1">
      <w:pPr>
        <w:pStyle w:val="ListParagraph"/>
        <w:numPr>
          <w:ilvl w:val="0"/>
          <w:numId w:val="24"/>
        </w:numPr>
        <w:tabs>
          <w:tab w:val="left" w:pos="360"/>
        </w:tabs>
        <w:rPr>
          <w:b/>
          <w:bCs/>
          <w:sz w:val="24"/>
          <w:szCs w:val="24"/>
        </w:rPr>
      </w:pPr>
      <w:r w:rsidRPr="00C03700">
        <w:rPr>
          <w:b/>
          <w:bCs/>
          <w:sz w:val="24"/>
          <w:szCs w:val="24"/>
        </w:rPr>
        <w:t>Submission Requirements for Transfers and Consolidations:</w:t>
      </w:r>
    </w:p>
    <w:p w:rsidR="00C03700" w:rsidRPr="00C03700" w:rsidP="00C03700" w14:paraId="4B1B5B56" w14:textId="77777777">
      <w:pPr>
        <w:pStyle w:val="ListParagraph"/>
        <w:tabs>
          <w:tab w:val="left" w:pos="360"/>
        </w:tabs>
        <w:rPr>
          <w:b/>
          <w:bCs/>
          <w:sz w:val="24"/>
          <w:szCs w:val="24"/>
        </w:rPr>
      </w:pPr>
    </w:p>
    <w:p w:rsidR="00476BB9" w:rsidRPr="00476BB9" w:rsidP="00476BB9" w14:paraId="34DF11B2" w14:textId="77777777">
      <w:pPr>
        <w:numPr>
          <w:ilvl w:val="0"/>
          <w:numId w:val="20"/>
        </w:numPr>
        <w:tabs>
          <w:tab w:val="left" w:pos="360"/>
        </w:tabs>
        <w:rPr>
          <w:sz w:val="24"/>
          <w:szCs w:val="24"/>
        </w:rPr>
      </w:pPr>
      <w:r w:rsidRPr="00476BB9">
        <w:rPr>
          <w:sz w:val="24"/>
          <w:szCs w:val="24"/>
        </w:rPr>
        <w:t>Requests to process transfers or consolidations of Public Housing programs must include the items listed below. HUD may request additional documentation or information if needed to process the request.</w:t>
      </w:r>
    </w:p>
    <w:p w:rsidR="00476BB9" w:rsidRPr="00476BB9" w:rsidP="00476BB9" w14:paraId="6CB6B825" w14:textId="77777777">
      <w:pPr>
        <w:numPr>
          <w:ilvl w:val="0"/>
          <w:numId w:val="20"/>
        </w:numPr>
        <w:tabs>
          <w:tab w:val="left" w:pos="360"/>
        </w:tabs>
        <w:rPr>
          <w:sz w:val="24"/>
          <w:szCs w:val="24"/>
        </w:rPr>
      </w:pPr>
      <w:r w:rsidRPr="00476BB9">
        <w:rPr>
          <w:sz w:val="24"/>
          <w:szCs w:val="24"/>
        </w:rPr>
        <w:t>Submission Date. Requests must be submitted at least 120 calendar days before the desired effective date. Under special circumstances, as described in Section 4.g. above, HUD may consider a shortened time frame.</w:t>
      </w:r>
    </w:p>
    <w:p w:rsidR="00476BB9" w:rsidRPr="00476BB9" w:rsidP="00476BB9" w14:paraId="38C36585" w14:textId="77777777">
      <w:pPr>
        <w:numPr>
          <w:ilvl w:val="0"/>
          <w:numId w:val="19"/>
        </w:numPr>
        <w:tabs>
          <w:tab w:val="left" w:pos="360"/>
        </w:tabs>
        <w:rPr>
          <w:sz w:val="24"/>
          <w:szCs w:val="24"/>
        </w:rPr>
      </w:pPr>
      <w:r w:rsidRPr="00476BB9">
        <w:rPr>
          <w:sz w:val="24"/>
          <w:szCs w:val="24"/>
        </w:rPr>
        <w:t>What is Submitted. PHAs must submit one electronic copy of the request to the Public Housing Director of the divesting and receiving PHAs’ HUD field office. The official submission date will be the date the electronic copy is received by HUD.</w:t>
      </w:r>
    </w:p>
    <w:p w:rsidR="00476BB9" w:rsidRPr="00476BB9" w:rsidP="00476BB9" w14:paraId="3B1A5F61" w14:textId="77777777">
      <w:pPr>
        <w:tabs>
          <w:tab w:val="left" w:pos="360"/>
        </w:tabs>
        <w:ind w:left="360" w:hanging="360"/>
        <w:rPr>
          <w:sz w:val="24"/>
          <w:szCs w:val="24"/>
        </w:rPr>
      </w:pPr>
    </w:p>
    <w:p w:rsidR="00476BB9" w:rsidRPr="00476BB9" w:rsidP="00476BB9" w14:paraId="7DC9F1B0" w14:textId="76062341">
      <w:pPr>
        <w:tabs>
          <w:tab w:val="left" w:pos="360"/>
        </w:tabs>
        <w:ind w:left="360" w:hanging="360"/>
        <w:rPr>
          <w:b/>
          <w:bCs/>
          <w:sz w:val="24"/>
          <w:szCs w:val="24"/>
        </w:rPr>
      </w:pPr>
      <w:r>
        <w:rPr>
          <w:b/>
          <w:bCs/>
          <w:sz w:val="24"/>
          <w:szCs w:val="24"/>
        </w:rPr>
        <w:tab/>
      </w:r>
      <w:r w:rsidRPr="00476BB9">
        <w:rPr>
          <w:b/>
          <w:bCs/>
          <w:sz w:val="24"/>
          <w:szCs w:val="24"/>
        </w:rPr>
        <w:t>b. For transfers:</w:t>
      </w:r>
    </w:p>
    <w:p w:rsidR="00476BB9" w:rsidRPr="00476BB9" w:rsidP="00476BB9" w14:paraId="4749EAE4" w14:textId="77777777">
      <w:pPr>
        <w:tabs>
          <w:tab w:val="left" w:pos="360"/>
        </w:tabs>
        <w:ind w:left="360" w:hanging="360"/>
        <w:rPr>
          <w:sz w:val="24"/>
          <w:szCs w:val="24"/>
        </w:rPr>
      </w:pPr>
    </w:p>
    <w:p w:rsidR="00476BB9" w:rsidRPr="00476BB9" w:rsidP="00476BB9" w14:paraId="79C513B4" w14:textId="77777777">
      <w:pPr>
        <w:numPr>
          <w:ilvl w:val="0"/>
          <w:numId w:val="15"/>
        </w:numPr>
        <w:tabs>
          <w:tab w:val="left" w:pos="360"/>
        </w:tabs>
        <w:rPr>
          <w:sz w:val="24"/>
          <w:szCs w:val="24"/>
        </w:rPr>
      </w:pPr>
      <w:r w:rsidRPr="00476BB9">
        <w:rPr>
          <w:sz w:val="24"/>
          <w:szCs w:val="24"/>
        </w:rPr>
        <w:t>Letter from the receiving PHA and a letter from the divesting PHA requesting the transfer be processed; Receiving PHA name and PHA Code; and Reason(s) for transfer submitted by receiving PHA.</w:t>
      </w:r>
    </w:p>
    <w:p w:rsidR="00476BB9" w:rsidRPr="00476BB9" w:rsidP="00476BB9" w14:paraId="1891C94B" w14:textId="77777777">
      <w:pPr>
        <w:numPr>
          <w:ilvl w:val="0"/>
          <w:numId w:val="15"/>
        </w:numPr>
        <w:tabs>
          <w:tab w:val="left" w:pos="360"/>
        </w:tabs>
        <w:rPr>
          <w:sz w:val="24"/>
          <w:szCs w:val="24"/>
        </w:rPr>
      </w:pPr>
      <w:r w:rsidRPr="00476BB9">
        <w:rPr>
          <w:sz w:val="24"/>
          <w:szCs w:val="24"/>
        </w:rPr>
        <w:t>Resolution by receiving PHA’s governing body agreeing to the transfer and accepting the Public Housing program, developments, or units, as appropriate, of the divesting PHA.</w:t>
      </w:r>
    </w:p>
    <w:p w:rsidR="00476BB9" w:rsidRPr="00476BB9" w:rsidP="00476BB9" w14:paraId="2BE4011D" w14:textId="77777777">
      <w:pPr>
        <w:numPr>
          <w:ilvl w:val="0"/>
          <w:numId w:val="15"/>
        </w:numPr>
        <w:tabs>
          <w:tab w:val="left" w:pos="360"/>
        </w:tabs>
        <w:rPr>
          <w:sz w:val="24"/>
          <w:szCs w:val="24"/>
        </w:rPr>
      </w:pPr>
      <w:r w:rsidRPr="00476BB9">
        <w:rPr>
          <w:sz w:val="24"/>
          <w:szCs w:val="24"/>
        </w:rPr>
        <w:t>Opinion from the receiving PHA’s counsel that the requested transfer is compliant with State and local law, that the transfer is permitted under State enabling legislation, and that the receiving jurisdiction is permitted to operate in each divesting PHA’s jurisdiction.</w:t>
      </w:r>
    </w:p>
    <w:p w:rsidR="00476BB9" w:rsidP="00476BB9" w14:paraId="650B7838" w14:textId="77777777">
      <w:pPr>
        <w:numPr>
          <w:ilvl w:val="0"/>
          <w:numId w:val="15"/>
        </w:numPr>
        <w:tabs>
          <w:tab w:val="left" w:pos="360"/>
        </w:tabs>
        <w:rPr>
          <w:sz w:val="24"/>
          <w:szCs w:val="24"/>
        </w:rPr>
      </w:pPr>
      <w:r w:rsidRPr="00476BB9">
        <w:rPr>
          <w:sz w:val="24"/>
          <w:szCs w:val="24"/>
        </w:rPr>
        <w:t>Items listed in Paragraph (3) below.</w:t>
      </w:r>
    </w:p>
    <w:p w:rsidR="003B0880" w:rsidRPr="00476BB9" w:rsidP="003B0880" w14:paraId="4C6091DE" w14:textId="77777777">
      <w:pPr>
        <w:tabs>
          <w:tab w:val="left" w:pos="360"/>
        </w:tabs>
        <w:ind w:left="630"/>
        <w:rPr>
          <w:sz w:val="24"/>
          <w:szCs w:val="24"/>
        </w:rPr>
      </w:pPr>
    </w:p>
    <w:p w:rsidR="00476BB9" w:rsidP="00476BB9" w14:paraId="040FEF83" w14:textId="77777777">
      <w:pPr>
        <w:tabs>
          <w:tab w:val="left" w:pos="360"/>
        </w:tabs>
        <w:ind w:left="360" w:hanging="360"/>
        <w:rPr>
          <w:b/>
          <w:bCs/>
          <w:sz w:val="24"/>
          <w:szCs w:val="24"/>
        </w:rPr>
      </w:pPr>
      <w:r w:rsidRPr="00476BB9">
        <w:rPr>
          <w:b/>
          <w:bCs/>
          <w:sz w:val="24"/>
          <w:szCs w:val="24"/>
        </w:rPr>
        <w:t>c.  For consolidations into a newly formed PHA:</w:t>
      </w:r>
    </w:p>
    <w:p w:rsidR="003B0880" w:rsidRPr="00476BB9" w:rsidP="00476BB9" w14:paraId="46332092" w14:textId="77777777">
      <w:pPr>
        <w:tabs>
          <w:tab w:val="left" w:pos="360"/>
        </w:tabs>
        <w:ind w:left="360" w:hanging="360"/>
        <w:rPr>
          <w:b/>
          <w:bCs/>
          <w:sz w:val="24"/>
          <w:szCs w:val="24"/>
        </w:rPr>
      </w:pPr>
    </w:p>
    <w:p w:rsidR="00476BB9" w:rsidRPr="00476BB9" w:rsidP="00476BB9" w14:paraId="72642F08" w14:textId="77777777">
      <w:pPr>
        <w:numPr>
          <w:ilvl w:val="0"/>
          <w:numId w:val="21"/>
        </w:numPr>
        <w:tabs>
          <w:tab w:val="left" w:pos="360"/>
        </w:tabs>
        <w:rPr>
          <w:sz w:val="24"/>
          <w:szCs w:val="24"/>
        </w:rPr>
      </w:pPr>
      <w:r w:rsidRPr="00476BB9">
        <w:rPr>
          <w:sz w:val="24"/>
          <w:szCs w:val="24"/>
        </w:rPr>
        <w:t>Letter from the consolidated PHA, stating its new name and requesting to enter into an ACC with HUD and be assigned a PHA Code.</w:t>
      </w:r>
    </w:p>
    <w:p w:rsidR="00476BB9" w:rsidRPr="00642D5A" w:rsidP="00642D5A" w14:paraId="086D39D3" w14:textId="77777777">
      <w:pPr>
        <w:pStyle w:val="ListParagraph"/>
        <w:numPr>
          <w:ilvl w:val="0"/>
          <w:numId w:val="21"/>
        </w:numPr>
        <w:tabs>
          <w:tab w:val="left" w:pos="360"/>
        </w:tabs>
        <w:rPr>
          <w:sz w:val="24"/>
          <w:szCs w:val="24"/>
        </w:rPr>
      </w:pPr>
      <w:r w:rsidRPr="00642D5A">
        <w:rPr>
          <w:sz w:val="24"/>
          <w:szCs w:val="24"/>
        </w:rPr>
        <w:t>Letter from each divesting PHA requesting the consolidation.</w:t>
      </w:r>
    </w:p>
    <w:p w:rsidR="00476BB9" w:rsidRPr="00B151FB" w:rsidP="00B151FB" w14:paraId="61500720" w14:textId="77777777">
      <w:pPr>
        <w:pStyle w:val="ListParagraph"/>
        <w:numPr>
          <w:ilvl w:val="0"/>
          <w:numId w:val="21"/>
        </w:numPr>
        <w:tabs>
          <w:tab w:val="left" w:pos="360"/>
        </w:tabs>
        <w:rPr>
          <w:sz w:val="24"/>
          <w:szCs w:val="24"/>
        </w:rPr>
      </w:pPr>
      <w:r w:rsidRPr="00B151FB">
        <w:rPr>
          <w:sz w:val="24"/>
          <w:szCs w:val="24"/>
        </w:rPr>
        <w:t>Enabling, Organization, Divestiture, Assumption, and Supporting Documentation as listed in Attachment A.</w:t>
      </w:r>
    </w:p>
    <w:p w:rsidR="00476BB9" w:rsidRPr="00B151FB" w:rsidP="00B151FB" w14:paraId="562E4EA9" w14:textId="77777777">
      <w:pPr>
        <w:pStyle w:val="ListParagraph"/>
        <w:numPr>
          <w:ilvl w:val="0"/>
          <w:numId w:val="21"/>
        </w:numPr>
        <w:tabs>
          <w:tab w:val="left" w:pos="360"/>
        </w:tabs>
        <w:rPr>
          <w:sz w:val="24"/>
          <w:szCs w:val="24"/>
        </w:rPr>
      </w:pPr>
      <w:r w:rsidRPr="00B151FB">
        <w:rPr>
          <w:sz w:val="24"/>
          <w:szCs w:val="24"/>
        </w:rPr>
        <w:t>Intended fiscal year end (FYE) for the consolidated PHA.</w:t>
      </w:r>
    </w:p>
    <w:p w:rsidR="00476BB9" w:rsidP="00B151FB" w14:paraId="498C82C9" w14:textId="77777777">
      <w:pPr>
        <w:pStyle w:val="ListParagraph"/>
        <w:numPr>
          <w:ilvl w:val="0"/>
          <w:numId w:val="21"/>
        </w:numPr>
        <w:tabs>
          <w:tab w:val="left" w:pos="360"/>
        </w:tabs>
        <w:rPr>
          <w:sz w:val="24"/>
          <w:szCs w:val="24"/>
        </w:rPr>
      </w:pPr>
      <w:r w:rsidRPr="00B151FB">
        <w:rPr>
          <w:sz w:val="24"/>
          <w:szCs w:val="24"/>
        </w:rPr>
        <w:t>Items listed in Paragraph (4) below.</w:t>
      </w:r>
    </w:p>
    <w:p w:rsidR="003B0880" w:rsidRPr="00B151FB" w:rsidP="003B0880" w14:paraId="5DA1BF16" w14:textId="77777777">
      <w:pPr>
        <w:pStyle w:val="ListParagraph"/>
        <w:tabs>
          <w:tab w:val="left" w:pos="360"/>
        </w:tabs>
        <w:rPr>
          <w:sz w:val="24"/>
          <w:szCs w:val="24"/>
        </w:rPr>
      </w:pPr>
    </w:p>
    <w:p w:rsidR="00476BB9" w:rsidP="00476BB9" w14:paraId="2E82273F" w14:textId="77777777">
      <w:pPr>
        <w:tabs>
          <w:tab w:val="left" w:pos="360"/>
        </w:tabs>
        <w:ind w:left="360" w:hanging="360"/>
        <w:rPr>
          <w:b/>
          <w:bCs/>
          <w:sz w:val="24"/>
          <w:szCs w:val="24"/>
        </w:rPr>
      </w:pPr>
      <w:r w:rsidRPr="00476BB9">
        <w:rPr>
          <w:b/>
          <w:bCs/>
          <w:sz w:val="24"/>
          <w:szCs w:val="24"/>
        </w:rPr>
        <w:t>d.  For both transfers and consolidations, in addition to those items listed in Paragraph (1) or (2) above:</w:t>
      </w:r>
    </w:p>
    <w:p w:rsidR="003B0880" w:rsidRPr="00476BB9" w:rsidP="00476BB9" w14:paraId="47336667" w14:textId="77777777">
      <w:pPr>
        <w:tabs>
          <w:tab w:val="left" w:pos="360"/>
        </w:tabs>
        <w:ind w:left="360" w:hanging="360"/>
        <w:rPr>
          <w:b/>
          <w:bCs/>
          <w:sz w:val="24"/>
          <w:szCs w:val="24"/>
        </w:rPr>
      </w:pPr>
    </w:p>
    <w:p w:rsidR="00476BB9" w:rsidRPr="00B151FB" w:rsidP="00B151FB" w14:paraId="522867A3" w14:textId="77777777">
      <w:pPr>
        <w:pStyle w:val="ListParagraph"/>
        <w:numPr>
          <w:ilvl w:val="0"/>
          <w:numId w:val="23"/>
        </w:numPr>
        <w:tabs>
          <w:tab w:val="left" w:pos="360"/>
        </w:tabs>
        <w:rPr>
          <w:sz w:val="24"/>
          <w:szCs w:val="24"/>
        </w:rPr>
      </w:pPr>
      <w:r w:rsidRPr="00B151FB">
        <w:rPr>
          <w:sz w:val="24"/>
          <w:szCs w:val="24"/>
        </w:rPr>
        <w:t>Requested effective date (must be at least 120 days after submission date).</w:t>
      </w:r>
    </w:p>
    <w:p w:rsidR="00476BB9" w:rsidRPr="00B151FB" w:rsidP="00B151FB" w14:paraId="731CCA8D" w14:textId="77777777">
      <w:pPr>
        <w:pStyle w:val="ListParagraph"/>
        <w:numPr>
          <w:ilvl w:val="0"/>
          <w:numId w:val="23"/>
        </w:numPr>
        <w:tabs>
          <w:tab w:val="left" w:pos="360"/>
        </w:tabs>
        <w:rPr>
          <w:sz w:val="24"/>
          <w:szCs w:val="24"/>
        </w:rPr>
      </w:pPr>
      <w:r w:rsidRPr="00B151FB">
        <w:rPr>
          <w:sz w:val="24"/>
          <w:szCs w:val="24"/>
        </w:rPr>
        <w:t>Each divesting PHA ‘s name and PHA Code.</w:t>
      </w:r>
    </w:p>
    <w:p w:rsidR="00476BB9" w:rsidRPr="00B151FB" w:rsidP="00B151FB" w14:paraId="32938A78" w14:textId="77777777">
      <w:pPr>
        <w:pStyle w:val="ListParagraph"/>
        <w:numPr>
          <w:ilvl w:val="0"/>
          <w:numId w:val="23"/>
        </w:numPr>
        <w:tabs>
          <w:tab w:val="left" w:pos="360"/>
        </w:tabs>
        <w:rPr>
          <w:sz w:val="24"/>
          <w:szCs w:val="24"/>
        </w:rPr>
      </w:pPr>
      <w:r w:rsidRPr="00B151FB">
        <w:rPr>
          <w:sz w:val="24"/>
          <w:szCs w:val="24"/>
        </w:rPr>
        <w:t>Inventory of projects and units to be transferred or consolidated, including PIC development grouping (formerly known as an Asset Management Project or AMP) numbers and the buildings and units associated with each number required by HUD, including submission of final audits and financial statements.</w:t>
      </w:r>
    </w:p>
    <w:p w:rsidR="00476BB9" w:rsidRPr="00B151FB" w:rsidP="00B151FB" w14:paraId="6133F230" w14:textId="77777777">
      <w:pPr>
        <w:pStyle w:val="ListParagraph"/>
        <w:numPr>
          <w:ilvl w:val="0"/>
          <w:numId w:val="23"/>
        </w:numPr>
        <w:tabs>
          <w:tab w:val="left" w:pos="360"/>
        </w:tabs>
        <w:rPr>
          <w:sz w:val="24"/>
          <w:szCs w:val="24"/>
        </w:rPr>
      </w:pPr>
      <w:r w:rsidRPr="00B151FB">
        <w:rPr>
          <w:sz w:val="24"/>
          <w:szCs w:val="24"/>
        </w:rPr>
        <w:t>Resolution of each divesting PHA’s governing body agreeing to transfer/consolidate its program to/with another PHA and to complete all transfer/consolidation actions (proposed transfers and consolidations must be permitted by state PHA enabling law).</w:t>
      </w:r>
    </w:p>
    <w:p w:rsidR="00476BB9" w:rsidRPr="00B151FB" w:rsidP="00B151FB" w14:paraId="20DEF80D" w14:textId="77777777">
      <w:pPr>
        <w:pStyle w:val="ListParagraph"/>
        <w:numPr>
          <w:ilvl w:val="0"/>
          <w:numId w:val="23"/>
        </w:numPr>
        <w:tabs>
          <w:tab w:val="left" w:pos="360"/>
        </w:tabs>
        <w:rPr>
          <w:sz w:val="24"/>
          <w:szCs w:val="24"/>
        </w:rPr>
      </w:pPr>
      <w:r w:rsidRPr="00B151FB">
        <w:rPr>
          <w:sz w:val="24"/>
          <w:szCs w:val="24"/>
        </w:rPr>
        <w:t>Resolution or ordinance, as appropriate, by each divesting PHA’s enabling jurisdiction assigning the HUD programs to the receiving/consolidated PHA, permitting the receiving/consolidated PHA to function in its jurisdiction, and agreeing to complete all transfer/consolidation actions required by HUD.</w:t>
      </w:r>
    </w:p>
    <w:p w:rsidR="00476BB9" w:rsidRPr="00B151FB" w:rsidP="00B151FB" w14:paraId="24DED1AF" w14:textId="77777777">
      <w:pPr>
        <w:pStyle w:val="ListParagraph"/>
        <w:numPr>
          <w:ilvl w:val="0"/>
          <w:numId w:val="23"/>
        </w:numPr>
        <w:tabs>
          <w:tab w:val="left" w:pos="360"/>
        </w:tabs>
        <w:rPr>
          <w:sz w:val="24"/>
          <w:szCs w:val="24"/>
        </w:rPr>
      </w:pPr>
      <w:r w:rsidRPr="00B151FB">
        <w:rPr>
          <w:sz w:val="24"/>
          <w:szCs w:val="24"/>
        </w:rPr>
        <w:t>Opinion from the counsel of each divesting PHA making representation of any Court orders, consent decrees, State or local receiverships or similar status, unsatisfied judgments against it, and any known potential or pending legal actions; any unusual or large liabilities, including but not limited to pension liabilities, unpaid settlements, and insurance claims; and any administrative or enforcement matter, such as an unresolved letter of findings under any fair housing or civil rights authority or a currently effective Voluntary Compliance Agreement (VCA) or Inspector General audit;</w:t>
      </w:r>
    </w:p>
    <w:p w:rsidR="00476BB9" w:rsidRPr="00B151FB" w:rsidP="00B151FB" w14:paraId="131EDA94" w14:textId="77777777">
      <w:pPr>
        <w:pStyle w:val="ListParagraph"/>
        <w:numPr>
          <w:ilvl w:val="0"/>
          <w:numId w:val="23"/>
        </w:numPr>
        <w:tabs>
          <w:tab w:val="left" w:pos="360"/>
        </w:tabs>
        <w:rPr>
          <w:sz w:val="24"/>
          <w:szCs w:val="24"/>
        </w:rPr>
      </w:pPr>
      <w:r w:rsidRPr="00B151FB">
        <w:rPr>
          <w:sz w:val="24"/>
          <w:szCs w:val="24"/>
        </w:rPr>
        <w:t>Statement from each divesting PHA identifying any Public Housing demolition, disposition, or conversion actions that are pending approval, have been approved but not implemented, and those that have been completed for which deed restrictions, use agreements, reverter clauses, or other similar restrictions have been recorded.</w:t>
      </w:r>
    </w:p>
    <w:p w:rsidR="00476BB9" w:rsidRPr="00B151FB" w:rsidP="00B151FB" w14:paraId="21B4157E" w14:textId="77777777">
      <w:pPr>
        <w:pStyle w:val="ListParagraph"/>
        <w:numPr>
          <w:ilvl w:val="0"/>
          <w:numId w:val="23"/>
        </w:numPr>
        <w:tabs>
          <w:tab w:val="left" w:pos="360"/>
        </w:tabs>
        <w:rPr>
          <w:sz w:val="24"/>
          <w:szCs w:val="24"/>
        </w:rPr>
      </w:pPr>
      <w:r w:rsidRPr="00B151FB">
        <w:rPr>
          <w:sz w:val="24"/>
          <w:szCs w:val="24"/>
        </w:rPr>
        <w:t>Statement from each divesting PHA identifying and describing all instrumentalities, affiliates, and nonprofit entities of the PHA, which have an interest in any developments or units of the Public Housing program being transferred to the receiving PHA.</w:t>
      </w:r>
    </w:p>
    <w:p w:rsidR="00476BB9" w:rsidRPr="00B151FB" w:rsidP="00B151FB" w14:paraId="14A93F52" w14:textId="77777777">
      <w:pPr>
        <w:pStyle w:val="ListParagraph"/>
        <w:numPr>
          <w:ilvl w:val="0"/>
          <w:numId w:val="23"/>
        </w:numPr>
        <w:tabs>
          <w:tab w:val="left" w:pos="360"/>
        </w:tabs>
        <w:rPr>
          <w:sz w:val="24"/>
          <w:szCs w:val="24"/>
        </w:rPr>
      </w:pPr>
      <w:r w:rsidRPr="00B151FB">
        <w:rPr>
          <w:sz w:val="24"/>
          <w:szCs w:val="24"/>
        </w:rPr>
        <w:t>Statement from each divesting PHA identifying any non-HUD programs that may have an impact or be impacted by the transfer/consolidation.</w:t>
      </w:r>
    </w:p>
    <w:p w:rsidR="009E13B1" w:rsidRPr="006C7FAE" w14:paraId="58B111F6" w14:textId="3BEED746">
      <w:pPr>
        <w:tabs>
          <w:tab w:val="left" w:pos="360"/>
        </w:tabs>
        <w:ind w:left="360" w:hanging="360"/>
        <w:rPr>
          <w:sz w:val="24"/>
          <w:szCs w:val="24"/>
        </w:rPr>
      </w:pPr>
    </w:p>
    <w:p w:rsidR="009E13B1" w:rsidRPr="006C7FAE" w14:paraId="1C0AE1D0" w14:textId="77777777">
      <w:pPr>
        <w:keepLines/>
        <w:tabs>
          <w:tab w:val="left" w:pos="360"/>
        </w:tabs>
        <w:spacing w:after="80"/>
        <w:ind w:left="360" w:hanging="360"/>
        <w:rPr>
          <w:sz w:val="24"/>
          <w:szCs w:val="24"/>
        </w:rPr>
      </w:pPr>
      <w:r w:rsidRPr="006C7FAE">
        <w:rPr>
          <w:sz w:val="24"/>
          <w:szCs w:val="24"/>
        </w:rPr>
        <w:t>4.</w:t>
      </w:r>
      <w:r w:rsidRPr="006C7FAE">
        <w:rPr>
          <w:sz w:val="24"/>
          <w:szCs w:val="24"/>
        </w:rPr>
        <w:tab/>
      </w:r>
      <w:r w:rsidRPr="00B151FB">
        <w:rPr>
          <w:b/>
          <w:bCs/>
          <w:sz w:val="24"/>
          <w:szCs w:val="24"/>
        </w:rPr>
        <w:t>Describe efforts to identify duplication.  Show specifically why any similar information already available cannot be used or modified for use for the purposes described in Item 2 above.</w:t>
      </w:r>
    </w:p>
    <w:p w:rsidR="00EF7B69" w:rsidRPr="00EF7B69" w:rsidP="00EF7B69" w14:paraId="40B6509F" w14:textId="77777777">
      <w:pPr>
        <w:keepLines/>
        <w:tabs>
          <w:tab w:val="left" w:pos="360"/>
          <w:tab w:val="left" w:pos="720"/>
        </w:tabs>
        <w:ind w:left="360"/>
        <w:rPr>
          <w:sz w:val="24"/>
          <w:szCs w:val="24"/>
        </w:rPr>
      </w:pPr>
      <w:r w:rsidRPr="00EF7B69">
        <w:rPr>
          <w:sz w:val="24"/>
          <w:szCs w:val="24"/>
        </w:rPr>
        <w:t>There will be no duplication of information. There is no similar information already available that could be used or modified.</w:t>
      </w:r>
    </w:p>
    <w:p w:rsidR="009E13B1" w:rsidRPr="006C7FAE" w14:paraId="68859B10" w14:textId="77777777">
      <w:pPr>
        <w:keepLines/>
        <w:tabs>
          <w:tab w:val="left" w:pos="360"/>
          <w:tab w:val="left" w:pos="720"/>
        </w:tabs>
        <w:ind w:left="360"/>
        <w:rPr>
          <w:sz w:val="24"/>
          <w:szCs w:val="24"/>
        </w:rPr>
      </w:pPr>
    </w:p>
    <w:p w:rsidR="009E13B1" w:rsidRPr="006C7FAE" w14:paraId="689A9EFC" w14:textId="77777777">
      <w:pPr>
        <w:keepLines/>
        <w:tabs>
          <w:tab w:val="left" w:pos="360"/>
        </w:tabs>
        <w:spacing w:after="80"/>
        <w:ind w:left="360" w:hanging="360"/>
        <w:rPr>
          <w:sz w:val="24"/>
          <w:szCs w:val="24"/>
        </w:rPr>
      </w:pPr>
      <w:r w:rsidRPr="006C7FAE">
        <w:rPr>
          <w:sz w:val="24"/>
          <w:szCs w:val="24"/>
        </w:rPr>
        <w:t>5.</w:t>
      </w:r>
      <w:r w:rsidRPr="006C7FAE">
        <w:rPr>
          <w:sz w:val="24"/>
          <w:szCs w:val="24"/>
        </w:rPr>
        <w:tab/>
      </w:r>
      <w:r w:rsidRPr="00EF7B69">
        <w:rPr>
          <w:b/>
          <w:bCs/>
          <w:sz w:val="24"/>
          <w:szCs w:val="24"/>
        </w:rPr>
        <w:t>If the collection of information impacts small businesses or other small entities describe any methods used to minimize burden.</w:t>
      </w:r>
    </w:p>
    <w:p w:rsidR="00EF7B69" w:rsidRPr="00EF7B69" w:rsidP="00EF7B69" w14:paraId="6E20F47D" w14:textId="77777777">
      <w:pPr>
        <w:tabs>
          <w:tab w:val="left" w:pos="360"/>
        </w:tabs>
        <w:ind w:left="360" w:hanging="360"/>
        <w:rPr>
          <w:sz w:val="24"/>
          <w:szCs w:val="24"/>
        </w:rPr>
      </w:pPr>
      <w:r>
        <w:rPr>
          <w:sz w:val="24"/>
          <w:szCs w:val="24"/>
        </w:rPr>
        <w:tab/>
      </w:r>
      <w:r w:rsidRPr="00EF7B69">
        <w:rPr>
          <w:sz w:val="24"/>
          <w:szCs w:val="24"/>
        </w:rPr>
        <w:t>There is no significant impact on small businesses or other small entities by this collection.</w:t>
      </w:r>
    </w:p>
    <w:p w:rsidR="009E13B1" w:rsidRPr="006C7FAE" w14:paraId="0ED21226" w14:textId="01504FF5">
      <w:pPr>
        <w:tabs>
          <w:tab w:val="left" w:pos="360"/>
        </w:tabs>
        <w:ind w:left="360" w:hanging="360"/>
        <w:rPr>
          <w:sz w:val="24"/>
          <w:szCs w:val="24"/>
        </w:rPr>
      </w:pPr>
    </w:p>
    <w:p w:rsidR="009E13B1" w:rsidRPr="006C7FAE" w14:paraId="2C0F0529" w14:textId="77777777">
      <w:pPr>
        <w:keepLines/>
        <w:tabs>
          <w:tab w:val="left" w:pos="360"/>
        </w:tabs>
        <w:spacing w:after="80"/>
        <w:ind w:left="360" w:hanging="360"/>
        <w:rPr>
          <w:sz w:val="24"/>
          <w:szCs w:val="24"/>
        </w:rPr>
      </w:pPr>
      <w:r w:rsidRPr="006C7FAE">
        <w:rPr>
          <w:sz w:val="24"/>
          <w:szCs w:val="24"/>
        </w:rPr>
        <w:t>6.</w:t>
      </w:r>
      <w:r w:rsidRPr="006C7FAE">
        <w:rPr>
          <w:sz w:val="24"/>
          <w:szCs w:val="24"/>
        </w:rPr>
        <w:tab/>
      </w:r>
      <w:r w:rsidRPr="00EF7B69">
        <w:rPr>
          <w:b/>
          <w:bCs/>
          <w:sz w:val="24"/>
          <w:szCs w:val="24"/>
        </w:rPr>
        <w:t>Describe the consequence to Federal program or policy activities if the collection is not conducted or is conducted less frequently, as well as any technical or legal obstacles to reducing burden.</w:t>
      </w:r>
    </w:p>
    <w:p w:rsidR="009E13B1" w:rsidP="00EF7B69" w14:paraId="5745C910" w14:textId="7201F234">
      <w:pPr>
        <w:keepLines/>
        <w:tabs>
          <w:tab w:val="left" w:pos="360"/>
          <w:tab w:val="left" w:pos="720"/>
        </w:tabs>
        <w:ind w:left="360"/>
        <w:rPr>
          <w:sz w:val="24"/>
          <w:szCs w:val="24"/>
        </w:rPr>
      </w:pPr>
      <w:r w:rsidRPr="00EF7B69">
        <w:rPr>
          <w:sz w:val="24"/>
          <w:szCs w:val="24"/>
        </w:rPr>
        <w:t>If the information is not collected at the point of transaction, HUD may not be able to pay Operating Fund or Capital Fund subsidies to support the continued operation of public housing properties. Without this funding, public housing agencies may not be able to purchase utilities or other services basic to the operation of multiple dwelling housing enterprises.</w:t>
      </w:r>
    </w:p>
    <w:p w:rsidR="00EF7B69" w:rsidP="00EF7B69" w14:paraId="08DFEC3F" w14:textId="77777777">
      <w:pPr>
        <w:keepLines/>
        <w:tabs>
          <w:tab w:val="left" w:pos="360"/>
          <w:tab w:val="left" w:pos="720"/>
        </w:tabs>
        <w:ind w:left="360"/>
        <w:rPr>
          <w:sz w:val="24"/>
          <w:szCs w:val="24"/>
        </w:rPr>
      </w:pPr>
    </w:p>
    <w:p w:rsidR="002C59CE" w:rsidP="00EF7B69" w14:paraId="02B2B8D5" w14:textId="77777777">
      <w:pPr>
        <w:keepLines/>
        <w:tabs>
          <w:tab w:val="left" w:pos="360"/>
          <w:tab w:val="left" w:pos="720"/>
        </w:tabs>
        <w:ind w:left="360"/>
        <w:rPr>
          <w:sz w:val="24"/>
          <w:szCs w:val="24"/>
        </w:rPr>
      </w:pPr>
    </w:p>
    <w:p w:rsidR="002C59CE" w:rsidP="00EF7B69" w14:paraId="7226DF8C" w14:textId="77777777">
      <w:pPr>
        <w:keepLines/>
        <w:tabs>
          <w:tab w:val="left" w:pos="360"/>
          <w:tab w:val="left" w:pos="720"/>
        </w:tabs>
        <w:ind w:left="360"/>
        <w:rPr>
          <w:sz w:val="24"/>
          <w:szCs w:val="24"/>
        </w:rPr>
      </w:pPr>
    </w:p>
    <w:p w:rsidR="002C59CE" w:rsidRPr="006C7FAE" w:rsidP="00EF7B69" w14:paraId="36EB30E3" w14:textId="77777777">
      <w:pPr>
        <w:keepLines/>
        <w:tabs>
          <w:tab w:val="left" w:pos="360"/>
          <w:tab w:val="left" w:pos="720"/>
        </w:tabs>
        <w:ind w:left="360"/>
        <w:rPr>
          <w:sz w:val="24"/>
          <w:szCs w:val="24"/>
        </w:rPr>
      </w:pPr>
    </w:p>
    <w:p w:rsidR="00A65F9E" w:rsidRPr="00EF7B69" w14:paraId="2B3F5C7B" w14:textId="77777777">
      <w:pPr>
        <w:numPr>
          <w:ilvl w:val="0"/>
          <w:numId w:val="13"/>
        </w:numPr>
        <w:tabs>
          <w:tab w:val="left" w:pos="360"/>
        </w:tabs>
        <w:rPr>
          <w:b/>
          <w:bCs/>
          <w:sz w:val="24"/>
          <w:szCs w:val="24"/>
        </w:rPr>
      </w:pPr>
      <w:r w:rsidRPr="00EF7B69">
        <w:rPr>
          <w:b/>
          <w:bCs/>
          <w:sz w:val="24"/>
          <w:szCs w:val="24"/>
        </w:rPr>
        <w:t>Explain any special circumstances that would cause an information collection to be conducted in a manner:</w:t>
      </w:r>
    </w:p>
    <w:p w:rsidR="002C59CE" w:rsidP="002C59CE" w14:paraId="5505177A" w14:textId="3F6280C2">
      <w:pPr>
        <w:tabs>
          <w:tab w:val="left" w:pos="360"/>
        </w:tabs>
        <w:ind w:left="360"/>
        <w:rPr>
          <w:sz w:val="24"/>
          <w:szCs w:val="24"/>
        </w:rPr>
      </w:pPr>
    </w:p>
    <w:p w:rsidR="00A65F9E" w:rsidRPr="002C59CE" w:rsidP="002C59CE" w14:paraId="1E7CAB58" w14:textId="2C5AF1D2">
      <w:pPr>
        <w:pStyle w:val="NoSpacing"/>
        <w:numPr>
          <w:ilvl w:val="0"/>
          <w:numId w:val="27"/>
        </w:numPr>
        <w:rPr>
          <w:sz w:val="24"/>
          <w:szCs w:val="24"/>
        </w:rPr>
      </w:pPr>
      <w:r w:rsidRPr="002C59CE">
        <w:rPr>
          <w:sz w:val="24"/>
          <w:szCs w:val="24"/>
        </w:rPr>
        <w:t>r</w:t>
      </w:r>
      <w:r w:rsidRPr="002C59CE" w:rsidR="009E13B1">
        <w:rPr>
          <w:sz w:val="24"/>
          <w:szCs w:val="24"/>
        </w:rPr>
        <w:t xml:space="preserve">equiring respondents to report information to the agency more than quarterly; </w:t>
      </w:r>
      <w:r w:rsidRPr="002C59CE">
        <w:rPr>
          <w:sz w:val="24"/>
          <w:szCs w:val="24"/>
        </w:rPr>
        <w:t xml:space="preserve"> </w:t>
      </w:r>
      <w:r w:rsidRPr="002C59CE" w:rsidR="00EF7B69">
        <w:rPr>
          <w:b/>
          <w:sz w:val="24"/>
          <w:szCs w:val="24"/>
        </w:rPr>
        <w:t>Not Applicable</w:t>
      </w:r>
    </w:p>
    <w:p w:rsidR="00A65F9E" w:rsidRPr="002C59CE" w:rsidP="002C59CE" w14:paraId="5CE80399" w14:textId="37FBBF22">
      <w:pPr>
        <w:pStyle w:val="NoSpacing"/>
        <w:numPr>
          <w:ilvl w:val="0"/>
          <w:numId w:val="27"/>
        </w:numPr>
        <w:rPr>
          <w:sz w:val="24"/>
          <w:szCs w:val="24"/>
        </w:rPr>
      </w:pPr>
      <w:r w:rsidRPr="002C59CE">
        <w:rPr>
          <w:sz w:val="24"/>
          <w:szCs w:val="24"/>
        </w:rPr>
        <w:t xml:space="preserve">requiring respondents to prepare a written response to a collection of information in fewer than 30 days after receipt of it; </w:t>
      </w:r>
      <w:r w:rsidRPr="002C59CE" w:rsidR="00EF7B69">
        <w:rPr>
          <w:b/>
          <w:sz w:val="24"/>
          <w:szCs w:val="24"/>
        </w:rPr>
        <w:t>Not Applicable</w:t>
      </w:r>
    </w:p>
    <w:p w:rsidR="00A65F9E" w:rsidRPr="002C59CE" w:rsidP="002C59CE" w14:paraId="42E1C60F" w14:textId="4FE05DE2">
      <w:pPr>
        <w:pStyle w:val="NoSpacing"/>
        <w:numPr>
          <w:ilvl w:val="0"/>
          <w:numId w:val="27"/>
        </w:numPr>
        <w:rPr>
          <w:sz w:val="24"/>
          <w:szCs w:val="24"/>
        </w:rPr>
      </w:pPr>
      <w:r w:rsidRPr="002C59CE">
        <w:rPr>
          <w:sz w:val="24"/>
          <w:szCs w:val="24"/>
        </w:rPr>
        <w:t xml:space="preserve">requiring respondents to submit more than an original and two copies of any document; </w:t>
      </w:r>
      <w:r w:rsidRPr="002C59CE" w:rsidR="00EF7B69">
        <w:rPr>
          <w:b/>
          <w:sz w:val="24"/>
          <w:szCs w:val="24"/>
        </w:rPr>
        <w:t>Not Applicable</w:t>
      </w:r>
    </w:p>
    <w:p w:rsidR="00A65F9E" w:rsidRPr="002C59CE" w:rsidP="002C59CE" w14:paraId="18078737" w14:textId="6D7E7B78">
      <w:pPr>
        <w:pStyle w:val="NoSpacing"/>
        <w:numPr>
          <w:ilvl w:val="0"/>
          <w:numId w:val="27"/>
        </w:numPr>
        <w:rPr>
          <w:sz w:val="24"/>
          <w:szCs w:val="24"/>
        </w:rPr>
      </w:pPr>
      <w:r w:rsidRPr="002C59CE">
        <w:rPr>
          <w:sz w:val="24"/>
          <w:szCs w:val="24"/>
        </w:rPr>
        <w:t xml:space="preserve">requiring respondents to retain records other than health, medical, government contract, grant-in-aid, or tax records for more than three years; </w:t>
      </w:r>
      <w:bookmarkStart w:id="0" w:name="_Hlk189598693"/>
      <w:r w:rsidRPr="002C59CE" w:rsidR="00EF7B69">
        <w:rPr>
          <w:b/>
          <w:sz w:val="24"/>
          <w:szCs w:val="24"/>
        </w:rPr>
        <w:t>Not Applicable</w:t>
      </w:r>
      <w:bookmarkEnd w:id="0"/>
    </w:p>
    <w:p w:rsidR="009E13B1" w:rsidRPr="002C59CE" w:rsidP="002C59CE" w14:paraId="73DB0897" w14:textId="434BA5CB">
      <w:pPr>
        <w:pStyle w:val="NoSpacing"/>
        <w:numPr>
          <w:ilvl w:val="0"/>
          <w:numId w:val="27"/>
        </w:numPr>
        <w:rPr>
          <w:sz w:val="24"/>
          <w:szCs w:val="24"/>
        </w:rPr>
      </w:pPr>
      <w:r w:rsidRPr="002C59CE">
        <w:rPr>
          <w:sz w:val="24"/>
          <w:szCs w:val="24"/>
        </w:rPr>
        <w:t xml:space="preserve">in connection with a statistical </w:t>
      </w:r>
      <w:r w:rsidRPr="002C59CE">
        <w:rPr>
          <w:sz w:val="24"/>
          <w:szCs w:val="24"/>
        </w:rPr>
        <w:t>survey,</w:t>
      </w:r>
      <w:r w:rsidRPr="002C59CE">
        <w:rPr>
          <w:sz w:val="24"/>
          <w:szCs w:val="24"/>
        </w:rPr>
        <w:t xml:space="preserve"> that is not designed to produce valid and reliable results than can be generalized to the universe of study; </w:t>
      </w:r>
      <w:r w:rsidRPr="002C59CE" w:rsidR="002C59CE">
        <w:rPr>
          <w:b/>
          <w:sz w:val="24"/>
          <w:szCs w:val="24"/>
        </w:rPr>
        <w:t>Not Applicable</w:t>
      </w:r>
    </w:p>
    <w:p w:rsidR="009E13B1" w:rsidRPr="002C59CE" w:rsidP="002C59CE" w14:paraId="66012806" w14:textId="2EF8D98E">
      <w:pPr>
        <w:pStyle w:val="NoSpacing"/>
        <w:numPr>
          <w:ilvl w:val="0"/>
          <w:numId w:val="27"/>
        </w:numPr>
        <w:rPr>
          <w:sz w:val="24"/>
          <w:szCs w:val="24"/>
        </w:rPr>
      </w:pPr>
      <w:r w:rsidRPr="002C59CE">
        <w:rPr>
          <w:sz w:val="24"/>
          <w:szCs w:val="24"/>
        </w:rPr>
        <w:t>requiring the use of a statistical data classification that has not been reviewed and approved by OMB;</w:t>
      </w:r>
      <w:r w:rsidRPr="002C59CE" w:rsidR="002C59CE">
        <w:rPr>
          <w:sz w:val="24"/>
          <w:szCs w:val="24"/>
        </w:rPr>
        <w:t xml:space="preserve"> </w:t>
      </w:r>
      <w:r w:rsidRPr="002C59CE">
        <w:rPr>
          <w:sz w:val="24"/>
          <w:szCs w:val="24"/>
        </w:rPr>
        <w:t xml:space="preserve"> </w:t>
      </w:r>
      <w:r w:rsidRPr="002C59CE" w:rsidR="00EF7B69">
        <w:rPr>
          <w:b/>
          <w:sz w:val="24"/>
          <w:szCs w:val="24"/>
        </w:rPr>
        <w:t>Not Applicable</w:t>
      </w:r>
    </w:p>
    <w:p w:rsidR="00A65F9E" w:rsidRPr="002C59CE" w:rsidP="002C59CE" w14:paraId="4497C6FF" w14:textId="1BBEEDA9">
      <w:pPr>
        <w:pStyle w:val="NoSpacing"/>
        <w:numPr>
          <w:ilvl w:val="0"/>
          <w:numId w:val="27"/>
        </w:numPr>
        <w:rPr>
          <w:sz w:val="24"/>
          <w:szCs w:val="24"/>
        </w:rPr>
      </w:pPr>
      <w:r w:rsidRPr="002C59CE">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2C59CE" w:rsidR="00EF7B69">
        <w:rPr>
          <w:b/>
          <w:sz w:val="24"/>
          <w:szCs w:val="24"/>
        </w:rPr>
        <w:t>Not Applicable</w:t>
      </w:r>
    </w:p>
    <w:p w:rsidR="009E13B1" w:rsidRPr="002C59CE" w:rsidP="002C59CE" w14:paraId="313F58B2" w14:textId="0C943E8F">
      <w:pPr>
        <w:pStyle w:val="NoSpacing"/>
        <w:numPr>
          <w:ilvl w:val="0"/>
          <w:numId w:val="27"/>
        </w:numPr>
        <w:rPr>
          <w:b/>
        </w:rPr>
      </w:pPr>
      <w:r w:rsidRPr="002C59CE">
        <w:rPr>
          <w:sz w:val="24"/>
          <w:szCs w:val="24"/>
        </w:rPr>
        <w:t>r</w:t>
      </w:r>
      <w:r w:rsidRPr="002C59CE">
        <w:rPr>
          <w:sz w:val="24"/>
          <w:szCs w:val="24"/>
        </w:rPr>
        <w:t xml:space="preserve">equiring respondents to submit proprietary trade </w:t>
      </w:r>
      <w:r w:rsidRPr="002C59CE">
        <w:rPr>
          <w:sz w:val="24"/>
          <w:szCs w:val="24"/>
        </w:rPr>
        <w:t>secret</w:t>
      </w:r>
      <w:r w:rsidRPr="002C59CE">
        <w:rPr>
          <w:sz w:val="24"/>
          <w:szCs w:val="24"/>
        </w:rPr>
        <w:t>, or other confidential information unless the agency can demonstrate that it has instituted procedures to protect the information's confidentiality to the extent permitted by law.</w:t>
      </w:r>
      <w:r w:rsidRPr="002C59CE">
        <w:rPr>
          <w:sz w:val="24"/>
          <w:szCs w:val="24"/>
        </w:rPr>
        <w:t xml:space="preserve"> </w:t>
      </w:r>
      <w:r w:rsidRPr="002C59CE" w:rsidR="00EF7B69">
        <w:rPr>
          <w:b/>
          <w:sz w:val="24"/>
          <w:szCs w:val="24"/>
        </w:rPr>
        <w:t>Not Applicable</w:t>
      </w:r>
    </w:p>
    <w:p w:rsidR="00EF7B69" w:rsidRPr="006C7FAE" w:rsidP="00EF7B69" w14:paraId="504F1258" w14:textId="77777777">
      <w:pPr>
        <w:tabs>
          <w:tab w:val="left" w:pos="288"/>
          <w:tab w:val="left" w:pos="360"/>
        </w:tabs>
        <w:ind w:left="360" w:hanging="360"/>
        <w:rPr>
          <w:sz w:val="24"/>
          <w:szCs w:val="24"/>
        </w:rPr>
      </w:pPr>
    </w:p>
    <w:p w:rsidR="00A65F9E" w:rsidRPr="00EF7B69" w:rsidP="00A65F9E" w14:paraId="663A6B8B" w14:textId="77777777">
      <w:pPr>
        <w:numPr>
          <w:ilvl w:val="0"/>
          <w:numId w:val="13"/>
        </w:numPr>
        <w:tabs>
          <w:tab w:val="left" w:pos="360"/>
        </w:tabs>
        <w:rPr>
          <w:b/>
          <w:bCs/>
          <w:sz w:val="24"/>
          <w:szCs w:val="24"/>
        </w:rPr>
      </w:pPr>
      <w:r w:rsidRPr="00EF7B69">
        <w:rPr>
          <w:b/>
          <w:bCs/>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E13B1" w:rsidRPr="006C7FAE" w:rsidP="00A65F9E" w14:paraId="6A3CAD41" w14:textId="77777777">
      <w:pPr>
        <w:tabs>
          <w:tab w:val="left" w:pos="360"/>
        </w:tabs>
        <w:ind w:left="360"/>
        <w:rPr>
          <w:sz w:val="24"/>
          <w:szCs w:val="24"/>
        </w:rPr>
      </w:pPr>
      <w:r w:rsidRPr="006C7FAE">
        <w:rPr>
          <w:sz w:val="24"/>
          <w:szCs w:val="24"/>
        </w:rPr>
        <w:t xml:space="preserve"> </w:t>
      </w:r>
    </w:p>
    <w:p w:rsidR="009E13B1" w:rsidRPr="002C59CE" w:rsidP="002C59CE" w14:paraId="34CF76D2" w14:textId="77777777">
      <w:pPr>
        <w:pStyle w:val="ListParagraph"/>
        <w:numPr>
          <w:ilvl w:val="0"/>
          <w:numId w:val="25"/>
        </w:numPr>
        <w:tabs>
          <w:tab w:val="left" w:pos="360"/>
        </w:tabs>
        <w:rPr>
          <w:b/>
          <w:bCs/>
          <w:sz w:val="24"/>
          <w:szCs w:val="24"/>
        </w:rPr>
      </w:pPr>
      <w:r w:rsidRPr="002C59CE">
        <w:rPr>
          <w:b/>
          <w:bCs/>
          <w:sz w:val="24"/>
          <w:szCs w:val="24"/>
        </w:rPr>
        <w:t xml:space="preserve">Describe efforts to consult with </w:t>
      </w:r>
      <w:r w:rsidRPr="002C59CE">
        <w:rPr>
          <w:b/>
          <w:bCs/>
          <w:sz w:val="24"/>
          <w:szCs w:val="24"/>
        </w:rPr>
        <w:t>persons</w:t>
      </w:r>
      <w:r w:rsidRPr="002C59CE">
        <w:rPr>
          <w:b/>
          <w:bCs/>
          <w:sz w:val="24"/>
          <w:szCs w:val="24"/>
        </w:rPr>
        <w:t xml:space="preserve"> outside the agency to obtain their views on the availability of data, frequency of collection, the clarity of instructions and recordkeeping disclosure, or reporting format (if any) and the data elements to be recorded, disclosed, or reported.</w:t>
      </w:r>
    </w:p>
    <w:p w:rsidR="00A65F9E" w:rsidRPr="002C59CE" w:rsidP="00A65F9E" w14:paraId="160E38D3" w14:textId="77777777">
      <w:pPr>
        <w:keepLines/>
        <w:tabs>
          <w:tab w:val="left" w:pos="360"/>
        </w:tabs>
        <w:spacing w:after="80"/>
        <w:ind w:left="480"/>
        <w:rPr>
          <w:b/>
          <w:bCs/>
          <w:sz w:val="24"/>
          <w:szCs w:val="24"/>
        </w:rPr>
      </w:pPr>
    </w:p>
    <w:p w:rsidR="009E13B1" w:rsidRPr="002C59CE" w:rsidP="002C59CE" w14:paraId="3AA6A4A9" w14:textId="77777777">
      <w:pPr>
        <w:pStyle w:val="ListParagraph"/>
        <w:keepLines/>
        <w:numPr>
          <w:ilvl w:val="0"/>
          <w:numId w:val="25"/>
        </w:numPr>
        <w:tabs>
          <w:tab w:val="left" w:pos="360"/>
        </w:tabs>
        <w:spacing w:after="80"/>
        <w:rPr>
          <w:b/>
          <w:bCs/>
          <w:sz w:val="24"/>
          <w:szCs w:val="24"/>
        </w:rPr>
      </w:pPr>
      <w:r w:rsidRPr="002C59CE">
        <w:rPr>
          <w:b/>
          <w:bCs/>
          <w:sz w:val="24"/>
          <w:szCs w:val="24"/>
        </w:rPr>
        <w:t>Consultation</w:t>
      </w:r>
      <w:r w:rsidRPr="002C59CE">
        <w:rPr>
          <w:b/>
          <w:bCs/>
          <w:sz w:val="24"/>
          <w:szCs w:val="24"/>
        </w:rPr>
        <w:t xml:space="preserve">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EF7B69" w:rsidP="00EF7B69" w14:paraId="2374CCE3" w14:textId="77777777">
      <w:pPr>
        <w:pStyle w:val="ListParagraph"/>
        <w:rPr>
          <w:sz w:val="24"/>
          <w:szCs w:val="24"/>
        </w:rPr>
      </w:pPr>
    </w:p>
    <w:p w:rsidR="00EF7B69" w:rsidRPr="00EF7B69" w:rsidP="00EF7B69" w14:paraId="2A3E1F13" w14:textId="77777777">
      <w:pPr>
        <w:keepLines/>
        <w:tabs>
          <w:tab w:val="left" w:pos="360"/>
        </w:tabs>
        <w:spacing w:after="80"/>
        <w:ind w:left="480"/>
        <w:rPr>
          <w:sz w:val="24"/>
          <w:szCs w:val="24"/>
        </w:rPr>
      </w:pPr>
      <w:r w:rsidRPr="00EF7B69">
        <w:rPr>
          <w:sz w:val="24"/>
          <w:szCs w:val="24"/>
        </w:rPr>
        <w:t xml:space="preserve">The Department last published a Notice of Proposed Information Collection for Public in the </w:t>
      </w:r>
      <w:r w:rsidRPr="00EF7B69">
        <w:rPr>
          <w:i/>
          <w:sz w:val="24"/>
          <w:szCs w:val="24"/>
          <w:u w:val="single"/>
        </w:rPr>
        <w:t>Federal Register</w:t>
      </w:r>
      <w:r w:rsidRPr="00EF7B69">
        <w:rPr>
          <w:sz w:val="24"/>
          <w:szCs w:val="24"/>
        </w:rPr>
        <w:t>, 84376, Volume 89, number 204 (</w:t>
      </w:r>
      <w:r w:rsidRPr="00EF7B69">
        <w:rPr>
          <w:b/>
          <w:bCs/>
          <w:sz w:val="24"/>
          <w:szCs w:val="24"/>
        </w:rPr>
        <w:t>FR-7091-N-08</w:t>
      </w:r>
      <w:r w:rsidRPr="00EF7B69">
        <w:rPr>
          <w:sz w:val="24"/>
          <w:szCs w:val="24"/>
        </w:rPr>
        <w:t>), on October 22, 2024. The public was given until December 21, 2024, to submit comments on the proposal. The Department received no comments on that proposed collection.</w:t>
      </w:r>
    </w:p>
    <w:p w:rsidR="009E13B1" w:rsidRPr="006C7FAE" w14:paraId="0FD54BC5" w14:textId="77777777">
      <w:pPr>
        <w:keepLines/>
        <w:tabs>
          <w:tab w:val="left" w:pos="360"/>
        </w:tabs>
        <w:spacing w:after="80"/>
        <w:ind w:left="360" w:hanging="360"/>
        <w:rPr>
          <w:sz w:val="24"/>
          <w:szCs w:val="24"/>
        </w:rPr>
      </w:pPr>
      <w:r w:rsidRPr="006C7FAE">
        <w:rPr>
          <w:sz w:val="24"/>
          <w:szCs w:val="24"/>
        </w:rPr>
        <w:t>9.</w:t>
      </w:r>
      <w:r w:rsidRPr="006C7FAE">
        <w:rPr>
          <w:sz w:val="24"/>
          <w:szCs w:val="24"/>
        </w:rPr>
        <w:tab/>
      </w:r>
      <w:r w:rsidRPr="00EF7B69">
        <w:rPr>
          <w:b/>
          <w:bCs/>
          <w:sz w:val="24"/>
          <w:szCs w:val="24"/>
        </w:rPr>
        <w:t>Explain any decision to provide any payment or gift to respondents, other than renumeration of contractors or grantees.</w:t>
      </w:r>
    </w:p>
    <w:p w:rsidR="00EF7B69" w:rsidRPr="00EF7B69" w:rsidP="00EF7B69" w14:paraId="2A0EFDD1" w14:textId="77777777">
      <w:pPr>
        <w:tabs>
          <w:tab w:val="left" w:pos="360"/>
        </w:tabs>
        <w:ind w:left="360" w:hanging="360"/>
        <w:rPr>
          <w:sz w:val="24"/>
          <w:szCs w:val="24"/>
        </w:rPr>
      </w:pPr>
      <w:r>
        <w:rPr>
          <w:sz w:val="24"/>
          <w:szCs w:val="24"/>
        </w:rPr>
        <w:tab/>
      </w:r>
      <w:r w:rsidRPr="00EF7B69">
        <w:rPr>
          <w:sz w:val="24"/>
          <w:szCs w:val="24"/>
        </w:rPr>
        <w:t>No payments or gifts are provided.</w:t>
      </w:r>
    </w:p>
    <w:p w:rsidR="009E13B1" w:rsidRPr="006C7FAE" w14:paraId="04C87772" w14:textId="1C2C0B67">
      <w:pPr>
        <w:tabs>
          <w:tab w:val="left" w:pos="360"/>
        </w:tabs>
        <w:ind w:left="360" w:hanging="360"/>
        <w:rPr>
          <w:sz w:val="24"/>
          <w:szCs w:val="24"/>
        </w:rPr>
      </w:pPr>
    </w:p>
    <w:p w:rsidR="009E13B1" w:rsidRPr="006C7FAE" w14:paraId="199B10B5" w14:textId="77777777">
      <w:pPr>
        <w:keepLines/>
        <w:tabs>
          <w:tab w:val="left" w:pos="360"/>
        </w:tabs>
        <w:spacing w:after="80"/>
        <w:ind w:left="360" w:hanging="360"/>
        <w:rPr>
          <w:sz w:val="24"/>
          <w:szCs w:val="24"/>
        </w:rPr>
      </w:pPr>
      <w:r w:rsidRPr="006C7FAE">
        <w:rPr>
          <w:sz w:val="24"/>
          <w:szCs w:val="24"/>
        </w:rPr>
        <w:t>10.</w:t>
      </w:r>
      <w:r w:rsidRPr="006C7FAE">
        <w:rPr>
          <w:sz w:val="24"/>
          <w:szCs w:val="24"/>
        </w:rPr>
        <w:tab/>
      </w:r>
      <w:r w:rsidRPr="00EF7B69">
        <w:rPr>
          <w:b/>
          <w:bCs/>
          <w:sz w:val="24"/>
          <w:szCs w:val="24"/>
        </w:rPr>
        <w:t>Describe any assurance of confidentiality provided to respondents and the basis for assurance in statute, regulation or agency policy.</w:t>
      </w:r>
      <w:r w:rsidRPr="00EF7B69" w:rsidR="000D5079">
        <w:rPr>
          <w:b/>
          <w:bCs/>
        </w:rPr>
        <w:t xml:space="preserve"> </w:t>
      </w:r>
      <w:r w:rsidRPr="00EF7B69" w:rsidR="000D5079">
        <w:rPr>
          <w:b/>
          <w:bCs/>
          <w:sz w:val="24"/>
          <w:szCs w:val="24"/>
        </w:rPr>
        <w:t xml:space="preserve">If the collection requires a </w:t>
      </w:r>
      <w:r w:rsidRPr="00EF7B69" w:rsidR="00BB2518">
        <w:rPr>
          <w:b/>
          <w:bCs/>
          <w:sz w:val="24"/>
          <w:szCs w:val="24"/>
        </w:rPr>
        <w:t>system of records notice (SORN)</w:t>
      </w:r>
      <w:r w:rsidRPr="00EF7B69" w:rsidR="000D5079">
        <w:rPr>
          <w:b/>
          <w:bCs/>
          <w:sz w:val="24"/>
          <w:szCs w:val="24"/>
        </w:rPr>
        <w:t xml:space="preserve"> or privacy impact assessment (PIA), those should be cited and described here.</w:t>
      </w:r>
    </w:p>
    <w:p w:rsidR="00EF7B69" w:rsidRPr="00EF7B69" w:rsidP="00EF7B69" w14:paraId="77BC3B13" w14:textId="77777777">
      <w:pPr>
        <w:tabs>
          <w:tab w:val="left" w:pos="360"/>
        </w:tabs>
        <w:ind w:left="360" w:hanging="360"/>
        <w:rPr>
          <w:sz w:val="24"/>
          <w:szCs w:val="24"/>
        </w:rPr>
      </w:pPr>
      <w:r>
        <w:rPr>
          <w:sz w:val="24"/>
          <w:szCs w:val="24"/>
        </w:rPr>
        <w:tab/>
      </w:r>
      <w:r w:rsidRPr="00EF7B69">
        <w:rPr>
          <w:sz w:val="24"/>
          <w:szCs w:val="24"/>
        </w:rPr>
        <w:t>Almost all documents in this information collection are public documents, either recorded with units of local government, States, or HUD. Financial and banking documents which list account numbers, any bank or business enterprise account balances, are maintained confidentially in accordance with the HUD standards.</w:t>
      </w:r>
    </w:p>
    <w:p w:rsidR="00EF7B69" w:rsidRPr="00EF7B69" w:rsidP="00EF7B69" w14:paraId="0B3344BD" w14:textId="331346B7">
      <w:pPr>
        <w:tabs>
          <w:tab w:val="left" w:pos="360"/>
        </w:tabs>
        <w:ind w:left="360" w:hanging="360"/>
        <w:rPr>
          <w:sz w:val="24"/>
          <w:szCs w:val="24"/>
        </w:rPr>
      </w:pPr>
      <w:r>
        <w:rPr>
          <w:sz w:val="24"/>
          <w:szCs w:val="24"/>
        </w:rPr>
        <w:tab/>
      </w:r>
      <w:r w:rsidRPr="00EF7B69">
        <w:rPr>
          <w:sz w:val="24"/>
          <w:szCs w:val="24"/>
        </w:rPr>
        <w:t>The information collection is public information; therefore, there is no assurance of confidentiality.</w:t>
      </w:r>
    </w:p>
    <w:p w:rsidR="009E13B1" w:rsidRPr="006C7FAE" w14:paraId="6CDC9D62" w14:textId="48E0AB73">
      <w:pPr>
        <w:tabs>
          <w:tab w:val="left" w:pos="360"/>
        </w:tabs>
        <w:ind w:left="360" w:hanging="360"/>
        <w:rPr>
          <w:sz w:val="24"/>
          <w:szCs w:val="24"/>
        </w:rPr>
      </w:pPr>
    </w:p>
    <w:p w:rsidR="009E13B1" w:rsidRPr="006C7FAE" w14:paraId="668EAA31" w14:textId="77777777">
      <w:pPr>
        <w:keepLines/>
        <w:tabs>
          <w:tab w:val="left" w:pos="360"/>
        </w:tabs>
        <w:spacing w:after="80"/>
        <w:ind w:left="360" w:hanging="360"/>
        <w:rPr>
          <w:sz w:val="24"/>
          <w:szCs w:val="24"/>
        </w:rPr>
      </w:pPr>
      <w:r w:rsidRPr="006C7FAE">
        <w:rPr>
          <w:sz w:val="24"/>
          <w:szCs w:val="24"/>
        </w:rPr>
        <w:t>11.</w:t>
      </w:r>
      <w:r w:rsidRPr="006C7FAE">
        <w:rPr>
          <w:sz w:val="24"/>
          <w:szCs w:val="24"/>
        </w:rPr>
        <w:tab/>
      </w:r>
      <w:r w:rsidRPr="00EF7B69">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65F9E" w14:paraId="1022163F" w14:textId="3204599D">
      <w:pPr>
        <w:tabs>
          <w:tab w:val="left" w:pos="360"/>
        </w:tabs>
        <w:ind w:left="360" w:hanging="360"/>
        <w:rPr>
          <w:sz w:val="24"/>
          <w:szCs w:val="24"/>
        </w:rPr>
      </w:pPr>
      <w:r>
        <w:rPr>
          <w:sz w:val="24"/>
          <w:szCs w:val="24"/>
        </w:rPr>
        <w:tab/>
      </w:r>
      <w:r w:rsidRPr="00EF7B69">
        <w:rPr>
          <w:sz w:val="24"/>
          <w:szCs w:val="24"/>
        </w:rPr>
        <w:t>No such questions are asked.</w:t>
      </w:r>
    </w:p>
    <w:p w:rsidR="00A65F9E" w14:paraId="06BC304E" w14:textId="77777777">
      <w:pPr>
        <w:tabs>
          <w:tab w:val="left" w:pos="360"/>
        </w:tabs>
        <w:ind w:left="360" w:hanging="360"/>
        <w:rPr>
          <w:sz w:val="24"/>
          <w:szCs w:val="24"/>
        </w:rPr>
      </w:pPr>
    </w:p>
    <w:p w:rsidR="000D5079" w:rsidRPr="00EF7B69" w14:paraId="7C95C366" w14:textId="77777777">
      <w:pPr>
        <w:tabs>
          <w:tab w:val="left" w:pos="360"/>
        </w:tabs>
        <w:ind w:left="360" w:hanging="360"/>
        <w:rPr>
          <w:b/>
          <w:bCs/>
          <w:sz w:val="24"/>
          <w:szCs w:val="24"/>
        </w:rPr>
      </w:pPr>
      <w:r w:rsidRPr="006C7FAE">
        <w:rPr>
          <w:sz w:val="24"/>
          <w:szCs w:val="24"/>
        </w:rPr>
        <w:t>12.</w:t>
      </w:r>
      <w:r w:rsidRPr="006C7FAE">
        <w:rPr>
          <w:sz w:val="24"/>
          <w:szCs w:val="24"/>
        </w:rPr>
        <w:tab/>
      </w:r>
      <w:r w:rsidRPr="00EF7B69">
        <w:rPr>
          <w:b/>
          <w:bCs/>
          <w:sz w:val="24"/>
          <w:szCs w:val="24"/>
        </w:rPr>
        <w:t>Provide estimates of the hour burden of the collection of information.  The statement should:</w:t>
      </w:r>
    </w:p>
    <w:p w:rsidR="009E13B1" w:rsidRPr="006C7FAE" w14:paraId="1876208F" w14:textId="77777777">
      <w:pPr>
        <w:tabs>
          <w:tab w:val="left" w:pos="360"/>
        </w:tabs>
        <w:ind w:left="360" w:hanging="360"/>
        <w:rPr>
          <w:sz w:val="24"/>
          <w:szCs w:val="24"/>
        </w:rPr>
      </w:pPr>
      <w:r w:rsidRPr="006C7FAE">
        <w:rPr>
          <w:sz w:val="24"/>
          <w:szCs w:val="24"/>
        </w:rPr>
        <w:t xml:space="preserve"> </w:t>
      </w:r>
    </w:p>
    <w:p w:rsidR="009E13B1" w:rsidRPr="002C59CE" w:rsidP="002C59CE" w14:paraId="06CBD536" w14:textId="77777777">
      <w:pPr>
        <w:pStyle w:val="NoSpacing"/>
        <w:numPr>
          <w:ilvl w:val="0"/>
          <w:numId w:val="29"/>
        </w:numPr>
        <w:rPr>
          <w:sz w:val="24"/>
          <w:szCs w:val="24"/>
        </w:rPr>
      </w:pPr>
      <w:r w:rsidRPr="002C59CE">
        <w:rPr>
          <w:sz w:val="24"/>
          <w:szCs w:val="24"/>
        </w:rPr>
        <w:t>I</w:t>
      </w:r>
      <w:r w:rsidRPr="002C59CE">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2C59CE" w:rsidR="006C7FAE">
        <w:rPr>
          <w:sz w:val="24"/>
          <w:szCs w:val="24"/>
        </w:rPr>
        <w:t>Generally,</w:t>
      </w:r>
      <w:r w:rsidRPr="002C59CE">
        <w:rPr>
          <w:sz w:val="24"/>
          <w:szCs w:val="24"/>
        </w:rPr>
        <w:t xml:space="preserve"> estimates should not include burden hours for customary and usual business </w:t>
      </w:r>
      <w:r w:rsidRPr="002C59CE">
        <w:rPr>
          <w:sz w:val="24"/>
          <w:szCs w:val="24"/>
        </w:rPr>
        <w:t>practices;</w:t>
      </w:r>
      <w:r w:rsidRPr="002C59CE">
        <w:rPr>
          <w:sz w:val="24"/>
          <w:szCs w:val="24"/>
        </w:rPr>
        <w:t xml:space="preserve"> </w:t>
      </w:r>
    </w:p>
    <w:p w:rsidR="009E13B1" w:rsidRPr="002C59CE" w:rsidP="002C59CE" w14:paraId="54BF2220" w14:textId="77777777">
      <w:pPr>
        <w:pStyle w:val="NoSpacing"/>
        <w:numPr>
          <w:ilvl w:val="0"/>
          <w:numId w:val="29"/>
        </w:numPr>
        <w:rPr>
          <w:sz w:val="24"/>
          <w:szCs w:val="24"/>
        </w:rPr>
      </w:pPr>
      <w:r w:rsidRPr="002C59CE">
        <w:rPr>
          <w:sz w:val="24"/>
          <w:szCs w:val="24"/>
        </w:rPr>
        <w:t>I</w:t>
      </w:r>
      <w:r w:rsidRPr="002C59CE">
        <w:rPr>
          <w:sz w:val="24"/>
          <w:szCs w:val="24"/>
        </w:rPr>
        <w:t xml:space="preserve">f this request covers more than one form, provide separate hour burden estimates for each form and aggregate the hour burdens in </w:t>
      </w:r>
      <w:r w:rsidRPr="002C59CE" w:rsidR="00CA06CC">
        <w:rPr>
          <w:sz w:val="24"/>
          <w:szCs w:val="24"/>
        </w:rPr>
        <w:t>chart</w:t>
      </w:r>
      <w:r w:rsidRPr="002C59CE" w:rsidR="00CA06CC">
        <w:rPr>
          <w:sz w:val="24"/>
          <w:szCs w:val="24"/>
        </w:rPr>
        <w:t xml:space="preserve"> below</w:t>
      </w:r>
      <w:r w:rsidRPr="002C59CE">
        <w:rPr>
          <w:sz w:val="24"/>
          <w:szCs w:val="24"/>
        </w:rPr>
        <w:t xml:space="preserve">; and </w:t>
      </w:r>
    </w:p>
    <w:p w:rsidR="009E13B1" w:rsidRPr="002C59CE" w:rsidP="002C59CE" w14:paraId="438D1797" w14:textId="77777777">
      <w:pPr>
        <w:pStyle w:val="NoSpacing"/>
        <w:numPr>
          <w:ilvl w:val="0"/>
          <w:numId w:val="29"/>
        </w:numPr>
        <w:rPr>
          <w:sz w:val="24"/>
          <w:szCs w:val="24"/>
        </w:rPr>
      </w:pPr>
      <w:r w:rsidRPr="002C59CE">
        <w:rPr>
          <w:sz w:val="24"/>
          <w:szCs w:val="24"/>
        </w:rPr>
        <w:t>P</w:t>
      </w:r>
      <w:r w:rsidRPr="002C59CE">
        <w:rPr>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2C59CE" w:rsidR="00CA06CC">
        <w:rPr>
          <w:sz w:val="24"/>
          <w:szCs w:val="24"/>
        </w:rPr>
        <w:t>Instead,</w:t>
      </w:r>
      <w:r w:rsidRPr="002C59CE">
        <w:rPr>
          <w:sz w:val="24"/>
          <w:szCs w:val="24"/>
        </w:rPr>
        <w:t xml:space="preserve"> this cost should be included in Item 13.</w:t>
      </w:r>
    </w:p>
    <w:p w:rsidR="00B32CB5" w:rsidP="00B32CB5" w14:paraId="495DEE2C" w14:textId="77777777">
      <w:pPr>
        <w:keepLines/>
        <w:tabs>
          <w:tab w:val="left" w:pos="480"/>
        </w:tabs>
        <w:spacing w:after="80"/>
        <w:ind w:left="480"/>
        <w:rPr>
          <w:sz w:val="24"/>
          <w:szCs w:val="24"/>
        </w:rPr>
      </w:pPr>
    </w:p>
    <w:p w:rsidR="00B32CB5" w:rsidRPr="008206C3" w:rsidP="002C59CE" w14:paraId="088A233B" w14:textId="5234A9AB">
      <w:pPr>
        <w:ind w:left="720"/>
        <w:rPr>
          <w:sz w:val="24"/>
          <w:szCs w:val="24"/>
        </w:rPr>
      </w:pPr>
      <w:r w:rsidRPr="008206C3">
        <w:rPr>
          <w:sz w:val="24"/>
          <w:szCs w:val="24"/>
        </w:rPr>
        <w:t>Total Burden Hours Estimation for Transfer and Consolidation of Public Housing Programs</w:t>
      </w:r>
    </w:p>
    <w:p w:rsidR="00B32CB5" w:rsidRPr="008206C3" w:rsidP="002C59CE" w14:paraId="3676467B" w14:textId="77777777">
      <w:pPr>
        <w:ind w:left="720"/>
        <w:rPr>
          <w:sz w:val="24"/>
          <w:szCs w:val="24"/>
        </w:rPr>
      </w:pPr>
    </w:p>
    <w:p w:rsidR="00BC50C0" w:rsidRPr="008206C3" w:rsidP="002C59CE" w14:paraId="16CEE043" w14:textId="4B818E5E">
      <w:pPr>
        <w:ind w:left="720"/>
        <w:rPr>
          <w:sz w:val="24"/>
          <w:szCs w:val="24"/>
        </w:rPr>
      </w:pPr>
      <w:r w:rsidRPr="008206C3">
        <w:rPr>
          <w:sz w:val="24"/>
          <w:szCs w:val="24"/>
        </w:rPr>
        <w:t>There are 2,729 PHAs (as of May 13, 2024) operating public housing programs. Based on current</w:t>
      </w:r>
      <w:r w:rsidR="002C59CE">
        <w:rPr>
          <w:sz w:val="24"/>
          <w:szCs w:val="24"/>
        </w:rPr>
        <w:t xml:space="preserve"> </w:t>
      </w:r>
      <w:r w:rsidRPr="008206C3">
        <w:rPr>
          <w:sz w:val="24"/>
          <w:szCs w:val="24"/>
        </w:rPr>
        <w:t xml:space="preserve">experience, HUD estimates that there will be </w:t>
      </w:r>
      <w:r w:rsidR="002374EF">
        <w:rPr>
          <w:sz w:val="24"/>
          <w:szCs w:val="24"/>
        </w:rPr>
        <w:t>approximately</w:t>
      </w:r>
      <w:r w:rsidRPr="008206C3">
        <w:rPr>
          <w:sz w:val="24"/>
          <w:szCs w:val="24"/>
        </w:rPr>
        <w:t xml:space="preserve"> </w:t>
      </w:r>
      <w:r w:rsidR="002B0FD0">
        <w:rPr>
          <w:sz w:val="24"/>
          <w:szCs w:val="24"/>
        </w:rPr>
        <w:t>five</w:t>
      </w:r>
      <w:r w:rsidRPr="008206C3">
        <w:rPr>
          <w:sz w:val="24"/>
          <w:szCs w:val="24"/>
        </w:rPr>
        <w:t xml:space="preserve"> (</w:t>
      </w:r>
      <w:r w:rsidR="002B0FD0">
        <w:rPr>
          <w:sz w:val="24"/>
          <w:szCs w:val="24"/>
        </w:rPr>
        <w:t>5</w:t>
      </w:r>
      <w:r w:rsidRPr="008206C3">
        <w:rPr>
          <w:sz w:val="24"/>
          <w:szCs w:val="24"/>
        </w:rPr>
        <w:t>) transfers or consolidations combined in any given calendar year. In each transaction, HUD estimates there will be two participant PHAs (consolidations of more than two PHAs are exceedingly rare) with the receiving PHA (in the case of a transfer) or the consolidated PHA (in the case of a consolidation) will assume the larger administrative burden of the information submission requirements. The estimation of burden hours, therefore, is per transaction, assuming two respondents per transaction for an average-sized PHA (350 units).</w:t>
      </w:r>
    </w:p>
    <w:p w:rsidR="009E13B1" w:rsidRPr="006C7FAE" w14:paraId="197E2D1B" w14:textId="77777777">
      <w:pPr>
        <w:keepLines/>
        <w:tabs>
          <w:tab w:val="left" w:pos="360"/>
          <w:tab w:val="left" w:pos="720"/>
          <w:tab w:val="center" w:pos="1680"/>
          <w:tab w:val="center" w:pos="3120"/>
          <w:tab w:val="center" w:pos="4560"/>
          <w:tab w:val="center" w:pos="6000"/>
          <w:tab w:val="center" w:pos="7440"/>
          <w:tab w:val="center" w:pos="8880"/>
        </w:tabs>
        <w:ind w:left="360"/>
      </w:pPr>
    </w:p>
    <w:tbl>
      <w:tblPr>
        <w:tblW w:w="0" w:type="auto"/>
        <w:tblInd w:w="5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441"/>
        <w:gridCol w:w="1395"/>
        <w:gridCol w:w="1204"/>
        <w:gridCol w:w="1167"/>
        <w:gridCol w:w="1083"/>
        <w:gridCol w:w="915"/>
        <w:gridCol w:w="1083"/>
        <w:gridCol w:w="1004"/>
      </w:tblGrid>
      <w:tr w14:paraId="2AF62206" w14:textId="77777777" w:rsidTr="00A65F9E">
        <w:tblPrEx>
          <w:tblW w:w="0" w:type="auto"/>
          <w:tblInd w:w="5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469" w:type="dxa"/>
            <w:tcMar>
              <w:top w:w="0" w:type="dxa"/>
              <w:left w:w="108" w:type="dxa"/>
              <w:bottom w:w="0" w:type="dxa"/>
              <w:right w:w="108" w:type="dxa"/>
            </w:tcMar>
            <w:hideMark/>
          </w:tcPr>
          <w:p w:rsidR="00167E53" w:rsidRPr="006C7FAE" w:rsidP="00167E53" w14:paraId="18951238" w14:textId="77777777">
            <w:pPr>
              <w:adjustRightInd/>
              <w:jc w:val="center"/>
              <w:textAlignment w:val="auto"/>
              <w:rPr>
                <w:rFonts w:eastAsia="Calibri"/>
                <w:b/>
                <w:bCs/>
                <w:color w:val="000000"/>
              </w:rPr>
            </w:pPr>
            <w:bookmarkStart w:id="1" w:name="_Hlk72491044"/>
            <w:r w:rsidRPr="006C7FAE">
              <w:rPr>
                <w:rFonts w:eastAsia="Calibri"/>
                <w:b/>
                <w:bCs/>
                <w:color w:val="000000"/>
              </w:rPr>
              <w:t>Information Collection</w:t>
            </w:r>
          </w:p>
        </w:tc>
        <w:tc>
          <w:tcPr>
            <w:tcW w:w="1419" w:type="dxa"/>
            <w:tcMar>
              <w:top w:w="0" w:type="dxa"/>
              <w:left w:w="108" w:type="dxa"/>
              <w:bottom w:w="0" w:type="dxa"/>
              <w:right w:w="108" w:type="dxa"/>
            </w:tcMar>
            <w:hideMark/>
          </w:tcPr>
          <w:p w:rsidR="00167E53" w:rsidRPr="006C7FAE" w:rsidP="00167E53" w14:paraId="29E8A4AB" w14:textId="77777777">
            <w:pPr>
              <w:adjustRightInd/>
              <w:jc w:val="center"/>
              <w:textAlignment w:val="auto"/>
              <w:rPr>
                <w:rFonts w:eastAsia="Calibri"/>
                <w:b/>
                <w:bCs/>
                <w:color w:val="000000"/>
              </w:rPr>
            </w:pPr>
            <w:r w:rsidRPr="006C7FAE">
              <w:rPr>
                <w:rFonts w:eastAsia="Calibri"/>
                <w:b/>
                <w:bCs/>
                <w:color w:val="000000"/>
              </w:rPr>
              <w:t>Number of Respondents</w:t>
            </w:r>
          </w:p>
        </w:tc>
        <w:tc>
          <w:tcPr>
            <w:tcW w:w="1224" w:type="dxa"/>
            <w:tcMar>
              <w:top w:w="0" w:type="dxa"/>
              <w:left w:w="108" w:type="dxa"/>
              <w:bottom w:w="0" w:type="dxa"/>
              <w:right w:w="108" w:type="dxa"/>
            </w:tcMar>
            <w:hideMark/>
          </w:tcPr>
          <w:p w:rsidR="00167E53" w:rsidRPr="006C7FAE" w:rsidP="00167E53" w14:paraId="5D02020C" w14:textId="77777777">
            <w:pPr>
              <w:adjustRightInd/>
              <w:jc w:val="center"/>
              <w:textAlignment w:val="auto"/>
              <w:rPr>
                <w:rFonts w:eastAsia="Calibri"/>
                <w:b/>
                <w:bCs/>
                <w:color w:val="000000"/>
              </w:rPr>
            </w:pPr>
            <w:r w:rsidRPr="006C7FAE">
              <w:rPr>
                <w:rFonts w:eastAsia="Calibri"/>
                <w:b/>
                <w:bCs/>
                <w:color w:val="000000"/>
              </w:rPr>
              <w:t>Frequency of Response</w:t>
            </w:r>
          </w:p>
        </w:tc>
        <w:tc>
          <w:tcPr>
            <w:tcW w:w="1186" w:type="dxa"/>
            <w:tcMar>
              <w:top w:w="0" w:type="dxa"/>
              <w:left w:w="108" w:type="dxa"/>
              <w:bottom w:w="0" w:type="dxa"/>
              <w:right w:w="108" w:type="dxa"/>
            </w:tcMar>
            <w:hideMark/>
          </w:tcPr>
          <w:p w:rsidR="00167E53" w:rsidRPr="006C7FAE" w:rsidP="00167E53" w14:paraId="31155C9A" w14:textId="77777777">
            <w:pPr>
              <w:overflowPunct/>
              <w:autoSpaceDE/>
              <w:autoSpaceDN/>
              <w:adjustRightInd/>
              <w:jc w:val="center"/>
              <w:textAlignment w:val="auto"/>
              <w:rPr>
                <w:rFonts w:eastAsia="Calibri"/>
                <w:b/>
                <w:bCs/>
                <w:color w:val="000000"/>
              </w:rPr>
            </w:pPr>
            <w:r w:rsidRPr="006C7FAE">
              <w:rPr>
                <w:rFonts w:eastAsia="Calibri"/>
                <w:b/>
                <w:bCs/>
                <w:color w:val="000000"/>
              </w:rPr>
              <w:t>Responses</w:t>
            </w:r>
          </w:p>
          <w:p w:rsidR="00167E53" w:rsidRPr="006C7FAE" w:rsidP="00167E53" w14:paraId="1B8E5C69" w14:textId="77777777">
            <w:pPr>
              <w:adjustRightInd/>
              <w:jc w:val="center"/>
              <w:textAlignment w:val="auto"/>
              <w:rPr>
                <w:rFonts w:eastAsia="Calibri"/>
                <w:b/>
                <w:bCs/>
                <w:color w:val="000000"/>
              </w:rPr>
            </w:pPr>
            <w:r w:rsidRPr="006C7FAE">
              <w:rPr>
                <w:rFonts w:eastAsia="Calibri"/>
                <w:b/>
                <w:bCs/>
                <w:color w:val="000000"/>
              </w:rPr>
              <w:t>Per Annum</w:t>
            </w:r>
          </w:p>
        </w:tc>
        <w:tc>
          <w:tcPr>
            <w:tcW w:w="1100" w:type="dxa"/>
            <w:tcMar>
              <w:top w:w="0" w:type="dxa"/>
              <w:left w:w="108" w:type="dxa"/>
              <w:bottom w:w="0" w:type="dxa"/>
              <w:right w:w="108" w:type="dxa"/>
            </w:tcMar>
            <w:hideMark/>
          </w:tcPr>
          <w:p w:rsidR="00167E53" w:rsidRPr="006C7FAE" w:rsidP="00167E53" w14:paraId="3F7BE12A" w14:textId="77777777">
            <w:pPr>
              <w:adjustRightInd/>
              <w:jc w:val="center"/>
              <w:textAlignment w:val="auto"/>
              <w:rPr>
                <w:rFonts w:eastAsia="Calibri"/>
                <w:b/>
                <w:bCs/>
                <w:color w:val="000000"/>
              </w:rPr>
            </w:pPr>
            <w:r w:rsidRPr="006C7FAE">
              <w:rPr>
                <w:rFonts w:eastAsia="Calibri"/>
                <w:b/>
                <w:bCs/>
                <w:color w:val="000000"/>
              </w:rPr>
              <w:t>Burden Hour Per Response</w:t>
            </w:r>
          </w:p>
        </w:tc>
        <w:tc>
          <w:tcPr>
            <w:tcW w:w="929" w:type="dxa"/>
            <w:tcMar>
              <w:top w:w="0" w:type="dxa"/>
              <w:left w:w="108" w:type="dxa"/>
              <w:bottom w:w="0" w:type="dxa"/>
              <w:right w:w="108" w:type="dxa"/>
            </w:tcMar>
            <w:hideMark/>
          </w:tcPr>
          <w:p w:rsidR="00167E53" w:rsidRPr="006C7FAE" w:rsidP="00167E53" w14:paraId="0E79EADE" w14:textId="77777777">
            <w:pPr>
              <w:adjustRightInd/>
              <w:jc w:val="center"/>
              <w:textAlignment w:val="auto"/>
              <w:rPr>
                <w:rFonts w:eastAsia="Calibri"/>
                <w:b/>
                <w:bCs/>
                <w:color w:val="000000"/>
              </w:rPr>
            </w:pPr>
            <w:r w:rsidRPr="006C7FAE">
              <w:rPr>
                <w:rFonts w:eastAsia="Calibri"/>
                <w:b/>
                <w:bCs/>
                <w:color w:val="000000"/>
              </w:rPr>
              <w:t>Annual Burden Hours</w:t>
            </w:r>
          </w:p>
        </w:tc>
        <w:tc>
          <w:tcPr>
            <w:tcW w:w="1100" w:type="dxa"/>
            <w:tcMar>
              <w:top w:w="0" w:type="dxa"/>
              <w:left w:w="108" w:type="dxa"/>
              <w:bottom w:w="0" w:type="dxa"/>
              <w:right w:w="108" w:type="dxa"/>
            </w:tcMar>
            <w:hideMark/>
          </w:tcPr>
          <w:p w:rsidR="00167E53" w:rsidRPr="006C7FAE" w:rsidP="00167E53" w14:paraId="7633FB9F" w14:textId="77777777">
            <w:pPr>
              <w:adjustRightInd/>
              <w:jc w:val="center"/>
              <w:textAlignment w:val="auto"/>
              <w:rPr>
                <w:rFonts w:eastAsia="Calibri"/>
                <w:b/>
                <w:bCs/>
                <w:color w:val="000000"/>
              </w:rPr>
            </w:pPr>
            <w:r w:rsidRPr="006C7FAE">
              <w:rPr>
                <w:rFonts w:eastAsia="Calibri"/>
                <w:b/>
                <w:bCs/>
                <w:color w:val="000000"/>
              </w:rPr>
              <w:t>Hourly Cost Per Response</w:t>
            </w:r>
          </w:p>
        </w:tc>
        <w:tc>
          <w:tcPr>
            <w:tcW w:w="1041" w:type="dxa"/>
            <w:tcMar>
              <w:top w:w="0" w:type="dxa"/>
              <w:left w:w="108" w:type="dxa"/>
              <w:bottom w:w="0" w:type="dxa"/>
              <w:right w:w="108" w:type="dxa"/>
            </w:tcMar>
          </w:tcPr>
          <w:p w:rsidR="00167E53" w:rsidRPr="006C7FAE" w:rsidP="00167E53" w14:paraId="4348ECB6" w14:textId="77777777">
            <w:pPr>
              <w:overflowPunct/>
              <w:autoSpaceDE/>
              <w:autoSpaceDN/>
              <w:adjustRightInd/>
              <w:jc w:val="center"/>
              <w:textAlignment w:val="auto"/>
              <w:rPr>
                <w:rFonts w:eastAsia="Calibri"/>
                <w:b/>
                <w:bCs/>
                <w:color w:val="000000"/>
              </w:rPr>
            </w:pPr>
            <w:r w:rsidRPr="006C7FAE">
              <w:rPr>
                <w:rFonts w:eastAsia="Calibri"/>
                <w:b/>
                <w:bCs/>
                <w:color w:val="000000"/>
              </w:rPr>
              <w:t>Annual Cost</w:t>
            </w:r>
          </w:p>
          <w:p w:rsidR="00167E53" w:rsidRPr="006C7FAE" w:rsidP="00167E53" w14:paraId="5FADD5F6" w14:textId="77777777">
            <w:pPr>
              <w:adjustRightInd/>
              <w:jc w:val="center"/>
              <w:textAlignment w:val="auto"/>
              <w:rPr>
                <w:rFonts w:eastAsia="Calibri"/>
                <w:b/>
                <w:bCs/>
                <w:color w:val="000000"/>
              </w:rPr>
            </w:pPr>
          </w:p>
        </w:tc>
      </w:tr>
      <w:tr w14:paraId="1F2840D6" w14:textId="77777777" w:rsidTr="00A65F9E">
        <w:tblPrEx>
          <w:tblW w:w="0" w:type="auto"/>
          <w:tblInd w:w="588" w:type="dxa"/>
          <w:tblCellMar>
            <w:left w:w="0" w:type="dxa"/>
            <w:right w:w="0" w:type="dxa"/>
          </w:tblCellMar>
          <w:tblLook w:val="04A0"/>
        </w:tblPrEx>
        <w:tc>
          <w:tcPr>
            <w:tcW w:w="1469" w:type="dxa"/>
            <w:tcMar>
              <w:top w:w="0" w:type="dxa"/>
              <w:left w:w="108" w:type="dxa"/>
              <w:bottom w:w="0" w:type="dxa"/>
              <w:right w:w="108" w:type="dxa"/>
            </w:tcMar>
          </w:tcPr>
          <w:p w:rsidR="00167E53" w:rsidRPr="00B32CB5" w:rsidP="00167E53" w14:paraId="3F8409FC" w14:textId="36D3FB7C">
            <w:pPr>
              <w:adjustRightInd/>
              <w:textAlignment w:val="auto"/>
              <w:rPr>
                <w:rFonts w:eastAsia="Calibri"/>
                <w:color w:val="000000"/>
              </w:rPr>
            </w:pPr>
            <w:r w:rsidRPr="00B32CB5">
              <w:rPr>
                <w:rFonts w:eastAsia="Calibri"/>
                <w:color w:val="000000"/>
              </w:rPr>
              <w:t>Transfer of public housing (3 expected)</w:t>
            </w:r>
          </w:p>
        </w:tc>
        <w:tc>
          <w:tcPr>
            <w:tcW w:w="1419" w:type="dxa"/>
            <w:tcMar>
              <w:top w:w="0" w:type="dxa"/>
              <w:left w:w="108" w:type="dxa"/>
              <w:bottom w:w="0" w:type="dxa"/>
              <w:right w:w="108" w:type="dxa"/>
            </w:tcMar>
          </w:tcPr>
          <w:p w:rsidR="00167E53" w:rsidRPr="00B32CB5" w:rsidP="00167E53" w14:paraId="477FDF2A" w14:textId="6E7BF798">
            <w:pPr>
              <w:adjustRightInd/>
              <w:jc w:val="center"/>
              <w:textAlignment w:val="auto"/>
              <w:rPr>
                <w:rFonts w:eastAsia="Calibri"/>
                <w:color w:val="000000"/>
              </w:rPr>
            </w:pPr>
            <w:r w:rsidRPr="00B32CB5">
              <w:rPr>
                <w:rFonts w:eastAsia="Calibri"/>
                <w:color w:val="000000"/>
              </w:rPr>
              <w:t>6</w:t>
            </w:r>
          </w:p>
        </w:tc>
        <w:tc>
          <w:tcPr>
            <w:tcW w:w="1224" w:type="dxa"/>
            <w:tcMar>
              <w:top w:w="0" w:type="dxa"/>
              <w:left w:w="108" w:type="dxa"/>
              <w:bottom w:w="0" w:type="dxa"/>
              <w:right w:w="108" w:type="dxa"/>
            </w:tcMar>
          </w:tcPr>
          <w:p w:rsidR="00167E53" w:rsidRPr="00B32CB5" w:rsidP="00167E53" w14:paraId="0FA12733" w14:textId="50204B67">
            <w:pPr>
              <w:adjustRightInd/>
              <w:jc w:val="center"/>
              <w:textAlignment w:val="auto"/>
              <w:rPr>
                <w:rFonts w:eastAsia="Calibri"/>
                <w:color w:val="000000"/>
              </w:rPr>
            </w:pPr>
            <w:r w:rsidRPr="00B32CB5">
              <w:rPr>
                <w:rFonts w:eastAsia="Calibri"/>
                <w:color w:val="000000"/>
              </w:rPr>
              <w:t>1</w:t>
            </w:r>
          </w:p>
        </w:tc>
        <w:tc>
          <w:tcPr>
            <w:tcW w:w="1186" w:type="dxa"/>
            <w:tcMar>
              <w:top w:w="0" w:type="dxa"/>
              <w:left w:w="108" w:type="dxa"/>
              <w:bottom w:w="0" w:type="dxa"/>
              <w:right w:w="108" w:type="dxa"/>
            </w:tcMar>
          </w:tcPr>
          <w:p w:rsidR="00167E53" w:rsidRPr="00B32CB5" w:rsidP="00167E53" w14:paraId="34699A4F" w14:textId="5E7CABAC">
            <w:pPr>
              <w:adjustRightInd/>
              <w:jc w:val="center"/>
              <w:textAlignment w:val="auto"/>
              <w:rPr>
                <w:rFonts w:eastAsia="Calibri"/>
                <w:color w:val="000000"/>
              </w:rPr>
            </w:pPr>
            <w:r w:rsidRPr="00B32CB5">
              <w:rPr>
                <w:rFonts w:eastAsia="Calibri"/>
                <w:color w:val="000000"/>
              </w:rPr>
              <w:t>6</w:t>
            </w:r>
          </w:p>
        </w:tc>
        <w:tc>
          <w:tcPr>
            <w:tcW w:w="1100" w:type="dxa"/>
            <w:tcMar>
              <w:top w:w="0" w:type="dxa"/>
              <w:left w:w="108" w:type="dxa"/>
              <w:bottom w:w="0" w:type="dxa"/>
              <w:right w:w="108" w:type="dxa"/>
            </w:tcMar>
          </w:tcPr>
          <w:p w:rsidR="00167E53" w:rsidRPr="00B32CB5" w:rsidP="00167E53" w14:paraId="525186D0" w14:textId="4F156959">
            <w:pPr>
              <w:adjustRightInd/>
              <w:jc w:val="center"/>
              <w:textAlignment w:val="auto"/>
              <w:rPr>
                <w:rFonts w:eastAsia="Calibri"/>
                <w:color w:val="000000"/>
              </w:rPr>
            </w:pPr>
            <w:r w:rsidRPr="00B32CB5">
              <w:rPr>
                <w:rFonts w:eastAsia="Calibri"/>
                <w:color w:val="000000"/>
              </w:rPr>
              <w:t>1</w:t>
            </w:r>
            <w:r w:rsidR="00EF173E">
              <w:rPr>
                <w:rFonts w:eastAsia="Calibri"/>
                <w:color w:val="000000"/>
              </w:rPr>
              <w:t>2</w:t>
            </w:r>
            <w:r w:rsidRPr="00B32CB5">
              <w:rPr>
                <w:rFonts w:eastAsia="Calibri"/>
                <w:color w:val="000000"/>
              </w:rPr>
              <w:t>0</w:t>
            </w:r>
          </w:p>
        </w:tc>
        <w:tc>
          <w:tcPr>
            <w:tcW w:w="929" w:type="dxa"/>
            <w:tcMar>
              <w:top w:w="0" w:type="dxa"/>
              <w:left w:w="108" w:type="dxa"/>
              <w:bottom w:w="0" w:type="dxa"/>
              <w:right w:w="108" w:type="dxa"/>
            </w:tcMar>
          </w:tcPr>
          <w:p w:rsidR="00167E53" w:rsidRPr="00B32CB5" w:rsidP="00167E53" w14:paraId="1CADC9A8" w14:textId="7F446FBD">
            <w:pPr>
              <w:adjustRightInd/>
              <w:jc w:val="center"/>
              <w:textAlignment w:val="auto"/>
              <w:rPr>
                <w:rFonts w:eastAsia="Calibri"/>
                <w:color w:val="000000"/>
              </w:rPr>
            </w:pPr>
            <w:r>
              <w:rPr>
                <w:rFonts w:eastAsia="Calibri"/>
                <w:color w:val="000000"/>
              </w:rPr>
              <w:t>720</w:t>
            </w:r>
          </w:p>
        </w:tc>
        <w:tc>
          <w:tcPr>
            <w:tcW w:w="1100" w:type="dxa"/>
            <w:tcMar>
              <w:top w:w="0" w:type="dxa"/>
              <w:left w:w="108" w:type="dxa"/>
              <w:bottom w:w="0" w:type="dxa"/>
              <w:right w:w="108" w:type="dxa"/>
            </w:tcMar>
          </w:tcPr>
          <w:p w:rsidR="00167E53" w:rsidRPr="00B32CB5" w:rsidP="00167E53" w14:paraId="521E01AE" w14:textId="330F08C0">
            <w:pPr>
              <w:adjustRightInd/>
              <w:jc w:val="right"/>
              <w:textAlignment w:val="auto"/>
              <w:rPr>
                <w:rFonts w:eastAsia="Calibri"/>
                <w:color w:val="000000"/>
              </w:rPr>
            </w:pPr>
            <w:r w:rsidRPr="00B32CB5">
              <w:rPr>
                <w:rFonts w:eastAsia="Calibri"/>
                <w:color w:val="000000"/>
              </w:rPr>
              <w:t>$</w:t>
            </w:r>
            <w:r w:rsidR="00775025">
              <w:rPr>
                <w:rFonts w:eastAsia="Calibri"/>
                <w:color w:val="000000"/>
              </w:rPr>
              <w:t>25</w:t>
            </w:r>
            <w:r w:rsidR="00E51B8F">
              <w:rPr>
                <w:rFonts w:eastAsia="Calibri"/>
                <w:color w:val="000000"/>
              </w:rPr>
              <w:t>.97</w:t>
            </w:r>
            <w:r w:rsidRPr="00B32CB5">
              <w:rPr>
                <w:rFonts w:eastAsia="Calibri"/>
                <w:color w:val="000000"/>
              </w:rPr>
              <w:t>*</w:t>
            </w:r>
          </w:p>
        </w:tc>
        <w:tc>
          <w:tcPr>
            <w:tcW w:w="1041" w:type="dxa"/>
            <w:tcMar>
              <w:top w:w="0" w:type="dxa"/>
              <w:left w:w="108" w:type="dxa"/>
              <w:bottom w:w="0" w:type="dxa"/>
              <w:right w:w="108" w:type="dxa"/>
            </w:tcMar>
          </w:tcPr>
          <w:p w:rsidR="00167E53" w:rsidRPr="00B32CB5" w:rsidP="00167E53" w14:paraId="64334D45" w14:textId="45B55E95">
            <w:pPr>
              <w:adjustRightInd/>
              <w:jc w:val="right"/>
              <w:textAlignment w:val="auto"/>
              <w:rPr>
                <w:rFonts w:eastAsia="Calibri"/>
                <w:color w:val="000000"/>
              </w:rPr>
            </w:pPr>
            <w:r w:rsidRPr="00B32CB5">
              <w:rPr>
                <w:rFonts w:eastAsia="Calibri"/>
                <w:color w:val="000000"/>
              </w:rPr>
              <w:t>$1</w:t>
            </w:r>
            <w:r w:rsidR="006E4225">
              <w:rPr>
                <w:rFonts w:eastAsia="Calibri"/>
                <w:color w:val="000000"/>
              </w:rPr>
              <w:t>8</w:t>
            </w:r>
            <w:r w:rsidRPr="00B32CB5">
              <w:rPr>
                <w:rFonts w:eastAsia="Calibri"/>
                <w:color w:val="000000"/>
              </w:rPr>
              <w:t>,</w:t>
            </w:r>
            <w:r w:rsidR="00B049DC">
              <w:rPr>
                <w:rFonts w:eastAsia="Calibri"/>
                <w:color w:val="000000"/>
              </w:rPr>
              <w:t>698</w:t>
            </w:r>
          </w:p>
        </w:tc>
      </w:tr>
      <w:tr w14:paraId="7D4EF46E" w14:textId="77777777" w:rsidTr="00A65F9E">
        <w:tblPrEx>
          <w:tblW w:w="0" w:type="auto"/>
          <w:tblInd w:w="588" w:type="dxa"/>
          <w:tblCellMar>
            <w:left w:w="0" w:type="dxa"/>
            <w:right w:w="0" w:type="dxa"/>
          </w:tblCellMar>
          <w:tblLook w:val="04A0"/>
        </w:tblPrEx>
        <w:trPr>
          <w:trHeight w:val="85"/>
        </w:trPr>
        <w:tc>
          <w:tcPr>
            <w:tcW w:w="1469" w:type="dxa"/>
            <w:tcMar>
              <w:top w:w="0" w:type="dxa"/>
              <w:left w:w="108" w:type="dxa"/>
              <w:bottom w:w="0" w:type="dxa"/>
              <w:right w:w="108" w:type="dxa"/>
            </w:tcMar>
          </w:tcPr>
          <w:p w:rsidR="00D717DB" w:rsidRPr="00B32CB5" w:rsidP="00167E53" w14:paraId="664C1361" w14:textId="49F59C5A">
            <w:pPr>
              <w:adjustRightInd/>
              <w:textAlignment w:val="auto"/>
              <w:rPr>
                <w:rFonts w:eastAsia="Calibri"/>
                <w:color w:val="000000"/>
              </w:rPr>
            </w:pPr>
            <w:r w:rsidRPr="00B32CB5">
              <w:rPr>
                <w:rFonts w:eastAsia="Calibri"/>
                <w:color w:val="000000"/>
              </w:rPr>
              <w:t xml:space="preserve">Consolidation of public housing (2 </w:t>
            </w:r>
            <w:r w:rsidRPr="00B32CB5">
              <w:rPr>
                <w:rFonts w:eastAsia="Calibri"/>
                <w:color w:val="000000"/>
              </w:rPr>
              <w:br/>
              <w:t>expected)</w:t>
            </w:r>
          </w:p>
        </w:tc>
        <w:tc>
          <w:tcPr>
            <w:tcW w:w="1419" w:type="dxa"/>
            <w:tcMar>
              <w:top w:w="0" w:type="dxa"/>
              <w:left w:w="108" w:type="dxa"/>
              <w:bottom w:w="0" w:type="dxa"/>
              <w:right w:w="108" w:type="dxa"/>
            </w:tcMar>
          </w:tcPr>
          <w:p w:rsidR="00D717DB" w:rsidRPr="00B32CB5" w:rsidP="00167E53" w14:paraId="0F904E94" w14:textId="24D66653">
            <w:pPr>
              <w:adjustRightInd/>
              <w:jc w:val="center"/>
              <w:textAlignment w:val="auto"/>
              <w:rPr>
                <w:rFonts w:eastAsia="Calibri"/>
                <w:color w:val="000000"/>
              </w:rPr>
            </w:pPr>
            <w:r w:rsidRPr="00B32CB5">
              <w:rPr>
                <w:rFonts w:eastAsia="Calibri"/>
                <w:color w:val="000000"/>
              </w:rPr>
              <w:t>4</w:t>
            </w:r>
          </w:p>
        </w:tc>
        <w:tc>
          <w:tcPr>
            <w:tcW w:w="1224" w:type="dxa"/>
            <w:tcMar>
              <w:top w:w="0" w:type="dxa"/>
              <w:left w:w="108" w:type="dxa"/>
              <w:bottom w:w="0" w:type="dxa"/>
              <w:right w:w="108" w:type="dxa"/>
            </w:tcMar>
          </w:tcPr>
          <w:p w:rsidR="00D717DB" w:rsidRPr="00B32CB5" w:rsidP="00167E53" w14:paraId="2E232B2E" w14:textId="01F992AD">
            <w:pPr>
              <w:adjustRightInd/>
              <w:jc w:val="center"/>
              <w:textAlignment w:val="auto"/>
              <w:rPr>
                <w:rFonts w:eastAsia="Calibri"/>
                <w:color w:val="000000"/>
              </w:rPr>
            </w:pPr>
            <w:r w:rsidRPr="00B32CB5">
              <w:rPr>
                <w:rFonts w:eastAsia="Calibri"/>
                <w:color w:val="000000"/>
              </w:rPr>
              <w:t>1</w:t>
            </w:r>
          </w:p>
        </w:tc>
        <w:tc>
          <w:tcPr>
            <w:tcW w:w="1186" w:type="dxa"/>
            <w:tcMar>
              <w:top w:w="0" w:type="dxa"/>
              <w:left w:w="108" w:type="dxa"/>
              <w:bottom w:w="0" w:type="dxa"/>
              <w:right w:w="108" w:type="dxa"/>
            </w:tcMar>
          </w:tcPr>
          <w:p w:rsidR="00D717DB" w:rsidRPr="00B32CB5" w:rsidP="00167E53" w14:paraId="163C4C05" w14:textId="6FD2C17F">
            <w:pPr>
              <w:adjustRightInd/>
              <w:jc w:val="center"/>
              <w:textAlignment w:val="auto"/>
              <w:rPr>
                <w:rFonts w:eastAsia="Calibri"/>
                <w:color w:val="000000"/>
              </w:rPr>
            </w:pPr>
            <w:r w:rsidRPr="00B32CB5">
              <w:rPr>
                <w:rFonts w:eastAsia="Calibri"/>
                <w:color w:val="000000"/>
              </w:rPr>
              <w:t>4</w:t>
            </w:r>
          </w:p>
        </w:tc>
        <w:tc>
          <w:tcPr>
            <w:tcW w:w="1100" w:type="dxa"/>
            <w:tcMar>
              <w:top w:w="0" w:type="dxa"/>
              <w:left w:w="108" w:type="dxa"/>
              <w:bottom w:w="0" w:type="dxa"/>
              <w:right w:w="108" w:type="dxa"/>
            </w:tcMar>
          </w:tcPr>
          <w:p w:rsidR="00D717DB" w:rsidRPr="00B32CB5" w:rsidP="00167E53" w14:paraId="223D1A29" w14:textId="54382999">
            <w:pPr>
              <w:adjustRightInd/>
              <w:jc w:val="center"/>
              <w:textAlignment w:val="auto"/>
              <w:rPr>
                <w:rFonts w:eastAsia="Calibri"/>
                <w:color w:val="000000"/>
              </w:rPr>
            </w:pPr>
            <w:r>
              <w:rPr>
                <w:rFonts w:eastAsia="Calibri"/>
                <w:color w:val="000000"/>
              </w:rPr>
              <w:t>2</w:t>
            </w:r>
            <w:r w:rsidRPr="00B32CB5" w:rsidR="00B32CB5">
              <w:rPr>
                <w:rFonts w:eastAsia="Calibri"/>
                <w:color w:val="000000"/>
              </w:rPr>
              <w:t>00</w:t>
            </w:r>
          </w:p>
        </w:tc>
        <w:tc>
          <w:tcPr>
            <w:tcW w:w="929" w:type="dxa"/>
            <w:tcMar>
              <w:top w:w="0" w:type="dxa"/>
              <w:left w:w="108" w:type="dxa"/>
              <w:bottom w:w="0" w:type="dxa"/>
              <w:right w:w="108" w:type="dxa"/>
            </w:tcMar>
          </w:tcPr>
          <w:p w:rsidR="00D717DB" w:rsidRPr="00B32CB5" w:rsidP="00167E53" w14:paraId="1D214F2B" w14:textId="600AB572">
            <w:pPr>
              <w:adjustRightInd/>
              <w:jc w:val="center"/>
              <w:textAlignment w:val="auto"/>
              <w:rPr>
                <w:rFonts w:eastAsia="Calibri"/>
                <w:color w:val="000000"/>
              </w:rPr>
            </w:pPr>
            <w:r>
              <w:rPr>
                <w:rFonts w:eastAsia="Calibri"/>
                <w:color w:val="000000"/>
              </w:rPr>
              <w:t>8</w:t>
            </w:r>
            <w:r w:rsidRPr="00B32CB5" w:rsidR="00B32CB5">
              <w:rPr>
                <w:rFonts w:eastAsia="Calibri"/>
                <w:color w:val="000000"/>
              </w:rPr>
              <w:t>00</w:t>
            </w:r>
          </w:p>
        </w:tc>
        <w:tc>
          <w:tcPr>
            <w:tcW w:w="1100" w:type="dxa"/>
            <w:tcMar>
              <w:top w:w="0" w:type="dxa"/>
              <w:left w:w="108" w:type="dxa"/>
              <w:bottom w:w="0" w:type="dxa"/>
              <w:right w:w="108" w:type="dxa"/>
            </w:tcMar>
          </w:tcPr>
          <w:p w:rsidR="00D717DB" w:rsidRPr="00B32CB5" w:rsidP="00167E53" w14:paraId="21E6E7E9" w14:textId="230C959F">
            <w:pPr>
              <w:adjustRightInd/>
              <w:jc w:val="right"/>
              <w:textAlignment w:val="auto"/>
              <w:rPr>
                <w:rFonts w:eastAsia="Calibri"/>
                <w:color w:val="000000"/>
              </w:rPr>
            </w:pPr>
            <w:r w:rsidRPr="00B32CB5">
              <w:rPr>
                <w:rFonts w:eastAsia="Calibri"/>
                <w:color w:val="000000"/>
              </w:rPr>
              <w:t>$</w:t>
            </w:r>
            <w:r w:rsidR="00E51B8F">
              <w:rPr>
                <w:rFonts w:eastAsia="Calibri"/>
                <w:color w:val="000000"/>
              </w:rPr>
              <w:t>25.97</w:t>
            </w:r>
            <w:r w:rsidRPr="00B32CB5">
              <w:rPr>
                <w:rFonts w:eastAsia="Calibri"/>
                <w:color w:val="000000"/>
              </w:rPr>
              <w:t>*</w:t>
            </w:r>
          </w:p>
        </w:tc>
        <w:tc>
          <w:tcPr>
            <w:tcW w:w="1041" w:type="dxa"/>
            <w:tcMar>
              <w:top w:w="0" w:type="dxa"/>
              <w:left w:w="108" w:type="dxa"/>
              <w:bottom w:w="0" w:type="dxa"/>
              <w:right w:w="108" w:type="dxa"/>
            </w:tcMar>
          </w:tcPr>
          <w:p w:rsidR="00D717DB" w:rsidRPr="00B32CB5" w:rsidP="00167E53" w14:paraId="325B8D78" w14:textId="151469CA">
            <w:pPr>
              <w:adjustRightInd/>
              <w:jc w:val="right"/>
              <w:textAlignment w:val="auto"/>
              <w:rPr>
                <w:rFonts w:eastAsia="Calibri"/>
                <w:color w:val="000000"/>
              </w:rPr>
            </w:pPr>
            <w:r w:rsidRPr="00B32CB5">
              <w:rPr>
                <w:rFonts w:eastAsia="Calibri"/>
                <w:color w:val="000000"/>
              </w:rPr>
              <w:t>$</w:t>
            </w:r>
            <w:r w:rsidR="001C6689">
              <w:rPr>
                <w:rFonts w:eastAsia="Calibri"/>
                <w:color w:val="000000"/>
              </w:rPr>
              <w:t>20</w:t>
            </w:r>
            <w:r w:rsidRPr="00B32CB5">
              <w:rPr>
                <w:rFonts w:eastAsia="Calibri"/>
                <w:color w:val="000000"/>
              </w:rPr>
              <w:t>,</w:t>
            </w:r>
            <w:r w:rsidR="001C6689">
              <w:rPr>
                <w:rFonts w:eastAsia="Calibri"/>
                <w:color w:val="000000"/>
              </w:rPr>
              <w:t>776</w:t>
            </w:r>
          </w:p>
        </w:tc>
      </w:tr>
      <w:tr w14:paraId="2E137A23" w14:textId="77777777" w:rsidTr="00A65F9E">
        <w:tblPrEx>
          <w:tblW w:w="0" w:type="auto"/>
          <w:tblInd w:w="588" w:type="dxa"/>
          <w:tblCellMar>
            <w:left w:w="0" w:type="dxa"/>
            <w:right w:w="0" w:type="dxa"/>
          </w:tblCellMar>
          <w:tblLook w:val="04A0"/>
        </w:tblPrEx>
        <w:trPr>
          <w:trHeight w:val="85"/>
        </w:trPr>
        <w:tc>
          <w:tcPr>
            <w:tcW w:w="1469" w:type="dxa"/>
            <w:tcMar>
              <w:top w:w="0" w:type="dxa"/>
              <w:left w:w="108" w:type="dxa"/>
              <w:bottom w:w="0" w:type="dxa"/>
              <w:right w:w="108" w:type="dxa"/>
            </w:tcMar>
          </w:tcPr>
          <w:p w:rsidR="00A42926" w:rsidRPr="00B32CB5" w:rsidP="00167E53" w14:paraId="70F4DBDA" w14:textId="6B805F61">
            <w:pPr>
              <w:adjustRightInd/>
              <w:textAlignment w:val="auto"/>
              <w:rPr>
                <w:rFonts w:eastAsia="Calibri"/>
                <w:color w:val="000000"/>
              </w:rPr>
            </w:pPr>
            <w:r>
              <w:rPr>
                <w:rFonts w:eastAsia="Calibri"/>
                <w:color w:val="000000"/>
              </w:rPr>
              <w:t>Subtotals</w:t>
            </w:r>
          </w:p>
        </w:tc>
        <w:tc>
          <w:tcPr>
            <w:tcW w:w="1419" w:type="dxa"/>
            <w:tcMar>
              <w:top w:w="0" w:type="dxa"/>
              <w:left w:w="108" w:type="dxa"/>
              <w:bottom w:w="0" w:type="dxa"/>
              <w:right w:w="108" w:type="dxa"/>
            </w:tcMar>
          </w:tcPr>
          <w:p w:rsidR="00A42926" w:rsidRPr="00B32CB5" w:rsidP="00167E53" w14:paraId="7CA33BAB" w14:textId="3BDEBFE4">
            <w:pPr>
              <w:adjustRightInd/>
              <w:jc w:val="center"/>
              <w:textAlignment w:val="auto"/>
              <w:rPr>
                <w:rFonts w:eastAsia="Calibri"/>
                <w:color w:val="000000"/>
              </w:rPr>
            </w:pPr>
            <w:r>
              <w:rPr>
                <w:rFonts w:eastAsia="Calibri"/>
                <w:color w:val="000000"/>
              </w:rPr>
              <w:t>10</w:t>
            </w:r>
          </w:p>
        </w:tc>
        <w:tc>
          <w:tcPr>
            <w:tcW w:w="1224" w:type="dxa"/>
            <w:tcMar>
              <w:top w:w="0" w:type="dxa"/>
              <w:left w:w="108" w:type="dxa"/>
              <w:bottom w:w="0" w:type="dxa"/>
              <w:right w:w="108" w:type="dxa"/>
            </w:tcMar>
          </w:tcPr>
          <w:p w:rsidR="00A42926" w:rsidRPr="00B32CB5" w:rsidP="00167E53" w14:paraId="1D350A88" w14:textId="36D7EB79">
            <w:pPr>
              <w:adjustRightInd/>
              <w:jc w:val="center"/>
              <w:textAlignment w:val="auto"/>
              <w:rPr>
                <w:rFonts w:eastAsia="Calibri"/>
                <w:color w:val="000000"/>
              </w:rPr>
            </w:pPr>
            <w:r>
              <w:rPr>
                <w:rFonts w:eastAsia="Calibri"/>
                <w:color w:val="000000"/>
              </w:rPr>
              <w:t>1</w:t>
            </w:r>
          </w:p>
        </w:tc>
        <w:tc>
          <w:tcPr>
            <w:tcW w:w="1186" w:type="dxa"/>
            <w:tcMar>
              <w:top w:w="0" w:type="dxa"/>
              <w:left w:w="108" w:type="dxa"/>
              <w:bottom w:w="0" w:type="dxa"/>
              <w:right w:w="108" w:type="dxa"/>
            </w:tcMar>
          </w:tcPr>
          <w:p w:rsidR="00A42926" w:rsidRPr="00B32CB5" w:rsidP="00167E53" w14:paraId="16E1BD2E" w14:textId="6FAF6608">
            <w:pPr>
              <w:adjustRightInd/>
              <w:jc w:val="center"/>
              <w:textAlignment w:val="auto"/>
              <w:rPr>
                <w:rFonts w:eastAsia="Calibri"/>
                <w:color w:val="000000"/>
              </w:rPr>
            </w:pPr>
            <w:r>
              <w:rPr>
                <w:rFonts w:eastAsia="Calibri"/>
                <w:color w:val="000000"/>
              </w:rPr>
              <w:t>10</w:t>
            </w:r>
          </w:p>
        </w:tc>
        <w:tc>
          <w:tcPr>
            <w:tcW w:w="1100" w:type="dxa"/>
            <w:tcMar>
              <w:top w:w="0" w:type="dxa"/>
              <w:left w:w="108" w:type="dxa"/>
              <w:bottom w:w="0" w:type="dxa"/>
              <w:right w:w="108" w:type="dxa"/>
            </w:tcMar>
          </w:tcPr>
          <w:p w:rsidR="00A42926" w:rsidP="00167E53" w14:paraId="6D2342E8" w14:textId="5833054C">
            <w:pPr>
              <w:adjustRightInd/>
              <w:jc w:val="center"/>
              <w:textAlignment w:val="auto"/>
              <w:rPr>
                <w:rFonts w:eastAsia="Calibri"/>
                <w:color w:val="000000"/>
              </w:rPr>
            </w:pPr>
            <w:r>
              <w:rPr>
                <w:rFonts w:eastAsia="Calibri"/>
                <w:color w:val="000000"/>
              </w:rPr>
              <w:t>320</w:t>
            </w:r>
          </w:p>
        </w:tc>
        <w:tc>
          <w:tcPr>
            <w:tcW w:w="929" w:type="dxa"/>
            <w:tcMar>
              <w:top w:w="0" w:type="dxa"/>
              <w:left w:w="108" w:type="dxa"/>
              <w:bottom w:w="0" w:type="dxa"/>
              <w:right w:w="108" w:type="dxa"/>
            </w:tcMar>
          </w:tcPr>
          <w:p w:rsidR="00A42926" w:rsidP="00167E53" w14:paraId="7CCABD22" w14:textId="3F0C7862">
            <w:pPr>
              <w:adjustRightInd/>
              <w:jc w:val="center"/>
              <w:textAlignment w:val="auto"/>
              <w:rPr>
                <w:rFonts w:eastAsia="Calibri"/>
                <w:color w:val="000000"/>
              </w:rPr>
            </w:pPr>
            <w:r>
              <w:rPr>
                <w:rFonts w:eastAsia="Calibri"/>
                <w:color w:val="000000"/>
              </w:rPr>
              <w:t>1,520</w:t>
            </w:r>
          </w:p>
        </w:tc>
        <w:tc>
          <w:tcPr>
            <w:tcW w:w="1100" w:type="dxa"/>
            <w:tcMar>
              <w:top w:w="0" w:type="dxa"/>
              <w:left w:w="108" w:type="dxa"/>
              <w:bottom w:w="0" w:type="dxa"/>
              <w:right w:w="108" w:type="dxa"/>
            </w:tcMar>
          </w:tcPr>
          <w:p w:rsidR="00A42926" w:rsidRPr="00B32CB5" w:rsidP="00167E53" w14:paraId="08C6AF20" w14:textId="77777777">
            <w:pPr>
              <w:adjustRightInd/>
              <w:jc w:val="right"/>
              <w:textAlignment w:val="auto"/>
              <w:rPr>
                <w:rFonts w:eastAsia="Calibri"/>
                <w:color w:val="000000"/>
              </w:rPr>
            </w:pPr>
          </w:p>
        </w:tc>
        <w:tc>
          <w:tcPr>
            <w:tcW w:w="1041" w:type="dxa"/>
            <w:tcMar>
              <w:top w:w="0" w:type="dxa"/>
              <w:left w:w="108" w:type="dxa"/>
              <w:bottom w:w="0" w:type="dxa"/>
              <w:right w:w="108" w:type="dxa"/>
            </w:tcMar>
          </w:tcPr>
          <w:p w:rsidR="00A42926" w:rsidRPr="00B32CB5" w:rsidP="00167E53" w14:paraId="49391626" w14:textId="6A9869A0">
            <w:pPr>
              <w:adjustRightInd/>
              <w:jc w:val="right"/>
              <w:textAlignment w:val="auto"/>
              <w:rPr>
                <w:rFonts w:eastAsia="Calibri"/>
                <w:color w:val="000000"/>
              </w:rPr>
            </w:pPr>
            <w:r>
              <w:rPr>
                <w:rFonts w:eastAsia="Calibri"/>
                <w:color w:val="000000"/>
              </w:rPr>
              <w:t>$39,474</w:t>
            </w:r>
          </w:p>
        </w:tc>
      </w:tr>
    </w:tbl>
    <w:bookmarkEnd w:id="1"/>
    <w:p w:rsidR="00936995" w:rsidRPr="002C59CE" w:rsidP="002C59CE" w14:paraId="529C16CD" w14:textId="0AAD538E">
      <w:pPr>
        <w:keepLines/>
        <w:tabs>
          <w:tab w:val="left" w:pos="360"/>
          <w:tab w:val="left" w:pos="720"/>
          <w:tab w:val="center" w:pos="1680"/>
          <w:tab w:val="center" w:pos="3120"/>
          <w:tab w:val="center" w:pos="4560"/>
          <w:tab w:val="center" w:pos="6000"/>
          <w:tab w:val="center" w:pos="7440"/>
          <w:tab w:val="center" w:pos="8880"/>
        </w:tabs>
        <w:ind w:left="720"/>
        <w:rPr>
          <w:rStyle w:val="Hyperlink"/>
          <w:sz w:val="18"/>
          <w:szCs w:val="18"/>
        </w:rPr>
      </w:pPr>
      <w:r w:rsidRPr="002C59CE">
        <w:rPr>
          <w:sz w:val="18"/>
          <w:szCs w:val="18"/>
        </w:rPr>
        <w:t xml:space="preserve">* The hourly cost </w:t>
      </w:r>
      <w:r w:rsidRPr="002C59CE" w:rsidR="004B0899">
        <w:rPr>
          <w:sz w:val="18"/>
          <w:szCs w:val="18"/>
        </w:rPr>
        <w:t xml:space="preserve">assumes that the wage for housing authority staff responsible for preparing </w:t>
      </w:r>
      <w:r w:rsidRPr="002C59CE" w:rsidR="00430E6F">
        <w:rPr>
          <w:sz w:val="18"/>
          <w:szCs w:val="18"/>
        </w:rPr>
        <w:t xml:space="preserve">the required </w:t>
      </w:r>
      <w:r w:rsidRPr="002C59CE" w:rsidR="002E4571">
        <w:rPr>
          <w:sz w:val="18"/>
          <w:szCs w:val="18"/>
        </w:rPr>
        <w:t>information</w:t>
      </w:r>
      <w:r w:rsidRPr="002C59CE" w:rsidR="00430E6F">
        <w:rPr>
          <w:sz w:val="18"/>
          <w:szCs w:val="18"/>
        </w:rPr>
        <w:t xml:space="preserve"> </w:t>
      </w:r>
      <w:r w:rsidRPr="002C59CE" w:rsidR="004B0899">
        <w:rPr>
          <w:sz w:val="18"/>
          <w:szCs w:val="18"/>
        </w:rPr>
        <w:t>earn the equivalent of the national mean hourly wage for Community and Social Service Specialists, reported by the U.S Bureau of Labor Statistics (BLS) May 2023 Occupational Employment and Wage Statistics report (</w:t>
      </w:r>
      <w:r>
        <w:fldChar w:fldCharType="begin"/>
      </w:r>
      <w:r w:rsidRPr="002C59CE" w:rsidR="004B0899">
        <w:rPr>
          <w:rStyle w:val="Hyperlink"/>
          <w:sz w:val="18"/>
          <w:szCs w:val="18"/>
        </w:rPr>
        <w:instrText xml:space="preserve"> HYPERLINK "https://www.bls.gov/oes/current/ones_nat.htm)" </w:instrText>
      </w:r>
      <w:r>
        <w:fldChar w:fldCharType="separate"/>
      </w:r>
      <w:r>
        <w:fldChar w:fldCharType="begin"/>
      </w:r>
      <w:r w:rsidRPr="002C59CE" w:rsidR="004B0899">
        <w:rPr>
          <w:rStyle w:val="Hyperlink"/>
          <w:color w:val="156082" w:themeColor="accent1"/>
          <w:sz w:val="18"/>
          <w:szCs w:val="18"/>
        </w:rPr>
        <w:instrText xml:space="preserve"> HYPERLINK "https://www.bls.gov/oes/2023/may/oes211099.htm" </w:instrText>
      </w:r>
      <w:r>
        <w:fldChar w:fldCharType="separate"/>
      </w:r>
      <w:r w:rsidRPr="002C59CE" w:rsidR="004B0899">
        <w:rPr>
          <w:rStyle w:val="Hyperlink"/>
          <w:color w:val="156082" w:themeColor="accent1"/>
          <w:sz w:val="18"/>
          <w:szCs w:val="18"/>
        </w:rPr>
        <w:t>Community and Social Service Specialists, All Other</w:t>
      </w:r>
      <w:r>
        <w:fldChar w:fldCharType="end"/>
      </w:r>
      <w:r w:rsidRPr="002C59CE" w:rsidR="004B0899">
        <w:rPr>
          <w:rStyle w:val="Hyperlink"/>
          <w:sz w:val="18"/>
          <w:szCs w:val="18"/>
        </w:rPr>
        <w:t>)</w:t>
      </w:r>
      <w:r>
        <w:fldChar w:fldCharType="end"/>
      </w:r>
      <w:r w:rsidRPr="002C59CE" w:rsidR="004B0899">
        <w:rPr>
          <w:rStyle w:val="Hyperlink"/>
          <w:sz w:val="18"/>
          <w:szCs w:val="18"/>
        </w:rPr>
        <w:t>.</w:t>
      </w:r>
    </w:p>
    <w:p w:rsidR="004B0899" w:rsidRPr="006C7FAE" w:rsidP="00167E53" w14:paraId="53046133"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14:paraId="0CEE4D0B" w14:textId="77777777">
      <w:pPr>
        <w:tabs>
          <w:tab w:val="left" w:pos="360"/>
        </w:tabs>
        <w:ind w:left="360" w:hanging="360"/>
        <w:rPr>
          <w:sz w:val="24"/>
          <w:szCs w:val="24"/>
        </w:rPr>
      </w:pPr>
      <w:r w:rsidRPr="006C7FAE">
        <w:rPr>
          <w:sz w:val="24"/>
          <w:szCs w:val="24"/>
        </w:rPr>
        <w:t>13.</w:t>
      </w:r>
      <w:r w:rsidRPr="006C7FAE">
        <w:rPr>
          <w:sz w:val="24"/>
          <w:szCs w:val="24"/>
        </w:rPr>
        <w:tab/>
      </w:r>
      <w:r w:rsidRPr="00B32CB5">
        <w:rPr>
          <w:b/>
          <w:bCs/>
          <w:sz w:val="24"/>
          <w:szCs w:val="24"/>
        </w:rPr>
        <w:t>Provide an estimate of the total annual cost burden to respondents or recordkeepers resulting from the collection of information</w:t>
      </w:r>
      <w:r w:rsidRPr="00B32CB5">
        <w:rPr>
          <w:b/>
          <w:bCs/>
          <w:sz w:val="24"/>
          <w:szCs w:val="24"/>
        </w:rPr>
        <w:t>. (Do not include the cost of any hour burden already reflected on the burden worksheet</w:t>
      </w:r>
      <w:r w:rsidRPr="00B32CB5">
        <w:rPr>
          <w:b/>
          <w:bCs/>
          <w:sz w:val="24"/>
          <w:szCs w:val="24"/>
        </w:rPr>
        <w:t xml:space="preserve"> shown in Items 12 and 14).</w:t>
      </w:r>
    </w:p>
    <w:p w:rsidR="009E13B1" w:rsidRPr="006C7FAE" w14:paraId="2D0E6548" w14:textId="77777777">
      <w:pPr>
        <w:tabs>
          <w:tab w:val="left" w:pos="360"/>
        </w:tabs>
        <w:ind w:left="360" w:hanging="360"/>
        <w:rPr>
          <w:sz w:val="24"/>
          <w:szCs w:val="24"/>
        </w:rPr>
      </w:pPr>
      <w:r w:rsidRPr="006C7FAE">
        <w:rPr>
          <w:sz w:val="24"/>
          <w:szCs w:val="24"/>
        </w:rPr>
        <w:t xml:space="preserve"> </w:t>
      </w:r>
    </w:p>
    <w:p w:rsidR="009E13B1" w:rsidRPr="002C59CE" w:rsidP="002C59CE" w14:paraId="1C503D2C" w14:textId="77777777">
      <w:pPr>
        <w:pStyle w:val="ListParagraph"/>
        <w:numPr>
          <w:ilvl w:val="0"/>
          <w:numId w:val="30"/>
        </w:numPr>
        <w:tabs>
          <w:tab w:val="left" w:pos="360"/>
        </w:tabs>
        <w:rPr>
          <w:b/>
          <w:bCs/>
          <w:sz w:val="24"/>
          <w:szCs w:val="24"/>
        </w:rPr>
      </w:pPr>
      <w:r w:rsidRPr="002C59CE">
        <w:rPr>
          <w:b/>
          <w:bCs/>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2C59CE">
        <w:rPr>
          <w:b/>
          <w:bCs/>
          <w:sz w:val="24"/>
          <w:szCs w:val="24"/>
        </w:rPr>
        <w:t>take into account</w:t>
      </w:r>
      <w:r w:rsidRPr="002C59CE">
        <w:rPr>
          <w:b/>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2C59CE">
        <w:rPr>
          <w:b/>
          <w:bCs/>
          <w:sz w:val="24"/>
          <w:szCs w:val="24"/>
        </w:rPr>
        <w:t>time period</w:t>
      </w:r>
      <w:r w:rsidRPr="002C59CE">
        <w:rPr>
          <w:b/>
          <w:bCs/>
          <w:sz w:val="24"/>
          <w:szCs w:val="24"/>
        </w:rPr>
        <w:t xml:space="preserve"> </w:t>
      </w:r>
      <w:r w:rsidRPr="002C59CE">
        <w:rPr>
          <w:b/>
          <w:bCs/>
          <w:sz w:val="24"/>
          <w:szCs w:val="24"/>
        </w:rPr>
        <w:t>over</w:t>
      </w:r>
      <w:r w:rsidRPr="002C59CE">
        <w:rPr>
          <w:b/>
          <w:bCs/>
          <w:sz w:val="24"/>
          <w:szCs w:val="24"/>
        </w:rPr>
        <w:t xml:space="preserve"> which costs will be incurred.  Capital and start-up costs include, among other items, preparations for collecting information such as purchasing computers and software; monitoring, sampling, drilling and testing equipment; and record storage </w:t>
      </w:r>
      <w:r w:rsidRPr="002C59CE">
        <w:rPr>
          <w:b/>
          <w:bCs/>
          <w:sz w:val="24"/>
          <w:szCs w:val="24"/>
        </w:rPr>
        <w:t>facilities;</w:t>
      </w:r>
      <w:r w:rsidRPr="002C59CE">
        <w:rPr>
          <w:b/>
          <w:bCs/>
          <w:sz w:val="24"/>
          <w:szCs w:val="24"/>
        </w:rPr>
        <w:t xml:space="preserve"> </w:t>
      </w:r>
    </w:p>
    <w:p w:rsidR="009E13B1" w:rsidRPr="002C59CE" w:rsidP="002C59CE" w14:paraId="4D47756F" w14:textId="77777777">
      <w:pPr>
        <w:pStyle w:val="ListParagraph"/>
        <w:numPr>
          <w:ilvl w:val="0"/>
          <w:numId w:val="30"/>
        </w:numPr>
        <w:tabs>
          <w:tab w:val="left" w:pos="360"/>
        </w:tabs>
        <w:rPr>
          <w:b/>
          <w:bCs/>
          <w:sz w:val="24"/>
          <w:szCs w:val="24"/>
        </w:rPr>
      </w:pPr>
      <w:r w:rsidRPr="002C59CE">
        <w:rPr>
          <w:b/>
          <w:bCs/>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w:t>
      </w:r>
      <w:r w:rsidRPr="002C59CE">
        <w:rPr>
          <w:b/>
          <w:bCs/>
          <w:sz w:val="24"/>
          <w:szCs w:val="24"/>
        </w:rPr>
        <w:t>burden estimate</w:t>
      </w:r>
      <w:r w:rsidRPr="002C59CE">
        <w:rPr>
          <w:b/>
          <w:bCs/>
          <w:sz w:val="24"/>
          <w:szCs w:val="24"/>
        </w:rPr>
        <w:t xml:space="preserv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rsidRPr="002C59CE" w:rsidP="002C59CE" w14:paraId="497102DC" w14:textId="77777777">
      <w:pPr>
        <w:pStyle w:val="ListParagraph"/>
        <w:keepLines/>
        <w:numPr>
          <w:ilvl w:val="0"/>
          <w:numId w:val="30"/>
        </w:numPr>
        <w:tabs>
          <w:tab w:val="left" w:pos="360"/>
        </w:tabs>
        <w:spacing w:after="80"/>
        <w:rPr>
          <w:b/>
          <w:bCs/>
          <w:sz w:val="24"/>
          <w:szCs w:val="24"/>
        </w:rPr>
      </w:pPr>
      <w:r w:rsidRPr="002C59CE">
        <w:rPr>
          <w:b/>
          <w:bCs/>
          <w:sz w:val="24"/>
          <w:szCs w:val="24"/>
        </w:rPr>
        <w:t>G</w:t>
      </w:r>
      <w:r w:rsidRPr="002C59CE">
        <w:rPr>
          <w:b/>
          <w:bCs/>
          <w:sz w:val="24"/>
          <w:szCs w:val="24"/>
        </w:rPr>
        <w:t xml:space="preserve">enerally, estimates should not include purchases of equipment or services, or portions thereof made: (1) prior to October 1, 1995, (2) to achieve regulatory compliance with requirements not associated with the information collection, (3) for reasons other than </w:t>
      </w:r>
      <w:r w:rsidRPr="002C59CE">
        <w:rPr>
          <w:b/>
          <w:bCs/>
          <w:sz w:val="24"/>
          <w:szCs w:val="24"/>
        </w:rPr>
        <w:t>to provide</w:t>
      </w:r>
      <w:r w:rsidRPr="002C59CE">
        <w:rPr>
          <w:b/>
          <w:bCs/>
          <w:sz w:val="24"/>
          <w:szCs w:val="24"/>
        </w:rPr>
        <w:t xml:space="preserve"> information or keep records for the government, or (4) as part of customary and usual business or private practices.</w:t>
      </w:r>
    </w:p>
    <w:p w:rsidR="002C59CE" w:rsidP="00B32CB5" w14:paraId="131CAB2D" w14:textId="77777777">
      <w:pPr>
        <w:keepLines/>
        <w:tabs>
          <w:tab w:val="left" w:pos="360"/>
        </w:tabs>
        <w:spacing w:after="80"/>
        <w:ind w:left="480"/>
        <w:rPr>
          <w:sz w:val="24"/>
          <w:szCs w:val="24"/>
        </w:rPr>
      </w:pPr>
    </w:p>
    <w:p w:rsidR="00B32CB5" w:rsidRPr="006C7FAE" w:rsidP="00B32CB5" w14:paraId="56A2B5CA" w14:textId="4DDFA128">
      <w:pPr>
        <w:keepLines/>
        <w:tabs>
          <w:tab w:val="left" w:pos="360"/>
        </w:tabs>
        <w:spacing w:after="80"/>
        <w:ind w:left="480"/>
        <w:rPr>
          <w:sz w:val="24"/>
          <w:szCs w:val="24"/>
        </w:rPr>
      </w:pPr>
      <w:r>
        <w:rPr>
          <w:sz w:val="24"/>
          <w:szCs w:val="24"/>
        </w:rPr>
        <w:tab/>
      </w:r>
      <w:r w:rsidRPr="00B32CB5">
        <w:rPr>
          <w:sz w:val="24"/>
          <w:szCs w:val="24"/>
        </w:rPr>
        <w:t>There are no additional costs to respondents.</w:t>
      </w:r>
    </w:p>
    <w:p w:rsidR="009E13B1" w:rsidRPr="006C7FAE" w14:paraId="0F877C1B" w14:textId="77777777">
      <w:pPr>
        <w:keepLines/>
        <w:tabs>
          <w:tab w:val="left" w:pos="360"/>
        </w:tabs>
        <w:spacing w:after="80"/>
        <w:ind w:left="360" w:hanging="360"/>
        <w:rPr>
          <w:sz w:val="24"/>
          <w:szCs w:val="24"/>
        </w:rPr>
      </w:pPr>
      <w:r w:rsidRPr="006C7FAE">
        <w:rPr>
          <w:sz w:val="24"/>
          <w:szCs w:val="24"/>
        </w:rPr>
        <w:t>14.</w:t>
      </w:r>
      <w:r w:rsidRPr="006C7FAE">
        <w:rPr>
          <w:sz w:val="24"/>
          <w:szCs w:val="24"/>
        </w:rPr>
        <w:tab/>
      </w:r>
      <w:r w:rsidRPr="00B32CB5">
        <w:rPr>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67E53" w:rsidRPr="006C7FAE" w:rsidP="00167E53" w14:paraId="5BB0C48A" w14:textId="77777777">
      <w:pPr>
        <w:overflowPunct/>
        <w:autoSpaceDE/>
        <w:autoSpaceDN/>
        <w:adjustRightInd/>
        <w:spacing w:after="80"/>
        <w:ind w:left="360"/>
        <w:textAlignment w:val="auto"/>
        <w:rPr>
          <w:rFonts w:eastAsia="Calibri"/>
          <w:color w:val="000000"/>
        </w:rPr>
      </w:pPr>
    </w:p>
    <w:tbl>
      <w:tblPr>
        <w:tblW w:w="9586" w:type="dxa"/>
        <w:tblInd w:w="3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587"/>
        <w:gridCol w:w="1419"/>
        <w:gridCol w:w="1224"/>
        <w:gridCol w:w="1186"/>
        <w:gridCol w:w="1100"/>
        <w:gridCol w:w="929"/>
        <w:gridCol w:w="1100"/>
        <w:gridCol w:w="1041"/>
      </w:tblGrid>
      <w:tr w14:paraId="1B46F95A" w14:textId="77777777" w:rsidTr="002C59CE">
        <w:tblPrEx>
          <w:tblW w:w="9586" w:type="dxa"/>
          <w:tblInd w:w="3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587" w:type="dxa"/>
            <w:tcMar>
              <w:top w:w="0" w:type="dxa"/>
              <w:left w:w="108" w:type="dxa"/>
              <w:bottom w:w="0" w:type="dxa"/>
              <w:right w:w="108" w:type="dxa"/>
            </w:tcMar>
            <w:hideMark/>
          </w:tcPr>
          <w:p w:rsidR="00167E53" w:rsidRPr="006C7FAE" w:rsidP="00167E53" w14:paraId="2770CCD5" w14:textId="77777777">
            <w:pPr>
              <w:adjustRightInd/>
              <w:jc w:val="center"/>
              <w:textAlignment w:val="auto"/>
              <w:rPr>
                <w:rFonts w:eastAsia="Calibri"/>
                <w:b/>
                <w:bCs/>
                <w:color w:val="000000"/>
              </w:rPr>
            </w:pPr>
            <w:r w:rsidRPr="006C7FAE">
              <w:rPr>
                <w:rFonts w:eastAsia="Calibri"/>
                <w:b/>
                <w:bCs/>
                <w:color w:val="000000"/>
              </w:rPr>
              <w:t>Information Collection</w:t>
            </w:r>
          </w:p>
        </w:tc>
        <w:tc>
          <w:tcPr>
            <w:tcW w:w="1419" w:type="dxa"/>
            <w:tcMar>
              <w:top w:w="0" w:type="dxa"/>
              <w:left w:w="108" w:type="dxa"/>
              <w:bottom w:w="0" w:type="dxa"/>
              <w:right w:w="108" w:type="dxa"/>
            </w:tcMar>
            <w:hideMark/>
          </w:tcPr>
          <w:p w:rsidR="00167E53" w:rsidRPr="006C7FAE" w:rsidP="00167E53" w14:paraId="2D6ED408" w14:textId="77777777">
            <w:pPr>
              <w:adjustRightInd/>
              <w:jc w:val="center"/>
              <w:textAlignment w:val="auto"/>
              <w:rPr>
                <w:rFonts w:eastAsia="Calibri"/>
                <w:b/>
                <w:bCs/>
                <w:color w:val="000000"/>
              </w:rPr>
            </w:pPr>
            <w:r w:rsidRPr="006C7FAE">
              <w:rPr>
                <w:rFonts w:eastAsia="Calibri"/>
                <w:b/>
                <w:bCs/>
                <w:color w:val="000000"/>
              </w:rPr>
              <w:t>Number of Respondents</w:t>
            </w:r>
          </w:p>
        </w:tc>
        <w:tc>
          <w:tcPr>
            <w:tcW w:w="1224" w:type="dxa"/>
            <w:tcMar>
              <w:top w:w="0" w:type="dxa"/>
              <w:left w:w="108" w:type="dxa"/>
              <w:bottom w:w="0" w:type="dxa"/>
              <w:right w:w="108" w:type="dxa"/>
            </w:tcMar>
            <w:hideMark/>
          </w:tcPr>
          <w:p w:rsidR="00167E53" w:rsidRPr="006C7FAE" w:rsidP="00167E53" w14:paraId="0FC909C8" w14:textId="77777777">
            <w:pPr>
              <w:adjustRightInd/>
              <w:jc w:val="center"/>
              <w:textAlignment w:val="auto"/>
              <w:rPr>
                <w:rFonts w:eastAsia="Calibri"/>
                <w:b/>
                <w:bCs/>
                <w:color w:val="000000"/>
              </w:rPr>
            </w:pPr>
            <w:r w:rsidRPr="006C7FAE">
              <w:rPr>
                <w:rFonts w:eastAsia="Calibri"/>
                <w:b/>
                <w:bCs/>
                <w:color w:val="000000"/>
              </w:rPr>
              <w:t>Frequency of Response</w:t>
            </w:r>
          </w:p>
        </w:tc>
        <w:tc>
          <w:tcPr>
            <w:tcW w:w="1186" w:type="dxa"/>
            <w:tcMar>
              <w:top w:w="0" w:type="dxa"/>
              <w:left w:w="108" w:type="dxa"/>
              <w:bottom w:w="0" w:type="dxa"/>
              <w:right w:w="108" w:type="dxa"/>
            </w:tcMar>
            <w:hideMark/>
          </w:tcPr>
          <w:p w:rsidR="00167E53" w:rsidRPr="006C7FAE" w:rsidP="00167E53" w14:paraId="2E88ED16" w14:textId="77777777">
            <w:pPr>
              <w:overflowPunct/>
              <w:autoSpaceDE/>
              <w:autoSpaceDN/>
              <w:adjustRightInd/>
              <w:jc w:val="center"/>
              <w:textAlignment w:val="auto"/>
              <w:rPr>
                <w:rFonts w:eastAsia="Calibri"/>
                <w:b/>
                <w:bCs/>
                <w:color w:val="000000"/>
              </w:rPr>
            </w:pPr>
            <w:r w:rsidRPr="006C7FAE">
              <w:rPr>
                <w:rFonts w:eastAsia="Calibri"/>
                <w:b/>
                <w:bCs/>
                <w:color w:val="000000"/>
              </w:rPr>
              <w:t>Responses</w:t>
            </w:r>
          </w:p>
          <w:p w:rsidR="00167E53" w:rsidRPr="006C7FAE" w:rsidP="00167E53" w14:paraId="55FC3E02" w14:textId="77777777">
            <w:pPr>
              <w:adjustRightInd/>
              <w:jc w:val="center"/>
              <w:textAlignment w:val="auto"/>
              <w:rPr>
                <w:rFonts w:eastAsia="Calibri"/>
                <w:b/>
                <w:bCs/>
                <w:color w:val="000000"/>
              </w:rPr>
            </w:pPr>
            <w:r w:rsidRPr="006C7FAE">
              <w:rPr>
                <w:rFonts w:eastAsia="Calibri"/>
                <w:b/>
                <w:bCs/>
                <w:color w:val="000000"/>
              </w:rPr>
              <w:t>Per Annum</w:t>
            </w:r>
          </w:p>
        </w:tc>
        <w:tc>
          <w:tcPr>
            <w:tcW w:w="1100" w:type="dxa"/>
            <w:tcMar>
              <w:top w:w="0" w:type="dxa"/>
              <w:left w:w="108" w:type="dxa"/>
              <w:bottom w:w="0" w:type="dxa"/>
              <w:right w:w="108" w:type="dxa"/>
            </w:tcMar>
            <w:hideMark/>
          </w:tcPr>
          <w:p w:rsidR="00167E53" w:rsidRPr="006C7FAE" w:rsidP="00167E53" w14:paraId="48E3A479" w14:textId="77777777">
            <w:pPr>
              <w:adjustRightInd/>
              <w:jc w:val="center"/>
              <w:textAlignment w:val="auto"/>
              <w:rPr>
                <w:rFonts w:eastAsia="Calibri"/>
                <w:b/>
                <w:bCs/>
                <w:color w:val="000000"/>
              </w:rPr>
            </w:pPr>
            <w:r w:rsidRPr="006C7FAE">
              <w:rPr>
                <w:rFonts w:eastAsia="Calibri"/>
                <w:b/>
                <w:bCs/>
                <w:color w:val="000000"/>
              </w:rPr>
              <w:t>Burden Hour Per Response</w:t>
            </w:r>
          </w:p>
        </w:tc>
        <w:tc>
          <w:tcPr>
            <w:tcW w:w="929" w:type="dxa"/>
            <w:tcMar>
              <w:top w:w="0" w:type="dxa"/>
              <w:left w:w="108" w:type="dxa"/>
              <w:bottom w:w="0" w:type="dxa"/>
              <w:right w:w="108" w:type="dxa"/>
            </w:tcMar>
            <w:hideMark/>
          </w:tcPr>
          <w:p w:rsidR="00167E53" w:rsidRPr="006C7FAE" w:rsidP="00167E53" w14:paraId="60299650" w14:textId="77777777">
            <w:pPr>
              <w:adjustRightInd/>
              <w:jc w:val="center"/>
              <w:textAlignment w:val="auto"/>
              <w:rPr>
                <w:rFonts w:eastAsia="Calibri"/>
                <w:b/>
                <w:bCs/>
                <w:color w:val="000000"/>
              </w:rPr>
            </w:pPr>
            <w:r w:rsidRPr="006C7FAE">
              <w:rPr>
                <w:rFonts w:eastAsia="Calibri"/>
                <w:b/>
                <w:bCs/>
                <w:color w:val="000000"/>
              </w:rPr>
              <w:t>Annual Burden Hours</w:t>
            </w:r>
          </w:p>
        </w:tc>
        <w:tc>
          <w:tcPr>
            <w:tcW w:w="1100" w:type="dxa"/>
            <w:tcMar>
              <w:top w:w="0" w:type="dxa"/>
              <w:left w:w="108" w:type="dxa"/>
              <w:bottom w:w="0" w:type="dxa"/>
              <w:right w:w="108" w:type="dxa"/>
            </w:tcMar>
            <w:hideMark/>
          </w:tcPr>
          <w:p w:rsidR="00167E53" w:rsidRPr="006C7FAE" w:rsidP="00167E53" w14:paraId="36786B88" w14:textId="77777777">
            <w:pPr>
              <w:adjustRightInd/>
              <w:jc w:val="center"/>
              <w:textAlignment w:val="auto"/>
              <w:rPr>
                <w:rFonts w:eastAsia="Calibri"/>
                <w:b/>
                <w:bCs/>
                <w:color w:val="000000"/>
              </w:rPr>
            </w:pPr>
            <w:r w:rsidRPr="006C7FAE">
              <w:rPr>
                <w:rFonts w:eastAsia="Calibri"/>
                <w:b/>
                <w:bCs/>
                <w:color w:val="000000"/>
              </w:rPr>
              <w:t>Hourly Cost Per Response</w:t>
            </w:r>
          </w:p>
        </w:tc>
        <w:tc>
          <w:tcPr>
            <w:tcW w:w="1041" w:type="dxa"/>
            <w:tcMar>
              <w:top w:w="0" w:type="dxa"/>
              <w:left w:w="108" w:type="dxa"/>
              <w:bottom w:w="0" w:type="dxa"/>
              <w:right w:w="108" w:type="dxa"/>
            </w:tcMar>
          </w:tcPr>
          <w:p w:rsidR="00167E53" w:rsidRPr="006C7FAE" w:rsidP="00167E53" w14:paraId="44C20C89" w14:textId="77777777">
            <w:pPr>
              <w:overflowPunct/>
              <w:autoSpaceDE/>
              <w:autoSpaceDN/>
              <w:adjustRightInd/>
              <w:jc w:val="center"/>
              <w:textAlignment w:val="auto"/>
              <w:rPr>
                <w:rFonts w:eastAsia="Calibri"/>
                <w:b/>
                <w:bCs/>
                <w:color w:val="000000"/>
              </w:rPr>
            </w:pPr>
            <w:r w:rsidRPr="006C7FAE">
              <w:rPr>
                <w:rFonts w:eastAsia="Calibri"/>
                <w:b/>
                <w:bCs/>
                <w:color w:val="000000"/>
              </w:rPr>
              <w:t>Annual Cost</w:t>
            </w:r>
          </w:p>
          <w:p w:rsidR="00167E53" w:rsidRPr="006C7FAE" w:rsidP="00167E53" w14:paraId="6367AC39" w14:textId="77777777">
            <w:pPr>
              <w:adjustRightInd/>
              <w:jc w:val="center"/>
              <w:textAlignment w:val="auto"/>
              <w:rPr>
                <w:rFonts w:eastAsia="Calibri"/>
                <w:b/>
                <w:bCs/>
                <w:color w:val="000000"/>
              </w:rPr>
            </w:pPr>
          </w:p>
        </w:tc>
      </w:tr>
      <w:tr w14:paraId="6A87C799" w14:textId="77777777" w:rsidTr="002C59CE">
        <w:tblPrEx>
          <w:tblW w:w="9586" w:type="dxa"/>
          <w:tblInd w:w="350" w:type="dxa"/>
          <w:tblCellMar>
            <w:left w:w="0" w:type="dxa"/>
            <w:right w:w="0" w:type="dxa"/>
          </w:tblCellMar>
          <w:tblLook w:val="04A0"/>
        </w:tblPrEx>
        <w:tc>
          <w:tcPr>
            <w:tcW w:w="1587" w:type="dxa"/>
            <w:tcMar>
              <w:top w:w="0" w:type="dxa"/>
              <w:left w:w="108" w:type="dxa"/>
              <w:bottom w:w="0" w:type="dxa"/>
              <w:right w:w="108" w:type="dxa"/>
            </w:tcMar>
          </w:tcPr>
          <w:p w:rsidR="00167E53" w:rsidRPr="006C7FAE" w:rsidP="00167E53" w14:paraId="0CD8A1BA" w14:textId="5024F113">
            <w:pPr>
              <w:adjustRightInd/>
              <w:textAlignment w:val="auto"/>
              <w:rPr>
                <w:rFonts w:eastAsia="Calibri"/>
                <w:b/>
                <w:bCs/>
                <w:color w:val="000000"/>
              </w:rPr>
            </w:pPr>
            <w:r w:rsidRPr="00B32CB5">
              <w:rPr>
                <w:rFonts w:eastAsia="Calibri"/>
                <w:b/>
                <w:bCs/>
                <w:color w:val="000000"/>
              </w:rPr>
              <w:t>PHA Submissions</w:t>
            </w:r>
          </w:p>
        </w:tc>
        <w:tc>
          <w:tcPr>
            <w:tcW w:w="1419" w:type="dxa"/>
            <w:tcMar>
              <w:top w:w="0" w:type="dxa"/>
              <w:left w:w="108" w:type="dxa"/>
              <w:bottom w:w="0" w:type="dxa"/>
              <w:right w:w="108" w:type="dxa"/>
            </w:tcMar>
          </w:tcPr>
          <w:p w:rsidR="00167E53" w:rsidRPr="006C7FAE" w:rsidP="00167E53" w14:paraId="6DC1209A" w14:textId="30DBBF10">
            <w:pPr>
              <w:adjustRightInd/>
              <w:jc w:val="center"/>
              <w:textAlignment w:val="auto"/>
              <w:rPr>
                <w:rFonts w:eastAsia="Calibri"/>
                <w:b/>
                <w:bCs/>
                <w:color w:val="000000"/>
              </w:rPr>
            </w:pPr>
            <w:r>
              <w:rPr>
                <w:rFonts w:eastAsia="Calibri"/>
                <w:b/>
                <w:bCs/>
                <w:color w:val="000000"/>
              </w:rPr>
              <w:t>10</w:t>
            </w:r>
          </w:p>
        </w:tc>
        <w:tc>
          <w:tcPr>
            <w:tcW w:w="1224" w:type="dxa"/>
            <w:tcMar>
              <w:top w:w="0" w:type="dxa"/>
              <w:left w:w="108" w:type="dxa"/>
              <w:bottom w:w="0" w:type="dxa"/>
              <w:right w:w="108" w:type="dxa"/>
            </w:tcMar>
          </w:tcPr>
          <w:p w:rsidR="00167E53" w:rsidRPr="006C7FAE" w:rsidP="00167E53" w14:paraId="250CB174" w14:textId="606F9E7D">
            <w:pPr>
              <w:adjustRightInd/>
              <w:jc w:val="center"/>
              <w:textAlignment w:val="auto"/>
              <w:rPr>
                <w:rFonts w:eastAsia="Calibri"/>
                <w:b/>
                <w:bCs/>
                <w:color w:val="000000"/>
              </w:rPr>
            </w:pPr>
            <w:r>
              <w:rPr>
                <w:rFonts w:eastAsia="Calibri"/>
                <w:b/>
                <w:bCs/>
                <w:color w:val="000000"/>
              </w:rPr>
              <w:t>1</w:t>
            </w:r>
          </w:p>
        </w:tc>
        <w:tc>
          <w:tcPr>
            <w:tcW w:w="1186" w:type="dxa"/>
            <w:tcMar>
              <w:top w:w="0" w:type="dxa"/>
              <w:left w:w="108" w:type="dxa"/>
              <w:bottom w:w="0" w:type="dxa"/>
              <w:right w:w="108" w:type="dxa"/>
            </w:tcMar>
          </w:tcPr>
          <w:p w:rsidR="00167E53" w:rsidRPr="006C7FAE" w:rsidP="00167E53" w14:paraId="73006C34" w14:textId="49A8E094">
            <w:pPr>
              <w:adjustRightInd/>
              <w:jc w:val="center"/>
              <w:textAlignment w:val="auto"/>
              <w:rPr>
                <w:rFonts w:eastAsia="Calibri"/>
                <w:b/>
                <w:bCs/>
                <w:color w:val="000000"/>
              </w:rPr>
            </w:pPr>
            <w:r>
              <w:rPr>
                <w:rFonts w:eastAsia="Calibri"/>
                <w:b/>
                <w:bCs/>
                <w:color w:val="000000"/>
              </w:rPr>
              <w:t>10</w:t>
            </w:r>
          </w:p>
        </w:tc>
        <w:tc>
          <w:tcPr>
            <w:tcW w:w="1100" w:type="dxa"/>
            <w:tcMar>
              <w:top w:w="0" w:type="dxa"/>
              <w:left w:w="108" w:type="dxa"/>
              <w:bottom w:w="0" w:type="dxa"/>
              <w:right w:w="108" w:type="dxa"/>
            </w:tcMar>
          </w:tcPr>
          <w:p w:rsidR="00167E53" w:rsidRPr="006C7FAE" w:rsidP="00167E53" w14:paraId="72440884" w14:textId="11783AD4">
            <w:pPr>
              <w:adjustRightInd/>
              <w:jc w:val="center"/>
              <w:textAlignment w:val="auto"/>
              <w:rPr>
                <w:rFonts w:eastAsia="Calibri"/>
                <w:b/>
                <w:bCs/>
                <w:color w:val="000000"/>
              </w:rPr>
            </w:pPr>
            <w:r>
              <w:rPr>
                <w:rFonts w:eastAsia="Calibri"/>
                <w:b/>
                <w:bCs/>
                <w:color w:val="000000"/>
              </w:rPr>
              <w:t>100</w:t>
            </w:r>
          </w:p>
        </w:tc>
        <w:tc>
          <w:tcPr>
            <w:tcW w:w="929" w:type="dxa"/>
            <w:tcMar>
              <w:top w:w="0" w:type="dxa"/>
              <w:left w:w="108" w:type="dxa"/>
              <w:bottom w:w="0" w:type="dxa"/>
              <w:right w:w="108" w:type="dxa"/>
            </w:tcMar>
          </w:tcPr>
          <w:p w:rsidR="00167E53" w:rsidRPr="006C7FAE" w:rsidP="00167E53" w14:paraId="37079316" w14:textId="63058FC7">
            <w:pPr>
              <w:adjustRightInd/>
              <w:jc w:val="center"/>
              <w:textAlignment w:val="auto"/>
              <w:rPr>
                <w:rFonts w:eastAsia="Calibri"/>
                <w:b/>
                <w:bCs/>
                <w:color w:val="000000"/>
              </w:rPr>
            </w:pPr>
            <w:r>
              <w:rPr>
                <w:rFonts w:eastAsia="Calibri"/>
                <w:b/>
                <w:bCs/>
                <w:color w:val="000000"/>
              </w:rPr>
              <w:t>10</w:t>
            </w:r>
            <w:r w:rsidR="00DE232E">
              <w:rPr>
                <w:rFonts w:eastAsia="Calibri"/>
                <w:b/>
                <w:bCs/>
                <w:color w:val="000000"/>
              </w:rPr>
              <w:t>00</w:t>
            </w:r>
          </w:p>
        </w:tc>
        <w:tc>
          <w:tcPr>
            <w:tcW w:w="1100" w:type="dxa"/>
            <w:tcMar>
              <w:top w:w="0" w:type="dxa"/>
              <w:left w:w="108" w:type="dxa"/>
              <w:bottom w:w="0" w:type="dxa"/>
              <w:right w:w="108" w:type="dxa"/>
            </w:tcMar>
          </w:tcPr>
          <w:p w:rsidR="00167E53" w:rsidRPr="006C7FAE" w:rsidP="00167E53" w14:paraId="38A27275" w14:textId="711B3CFE">
            <w:pPr>
              <w:adjustRightInd/>
              <w:jc w:val="right"/>
              <w:textAlignment w:val="auto"/>
              <w:rPr>
                <w:rFonts w:eastAsia="Calibri"/>
                <w:b/>
                <w:bCs/>
                <w:color w:val="000000"/>
              </w:rPr>
            </w:pPr>
            <w:r>
              <w:rPr>
                <w:rFonts w:eastAsia="Calibri"/>
                <w:b/>
                <w:bCs/>
                <w:color w:val="000000"/>
              </w:rPr>
              <w:t>$</w:t>
            </w:r>
            <w:r w:rsidR="0074436B">
              <w:rPr>
                <w:rFonts w:eastAsia="Calibri"/>
                <w:b/>
                <w:bCs/>
                <w:color w:val="000000"/>
              </w:rPr>
              <w:t>50</w:t>
            </w:r>
            <w:r>
              <w:rPr>
                <w:rFonts w:eastAsia="Calibri"/>
                <w:b/>
                <w:bCs/>
                <w:color w:val="000000"/>
              </w:rPr>
              <w:t>.</w:t>
            </w:r>
            <w:r w:rsidR="00104EF7">
              <w:rPr>
                <w:rFonts w:eastAsia="Calibri"/>
                <w:b/>
                <w:bCs/>
                <w:color w:val="000000"/>
              </w:rPr>
              <w:t>4</w:t>
            </w:r>
            <w:r w:rsidR="0074436B">
              <w:rPr>
                <w:rFonts w:eastAsia="Calibri"/>
                <w:b/>
                <w:bCs/>
                <w:color w:val="000000"/>
              </w:rPr>
              <w:t>9</w:t>
            </w:r>
            <w:r>
              <w:rPr>
                <w:rFonts w:eastAsia="Calibri"/>
                <w:b/>
                <w:bCs/>
                <w:color w:val="000000"/>
              </w:rPr>
              <w:t>*</w:t>
            </w:r>
          </w:p>
        </w:tc>
        <w:tc>
          <w:tcPr>
            <w:tcW w:w="1041" w:type="dxa"/>
            <w:tcMar>
              <w:top w:w="0" w:type="dxa"/>
              <w:left w:w="108" w:type="dxa"/>
              <w:bottom w:w="0" w:type="dxa"/>
              <w:right w:w="108" w:type="dxa"/>
            </w:tcMar>
          </w:tcPr>
          <w:p w:rsidR="00167E53" w:rsidRPr="006C7FAE" w:rsidP="00167E53" w14:paraId="4B0DC693" w14:textId="033D1771">
            <w:pPr>
              <w:adjustRightInd/>
              <w:jc w:val="right"/>
              <w:textAlignment w:val="auto"/>
              <w:rPr>
                <w:rFonts w:eastAsia="Calibri"/>
                <w:b/>
                <w:bCs/>
                <w:color w:val="000000"/>
              </w:rPr>
            </w:pPr>
            <w:r>
              <w:rPr>
                <w:rFonts w:eastAsia="Calibri"/>
                <w:b/>
                <w:bCs/>
                <w:color w:val="000000"/>
              </w:rPr>
              <w:t>$</w:t>
            </w:r>
            <w:r w:rsidR="0022622D">
              <w:rPr>
                <w:rFonts w:eastAsia="Calibri"/>
                <w:b/>
                <w:bCs/>
                <w:color w:val="000000"/>
              </w:rPr>
              <w:t>50,490</w:t>
            </w:r>
          </w:p>
        </w:tc>
      </w:tr>
      <w:tr w14:paraId="0C226013" w14:textId="77777777" w:rsidTr="002C59CE">
        <w:tblPrEx>
          <w:tblW w:w="9586" w:type="dxa"/>
          <w:tblInd w:w="350" w:type="dxa"/>
          <w:tblCellMar>
            <w:left w:w="0" w:type="dxa"/>
            <w:right w:w="0" w:type="dxa"/>
          </w:tblCellMar>
          <w:tblLook w:val="04A0"/>
        </w:tblPrEx>
        <w:tc>
          <w:tcPr>
            <w:tcW w:w="1587" w:type="dxa"/>
            <w:tcMar>
              <w:top w:w="0" w:type="dxa"/>
              <w:left w:w="108" w:type="dxa"/>
              <w:bottom w:w="0" w:type="dxa"/>
              <w:right w:w="108" w:type="dxa"/>
            </w:tcMar>
          </w:tcPr>
          <w:p w:rsidR="00DB0415" w:rsidRPr="00B32CB5" w:rsidP="00167E53" w14:paraId="391B8837" w14:textId="6AE235E0">
            <w:pPr>
              <w:adjustRightInd/>
              <w:textAlignment w:val="auto"/>
              <w:rPr>
                <w:rFonts w:eastAsia="Calibri"/>
                <w:b/>
                <w:bCs/>
                <w:color w:val="000000"/>
              </w:rPr>
            </w:pPr>
            <w:r>
              <w:rPr>
                <w:rFonts w:eastAsia="Calibri"/>
                <w:b/>
                <w:bCs/>
                <w:color w:val="000000"/>
              </w:rPr>
              <w:t>Total</w:t>
            </w:r>
          </w:p>
        </w:tc>
        <w:tc>
          <w:tcPr>
            <w:tcW w:w="1419" w:type="dxa"/>
            <w:tcMar>
              <w:top w:w="0" w:type="dxa"/>
              <w:left w:w="108" w:type="dxa"/>
              <w:bottom w:w="0" w:type="dxa"/>
              <w:right w:w="108" w:type="dxa"/>
            </w:tcMar>
          </w:tcPr>
          <w:p w:rsidR="00DB0415" w:rsidP="00167E53" w14:paraId="70456BD0" w14:textId="583718CA">
            <w:pPr>
              <w:adjustRightInd/>
              <w:jc w:val="center"/>
              <w:textAlignment w:val="auto"/>
              <w:rPr>
                <w:rFonts w:eastAsia="Calibri"/>
                <w:b/>
                <w:bCs/>
                <w:color w:val="000000"/>
              </w:rPr>
            </w:pPr>
            <w:r>
              <w:rPr>
                <w:rFonts w:eastAsia="Calibri"/>
                <w:b/>
                <w:bCs/>
                <w:color w:val="000000"/>
              </w:rPr>
              <w:t>10</w:t>
            </w:r>
          </w:p>
        </w:tc>
        <w:tc>
          <w:tcPr>
            <w:tcW w:w="1224" w:type="dxa"/>
            <w:tcMar>
              <w:top w:w="0" w:type="dxa"/>
              <w:left w:w="108" w:type="dxa"/>
              <w:bottom w:w="0" w:type="dxa"/>
              <w:right w:w="108" w:type="dxa"/>
            </w:tcMar>
          </w:tcPr>
          <w:p w:rsidR="00DB0415" w:rsidP="00167E53" w14:paraId="3245EF7E" w14:textId="54BEECBA">
            <w:pPr>
              <w:adjustRightInd/>
              <w:jc w:val="center"/>
              <w:textAlignment w:val="auto"/>
              <w:rPr>
                <w:rFonts w:eastAsia="Calibri"/>
                <w:b/>
                <w:bCs/>
                <w:color w:val="000000"/>
              </w:rPr>
            </w:pPr>
            <w:r>
              <w:rPr>
                <w:rFonts w:eastAsia="Calibri"/>
                <w:b/>
                <w:bCs/>
                <w:color w:val="000000"/>
              </w:rPr>
              <w:t>1</w:t>
            </w:r>
          </w:p>
        </w:tc>
        <w:tc>
          <w:tcPr>
            <w:tcW w:w="1186" w:type="dxa"/>
            <w:tcMar>
              <w:top w:w="0" w:type="dxa"/>
              <w:left w:w="108" w:type="dxa"/>
              <w:bottom w:w="0" w:type="dxa"/>
              <w:right w:w="108" w:type="dxa"/>
            </w:tcMar>
          </w:tcPr>
          <w:p w:rsidR="00DB0415" w:rsidP="00167E53" w14:paraId="40018206" w14:textId="197ACC8C">
            <w:pPr>
              <w:adjustRightInd/>
              <w:jc w:val="center"/>
              <w:textAlignment w:val="auto"/>
              <w:rPr>
                <w:rFonts w:eastAsia="Calibri"/>
                <w:b/>
                <w:bCs/>
                <w:color w:val="000000"/>
              </w:rPr>
            </w:pPr>
            <w:r>
              <w:rPr>
                <w:rFonts w:eastAsia="Calibri"/>
                <w:b/>
                <w:bCs/>
                <w:color w:val="000000"/>
              </w:rPr>
              <w:t>10</w:t>
            </w:r>
          </w:p>
        </w:tc>
        <w:tc>
          <w:tcPr>
            <w:tcW w:w="1100" w:type="dxa"/>
            <w:tcMar>
              <w:top w:w="0" w:type="dxa"/>
              <w:left w:w="108" w:type="dxa"/>
              <w:bottom w:w="0" w:type="dxa"/>
              <w:right w:w="108" w:type="dxa"/>
            </w:tcMar>
          </w:tcPr>
          <w:p w:rsidR="00DB0415" w:rsidP="00167E53" w14:paraId="14E60470" w14:textId="575C5934">
            <w:pPr>
              <w:adjustRightInd/>
              <w:jc w:val="center"/>
              <w:textAlignment w:val="auto"/>
              <w:rPr>
                <w:rFonts w:eastAsia="Calibri"/>
                <w:b/>
                <w:bCs/>
                <w:color w:val="000000"/>
              </w:rPr>
            </w:pPr>
            <w:r>
              <w:rPr>
                <w:rFonts w:eastAsia="Calibri"/>
                <w:b/>
                <w:bCs/>
                <w:color w:val="000000"/>
              </w:rPr>
              <w:t>100</w:t>
            </w:r>
          </w:p>
        </w:tc>
        <w:tc>
          <w:tcPr>
            <w:tcW w:w="929" w:type="dxa"/>
            <w:tcMar>
              <w:top w:w="0" w:type="dxa"/>
              <w:left w:w="108" w:type="dxa"/>
              <w:bottom w:w="0" w:type="dxa"/>
              <w:right w:w="108" w:type="dxa"/>
            </w:tcMar>
          </w:tcPr>
          <w:p w:rsidR="00DB0415" w:rsidP="00167E53" w14:paraId="5744F183" w14:textId="76314087">
            <w:pPr>
              <w:adjustRightInd/>
              <w:jc w:val="center"/>
              <w:textAlignment w:val="auto"/>
              <w:rPr>
                <w:rFonts w:eastAsia="Calibri"/>
                <w:b/>
                <w:bCs/>
                <w:color w:val="000000"/>
              </w:rPr>
            </w:pPr>
            <w:r>
              <w:rPr>
                <w:rFonts w:eastAsia="Calibri"/>
                <w:b/>
                <w:bCs/>
                <w:color w:val="000000"/>
              </w:rPr>
              <w:t>1000</w:t>
            </w:r>
          </w:p>
        </w:tc>
        <w:tc>
          <w:tcPr>
            <w:tcW w:w="1100" w:type="dxa"/>
            <w:tcMar>
              <w:top w:w="0" w:type="dxa"/>
              <w:left w:w="108" w:type="dxa"/>
              <w:bottom w:w="0" w:type="dxa"/>
              <w:right w:w="108" w:type="dxa"/>
            </w:tcMar>
          </w:tcPr>
          <w:p w:rsidR="00DB0415" w:rsidP="00167E53" w14:paraId="0AF20A9B" w14:textId="2325813E">
            <w:pPr>
              <w:adjustRightInd/>
              <w:jc w:val="right"/>
              <w:textAlignment w:val="auto"/>
              <w:rPr>
                <w:rFonts w:eastAsia="Calibri"/>
                <w:b/>
                <w:bCs/>
                <w:color w:val="000000"/>
              </w:rPr>
            </w:pPr>
            <w:r>
              <w:rPr>
                <w:rFonts w:eastAsia="Calibri"/>
                <w:b/>
                <w:bCs/>
                <w:color w:val="000000"/>
              </w:rPr>
              <w:t>$50.49</w:t>
            </w:r>
          </w:p>
        </w:tc>
        <w:tc>
          <w:tcPr>
            <w:tcW w:w="1041" w:type="dxa"/>
            <w:tcMar>
              <w:top w:w="0" w:type="dxa"/>
              <w:left w:w="108" w:type="dxa"/>
              <w:bottom w:w="0" w:type="dxa"/>
              <w:right w:w="108" w:type="dxa"/>
            </w:tcMar>
          </w:tcPr>
          <w:p w:rsidR="00DB0415" w:rsidP="00167E53" w14:paraId="028D91E3" w14:textId="1380374A">
            <w:pPr>
              <w:adjustRightInd/>
              <w:jc w:val="right"/>
              <w:textAlignment w:val="auto"/>
              <w:rPr>
                <w:rFonts w:eastAsia="Calibri"/>
                <w:b/>
                <w:bCs/>
                <w:color w:val="000000"/>
              </w:rPr>
            </w:pPr>
            <w:r>
              <w:rPr>
                <w:rFonts w:eastAsia="Calibri"/>
                <w:b/>
                <w:bCs/>
                <w:color w:val="000000"/>
              </w:rPr>
              <w:t>$50,490</w:t>
            </w:r>
          </w:p>
        </w:tc>
      </w:tr>
    </w:tbl>
    <w:p w:rsidR="00233471" w:rsidRPr="002C59CE" w:rsidP="002C59CE" w14:paraId="053E1569" w14:textId="5A4F59EC">
      <w:pPr>
        <w:tabs>
          <w:tab w:val="left" w:pos="360"/>
        </w:tabs>
        <w:ind w:left="360"/>
        <w:rPr>
          <w:sz w:val="18"/>
          <w:szCs w:val="18"/>
        </w:rPr>
      </w:pPr>
      <w:r w:rsidRPr="002C59CE">
        <w:rPr>
          <w:sz w:val="18"/>
          <w:szCs w:val="18"/>
        </w:rPr>
        <w:t xml:space="preserve">* </w:t>
      </w:r>
      <w:r w:rsidRPr="002C59CE">
        <w:rPr>
          <w:b/>
          <w:bCs/>
          <w:sz w:val="18"/>
          <w:szCs w:val="18"/>
        </w:rPr>
        <w:t>Hourly cost for response assum</w:t>
      </w:r>
      <w:r w:rsidRPr="002C59CE">
        <w:rPr>
          <w:b/>
          <w:bCs/>
          <w:sz w:val="18"/>
          <w:szCs w:val="18"/>
        </w:rPr>
        <w:t>es</w:t>
      </w:r>
      <w:r w:rsidRPr="002C59CE">
        <w:rPr>
          <w:b/>
          <w:bCs/>
          <w:sz w:val="18"/>
          <w:szCs w:val="18"/>
        </w:rPr>
        <w:t xml:space="preserve"> a GS-13, Step 1 ($</w:t>
      </w:r>
      <w:r w:rsidRPr="002C59CE" w:rsidR="00D8243B">
        <w:rPr>
          <w:b/>
          <w:bCs/>
          <w:sz w:val="18"/>
          <w:szCs w:val="18"/>
        </w:rPr>
        <w:t>105</w:t>
      </w:r>
      <w:r w:rsidRPr="002C59CE">
        <w:rPr>
          <w:b/>
          <w:bCs/>
          <w:sz w:val="18"/>
          <w:szCs w:val="18"/>
        </w:rPr>
        <w:t>,</w:t>
      </w:r>
      <w:r w:rsidRPr="002C59CE" w:rsidR="00D8243B">
        <w:rPr>
          <w:b/>
          <w:bCs/>
          <w:sz w:val="18"/>
          <w:szCs w:val="18"/>
        </w:rPr>
        <w:t>383</w:t>
      </w:r>
      <w:r w:rsidRPr="002C59CE">
        <w:rPr>
          <w:b/>
          <w:bCs/>
          <w:sz w:val="18"/>
          <w:szCs w:val="18"/>
        </w:rPr>
        <w:t>), Analyst or Manager; hourly rate is $</w:t>
      </w:r>
      <w:r w:rsidRPr="002C59CE" w:rsidR="0074436B">
        <w:rPr>
          <w:b/>
          <w:bCs/>
          <w:sz w:val="18"/>
          <w:szCs w:val="18"/>
        </w:rPr>
        <w:t>50</w:t>
      </w:r>
      <w:r w:rsidRPr="002C59CE">
        <w:rPr>
          <w:b/>
          <w:bCs/>
          <w:sz w:val="18"/>
          <w:szCs w:val="18"/>
        </w:rPr>
        <w:t>.</w:t>
      </w:r>
      <w:r w:rsidRPr="002C59CE" w:rsidR="00015A57">
        <w:rPr>
          <w:b/>
          <w:bCs/>
          <w:sz w:val="18"/>
          <w:szCs w:val="18"/>
        </w:rPr>
        <w:t>4</w:t>
      </w:r>
      <w:r w:rsidRPr="002C59CE" w:rsidR="0074436B">
        <w:rPr>
          <w:b/>
          <w:bCs/>
          <w:sz w:val="18"/>
          <w:szCs w:val="18"/>
        </w:rPr>
        <w:t>9</w:t>
      </w:r>
      <w:r w:rsidRPr="002C59CE">
        <w:rPr>
          <w:b/>
          <w:bCs/>
          <w:sz w:val="18"/>
          <w:szCs w:val="18"/>
        </w:rPr>
        <w:t>.</w:t>
      </w:r>
      <w:r w:rsidRPr="002C59CE">
        <w:rPr>
          <w:sz w:val="18"/>
          <w:szCs w:val="18"/>
        </w:rPr>
        <w:t xml:space="preserve"> A GS-13 Step 1 rate is the average salary for a Field Office Analyst/Manager</w:t>
      </w:r>
      <w:r w:rsidRPr="002C59CE" w:rsidR="00D17FBF">
        <w:rPr>
          <w:sz w:val="18"/>
          <w:szCs w:val="18"/>
        </w:rPr>
        <w:t xml:space="preserve"> based on the OPM general schedule for the rest of the United States</w:t>
      </w:r>
      <w:r w:rsidRPr="002C59CE">
        <w:rPr>
          <w:sz w:val="18"/>
          <w:szCs w:val="18"/>
        </w:rPr>
        <w:t>.</w:t>
      </w:r>
    </w:p>
    <w:p w:rsidR="00A4299F" w14:paraId="50DAC384" w14:textId="39C8175D">
      <w:pPr>
        <w:tabs>
          <w:tab w:val="left" w:pos="360"/>
        </w:tabs>
        <w:ind w:left="360" w:hanging="360"/>
        <w:rPr>
          <w:sz w:val="24"/>
          <w:szCs w:val="24"/>
        </w:rPr>
      </w:pPr>
    </w:p>
    <w:p w:rsidR="006C7FAE" w:rsidRPr="006C7FAE" w14:paraId="67B75C61" w14:textId="77777777">
      <w:pPr>
        <w:tabs>
          <w:tab w:val="left" w:pos="360"/>
        </w:tabs>
        <w:ind w:left="360" w:hanging="360"/>
        <w:rPr>
          <w:sz w:val="24"/>
          <w:szCs w:val="24"/>
        </w:rPr>
      </w:pPr>
    </w:p>
    <w:p w:rsidR="009E13B1" w:rsidRPr="006C7FAE" w14:paraId="005FDD51" w14:textId="77777777">
      <w:pPr>
        <w:keepLines/>
        <w:tabs>
          <w:tab w:val="left" w:pos="360"/>
        </w:tabs>
        <w:spacing w:after="80"/>
        <w:ind w:left="360" w:hanging="360"/>
        <w:rPr>
          <w:sz w:val="24"/>
          <w:szCs w:val="24"/>
        </w:rPr>
      </w:pPr>
      <w:r w:rsidRPr="006C7FAE">
        <w:rPr>
          <w:sz w:val="24"/>
          <w:szCs w:val="24"/>
        </w:rPr>
        <w:t>15.</w:t>
      </w:r>
      <w:r w:rsidRPr="006C7FAE">
        <w:rPr>
          <w:sz w:val="24"/>
          <w:szCs w:val="24"/>
        </w:rPr>
        <w:tab/>
      </w:r>
      <w:r w:rsidRPr="00A4299F">
        <w:rPr>
          <w:b/>
          <w:bCs/>
          <w:sz w:val="24"/>
          <w:szCs w:val="24"/>
        </w:rPr>
        <w:t>Explain the reasons for any program changes or adjustments reported in Items 1</w:t>
      </w:r>
      <w:r w:rsidRPr="00A4299F" w:rsidR="000D5079">
        <w:rPr>
          <w:b/>
          <w:bCs/>
          <w:sz w:val="24"/>
          <w:szCs w:val="24"/>
        </w:rPr>
        <w:t>2</w:t>
      </w:r>
      <w:r w:rsidRPr="00A4299F">
        <w:rPr>
          <w:b/>
          <w:bCs/>
          <w:sz w:val="24"/>
          <w:szCs w:val="24"/>
        </w:rPr>
        <w:t xml:space="preserve"> and 14 of the </w:t>
      </w:r>
      <w:r w:rsidRPr="00A4299F" w:rsidR="00CA06CC">
        <w:rPr>
          <w:b/>
          <w:bCs/>
          <w:sz w:val="24"/>
          <w:szCs w:val="24"/>
        </w:rPr>
        <w:t>Supporting Statement</w:t>
      </w:r>
      <w:r w:rsidRPr="00A4299F">
        <w:rPr>
          <w:b/>
          <w:bCs/>
          <w:sz w:val="24"/>
          <w:szCs w:val="24"/>
        </w:rPr>
        <w:t>.</w:t>
      </w:r>
    </w:p>
    <w:p w:rsidR="00A4299F" w:rsidRPr="00A4299F" w:rsidP="00A4299F" w14:paraId="3C1E952B" w14:textId="0D57B6D0">
      <w:pPr>
        <w:keepLines/>
        <w:tabs>
          <w:tab w:val="left" w:pos="360"/>
          <w:tab w:val="left" w:pos="720"/>
        </w:tabs>
        <w:ind w:left="360"/>
        <w:rPr>
          <w:sz w:val="24"/>
          <w:szCs w:val="24"/>
        </w:rPr>
      </w:pPr>
      <w:r>
        <w:rPr>
          <w:sz w:val="24"/>
          <w:szCs w:val="24"/>
        </w:rPr>
        <w:t xml:space="preserve">This is </w:t>
      </w:r>
      <w:r w:rsidR="00022B5F">
        <w:rPr>
          <w:sz w:val="24"/>
          <w:szCs w:val="24"/>
        </w:rPr>
        <w:t>a reinstatement</w:t>
      </w:r>
      <w:r>
        <w:rPr>
          <w:sz w:val="24"/>
          <w:szCs w:val="24"/>
        </w:rPr>
        <w:t xml:space="preserve"> </w:t>
      </w:r>
      <w:r w:rsidR="00022B5F">
        <w:rPr>
          <w:sz w:val="24"/>
          <w:szCs w:val="24"/>
        </w:rPr>
        <w:t xml:space="preserve">with change. </w:t>
      </w:r>
      <w:r w:rsidRPr="00A4299F">
        <w:rPr>
          <w:sz w:val="24"/>
          <w:szCs w:val="24"/>
        </w:rPr>
        <w:t xml:space="preserve">The </w:t>
      </w:r>
      <w:r w:rsidR="00372D50">
        <w:rPr>
          <w:sz w:val="24"/>
          <w:szCs w:val="24"/>
        </w:rPr>
        <w:t>program changes reported in item</w:t>
      </w:r>
      <w:r w:rsidR="00063B22">
        <w:rPr>
          <w:sz w:val="24"/>
          <w:szCs w:val="24"/>
        </w:rPr>
        <w:t>s 12 and</w:t>
      </w:r>
      <w:r w:rsidR="00372D50">
        <w:rPr>
          <w:sz w:val="24"/>
          <w:szCs w:val="24"/>
        </w:rPr>
        <w:t xml:space="preserve"> </w:t>
      </w:r>
      <w:r w:rsidR="009703D5">
        <w:rPr>
          <w:sz w:val="24"/>
          <w:szCs w:val="24"/>
        </w:rPr>
        <w:t xml:space="preserve">14 are attributed to increased </w:t>
      </w:r>
      <w:r w:rsidR="007F766F">
        <w:rPr>
          <w:sz w:val="24"/>
          <w:szCs w:val="24"/>
        </w:rPr>
        <w:t>sal</w:t>
      </w:r>
      <w:r w:rsidR="00063B22">
        <w:rPr>
          <w:sz w:val="24"/>
          <w:szCs w:val="24"/>
        </w:rPr>
        <w:t xml:space="preserve">ary </w:t>
      </w:r>
      <w:r w:rsidR="009703D5">
        <w:rPr>
          <w:sz w:val="24"/>
          <w:szCs w:val="24"/>
        </w:rPr>
        <w:t>costs, as reflected in the description</w:t>
      </w:r>
      <w:r w:rsidR="00107FD2">
        <w:rPr>
          <w:sz w:val="24"/>
          <w:szCs w:val="24"/>
        </w:rPr>
        <w:t xml:space="preserve"> of the cost estimation method. This method </w:t>
      </w:r>
      <w:r w:rsidR="00686D70">
        <w:rPr>
          <w:sz w:val="24"/>
          <w:szCs w:val="24"/>
        </w:rPr>
        <w:t>incorporates a quantification of hours</w:t>
      </w:r>
      <w:r w:rsidR="00F10641">
        <w:rPr>
          <w:sz w:val="24"/>
          <w:szCs w:val="24"/>
        </w:rPr>
        <w:t>, operational expenses, and aggregate cost estimates</w:t>
      </w:r>
      <w:r w:rsidR="006D37B0">
        <w:rPr>
          <w:sz w:val="24"/>
          <w:szCs w:val="24"/>
        </w:rPr>
        <w:t>.</w:t>
      </w:r>
      <w:r w:rsidRPr="00A4299F">
        <w:rPr>
          <w:sz w:val="24"/>
          <w:szCs w:val="24"/>
        </w:rPr>
        <w:t xml:space="preserve"> </w:t>
      </w:r>
    </w:p>
    <w:p w:rsidR="009E13B1" w:rsidRPr="006C7FAE" w14:paraId="78BA2B5D" w14:textId="77777777">
      <w:pPr>
        <w:keepLines/>
        <w:tabs>
          <w:tab w:val="left" w:pos="360"/>
          <w:tab w:val="left" w:pos="720"/>
        </w:tabs>
        <w:ind w:left="360"/>
        <w:rPr>
          <w:sz w:val="24"/>
          <w:szCs w:val="24"/>
        </w:rPr>
      </w:pPr>
    </w:p>
    <w:p w:rsidR="009E13B1" w:rsidRPr="006C7FAE" w14:paraId="191E7ECF" w14:textId="77777777">
      <w:pPr>
        <w:keepLines/>
        <w:tabs>
          <w:tab w:val="left" w:pos="360"/>
        </w:tabs>
        <w:spacing w:after="80"/>
        <w:ind w:left="360" w:hanging="360"/>
        <w:rPr>
          <w:sz w:val="24"/>
          <w:szCs w:val="24"/>
        </w:rPr>
      </w:pPr>
      <w:r w:rsidRPr="006C7FAE">
        <w:rPr>
          <w:sz w:val="24"/>
          <w:szCs w:val="24"/>
        </w:rPr>
        <w:t>16.</w:t>
      </w:r>
      <w:r w:rsidRPr="006C7FAE">
        <w:rPr>
          <w:sz w:val="24"/>
          <w:szCs w:val="24"/>
        </w:rPr>
        <w:tab/>
      </w:r>
      <w:r w:rsidRPr="00A4299F">
        <w:rPr>
          <w:b/>
          <w:bCs/>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4299F" w:rsidRPr="00A4299F" w:rsidP="00A4299F" w14:paraId="52AB0BA0" w14:textId="77777777">
      <w:pPr>
        <w:tabs>
          <w:tab w:val="left" w:pos="360"/>
        </w:tabs>
        <w:ind w:left="360" w:hanging="360"/>
        <w:rPr>
          <w:sz w:val="24"/>
          <w:szCs w:val="24"/>
        </w:rPr>
      </w:pPr>
      <w:r>
        <w:rPr>
          <w:sz w:val="24"/>
          <w:szCs w:val="24"/>
        </w:rPr>
        <w:tab/>
      </w:r>
      <w:r w:rsidRPr="00A4299F">
        <w:rPr>
          <w:sz w:val="24"/>
          <w:szCs w:val="24"/>
        </w:rPr>
        <w:t>None of the information collected will be published.</w:t>
      </w:r>
    </w:p>
    <w:p w:rsidR="009E13B1" w:rsidRPr="006C7FAE" w14:paraId="41F37BFA" w14:textId="06E9EB52">
      <w:pPr>
        <w:tabs>
          <w:tab w:val="left" w:pos="360"/>
        </w:tabs>
        <w:ind w:left="360" w:hanging="360"/>
        <w:rPr>
          <w:sz w:val="24"/>
          <w:szCs w:val="24"/>
        </w:rPr>
      </w:pPr>
    </w:p>
    <w:p w:rsidR="009E13B1" w:rsidRPr="006C7FAE" w14:paraId="34E8092D" w14:textId="77777777">
      <w:pPr>
        <w:keepLines/>
        <w:tabs>
          <w:tab w:val="left" w:pos="360"/>
        </w:tabs>
        <w:spacing w:after="80"/>
        <w:ind w:left="360" w:hanging="360"/>
        <w:rPr>
          <w:sz w:val="24"/>
          <w:szCs w:val="24"/>
        </w:rPr>
      </w:pPr>
      <w:r w:rsidRPr="006C7FAE">
        <w:rPr>
          <w:sz w:val="24"/>
          <w:szCs w:val="24"/>
        </w:rPr>
        <w:t>17.</w:t>
      </w:r>
      <w:r w:rsidRPr="006C7FAE">
        <w:rPr>
          <w:sz w:val="24"/>
          <w:szCs w:val="24"/>
        </w:rPr>
        <w:tab/>
      </w:r>
      <w:r w:rsidRPr="00A4299F">
        <w:rPr>
          <w:b/>
          <w:bCs/>
          <w:sz w:val="24"/>
          <w:szCs w:val="24"/>
        </w:rPr>
        <w:t>If seeking approval to not display the expiration date for OMB approval of the information collection, explain the reasons that display would be inappropriate.</w:t>
      </w:r>
    </w:p>
    <w:p w:rsidR="00A4299F" w:rsidRPr="00A4299F" w:rsidP="00A4299F" w14:paraId="098A39AF" w14:textId="77777777">
      <w:pPr>
        <w:keepLines/>
        <w:tabs>
          <w:tab w:val="left" w:pos="360"/>
          <w:tab w:val="left" w:pos="720"/>
        </w:tabs>
        <w:ind w:left="360"/>
        <w:rPr>
          <w:sz w:val="24"/>
          <w:szCs w:val="24"/>
        </w:rPr>
      </w:pPr>
      <w:r w:rsidRPr="00A4299F">
        <w:rPr>
          <w:sz w:val="24"/>
          <w:szCs w:val="24"/>
        </w:rPr>
        <w:t>This item does apply to the subject information collection requirements.</w:t>
      </w:r>
    </w:p>
    <w:p w:rsidR="009E13B1" w:rsidRPr="00D35FC2" w14:paraId="44B4D7A4" w14:textId="77777777">
      <w:pPr>
        <w:keepLines/>
        <w:tabs>
          <w:tab w:val="left" w:pos="360"/>
          <w:tab w:val="left" w:pos="720"/>
        </w:tabs>
        <w:ind w:left="360"/>
        <w:rPr>
          <w:sz w:val="24"/>
          <w:szCs w:val="24"/>
        </w:rPr>
      </w:pPr>
    </w:p>
    <w:p w:rsidR="009E13B1" w:rsidRPr="00D35FC2" w14:paraId="68C195AD" w14:textId="77777777">
      <w:pPr>
        <w:keepLines/>
        <w:tabs>
          <w:tab w:val="left" w:pos="360"/>
        </w:tabs>
        <w:spacing w:after="80"/>
        <w:ind w:left="360" w:hanging="360"/>
        <w:rPr>
          <w:sz w:val="24"/>
          <w:szCs w:val="24"/>
        </w:rPr>
      </w:pPr>
      <w:r w:rsidRPr="00D35FC2">
        <w:rPr>
          <w:sz w:val="24"/>
          <w:szCs w:val="24"/>
        </w:rPr>
        <w:t>18.</w:t>
      </w:r>
      <w:r w:rsidRPr="00D35FC2">
        <w:rPr>
          <w:sz w:val="24"/>
          <w:szCs w:val="24"/>
        </w:rPr>
        <w:tab/>
      </w:r>
      <w:r w:rsidRPr="00D35FC2">
        <w:rPr>
          <w:b/>
          <w:bCs/>
          <w:sz w:val="24"/>
          <w:szCs w:val="24"/>
        </w:rPr>
        <w:t>Explain each exception to the certification statement identified in item 19.</w:t>
      </w:r>
    </w:p>
    <w:p w:rsidR="009E13B1" w:rsidRPr="00D35FC2" w14:paraId="65980BA6" w14:textId="525140F2">
      <w:pPr>
        <w:keepLines/>
        <w:tabs>
          <w:tab w:val="left" w:pos="360"/>
          <w:tab w:val="left" w:pos="720"/>
        </w:tabs>
        <w:ind w:left="360"/>
        <w:rPr>
          <w:sz w:val="24"/>
          <w:szCs w:val="24"/>
        </w:rPr>
      </w:pPr>
      <w:r w:rsidRPr="00D35FC2">
        <w:rPr>
          <w:sz w:val="24"/>
          <w:szCs w:val="24"/>
        </w:rPr>
        <w:t>There are no exceptions.</w:t>
      </w:r>
    </w:p>
    <w:p w:rsidR="009E13B1" w:rsidRPr="00D35FC2" w14:paraId="1503DE89" w14:textId="77777777">
      <w:pPr>
        <w:tabs>
          <w:tab w:val="left" w:pos="360"/>
          <w:tab w:val="left" w:pos="720"/>
        </w:tabs>
        <w:rPr>
          <w:sz w:val="24"/>
          <w:szCs w:val="24"/>
        </w:rPr>
      </w:pPr>
    </w:p>
    <w:p w:rsidR="009E13B1" w:rsidRPr="00D35FC2" w:rsidP="00167E53" w14:paraId="507CF194"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r w:rsidRPr="00D35FC2">
        <w:rPr>
          <w:b/>
          <w:sz w:val="24"/>
          <w:szCs w:val="24"/>
        </w:rPr>
        <w:t xml:space="preserve">B. </w:t>
      </w:r>
      <w:r w:rsidRPr="00D35FC2">
        <w:rPr>
          <w:b/>
          <w:sz w:val="24"/>
          <w:szCs w:val="24"/>
        </w:rPr>
        <w:tab/>
        <w:t>Collections of Information Employing Statistical Methods</w:t>
      </w:r>
    </w:p>
    <w:p w:rsidR="00A4299F" w:rsidRPr="00D35FC2" w:rsidP="00167E53" w14:paraId="077C7582" w14:textId="0B2D3CA4">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sz w:val="24"/>
          <w:szCs w:val="24"/>
        </w:rPr>
      </w:pPr>
      <w:r w:rsidRPr="00D35FC2">
        <w:rPr>
          <w:b/>
          <w:sz w:val="24"/>
          <w:szCs w:val="24"/>
        </w:rPr>
        <w:tab/>
      </w:r>
      <w:r w:rsidRPr="00D35FC2">
        <w:rPr>
          <w:bCs/>
          <w:sz w:val="24"/>
          <w:szCs w:val="24"/>
        </w:rPr>
        <w:t>Not applicable.</w:t>
      </w:r>
    </w:p>
    <w:sectPr w:rsidSect="006C7FAE">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0055C6D"/>
    <w:multiLevelType w:val="hybridMultilevel"/>
    <w:tmpl w:val="FF0CFF9C"/>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
    <w:nsid w:val="04682B13"/>
    <w:multiLevelType w:val="hybridMultilevel"/>
    <w:tmpl w:val="4CC0E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5">
    <w:nsid w:val="0EEB1055"/>
    <w:multiLevelType w:val="hybridMultilevel"/>
    <w:tmpl w:val="8D441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4F2339C"/>
    <w:multiLevelType w:val="hybridMultilevel"/>
    <w:tmpl w:val="4372C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AD1FB0"/>
    <w:multiLevelType w:val="hybridMultilevel"/>
    <w:tmpl w:val="C374BAB6"/>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0">
    <w:nsid w:val="3A47027E"/>
    <w:multiLevelType w:val="hybridMultilevel"/>
    <w:tmpl w:val="9FD08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271A3C"/>
    <w:multiLevelType w:val="hybridMultilevel"/>
    <w:tmpl w:val="525C1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48361439"/>
    <w:multiLevelType w:val="hybridMultilevel"/>
    <w:tmpl w:val="0A6079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6">
    <w:nsid w:val="569A0A09"/>
    <w:multiLevelType w:val="hybridMultilevel"/>
    <w:tmpl w:val="61046D3E"/>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7">
    <w:nsid w:val="59792F9D"/>
    <w:multiLevelType w:val="hybridMultilevel"/>
    <w:tmpl w:val="172438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9FA0601"/>
    <w:multiLevelType w:val="hybridMultilevel"/>
    <w:tmpl w:val="2A5EB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0">
    <w:nsid w:val="5E1C1D4F"/>
    <w:multiLevelType w:val="hybridMultilevel"/>
    <w:tmpl w:val="008C36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1E67C5"/>
    <w:multiLevelType w:val="hybridMultilevel"/>
    <w:tmpl w:val="5E8EEC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7B84010"/>
    <w:multiLevelType w:val="hybridMultilevel"/>
    <w:tmpl w:val="B42EC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D0704E8"/>
    <w:multiLevelType w:val="hybridMultilevel"/>
    <w:tmpl w:val="DE46CE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5">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6">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7">
    <w:nsid w:val="7E58575A"/>
    <w:multiLevelType w:val="hybridMultilevel"/>
    <w:tmpl w:val="C494D57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743601999">
    <w:abstractNumId w:val="9"/>
  </w:num>
  <w:num w:numId="2" w16cid:durableId="1939675396">
    <w:abstractNumId w:val="4"/>
  </w:num>
  <w:num w:numId="3" w16cid:durableId="1587377701">
    <w:abstractNumId w:val="19"/>
  </w:num>
  <w:num w:numId="4" w16cid:durableId="887451858">
    <w:abstractNumId w:val="12"/>
  </w:num>
  <w:num w:numId="5" w16cid:durableId="1830825219">
    <w:abstractNumId w:val="13"/>
  </w:num>
  <w:num w:numId="6" w16cid:durableId="2036811765">
    <w:abstractNumId w:val="1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6"/>
  </w:num>
  <w:num w:numId="8" w16cid:durableId="1708868018">
    <w:abstractNumId w:val="26"/>
  </w:num>
  <w:num w:numId="9" w16cid:durableId="36247648">
    <w:abstractNumId w:val="3"/>
  </w:num>
  <w:num w:numId="10" w16cid:durableId="1269002932">
    <w:abstractNumId w:val="25"/>
  </w:num>
  <w:num w:numId="11" w16cid:durableId="804929379">
    <w:abstractNumId w:val="24"/>
  </w:num>
  <w:num w:numId="12" w16cid:durableId="1778601022">
    <w:abstractNumId w:val="2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15"/>
  </w:num>
  <w:num w:numId="14"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15" w16cid:durableId="13192560">
    <w:abstractNumId w:val="1"/>
  </w:num>
  <w:num w:numId="16" w16cid:durableId="178203963">
    <w:abstractNumId w:val="27"/>
  </w:num>
  <w:num w:numId="17" w16cid:durableId="117337786">
    <w:abstractNumId w:val="8"/>
  </w:num>
  <w:num w:numId="18" w16cid:durableId="1259873274">
    <w:abstractNumId w:val="16"/>
  </w:num>
  <w:num w:numId="19" w16cid:durableId="939338693">
    <w:abstractNumId w:val="22"/>
  </w:num>
  <w:num w:numId="20" w16cid:durableId="1921670953">
    <w:abstractNumId w:val="2"/>
  </w:num>
  <w:num w:numId="21" w16cid:durableId="1064253018">
    <w:abstractNumId w:val="20"/>
  </w:num>
  <w:num w:numId="22" w16cid:durableId="607004222">
    <w:abstractNumId w:val="14"/>
  </w:num>
  <w:num w:numId="23" w16cid:durableId="1276056230">
    <w:abstractNumId w:val="7"/>
  </w:num>
  <w:num w:numId="24" w16cid:durableId="1005786253">
    <w:abstractNumId w:val="17"/>
  </w:num>
  <w:num w:numId="25" w16cid:durableId="702167740">
    <w:abstractNumId w:val="23"/>
  </w:num>
  <w:num w:numId="26" w16cid:durableId="580525333">
    <w:abstractNumId w:val="18"/>
  </w:num>
  <w:num w:numId="27" w16cid:durableId="1562207286">
    <w:abstractNumId w:val="10"/>
  </w:num>
  <w:num w:numId="28" w16cid:durableId="169686302">
    <w:abstractNumId w:val="5"/>
  </w:num>
  <w:num w:numId="29" w16cid:durableId="61879608">
    <w:abstractNumId w:val="21"/>
  </w:num>
  <w:num w:numId="30" w16cid:durableId="1025905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4"/>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15A57"/>
    <w:rsid w:val="00022B5F"/>
    <w:rsid w:val="00063B22"/>
    <w:rsid w:val="000A1639"/>
    <w:rsid w:val="000B7AB2"/>
    <w:rsid w:val="000C117C"/>
    <w:rsid w:val="000C38FD"/>
    <w:rsid w:val="000C3B1F"/>
    <w:rsid w:val="000D5079"/>
    <w:rsid w:val="000E00A8"/>
    <w:rsid w:val="000E2A89"/>
    <w:rsid w:val="00104EF7"/>
    <w:rsid w:val="00107FD2"/>
    <w:rsid w:val="00167E53"/>
    <w:rsid w:val="00170BB8"/>
    <w:rsid w:val="001A4A44"/>
    <w:rsid w:val="001C6689"/>
    <w:rsid w:val="0020141D"/>
    <w:rsid w:val="0022622D"/>
    <w:rsid w:val="0023256B"/>
    <w:rsid w:val="00233471"/>
    <w:rsid w:val="002374EF"/>
    <w:rsid w:val="0028513A"/>
    <w:rsid w:val="002B0FD0"/>
    <w:rsid w:val="002C59CE"/>
    <w:rsid w:val="002C5BA8"/>
    <w:rsid w:val="002E4571"/>
    <w:rsid w:val="002E5311"/>
    <w:rsid w:val="002F6CE8"/>
    <w:rsid w:val="003035C0"/>
    <w:rsid w:val="003548CC"/>
    <w:rsid w:val="00360090"/>
    <w:rsid w:val="00372D50"/>
    <w:rsid w:val="00380216"/>
    <w:rsid w:val="003B0880"/>
    <w:rsid w:val="00430E6F"/>
    <w:rsid w:val="00447A1B"/>
    <w:rsid w:val="00450591"/>
    <w:rsid w:val="00476BB9"/>
    <w:rsid w:val="004A766F"/>
    <w:rsid w:val="004B0899"/>
    <w:rsid w:val="004C3F61"/>
    <w:rsid w:val="004F397B"/>
    <w:rsid w:val="005015AC"/>
    <w:rsid w:val="00513EE5"/>
    <w:rsid w:val="00530B89"/>
    <w:rsid w:val="00532200"/>
    <w:rsid w:val="0058099A"/>
    <w:rsid w:val="00585868"/>
    <w:rsid w:val="0058747D"/>
    <w:rsid w:val="005B5F8F"/>
    <w:rsid w:val="005E46C1"/>
    <w:rsid w:val="00614530"/>
    <w:rsid w:val="00642D5A"/>
    <w:rsid w:val="00670CC5"/>
    <w:rsid w:val="00686D70"/>
    <w:rsid w:val="006B7674"/>
    <w:rsid w:val="006C4830"/>
    <w:rsid w:val="006C7FAE"/>
    <w:rsid w:val="006D37B0"/>
    <w:rsid w:val="006E4225"/>
    <w:rsid w:val="00717D05"/>
    <w:rsid w:val="0074436B"/>
    <w:rsid w:val="00775025"/>
    <w:rsid w:val="00777CCD"/>
    <w:rsid w:val="007B4A33"/>
    <w:rsid w:val="007D02D2"/>
    <w:rsid w:val="007F766F"/>
    <w:rsid w:val="008206C3"/>
    <w:rsid w:val="008314BA"/>
    <w:rsid w:val="008327C7"/>
    <w:rsid w:val="00855F91"/>
    <w:rsid w:val="00875250"/>
    <w:rsid w:val="008822C9"/>
    <w:rsid w:val="008A7175"/>
    <w:rsid w:val="008C11FE"/>
    <w:rsid w:val="008C4E39"/>
    <w:rsid w:val="008E0A84"/>
    <w:rsid w:val="008E6A51"/>
    <w:rsid w:val="009059BA"/>
    <w:rsid w:val="00916FFF"/>
    <w:rsid w:val="00917F1F"/>
    <w:rsid w:val="00930740"/>
    <w:rsid w:val="00936995"/>
    <w:rsid w:val="009703D5"/>
    <w:rsid w:val="009D2993"/>
    <w:rsid w:val="009E0C3E"/>
    <w:rsid w:val="009E13B1"/>
    <w:rsid w:val="009F394C"/>
    <w:rsid w:val="00A01E08"/>
    <w:rsid w:val="00A16FA9"/>
    <w:rsid w:val="00A42926"/>
    <w:rsid w:val="00A4299F"/>
    <w:rsid w:val="00A437C9"/>
    <w:rsid w:val="00A57FC6"/>
    <w:rsid w:val="00A65F9E"/>
    <w:rsid w:val="00A674A3"/>
    <w:rsid w:val="00A83E46"/>
    <w:rsid w:val="00AC0704"/>
    <w:rsid w:val="00AF2420"/>
    <w:rsid w:val="00B01940"/>
    <w:rsid w:val="00B03398"/>
    <w:rsid w:val="00B049DC"/>
    <w:rsid w:val="00B04BA6"/>
    <w:rsid w:val="00B151FB"/>
    <w:rsid w:val="00B32CB5"/>
    <w:rsid w:val="00B37852"/>
    <w:rsid w:val="00B94401"/>
    <w:rsid w:val="00BA3A7B"/>
    <w:rsid w:val="00BB0258"/>
    <w:rsid w:val="00BB2518"/>
    <w:rsid w:val="00BB5CD3"/>
    <w:rsid w:val="00BC10AF"/>
    <w:rsid w:val="00BC50C0"/>
    <w:rsid w:val="00BD20F5"/>
    <w:rsid w:val="00C03700"/>
    <w:rsid w:val="00C06B8A"/>
    <w:rsid w:val="00C30558"/>
    <w:rsid w:val="00C86051"/>
    <w:rsid w:val="00C91C19"/>
    <w:rsid w:val="00C96E63"/>
    <w:rsid w:val="00CA06CC"/>
    <w:rsid w:val="00CE1567"/>
    <w:rsid w:val="00CE6AD4"/>
    <w:rsid w:val="00CF6D3F"/>
    <w:rsid w:val="00D17FBF"/>
    <w:rsid w:val="00D2262E"/>
    <w:rsid w:val="00D35FC2"/>
    <w:rsid w:val="00D717DB"/>
    <w:rsid w:val="00D74136"/>
    <w:rsid w:val="00D81406"/>
    <w:rsid w:val="00D8243B"/>
    <w:rsid w:val="00DB0415"/>
    <w:rsid w:val="00DD3286"/>
    <w:rsid w:val="00DE232E"/>
    <w:rsid w:val="00E01140"/>
    <w:rsid w:val="00E51B8F"/>
    <w:rsid w:val="00EB044D"/>
    <w:rsid w:val="00ED13B7"/>
    <w:rsid w:val="00ED52CD"/>
    <w:rsid w:val="00EF173E"/>
    <w:rsid w:val="00EF7B69"/>
    <w:rsid w:val="00F035D5"/>
    <w:rsid w:val="00F10641"/>
    <w:rsid w:val="00F27C8F"/>
    <w:rsid w:val="00F337CD"/>
    <w:rsid w:val="00F5145B"/>
    <w:rsid w:val="00F85D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3A2AB263-B26C-40F8-8369-1CCD19E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paragraph" w:styleId="CommentText">
    <w:name w:val="annotation text"/>
    <w:basedOn w:val="Normal"/>
    <w:link w:val="CommentTextChar"/>
    <w:uiPriority w:val="99"/>
    <w:unhideWhenUsed/>
    <w:rsid w:val="00476BB9"/>
  </w:style>
  <w:style w:type="character" w:customStyle="1" w:styleId="CommentTextChar">
    <w:name w:val="Comment Text Char"/>
    <w:basedOn w:val="DefaultParagraphFont"/>
    <w:link w:val="CommentText"/>
    <w:uiPriority w:val="99"/>
    <w:rsid w:val="00476BB9"/>
  </w:style>
  <w:style w:type="character" w:styleId="CommentReference">
    <w:name w:val="annotation reference"/>
    <w:basedOn w:val="DefaultParagraphFont"/>
    <w:uiPriority w:val="99"/>
    <w:semiHidden/>
    <w:unhideWhenUsed/>
    <w:rsid w:val="00476BB9"/>
    <w:rPr>
      <w:sz w:val="16"/>
      <w:szCs w:val="16"/>
    </w:rPr>
  </w:style>
  <w:style w:type="character" w:styleId="Hyperlink">
    <w:name w:val="Hyperlink"/>
    <w:basedOn w:val="DefaultParagraphFont"/>
    <w:uiPriority w:val="99"/>
    <w:unhideWhenUsed/>
    <w:rsid w:val="00476BB9"/>
    <w:rPr>
      <w:color w:val="467886" w:themeColor="hyperlink"/>
      <w:u w:val="single"/>
    </w:rPr>
  </w:style>
  <w:style w:type="character" w:styleId="UnresolvedMention">
    <w:name w:val="Unresolved Mention"/>
    <w:basedOn w:val="DefaultParagraphFont"/>
    <w:uiPriority w:val="99"/>
    <w:semiHidden/>
    <w:unhideWhenUsed/>
    <w:rsid w:val="00B32CB5"/>
    <w:rPr>
      <w:color w:val="605E5C"/>
      <w:shd w:val="clear" w:color="auto" w:fill="E1DFDD"/>
    </w:rPr>
  </w:style>
  <w:style w:type="character" w:styleId="FollowedHyperlink">
    <w:name w:val="FollowedHyperlink"/>
    <w:basedOn w:val="DefaultParagraphFont"/>
    <w:uiPriority w:val="99"/>
    <w:semiHidden/>
    <w:unhideWhenUsed/>
    <w:rsid w:val="00775025"/>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916FFF"/>
    <w:rPr>
      <w:b/>
      <w:bCs/>
    </w:rPr>
  </w:style>
  <w:style w:type="character" w:customStyle="1" w:styleId="CommentSubjectChar">
    <w:name w:val="Comment Subject Char"/>
    <w:basedOn w:val="CommentTextChar"/>
    <w:link w:val="CommentSubject"/>
    <w:uiPriority w:val="99"/>
    <w:semiHidden/>
    <w:rsid w:val="00916FFF"/>
    <w:rPr>
      <w:b/>
      <w:bCs/>
    </w:rPr>
  </w:style>
  <w:style w:type="paragraph" w:styleId="NoSpacing">
    <w:name w:val="No Spacing"/>
    <w:uiPriority w:val="1"/>
    <w:qFormat/>
    <w:rsid w:val="002C59CE"/>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9C700-18D5-4820-8845-40C10F963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3.xml><?xml version="1.0" encoding="utf-8"?>
<ds:datastoreItem xmlns:ds="http://schemas.openxmlformats.org/officeDocument/2006/customXml" ds:itemID="{753B7782-02BD-4EFC-ABDD-E5EB6B32463E}">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2989</Words>
  <Characters>17054</Characters>
  <Application>Microsoft Office Word</Application>
  <DocSecurity>2</DocSecurity>
  <Lines>142</Lines>
  <Paragraphs>40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Guido, Anna P</cp:lastModifiedBy>
  <cp:revision>2</cp:revision>
  <cp:lastPrinted>2016-10-19T20:19:00Z</cp:lastPrinted>
  <dcterms:created xsi:type="dcterms:W3CDTF">2025-02-05T03:06:00Z</dcterms:created>
  <dcterms:modified xsi:type="dcterms:W3CDTF">2025-02-05T03:06:00Z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0x0101009021DA34629C9E4FB313965FF4153471</vt:lpwstr>
  </property>
  <property fmtid="{D5CDD505-2E9C-101B-9397-08002B2CF9AE}" pid="3" name="MediaServiceImageTags">
    <vt:lpwstr/>
  </property>
  <property fmtid="{D5CDD505-2E9C-101B-9397-08002B2CF9AE}" pid="4" name="_NewReviewCycle">
    <vt:lpwstr/>
  </property>
</Properties>
</file>