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6DA" w:rsidRPr="009C53C6" w:rsidP="00E90DF3" w14:paraId="1727633E" w14:textId="205817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9C53C6">
        <w:rPr>
          <w:b/>
          <w:sz w:val="24"/>
          <w:szCs w:val="24"/>
        </w:rPr>
        <w:t>Supporting Statement for Paperwork Reduction Act Submissions</w:t>
      </w:r>
    </w:p>
    <w:p w:rsidR="00BB0F0B" w:rsidRPr="009C53C6" w:rsidP="00E90DF3" w14:paraId="0E6AD4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BB0F0B" w:rsidRPr="009C53C6" w:rsidP="00E90DF3" w14:paraId="74D1B00A" w14:textId="06373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9C53C6">
        <w:rPr>
          <w:b/>
          <w:sz w:val="24"/>
          <w:szCs w:val="24"/>
        </w:rPr>
        <w:t xml:space="preserve">Application for the Community Development Block Grant (ICDBG) Program for Indian Tribes and Alaska Native Villages </w:t>
      </w:r>
    </w:p>
    <w:p w:rsidR="00BB0F0B" w:rsidRPr="009C53C6" w:rsidP="00E90DF3" w14:paraId="3EE947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BB0F0B" w:rsidRPr="009C53C6" w:rsidP="00E90DF3" w14:paraId="704A8010" w14:textId="49E71C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9C53C6">
        <w:rPr>
          <w:b/>
          <w:sz w:val="24"/>
          <w:szCs w:val="24"/>
        </w:rPr>
        <w:t>OMB Control No.: 2577-0191</w:t>
      </w:r>
    </w:p>
    <w:p w:rsidR="006354D8" w:rsidRPr="00125A78" w:rsidP="00E90DF3" w14:paraId="5D16F9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6354D8" w:rsidRPr="00125A78" w:rsidP="006354D8" w14:paraId="555D0BB0"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125A78">
        <w:rPr>
          <w:b/>
          <w:sz w:val="24"/>
          <w:szCs w:val="24"/>
        </w:rPr>
        <w:t>Justification</w:t>
      </w:r>
    </w:p>
    <w:p w:rsidR="006354D8" w:rsidRPr="00125A78" w:rsidP="006354D8" w14:paraId="6D963FF8"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6354D8" w:rsidRPr="00125A78" w:rsidP="006354D8" w14:paraId="3820EF8D"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54D8" w:rsidRPr="00125A78" w:rsidP="006354D8" w14:paraId="6292C1C6"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232BFD" w:rsidP="00232BFD" w14:paraId="3320A2B2" w14:textId="3D52E32E">
      <w:pPr>
        <w:overflowPunct/>
        <w:ind w:left="720"/>
        <w:textAlignment w:val="auto"/>
        <w:rPr>
          <w:rFonts w:asciiTheme="minorHAnsi" w:hAnsiTheme="minorHAnsi" w:cstheme="minorHAnsi"/>
          <w:sz w:val="22"/>
          <w:szCs w:val="22"/>
        </w:rPr>
      </w:pPr>
      <w:hyperlink r:id="rId9" w:history="1">
        <w:r w:rsidRPr="00CA2243">
          <w:rPr>
            <w:rStyle w:val="Hyperlink"/>
            <w:rFonts w:asciiTheme="minorHAnsi" w:hAnsiTheme="minorHAnsi"/>
            <w:sz w:val="22"/>
            <w:szCs w:val="22"/>
          </w:rPr>
          <w:t>Title I of the Housing and Community Development Act of 1974</w:t>
        </w:r>
        <w:r w:rsidRPr="00CA2243">
          <w:rPr>
            <w:rStyle w:val="Hyperlink"/>
            <w:rFonts w:asciiTheme="minorHAnsi" w:hAnsiTheme="minorHAnsi"/>
            <w:sz w:val="22"/>
            <w:szCs w:val="22"/>
          </w:rPr>
          <w:t xml:space="preserve"> (P.L. 93-383)</w:t>
        </w:r>
      </w:hyperlink>
      <w:r w:rsidR="00452835">
        <w:rPr>
          <w:rFonts w:asciiTheme="minorHAnsi" w:hAnsiTheme="minorHAnsi"/>
          <w:sz w:val="22"/>
          <w:szCs w:val="22"/>
        </w:rPr>
        <w:t xml:space="preserve"> </w:t>
      </w:r>
      <w:r w:rsidRPr="00125A78">
        <w:rPr>
          <w:rFonts w:asciiTheme="minorHAnsi" w:hAnsiTheme="minorHAnsi"/>
          <w:sz w:val="22"/>
          <w:szCs w:val="22"/>
        </w:rPr>
        <w:t xml:space="preserve">authorizes </w:t>
      </w:r>
      <w:r w:rsidR="00452835">
        <w:rPr>
          <w:rFonts w:asciiTheme="minorHAnsi" w:hAnsiTheme="minorHAnsi"/>
          <w:sz w:val="22"/>
          <w:szCs w:val="22"/>
        </w:rPr>
        <w:t xml:space="preserve">Indian </w:t>
      </w:r>
      <w:r w:rsidRPr="00125A78">
        <w:rPr>
          <w:rFonts w:asciiTheme="minorHAnsi" w:hAnsiTheme="minorHAnsi"/>
          <w:sz w:val="22"/>
          <w:szCs w:val="22"/>
        </w:rPr>
        <w:t>Com</w:t>
      </w:r>
      <w:r w:rsidR="00452835">
        <w:rPr>
          <w:rFonts w:asciiTheme="minorHAnsi" w:hAnsiTheme="minorHAnsi"/>
          <w:sz w:val="22"/>
          <w:szCs w:val="22"/>
        </w:rPr>
        <w:t xml:space="preserve">munity Development Block Grants </w:t>
      </w:r>
      <w:r w:rsidR="004F1FCA">
        <w:rPr>
          <w:rFonts w:asciiTheme="minorHAnsi" w:hAnsiTheme="minorHAnsi"/>
          <w:sz w:val="22"/>
          <w:szCs w:val="22"/>
        </w:rPr>
        <w:t>(ICDBG)</w:t>
      </w:r>
      <w:r w:rsidR="00D81E76">
        <w:rPr>
          <w:rFonts w:asciiTheme="minorHAnsi" w:hAnsiTheme="minorHAnsi"/>
          <w:sz w:val="22"/>
          <w:szCs w:val="22"/>
        </w:rPr>
        <w:t xml:space="preserve"> </w:t>
      </w:r>
      <w:r w:rsidR="00452835">
        <w:rPr>
          <w:rFonts w:asciiTheme="minorHAnsi" w:hAnsiTheme="minorHAnsi"/>
          <w:sz w:val="22"/>
          <w:szCs w:val="22"/>
        </w:rPr>
        <w:t>and</w:t>
      </w:r>
      <w:r w:rsidRPr="00125A78">
        <w:rPr>
          <w:rFonts w:asciiTheme="minorHAnsi" w:hAnsiTheme="minorHAnsi"/>
          <w:sz w:val="22"/>
          <w:szCs w:val="22"/>
        </w:rPr>
        <w:t xml:space="preserve"> require</w:t>
      </w:r>
      <w:r w:rsidR="004F1FCA">
        <w:rPr>
          <w:rFonts w:asciiTheme="minorHAnsi" w:hAnsiTheme="minorHAnsi"/>
          <w:sz w:val="22"/>
          <w:szCs w:val="22"/>
        </w:rPr>
        <w:t xml:space="preserve">s that grants </w:t>
      </w:r>
      <w:r w:rsidRPr="00125A78">
        <w:rPr>
          <w:rFonts w:asciiTheme="minorHAnsi" w:hAnsiTheme="minorHAnsi"/>
          <w:sz w:val="22"/>
          <w:szCs w:val="22"/>
        </w:rPr>
        <w:t xml:space="preserve">be awarded on a competitive basis. </w:t>
      </w:r>
      <w:r w:rsidRPr="00125A78" w:rsidR="002274F5">
        <w:rPr>
          <w:rFonts w:asciiTheme="minorHAnsi" w:hAnsiTheme="minorHAnsi"/>
          <w:sz w:val="22"/>
          <w:szCs w:val="22"/>
        </w:rPr>
        <w:t xml:space="preserve"> </w:t>
      </w:r>
      <w:r w:rsidRPr="00125A78" w:rsidR="009C16BD">
        <w:rPr>
          <w:rFonts w:asciiTheme="minorHAnsi" w:hAnsiTheme="minorHAnsi"/>
          <w:sz w:val="22"/>
          <w:szCs w:val="22"/>
        </w:rPr>
        <w:t>The purpose of the ICDBG program is to develop viable Indian and Alaska Native communities by creating decent housing, suitable living environments</w:t>
      </w:r>
      <w:r w:rsidRPr="00125A78">
        <w:rPr>
          <w:rFonts w:asciiTheme="minorHAnsi" w:hAnsiTheme="minorHAnsi"/>
          <w:sz w:val="22"/>
          <w:szCs w:val="22"/>
        </w:rPr>
        <w:t>,</w:t>
      </w:r>
      <w:r w:rsidRPr="00125A78" w:rsidR="009C16BD">
        <w:rPr>
          <w:rFonts w:asciiTheme="minorHAnsi" w:hAnsiTheme="minorHAnsi"/>
          <w:sz w:val="22"/>
          <w:szCs w:val="22"/>
        </w:rPr>
        <w:t xml:space="preserve"> and economic opportunities primarily for low</w:t>
      </w:r>
      <w:r w:rsidR="00FC28D9">
        <w:rPr>
          <w:rFonts w:asciiTheme="minorHAnsi" w:hAnsiTheme="minorHAnsi"/>
          <w:sz w:val="22"/>
          <w:szCs w:val="22"/>
        </w:rPr>
        <w:t>-</w:t>
      </w:r>
      <w:r w:rsidRPr="00125A78" w:rsidR="009C16BD">
        <w:rPr>
          <w:rFonts w:asciiTheme="minorHAnsi" w:hAnsiTheme="minorHAnsi"/>
          <w:sz w:val="22"/>
          <w:szCs w:val="22"/>
        </w:rPr>
        <w:t xml:space="preserve"> and moderate</w:t>
      </w:r>
      <w:r w:rsidR="00FC28D9">
        <w:rPr>
          <w:rFonts w:asciiTheme="minorHAnsi" w:hAnsiTheme="minorHAnsi"/>
          <w:sz w:val="22"/>
          <w:szCs w:val="22"/>
        </w:rPr>
        <w:t>-</w:t>
      </w:r>
      <w:r w:rsidRPr="00125A78" w:rsidR="009C16BD">
        <w:rPr>
          <w:rFonts w:asciiTheme="minorHAnsi" w:hAnsiTheme="minorHAnsi"/>
          <w:sz w:val="22"/>
          <w:szCs w:val="22"/>
        </w:rPr>
        <w:t>income persons.  Consistent with this objective, not less than 70 percent of the expenditures are to benefit low</w:t>
      </w:r>
      <w:r w:rsidR="00155A3B">
        <w:rPr>
          <w:rFonts w:asciiTheme="minorHAnsi" w:hAnsiTheme="minorHAnsi"/>
          <w:sz w:val="22"/>
          <w:szCs w:val="22"/>
        </w:rPr>
        <w:t>-</w:t>
      </w:r>
      <w:r w:rsidRPr="00125A78" w:rsidR="009C16BD">
        <w:rPr>
          <w:rFonts w:asciiTheme="minorHAnsi" w:hAnsiTheme="minorHAnsi"/>
          <w:sz w:val="22"/>
          <w:szCs w:val="22"/>
        </w:rPr>
        <w:t xml:space="preserve"> and moderate</w:t>
      </w:r>
      <w:r w:rsidR="00155A3B">
        <w:rPr>
          <w:rFonts w:asciiTheme="minorHAnsi" w:hAnsiTheme="minorHAnsi"/>
          <w:sz w:val="22"/>
          <w:szCs w:val="22"/>
        </w:rPr>
        <w:t>-</w:t>
      </w:r>
      <w:r w:rsidRPr="00125A78" w:rsidR="009C16BD">
        <w:rPr>
          <w:rFonts w:asciiTheme="minorHAnsi" w:hAnsiTheme="minorHAnsi"/>
          <w:sz w:val="22"/>
          <w:szCs w:val="22"/>
        </w:rPr>
        <w:t xml:space="preserve">income persons.  </w:t>
      </w:r>
      <w:r w:rsidRPr="00125A78" w:rsidR="002274F5">
        <w:rPr>
          <w:rFonts w:asciiTheme="minorHAnsi" w:hAnsiTheme="minorHAnsi"/>
          <w:sz w:val="22"/>
          <w:szCs w:val="22"/>
        </w:rPr>
        <w:t xml:space="preserve">Eligible applicants include </w:t>
      </w:r>
      <w:r w:rsidRPr="00125A78" w:rsidR="002274F5">
        <w:rPr>
          <w:rFonts w:asciiTheme="minorHAnsi" w:hAnsiTheme="minorHAnsi"/>
          <w:sz w:val="22"/>
          <w:szCs w:val="22"/>
        </w:rPr>
        <w:t>Federally-</w:t>
      </w:r>
      <w:r w:rsidRPr="00125A78" w:rsidR="00EB0411">
        <w:rPr>
          <w:rFonts w:asciiTheme="minorHAnsi" w:hAnsiTheme="minorHAnsi"/>
          <w:sz w:val="22"/>
          <w:szCs w:val="22"/>
        </w:rPr>
        <w:t>recognized</w:t>
      </w:r>
      <w:r w:rsidRPr="00125A78" w:rsidR="00EB0411">
        <w:rPr>
          <w:rFonts w:asciiTheme="minorHAnsi" w:hAnsiTheme="minorHAnsi"/>
          <w:sz w:val="22"/>
          <w:szCs w:val="22"/>
        </w:rPr>
        <w:t xml:space="preserve"> tribes</w:t>
      </w:r>
      <w:r w:rsidRPr="00125A78" w:rsidR="004872DE">
        <w:rPr>
          <w:rFonts w:asciiTheme="minorHAnsi" w:hAnsiTheme="minorHAnsi"/>
          <w:sz w:val="22"/>
          <w:szCs w:val="22"/>
        </w:rPr>
        <w:t xml:space="preserve">, which </w:t>
      </w:r>
      <w:r w:rsidRPr="00125A78" w:rsidR="004872DE">
        <w:rPr>
          <w:rFonts w:asciiTheme="minorHAnsi" w:hAnsiTheme="minorHAnsi" w:cstheme="minorHAnsi"/>
          <w:sz w:val="22"/>
          <w:szCs w:val="22"/>
        </w:rPr>
        <w:t>includes Alaska Native communities,</w:t>
      </w:r>
      <w:r w:rsidRPr="00125A78" w:rsidR="00EB0411">
        <w:rPr>
          <w:rFonts w:asciiTheme="minorHAnsi" w:hAnsiTheme="minorHAnsi" w:cstheme="minorHAnsi"/>
          <w:sz w:val="22"/>
          <w:szCs w:val="22"/>
        </w:rPr>
        <w:t xml:space="preserve"> and tribally authorized tribal organizations.</w:t>
      </w:r>
      <w:r w:rsidRPr="00125A78">
        <w:rPr>
          <w:rFonts w:asciiTheme="minorHAnsi" w:hAnsiTheme="minorHAnsi" w:cstheme="minorHAnsi"/>
          <w:sz w:val="22"/>
          <w:szCs w:val="22"/>
        </w:rPr>
        <w:t xml:space="preserve">  Eligible categories of funding include housing rehabilitation, land acquisition to support new housing, homeownership assistance, public facilities and improvements, economic development, and microenterprise programs.  For a complete description of eligible activities, please refer to 24 </w:t>
      </w:r>
      <w:r w:rsidRPr="00125A78" w:rsidR="00F95D6E">
        <w:rPr>
          <w:rFonts w:asciiTheme="minorHAnsi" w:hAnsiTheme="minorHAnsi" w:cstheme="minorHAnsi"/>
          <w:sz w:val="22"/>
          <w:szCs w:val="22"/>
        </w:rPr>
        <w:t>CFR §</w:t>
      </w:r>
      <w:r w:rsidRPr="00125A78">
        <w:rPr>
          <w:rFonts w:asciiTheme="minorHAnsi" w:hAnsiTheme="minorHAnsi" w:cstheme="minorHAnsi"/>
          <w:sz w:val="22"/>
          <w:szCs w:val="22"/>
        </w:rPr>
        <w:t xml:space="preserve"> 1003, subpart C.  </w:t>
      </w:r>
    </w:p>
    <w:p w:rsidR="009A5121" w:rsidRPr="00125A78" w:rsidP="00232BFD" w14:paraId="360D01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9A5121" w:rsidRPr="00125A78" w:rsidP="009A5121" w14:paraId="2BF59D3D" w14:textId="794393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ICDBG program regulations </w:t>
      </w:r>
      <w:r w:rsidRPr="00125A78" w:rsidR="00232BFD">
        <w:rPr>
          <w:rFonts w:asciiTheme="minorHAnsi" w:hAnsiTheme="minorHAnsi"/>
          <w:sz w:val="22"/>
          <w:szCs w:val="22"/>
        </w:rPr>
        <w:t>are</w:t>
      </w:r>
      <w:r w:rsidRPr="00125A78">
        <w:rPr>
          <w:rFonts w:asciiTheme="minorHAnsi" w:hAnsiTheme="minorHAnsi"/>
          <w:sz w:val="22"/>
          <w:szCs w:val="22"/>
        </w:rPr>
        <w:t xml:space="preserve"> at</w:t>
      </w:r>
      <w:hyperlink r:id="rId10" w:history="1">
        <w:r w:rsidRPr="00E612E1">
          <w:rPr>
            <w:rStyle w:val="Hyperlink"/>
            <w:rFonts w:asciiTheme="minorHAnsi" w:hAnsiTheme="minorHAnsi"/>
            <w:sz w:val="22"/>
            <w:szCs w:val="22"/>
          </w:rPr>
          <w:t xml:space="preserve"> 24 </w:t>
        </w:r>
        <w:r w:rsidRPr="00E612E1" w:rsidR="00125A78">
          <w:rPr>
            <w:rStyle w:val="Hyperlink"/>
            <w:rFonts w:asciiTheme="minorHAnsi" w:hAnsiTheme="minorHAnsi"/>
            <w:sz w:val="22"/>
            <w:szCs w:val="22"/>
          </w:rPr>
          <w:t xml:space="preserve">CFR </w:t>
        </w:r>
        <w:r w:rsidRPr="00E612E1" w:rsidR="003A7D91">
          <w:rPr>
            <w:rStyle w:val="Hyperlink"/>
            <w:rFonts w:asciiTheme="minorHAnsi" w:hAnsiTheme="minorHAnsi"/>
            <w:sz w:val="22"/>
            <w:szCs w:val="22"/>
          </w:rPr>
          <w:t>p</w:t>
        </w:r>
        <w:r w:rsidRPr="00E612E1" w:rsidR="00232BFD">
          <w:rPr>
            <w:rStyle w:val="Hyperlink"/>
            <w:rFonts w:asciiTheme="minorHAnsi" w:hAnsiTheme="minorHAnsi"/>
            <w:sz w:val="22"/>
            <w:szCs w:val="22"/>
          </w:rPr>
          <w:t>art</w:t>
        </w:r>
        <w:r w:rsidRPr="00E612E1">
          <w:rPr>
            <w:rStyle w:val="Hyperlink"/>
            <w:rFonts w:asciiTheme="minorHAnsi" w:hAnsiTheme="minorHAnsi"/>
            <w:sz w:val="22"/>
            <w:szCs w:val="22"/>
          </w:rPr>
          <w:t xml:space="preserve"> 1003</w:t>
        </w:r>
      </w:hyperlink>
      <w:r w:rsidRPr="00125A78">
        <w:rPr>
          <w:rFonts w:asciiTheme="minorHAnsi" w:hAnsiTheme="minorHAnsi"/>
          <w:sz w:val="22"/>
          <w:szCs w:val="22"/>
        </w:rPr>
        <w:t xml:space="preserve">.  The ICDBG </w:t>
      </w:r>
      <w:r w:rsidRPr="00125A78" w:rsidR="00C21AE4">
        <w:rPr>
          <w:rFonts w:asciiTheme="minorHAnsi" w:hAnsiTheme="minorHAnsi"/>
          <w:sz w:val="22"/>
          <w:szCs w:val="22"/>
        </w:rPr>
        <w:t>p</w:t>
      </w:r>
      <w:r w:rsidRPr="00125A78" w:rsidR="00125A78">
        <w:rPr>
          <w:rFonts w:asciiTheme="minorHAnsi" w:hAnsiTheme="minorHAnsi"/>
          <w:sz w:val="22"/>
          <w:szCs w:val="22"/>
        </w:rPr>
        <w:t xml:space="preserve">rogram </w:t>
      </w:r>
      <w:r w:rsidRPr="00125A78">
        <w:rPr>
          <w:rFonts w:asciiTheme="minorHAnsi" w:hAnsiTheme="minorHAnsi"/>
          <w:sz w:val="22"/>
          <w:szCs w:val="22"/>
        </w:rPr>
        <w:t xml:space="preserve">requires eligible applicants to submit information to enable HUD to select the best projects for funding during annual competitions.  Additionally, </w:t>
      </w:r>
      <w:r w:rsidRPr="00125A78" w:rsidR="00232BFD">
        <w:rPr>
          <w:rFonts w:asciiTheme="minorHAnsi" w:hAnsiTheme="minorHAnsi"/>
          <w:sz w:val="22"/>
          <w:szCs w:val="22"/>
        </w:rPr>
        <w:t xml:space="preserve">the information submitted is </w:t>
      </w:r>
      <w:r w:rsidRPr="00125A78">
        <w:rPr>
          <w:rFonts w:asciiTheme="minorHAnsi" w:hAnsiTheme="minorHAnsi"/>
          <w:sz w:val="22"/>
          <w:szCs w:val="22"/>
        </w:rPr>
        <w:t>essential for HUD in monitoring grants to ensure that grantees are</w:t>
      </w:r>
      <w:r w:rsidRPr="00125A78" w:rsidR="00232BFD">
        <w:rPr>
          <w:rFonts w:asciiTheme="minorHAnsi" w:hAnsiTheme="minorHAnsi"/>
          <w:sz w:val="22"/>
          <w:szCs w:val="22"/>
        </w:rPr>
        <w:t xml:space="preserve"> complying with applicable statutes and regulations and implementing activities as approved. </w:t>
      </w:r>
      <w:r w:rsidRPr="00125A78">
        <w:rPr>
          <w:rFonts w:asciiTheme="minorHAnsi" w:hAnsiTheme="minorHAnsi"/>
          <w:sz w:val="22"/>
          <w:szCs w:val="22"/>
        </w:rPr>
        <w:t xml:space="preserve"> </w:t>
      </w:r>
    </w:p>
    <w:p w:rsidR="009A5121" w:rsidRPr="00125A78" w:rsidP="009A5121" w14:paraId="089DEE5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5A66B3" w:rsidRPr="00125A78" w:rsidP="006354D8" w14:paraId="7EA84BE3" w14:textId="7A1AAB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ICDBG recipients are required to submit a</w:t>
      </w:r>
      <w:r w:rsidR="00F52BD5">
        <w:rPr>
          <w:rFonts w:asciiTheme="minorHAnsi" w:hAnsiTheme="minorHAnsi"/>
          <w:sz w:val="22"/>
          <w:szCs w:val="22"/>
        </w:rPr>
        <w:t>n annual</w:t>
      </w:r>
      <w:r w:rsidRPr="00125A78">
        <w:rPr>
          <w:rFonts w:asciiTheme="minorHAnsi" w:hAnsiTheme="minorHAnsi"/>
          <w:sz w:val="22"/>
          <w:szCs w:val="22"/>
        </w:rPr>
        <w:t xml:space="preserve"> Federal Financial Report (</w:t>
      </w:r>
      <w:r w:rsidR="004F1FCA">
        <w:rPr>
          <w:rFonts w:asciiTheme="minorHAnsi" w:hAnsiTheme="minorHAnsi"/>
          <w:sz w:val="22"/>
          <w:szCs w:val="22"/>
        </w:rPr>
        <w:t xml:space="preserve">SF-425) </w:t>
      </w:r>
      <w:r w:rsidR="00DA48C0">
        <w:rPr>
          <w:rFonts w:asciiTheme="minorHAnsi" w:hAnsiTheme="minorHAnsi"/>
          <w:sz w:val="22"/>
          <w:szCs w:val="22"/>
        </w:rPr>
        <w:t xml:space="preserve">that describes the use of </w:t>
      </w:r>
      <w:r w:rsidRPr="00125A78">
        <w:rPr>
          <w:rFonts w:asciiTheme="minorHAnsi" w:hAnsiTheme="minorHAnsi"/>
          <w:sz w:val="22"/>
          <w:szCs w:val="22"/>
        </w:rPr>
        <w:t>grant funds drawn from the recipient’s line of credit.  The reports are used to monitor cash transfers to the recipients and obtain expen</w:t>
      </w:r>
      <w:r w:rsidR="00FC0E6D">
        <w:rPr>
          <w:rFonts w:asciiTheme="minorHAnsi" w:hAnsiTheme="minorHAnsi"/>
          <w:sz w:val="22"/>
          <w:szCs w:val="22"/>
        </w:rPr>
        <w:t>diture data from the recipients</w:t>
      </w:r>
      <w:r w:rsidRPr="00125A78" w:rsidR="00BF60D3">
        <w:rPr>
          <w:rFonts w:asciiTheme="minorHAnsi" w:hAnsiTheme="minorHAnsi"/>
          <w:sz w:val="22"/>
          <w:szCs w:val="22"/>
        </w:rPr>
        <w:t xml:space="preserve"> </w:t>
      </w:r>
      <w:hyperlink r:id="rId11" w:history="1">
        <w:r w:rsidRPr="00B24C1E" w:rsidR="00B27832">
          <w:rPr>
            <w:rStyle w:val="Hyperlink"/>
            <w:rFonts w:asciiTheme="minorHAnsi" w:hAnsiTheme="minorHAnsi"/>
            <w:sz w:val="22"/>
            <w:szCs w:val="22"/>
          </w:rPr>
          <w:t>(</w:t>
        </w:r>
        <w:r w:rsidRPr="00B24C1E" w:rsidR="0021383C">
          <w:rPr>
            <w:rStyle w:val="Hyperlink"/>
            <w:rFonts w:asciiTheme="minorHAnsi" w:hAnsiTheme="minorHAnsi"/>
            <w:sz w:val="22"/>
            <w:szCs w:val="22"/>
          </w:rPr>
          <w:t>2 CFR § 200.32</w:t>
        </w:r>
        <w:r w:rsidRPr="00B24C1E" w:rsidR="00495619">
          <w:rPr>
            <w:rStyle w:val="Hyperlink"/>
            <w:rFonts w:asciiTheme="minorHAnsi" w:hAnsiTheme="minorHAnsi"/>
            <w:sz w:val="22"/>
            <w:szCs w:val="22"/>
          </w:rPr>
          <w:t>8</w:t>
        </w:r>
        <w:r w:rsidRPr="00B24C1E" w:rsidR="003946AC">
          <w:rPr>
            <w:rStyle w:val="Hyperlink"/>
            <w:rFonts w:asciiTheme="minorHAnsi" w:hAnsiTheme="minorHAnsi"/>
            <w:sz w:val="22"/>
            <w:szCs w:val="22"/>
          </w:rPr>
          <w:t>)</w:t>
        </w:r>
        <w:r w:rsidRPr="00B24C1E" w:rsidR="00FC0E6D">
          <w:rPr>
            <w:rStyle w:val="Hyperlink"/>
            <w:rFonts w:asciiTheme="minorHAnsi" w:hAnsiTheme="minorHAnsi"/>
            <w:sz w:val="22"/>
            <w:szCs w:val="22"/>
          </w:rPr>
          <w:t>.</w:t>
        </w:r>
      </w:hyperlink>
    </w:p>
    <w:p w:rsidR="0093179C" w:rsidRPr="00125A78" w:rsidP="006354D8" w14:paraId="19743D4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AC07D3" w:rsidRPr="00125A78" w:rsidP="00AC07D3" w14:paraId="1B6073F0" w14:textId="1590EC1B">
      <w:pPr>
        <w:pStyle w:val="Document1"/>
        <w:keepNext w:val="0"/>
        <w:keepLines w:val="0"/>
        <w:widowControl/>
        <w:tabs>
          <w:tab w:val="left" w:pos="-720"/>
          <w:tab w:val="clear" w:pos="0"/>
        </w:tabs>
        <w:autoSpaceDE/>
        <w:autoSpaceDN/>
        <w:adjustRightInd/>
        <w:spacing w:line="240" w:lineRule="auto"/>
        <w:ind w:left="720"/>
        <w:rPr>
          <w:rFonts w:asciiTheme="minorHAnsi" w:hAnsiTheme="minorHAnsi"/>
          <w:sz w:val="22"/>
          <w:szCs w:val="22"/>
        </w:rPr>
      </w:pPr>
      <w:r w:rsidRPr="00125A78">
        <w:rPr>
          <w:rFonts w:asciiTheme="minorHAnsi" w:hAnsiTheme="minorHAnsi"/>
          <w:sz w:val="22"/>
          <w:szCs w:val="22"/>
        </w:rPr>
        <w:t xml:space="preserve">The government-wide administrative requirements for grants and cooperative agreements to state, local, and federally recognized Indian tribal governments codified by HUD at 24 </w:t>
      </w:r>
      <w:r w:rsidRPr="00125A78" w:rsidR="00125A78">
        <w:rPr>
          <w:rFonts w:asciiTheme="minorHAnsi" w:hAnsiTheme="minorHAnsi"/>
          <w:sz w:val="22"/>
          <w:szCs w:val="22"/>
        </w:rPr>
        <w:t xml:space="preserve">CFR </w:t>
      </w:r>
      <w:r w:rsidR="000273FD">
        <w:rPr>
          <w:rFonts w:asciiTheme="minorHAnsi" w:hAnsiTheme="minorHAnsi"/>
          <w:sz w:val="22"/>
          <w:szCs w:val="22"/>
        </w:rPr>
        <w:t>p</w:t>
      </w:r>
      <w:r w:rsidRPr="00125A78">
        <w:rPr>
          <w:rFonts w:asciiTheme="minorHAnsi" w:hAnsiTheme="minorHAnsi"/>
          <w:sz w:val="22"/>
          <w:szCs w:val="22"/>
        </w:rPr>
        <w:t xml:space="preserve">art </w:t>
      </w:r>
      <w:r w:rsidR="008F3653">
        <w:rPr>
          <w:rFonts w:asciiTheme="minorHAnsi" w:hAnsiTheme="minorHAnsi"/>
          <w:sz w:val="22"/>
          <w:szCs w:val="22"/>
        </w:rPr>
        <w:t>200</w:t>
      </w:r>
      <w:r w:rsidRPr="00125A78">
        <w:rPr>
          <w:rFonts w:asciiTheme="minorHAnsi" w:hAnsiTheme="minorHAnsi"/>
          <w:sz w:val="22"/>
          <w:szCs w:val="22"/>
        </w:rPr>
        <w:t xml:space="preserve"> require that grantees and sub</w:t>
      </w:r>
      <w:r w:rsidRPr="00125A78" w:rsidR="00D177EA">
        <w:rPr>
          <w:rFonts w:asciiTheme="minorHAnsi" w:hAnsiTheme="minorHAnsi"/>
          <w:sz w:val="22"/>
          <w:szCs w:val="22"/>
        </w:rPr>
        <w:t>-</w:t>
      </w:r>
      <w:r w:rsidRPr="00125A78">
        <w:rPr>
          <w:rFonts w:asciiTheme="minorHAnsi" w:hAnsiTheme="minorHAnsi"/>
          <w:sz w:val="22"/>
          <w:szCs w:val="22"/>
        </w:rPr>
        <w:t xml:space="preserve">grantees </w:t>
      </w:r>
      <w:r w:rsidRPr="00125A78" w:rsidR="00D12CC8">
        <w:rPr>
          <w:rFonts w:asciiTheme="minorHAnsi" w:hAnsiTheme="minorHAnsi"/>
          <w:sz w:val="22"/>
          <w:szCs w:val="22"/>
        </w:rPr>
        <w:t xml:space="preserve">take all necessary affirmative steps to assure that minority </w:t>
      </w:r>
      <w:r w:rsidR="006D32A4">
        <w:rPr>
          <w:rFonts w:asciiTheme="minorHAnsi" w:hAnsiTheme="minorHAnsi"/>
          <w:sz w:val="22"/>
          <w:szCs w:val="22"/>
        </w:rPr>
        <w:t>businesses</w:t>
      </w:r>
      <w:r w:rsidRPr="00125A78" w:rsidR="00D12CC8">
        <w:rPr>
          <w:rFonts w:asciiTheme="minorHAnsi" w:hAnsiTheme="minorHAnsi"/>
          <w:sz w:val="22"/>
          <w:szCs w:val="22"/>
        </w:rPr>
        <w:t>, women's</w:t>
      </w:r>
      <w:r w:rsidRPr="00125A78" w:rsidR="00D12CC8">
        <w:rPr>
          <w:rFonts w:ascii="Times New Roman" w:hAnsi="Times New Roman"/>
          <w:sz w:val="22"/>
          <w:szCs w:val="22"/>
        </w:rPr>
        <w:t xml:space="preserve"> </w:t>
      </w:r>
      <w:r w:rsidRPr="00125A78" w:rsidR="00D12CC8">
        <w:rPr>
          <w:rFonts w:asciiTheme="minorHAnsi" w:hAnsiTheme="minorHAnsi"/>
          <w:sz w:val="22"/>
          <w:szCs w:val="22"/>
        </w:rPr>
        <w:t>business enterprises, and labor surplus area firms are used when possible</w:t>
      </w:r>
      <w:r w:rsidRPr="00125A78">
        <w:rPr>
          <w:rFonts w:asciiTheme="minorHAnsi" w:hAnsiTheme="minorHAnsi"/>
          <w:sz w:val="22"/>
          <w:szCs w:val="22"/>
        </w:rPr>
        <w:t>.  Consistent with these regulations</w:t>
      </w:r>
      <w:r w:rsidRPr="009C53C6" w:rsidR="00791737">
        <w:t xml:space="preserve">, </w:t>
      </w:r>
      <w:hyperlink r:id="rId12" w:history="1">
        <w:r w:rsidRPr="00A254AE" w:rsidR="00791737">
          <w:rPr>
            <w:rStyle w:val="Hyperlink"/>
            <w:rFonts w:asciiTheme="minorHAnsi" w:hAnsiTheme="minorHAnsi"/>
            <w:sz w:val="22"/>
            <w:szCs w:val="22"/>
          </w:rPr>
          <w:t>24 CFR § 1003.506(b)</w:t>
        </w:r>
      </w:hyperlink>
      <w:r w:rsidRPr="00125A78">
        <w:rPr>
          <w:rFonts w:asciiTheme="minorHAnsi" w:hAnsiTheme="minorHAnsi"/>
          <w:sz w:val="22"/>
          <w:szCs w:val="22"/>
        </w:rPr>
        <w:t xml:space="preserve"> requires that ICDBG grantees report on these activities on an annual basis, with </w:t>
      </w:r>
      <w:r w:rsidRPr="00125A78" w:rsidR="00577D4E">
        <w:rPr>
          <w:rFonts w:asciiTheme="minorHAnsi" w:hAnsiTheme="minorHAnsi"/>
          <w:sz w:val="22"/>
          <w:szCs w:val="22"/>
        </w:rPr>
        <w:t xml:space="preserve">Contract and Subcontract Activity </w:t>
      </w:r>
      <w:r w:rsidRPr="00125A78">
        <w:rPr>
          <w:rFonts w:asciiTheme="minorHAnsi" w:hAnsiTheme="minorHAnsi"/>
          <w:sz w:val="22"/>
          <w:szCs w:val="22"/>
        </w:rPr>
        <w:t>reports being due to HUD on October 10</w:t>
      </w:r>
      <w:r w:rsidRPr="00553C37" w:rsidR="00553C37">
        <w:rPr>
          <w:rFonts w:asciiTheme="minorHAnsi" w:hAnsiTheme="minorHAnsi"/>
          <w:sz w:val="22"/>
          <w:szCs w:val="22"/>
          <w:vertAlign w:val="superscript"/>
        </w:rPr>
        <w:t>th</w:t>
      </w:r>
      <w:r w:rsidR="00553C37">
        <w:rPr>
          <w:rFonts w:asciiTheme="minorHAnsi" w:hAnsiTheme="minorHAnsi"/>
          <w:sz w:val="22"/>
          <w:szCs w:val="22"/>
        </w:rPr>
        <w:t xml:space="preserve"> </w:t>
      </w:r>
      <w:r w:rsidRPr="00125A78">
        <w:rPr>
          <w:rFonts w:asciiTheme="minorHAnsi" w:hAnsiTheme="minorHAnsi"/>
          <w:sz w:val="22"/>
          <w:szCs w:val="22"/>
        </w:rPr>
        <w:t>of each year</w:t>
      </w:r>
      <w:r w:rsidRPr="00125A78" w:rsidR="00C21AE4">
        <w:rPr>
          <w:rFonts w:asciiTheme="minorHAnsi" w:hAnsiTheme="minorHAnsi"/>
          <w:sz w:val="22"/>
          <w:szCs w:val="22"/>
        </w:rPr>
        <w:t xml:space="preserve"> (HUD-2516)</w:t>
      </w:r>
      <w:r w:rsidRPr="00125A78">
        <w:rPr>
          <w:rFonts w:asciiTheme="minorHAnsi" w:hAnsiTheme="minorHAnsi"/>
          <w:sz w:val="22"/>
          <w:szCs w:val="22"/>
        </w:rPr>
        <w:t xml:space="preserve">.  </w:t>
      </w:r>
    </w:p>
    <w:p w:rsidR="00EC49BD" w:rsidRPr="00125A78" w:rsidP="00AC07D3" w14:paraId="5E4C842B" w14:textId="77777777">
      <w:pPr>
        <w:pStyle w:val="Document1"/>
        <w:keepNext w:val="0"/>
        <w:keepLines w:val="0"/>
        <w:widowControl/>
        <w:tabs>
          <w:tab w:val="left" w:pos="-720"/>
          <w:tab w:val="clear" w:pos="0"/>
        </w:tabs>
        <w:autoSpaceDE/>
        <w:autoSpaceDN/>
        <w:adjustRightInd/>
        <w:spacing w:line="240" w:lineRule="auto"/>
        <w:ind w:left="720"/>
        <w:rPr>
          <w:rFonts w:asciiTheme="minorHAnsi" w:hAnsiTheme="minorHAnsi"/>
          <w:sz w:val="22"/>
          <w:szCs w:val="22"/>
        </w:rPr>
      </w:pPr>
    </w:p>
    <w:p w:rsidR="00EC49BD" w:rsidRPr="00125A78" w:rsidP="009064E2" w14:paraId="3877587D" w14:textId="559BD07A">
      <w:pPr>
        <w:ind w:left="720"/>
        <w:rPr>
          <w:rFonts w:asciiTheme="minorHAnsi" w:hAnsiTheme="minorHAnsi" w:cstheme="minorHAnsi"/>
          <w:sz w:val="22"/>
          <w:szCs w:val="22"/>
        </w:rPr>
      </w:pPr>
      <w:r w:rsidRPr="00125A78">
        <w:rPr>
          <w:rFonts w:asciiTheme="minorHAnsi" w:hAnsiTheme="minorHAnsi" w:cstheme="minorHAnsi"/>
          <w:sz w:val="22"/>
          <w:szCs w:val="22"/>
        </w:rPr>
        <w:t xml:space="preserve">The regulations at </w:t>
      </w:r>
      <w:hyperlink r:id="rId12" w:history="1">
        <w:r w:rsidRPr="00147ADE">
          <w:rPr>
            <w:rStyle w:val="Hyperlink"/>
            <w:rFonts w:asciiTheme="minorHAnsi" w:hAnsiTheme="minorHAnsi" w:cstheme="minorHAnsi"/>
            <w:sz w:val="22"/>
            <w:szCs w:val="22"/>
          </w:rPr>
          <w:t xml:space="preserve">24 </w:t>
        </w:r>
        <w:r w:rsidRPr="00147ADE" w:rsidR="00F95D6E">
          <w:rPr>
            <w:rStyle w:val="Hyperlink"/>
            <w:rFonts w:asciiTheme="minorHAnsi" w:hAnsiTheme="minorHAnsi" w:cstheme="minorHAnsi"/>
            <w:sz w:val="22"/>
            <w:szCs w:val="22"/>
          </w:rPr>
          <w:t>CFR §</w:t>
        </w:r>
        <w:r w:rsidRPr="00147ADE" w:rsidR="00125A78">
          <w:rPr>
            <w:rStyle w:val="Hyperlink"/>
            <w:rFonts w:asciiTheme="minorHAnsi" w:hAnsiTheme="minorHAnsi" w:cstheme="minorHAnsi"/>
            <w:sz w:val="22"/>
            <w:szCs w:val="22"/>
          </w:rPr>
          <w:t xml:space="preserve"> </w:t>
        </w:r>
        <w:r w:rsidRPr="00147ADE">
          <w:rPr>
            <w:rStyle w:val="Hyperlink"/>
            <w:rFonts w:asciiTheme="minorHAnsi" w:hAnsiTheme="minorHAnsi" w:cstheme="minorHAnsi"/>
            <w:sz w:val="22"/>
            <w:szCs w:val="22"/>
          </w:rPr>
          <w:t>1003.506</w:t>
        </w:r>
        <w:r w:rsidRPr="00147ADE" w:rsidR="00EF3F78">
          <w:rPr>
            <w:rStyle w:val="Hyperlink"/>
            <w:rFonts w:asciiTheme="minorHAnsi" w:hAnsiTheme="minorHAnsi" w:cstheme="minorHAnsi"/>
            <w:sz w:val="22"/>
            <w:szCs w:val="22"/>
          </w:rPr>
          <w:t>(a)</w:t>
        </w:r>
      </w:hyperlink>
      <w:r w:rsidRPr="00125A78">
        <w:rPr>
          <w:rFonts w:asciiTheme="minorHAnsi" w:hAnsiTheme="minorHAnsi" w:cstheme="minorHAnsi"/>
          <w:sz w:val="22"/>
          <w:szCs w:val="22"/>
        </w:rPr>
        <w:t xml:space="preserve"> instruct recipients to submit to HUD an Annual Status and Evaluation Report (ASER) that describes the progress made in completing approved activities with a listing of work to be completed; a breakdown of funds expended; and when the project is completed, a program evaluation expressing the effectiveness of the project in meeting community development needs.  The ASER is due </w:t>
      </w:r>
      <w:r w:rsidRPr="00125A78" w:rsidR="009064E2">
        <w:rPr>
          <w:rFonts w:asciiTheme="minorHAnsi" w:hAnsiTheme="minorHAnsi" w:cstheme="minorHAnsi"/>
          <w:sz w:val="22"/>
          <w:szCs w:val="22"/>
        </w:rPr>
        <w:t>by November 15</w:t>
      </w:r>
      <w:r w:rsidRPr="00553C37" w:rsidR="00553C37">
        <w:rPr>
          <w:rFonts w:asciiTheme="minorHAnsi" w:hAnsiTheme="minorHAnsi" w:cstheme="minorHAnsi"/>
          <w:sz w:val="22"/>
          <w:szCs w:val="22"/>
          <w:vertAlign w:val="superscript"/>
        </w:rPr>
        <w:t>th</w:t>
      </w:r>
      <w:r w:rsidR="00553C37">
        <w:rPr>
          <w:rFonts w:asciiTheme="minorHAnsi" w:hAnsiTheme="minorHAnsi" w:cstheme="minorHAnsi"/>
          <w:sz w:val="22"/>
          <w:szCs w:val="22"/>
        </w:rPr>
        <w:t xml:space="preserve"> of</w:t>
      </w:r>
      <w:r w:rsidRPr="00125A78" w:rsidR="009064E2">
        <w:rPr>
          <w:rFonts w:asciiTheme="minorHAnsi" w:hAnsiTheme="minorHAnsi" w:cstheme="minorHAnsi"/>
          <w:sz w:val="22"/>
          <w:szCs w:val="22"/>
        </w:rPr>
        <w:t xml:space="preserve"> each </w:t>
      </w:r>
      <w:r w:rsidRPr="00125A78">
        <w:rPr>
          <w:rFonts w:asciiTheme="minorHAnsi" w:hAnsiTheme="minorHAnsi" w:cstheme="minorHAnsi"/>
          <w:sz w:val="22"/>
          <w:szCs w:val="22"/>
        </w:rPr>
        <w:t xml:space="preserve">year and at grant closeout.  </w:t>
      </w:r>
    </w:p>
    <w:p w:rsidR="009A5121" w:rsidRPr="00125A78" w:rsidP="009064E2" w14:paraId="558A78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9A5121" w:rsidP="006354D8" w14:paraId="3C37A601" w14:textId="54C66B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Copies of the </w:t>
      </w:r>
      <w:r w:rsidRPr="00125A78" w:rsidR="009064E2">
        <w:rPr>
          <w:rFonts w:asciiTheme="minorHAnsi" w:hAnsiTheme="minorHAnsi"/>
          <w:sz w:val="22"/>
          <w:szCs w:val="22"/>
        </w:rPr>
        <w:t xml:space="preserve">Housing and </w:t>
      </w:r>
      <w:r w:rsidRPr="00125A78">
        <w:rPr>
          <w:rFonts w:asciiTheme="minorHAnsi" w:hAnsiTheme="minorHAnsi"/>
          <w:sz w:val="22"/>
          <w:szCs w:val="22"/>
        </w:rPr>
        <w:t xml:space="preserve">Community Development Act of 1974, as amended, the </w:t>
      </w:r>
      <w:r w:rsidRPr="00125A78" w:rsidR="009064E2">
        <w:rPr>
          <w:rFonts w:asciiTheme="minorHAnsi" w:hAnsiTheme="minorHAnsi"/>
          <w:sz w:val="22"/>
          <w:szCs w:val="22"/>
        </w:rPr>
        <w:t xml:space="preserve">FY </w:t>
      </w:r>
      <w:r w:rsidR="0044165D">
        <w:rPr>
          <w:rFonts w:asciiTheme="minorHAnsi" w:hAnsiTheme="minorHAnsi"/>
          <w:sz w:val="22"/>
          <w:szCs w:val="22"/>
        </w:rPr>
        <w:t>2025</w:t>
      </w:r>
      <w:r w:rsidR="00295978">
        <w:rPr>
          <w:rFonts w:asciiTheme="minorHAnsi" w:hAnsiTheme="minorHAnsi"/>
          <w:sz w:val="22"/>
          <w:szCs w:val="22"/>
        </w:rPr>
        <w:t xml:space="preserve"> </w:t>
      </w:r>
      <w:r w:rsidRPr="00125A78">
        <w:rPr>
          <w:rFonts w:asciiTheme="minorHAnsi" w:hAnsiTheme="minorHAnsi"/>
          <w:sz w:val="22"/>
          <w:szCs w:val="22"/>
        </w:rPr>
        <w:t>Notice of Funding</w:t>
      </w:r>
      <w:r w:rsidR="0044165D">
        <w:rPr>
          <w:rFonts w:asciiTheme="minorHAnsi" w:hAnsiTheme="minorHAnsi"/>
          <w:sz w:val="22"/>
          <w:szCs w:val="22"/>
        </w:rPr>
        <w:t xml:space="preserve"> Opportunity</w:t>
      </w:r>
      <w:r w:rsidRPr="00125A78">
        <w:rPr>
          <w:rFonts w:asciiTheme="minorHAnsi" w:hAnsiTheme="minorHAnsi"/>
          <w:sz w:val="22"/>
          <w:szCs w:val="22"/>
        </w:rPr>
        <w:t xml:space="preserve"> (NOF</w:t>
      </w:r>
      <w:r w:rsidR="0044165D">
        <w:rPr>
          <w:rFonts w:asciiTheme="minorHAnsi" w:hAnsiTheme="minorHAnsi"/>
          <w:sz w:val="22"/>
          <w:szCs w:val="22"/>
        </w:rPr>
        <w:t>O</w:t>
      </w:r>
      <w:r w:rsidRPr="00125A78">
        <w:rPr>
          <w:rFonts w:asciiTheme="minorHAnsi" w:hAnsiTheme="minorHAnsi"/>
          <w:sz w:val="22"/>
          <w:szCs w:val="22"/>
        </w:rPr>
        <w:t>) and the ICDBG regulations are attached to this submission.</w:t>
      </w:r>
    </w:p>
    <w:p w:rsidR="00F7591E" w:rsidP="006354D8" w14:paraId="72344B7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BF60D3" w:rsidRPr="000C7AFE" w:rsidP="000C7AFE" w14:paraId="13D095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BF60D3" w:rsidRPr="00125A78" w:rsidP="00BF60D3" w14:paraId="43FBA800"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125A78">
        <w:t>Indicate how, by whom and for what purpose the information is to be used.  Except for a new collection, indicate the actual use the agency has made of the information received from the current collection.</w:t>
      </w:r>
    </w:p>
    <w:p w:rsidR="00BF60D3" w:rsidRPr="00125A78" w:rsidP="00BF60D3" w14:paraId="2868CE5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56341E" w:rsidRPr="00125A78" w:rsidP="00BF60D3" w14:paraId="57C1686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ICDBG applicants are required to submit information to demonstrate compliance with eligibility and other program requirements.  </w:t>
      </w:r>
      <w:r w:rsidRPr="00125A78" w:rsidR="009C16BD">
        <w:rPr>
          <w:rFonts w:asciiTheme="minorHAnsi" w:hAnsiTheme="minorHAnsi"/>
          <w:sz w:val="22"/>
          <w:szCs w:val="22"/>
        </w:rPr>
        <w:t xml:space="preserve">HUD uses collected information to determine whether applications meet minimum screening eligibility requirements and application submission requirements.  Applicants provide general information </w:t>
      </w:r>
      <w:r w:rsidRPr="00125A78">
        <w:rPr>
          <w:rFonts w:asciiTheme="minorHAnsi" w:hAnsiTheme="minorHAnsi"/>
          <w:sz w:val="22"/>
          <w:szCs w:val="22"/>
        </w:rPr>
        <w:t xml:space="preserve">about the </w:t>
      </w:r>
      <w:r w:rsidRPr="00125A78" w:rsidR="009064E2">
        <w:rPr>
          <w:rFonts w:asciiTheme="minorHAnsi" w:hAnsiTheme="minorHAnsi"/>
          <w:sz w:val="22"/>
          <w:szCs w:val="22"/>
        </w:rPr>
        <w:t xml:space="preserve">proposed </w:t>
      </w:r>
      <w:r w:rsidRPr="00125A78">
        <w:rPr>
          <w:rFonts w:asciiTheme="minorHAnsi" w:hAnsiTheme="minorHAnsi"/>
          <w:sz w:val="22"/>
          <w:szCs w:val="22"/>
        </w:rPr>
        <w:t xml:space="preserve">project </w:t>
      </w:r>
      <w:r w:rsidRPr="00125A78" w:rsidR="009064E2">
        <w:rPr>
          <w:rFonts w:asciiTheme="minorHAnsi" w:hAnsiTheme="minorHAnsi"/>
          <w:sz w:val="22"/>
          <w:szCs w:val="22"/>
        </w:rPr>
        <w:t>to enable HUD to evaluate the</w:t>
      </w:r>
      <w:r w:rsidRPr="00125A78">
        <w:rPr>
          <w:rFonts w:asciiTheme="minorHAnsi" w:hAnsiTheme="minorHAnsi"/>
          <w:sz w:val="22"/>
          <w:szCs w:val="22"/>
        </w:rPr>
        <w:t xml:space="preserve"> applicant’s response to the criteria for rating the application</w:t>
      </w:r>
      <w:r w:rsidRPr="00125A78" w:rsidR="009064E2">
        <w:rPr>
          <w:rFonts w:asciiTheme="minorHAnsi" w:hAnsiTheme="minorHAnsi"/>
          <w:sz w:val="22"/>
          <w:szCs w:val="22"/>
        </w:rPr>
        <w:t xml:space="preserve"> and for grantee selection</w:t>
      </w:r>
      <w:r w:rsidRPr="00125A78">
        <w:rPr>
          <w:rFonts w:asciiTheme="minorHAnsi" w:hAnsiTheme="minorHAnsi"/>
          <w:sz w:val="22"/>
          <w:szCs w:val="22"/>
        </w:rPr>
        <w:t xml:space="preserve">.  </w:t>
      </w:r>
    </w:p>
    <w:p w:rsidR="00D77CEE" w:rsidRPr="00705411" w:rsidP="00705411" w14:paraId="31CF0E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4B365D" w:rsidRPr="00125A78" w:rsidP="004B365D" w14:paraId="6F5D281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information collected allows HUD to audit program </w:t>
      </w:r>
      <w:r w:rsidRPr="00125A78" w:rsidR="009064E2">
        <w:rPr>
          <w:rFonts w:asciiTheme="minorHAnsi" w:hAnsiTheme="minorHAnsi"/>
          <w:sz w:val="22"/>
          <w:szCs w:val="22"/>
        </w:rPr>
        <w:t xml:space="preserve">performance </w:t>
      </w:r>
      <w:r w:rsidRPr="00125A78">
        <w:rPr>
          <w:rFonts w:asciiTheme="minorHAnsi" w:hAnsiTheme="minorHAnsi"/>
          <w:sz w:val="22"/>
          <w:szCs w:val="22"/>
        </w:rPr>
        <w:t>accurately.  The quality of reported data is</w:t>
      </w:r>
      <w:r w:rsidRPr="00125A78" w:rsidR="008B5C15">
        <w:rPr>
          <w:rFonts w:asciiTheme="minorHAnsi" w:hAnsiTheme="minorHAnsi"/>
          <w:sz w:val="22"/>
          <w:szCs w:val="22"/>
        </w:rPr>
        <w:t xml:space="preserve"> critical for</w:t>
      </w:r>
      <w:r w:rsidRPr="00125A78">
        <w:rPr>
          <w:rFonts w:asciiTheme="minorHAnsi" w:hAnsiTheme="minorHAnsi"/>
          <w:sz w:val="22"/>
          <w:szCs w:val="22"/>
        </w:rPr>
        <w:t xml:space="preserve"> maintaining HUD’s databases</w:t>
      </w:r>
      <w:r w:rsidR="00D81E76">
        <w:rPr>
          <w:rFonts w:asciiTheme="minorHAnsi" w:hAnsiTheme="minorHAnsi"/>
          <w:sz w:val="22"/>
          <w:szCs w:val="22"/>
        </w:rPr>
        <w:t xml:space="preserve"> for program evaluation,</w:t>
      </w:r>
      <w:r w:rsidRPr="00125A78" w:rsidR="008B5C15">
        <w:rPr>
          <w:rFonts w:asciiTheme="minorHAnsi" w:hAnsiTheme="minorHAnsi"/>
          <w:sz w:val="22"/>
          <w:szCs w:val="22"/>
        </w:rPr>
        <w:t xml:space="preserve"> Congressional reporting</w:t>
      </w:r>
      <w:r w:rsidR="00D81E76">
        <w:rPr>
          <w:rFonts w:asciiTheme="minorHAnsi" w:hAnsiTheme="minorHAnsi"/>
          <w:sz w:val="22"/>
          <w:szCs w:val="22"/>
        </w:rPr>
        <w:t xml:space="preserve">, and </w:t>
      </w:r>
      <w:r w:rsidRPr="00125A78">
        <w:rPr>
          <w:rFonts w:asciiTheme="minorHAnsi" w:hAnsiTheme="minorHAnsi"/>
          <w:sz w:val="22"/>
          <w:szCs w:val="22"/>
        </w:rPr>
        <w:t>monitor</w:t>
      </w:r>
      <w:r w:rsidR="00D81E76">
        <w:rPr>
          <w:rFonts w:asciiTheme="minorHAnsi" w:hAnsiTheme="minorHAnsi"/>
          <w:sz w:val="22"/>
          <w:szCs w:val="22"/>
        </w:rPr>
        <w:t>in</w:t>
      </w:r>
      <w:r w:rsidRPr="00125A78" w:rsidR="008B5C15">
        <w:rPr>
          <w:rFonts w:asciiTheme="minorHAnsi" w:hAnsiTheme="minorHAnsi"/>
          <w:sz w:val="22"/>
          <w:szCs w:val="22"/>
        </w:rPr>
        <w:t>g</w:t>
      </w:r>
      <w:r w:rsidRPr="00125A78">
        <w:rPr>
          <w:rFonts w:asciiTheme="minorHAnsi" w:hAnsiTheme="minorHAnsi"/>
          <w:sz w:val="22"/>
          <w:szCs w:val="22"/>
        </w:rPr>
        <w:t xml:space="preserve"> a recipient’s performance compliance. </w:t>
      </w:r>
    </w:p>
    <w:p w:rsidR="004B365D" w:rsidRPr="00125A78" w:rsidP="004B365D" w14:paraId="63D7744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AB03D7" w:rsidRPr="00125A78" w:rsidP="00AB03D7" w14:paraId="5B94F972"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03D7" w:rsidRPr="00125A78" w:rsidP="00AB03D7" w14:paraId="7D327DF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AB03D7" w:rsidRPr="00125A78" w:rsidP="00AB03D7" w14:paraId="1516D6E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HUD</w:t>
      </w:r>
      <w:r w:rsidRPr="00125A78" w:rsidR="006C6937">
        <w:rPr>
          <w:rFonts w:asciiTheme="minorHAnsi" w:hAnsiTheme="minorHAnsi"/>
          <w:sz w:val="22"/>
          <w:szCs w:val="22"/>
        </w:rPr>
        <w:t xml:space="preserve"> has implemented Public Law 106-107</w:t>
      </w:r>
      <w:r w:rsidRPr="00125A78" w:rsidR="00393A67">
        <w:rPr>
          <w:rFonts w:asciiTheme="minorHAnsi" w:hAnsiTheme="minorHAnsi"/>
          <w:sz w:val="22"/>
          <w:szCs w:val="22"/>
        </w:rPr>
        <w:t xml:space="preserve"> to streamline grants</w:t>
      </w:r>
      <w:r w:rsidRPr="00125A78">
        <w:rPr>
          <w:rFonts w:asciiTheme="minorHAnsi" w:hAnsiTheme="minorHAnsi"/>
          <w:sz w:val="22"/>
          <w:szCs w:val="22"/>
        </w:rPr>
        <w:t>, and as of fiscal year 2005, has required all grant applications to be submitted electronically through the Grants.gov system.  All ICDBG applications are submitted through the Grants.gov website</w:t>
      </w:r>
      <w:r w:rsidRPr="00125A78" w:rsidR="008B5C15">
        <w:rPr>
          <w:rFonts w:asciiTheme="minorHAnsi" w:hAnsiTheme="minorHAnsi"/>
          <w:sz w:val="22"/>
          <w:szCs w:val="22"/>
        </w:rPr>
        <w:t>,</w:t>
      </w:r>
      <w:r w:rsidRPr="00125A78">
        <w:rPr>
          <w:rFonts w:asciiTheme="minorHAnsi" w:hAnsiTheme="minorHAnsi"/>
          <w:sz w:val="22"/>
          <w:szCs w:val="22"/>
        </w:rPr>
        <w:t xml:space="preserve"> unless </w:t>
      </w:r>
      <w:r w:rsidRPr="00125A78" w:rsidR="008B5C15">
        <w:rPr>
          <w:rFonts w:asciiTheme="minorHAnsi" w:hAnsiTheme="minorHAnsi"/>
          <w:sz w:val="22"/>
          <w:szCs w:val="22"/>
        </w:rPr>
        <w:t xml:space="preserve">HUD grants </w:t>
      </w:r>
      <w:r w:rsidRPr="00125A78">
        <w:rPr>
          <w:rFonts w:asciiTheme="minorHAnsi" w:hAnsiTheme="minorHAnsi"/>
          <w:sz w:val="22"/>
          <w:szCs w:val="22"/>
        </w:rPr>
        <w:t>a waiver of this requirement.</w:t>
      </w:r>
    </w:p>
    <w:p w:rsidR="00393A67" w:rsidRPr="00125A78" w:rsidP="00AB03D7" w14:paraId="2840217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393A67" w:rsidRPr="00125A78" w:rsidP="00AB03D7" w14:paraId="3F514E4A" w14:textId="27651B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HUD encourages appropriate cost</w:t>
      </w:r>
      <w:r w:rsidR="00A372A9">
        <w:rPr>
          <w:rFonts w:asciiTheme="minorHAnsi" w:hAnsiTheme="minorHAnsi"/>
          <w:sz w:val="22"/>
          <w:szCs w:val="22"/>
        </w:rPr>
        <w:t>-</w:t>
      </w:r>
      <w:r w:rsidRPr="00125A78">
        <w:rPr>
          <w:rFonts w:asciiTheme="minorHAnsi" w:hAnsiTheme="minorHAnsi"/>
          <w:sz w:val="22"/>
          <w:szCs w:val="22"/>
        </w:rPr>
        <w:t>effective methods</w:t>
      </w:r>
      <w:r w:rsidRPr="00125A78" w:rsidR="008B5C15">
        <w:rPr>
          <w:rFonts w:asciiTheme="minorHAnsi" w:hAnsiTheme="minorHAnsi"/>
          <w:sz w:val="22"/>
          <w:szCs w:val="22"/>
        </w:rPr>
        <w:t xml:space="preserve"> with regard to the information collection requirements</w:t>
      </w:r>
      <w:r w:rsidRPr="00125A78">
        <w:rPr>
          <w:rFonts w:asciiTheme="minorHAnsi" w:hAnsiTheme="minorHAnsi"/>
          <w:sz w:val="22"/>
          <w:szCs w:val="22"/>
        </w:rPr>
        <w:t>, but does not prescribe particular technological collection techniques.  Tribes are given maximum feasible deference in designing information collection systems that allow th</w:t>
      </w:r>
      <w:r w:rsidRPr="00125A78" w:rsidR="008B5C15">
        <w:rPr>
          <w:rFonts w:asciiTheme="minorHAnsi" w:hAnsiTheme="minorHAnsi"/>
          <w:sz w:val="22"/>
          <w:szCs w:val="22"/>
        </w:rPr>
        <w:t xml:space="preserve">e enhanced administration and monitoring of </w:t>
      </w:r>
      <w:r w:rsidRPr="00125A78">
        <w:rPr>
          <w:rFonts w:asciiTheme="minorHAnsi" w:hAnsiTheme="minorHAnsi"/>
          <w:sz w:val="22"/>
          <w:szCs w:val="22"/>
        </w:rPr>
        <w:t>ICDBG funds and program compliance with applicable statutes and regulations.</w:t>
      </w:r>
    </w:p>
    <w:p w:rsidR="00EE12B4" w:rsidRPr="00125A78" w:rsidP="00AB03D7" w14:paraId="2D35483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EE12B4" w:rsidRPr="00125A78" w:rsidP="00AB03D7" w14:paraId="7020764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There are currently no information collection technologies uniformly available which would </w:t>
      </w:r>
      <w:r w:rsidRPr="00125A78" w:rsidR="00666D44">
        <w:rPr>
          <w:rFonts w:asciiTheme="minorHAnsi" w:hAnsiTheme="minorHAnsi"/>
          <w:sz w:val="22"/>
          <w:szCs w:val="22"/>
        </w:rPr>
        <w:t>further</w:t>
      </w:r>
      <w:r w:rsidRPr="00125A78">
        <w:rPr>
          <w:rFonts w:asciiTheme="minorHAnsi" w:hAnsiTheme="minorHAnsi"/>
          <w:sz w:val="22"/>
          <w:szCs w:val="22"/>
        </w:rPr>
        <w:t xml:space="preserve"> reduce the reporting burden on all affected entities.  The information collection requirements have been reduced to the minimum necessary to meet </w:t>
      </w:r>
      <w:r w:rsidRPr="00125A78" w:rsidR="008B5C15">
        <w:rPr>
          <w:rFonts w:asciiTheme="minorHAnsi" w:hAnsiTheme="minorHAnsi"/>
          <w:sz w:val="22"/>
          <w:szCs w:val="22"/>
        </w:rPr>
        <w:t xml:space="preserve">the </w:t>
      </w:r>
      <w:r w:rsidRPr="00125A78">
        <w:rPr>
          <w:rFonts w:asciiTheme="minorHAnsi" w:hAnsiTheme="minorHAnsi"/>
          <w:sz w:val="22"/>
          <w:szCs w:val="22"/>
        </w:rPr>
        <w:t xml:space="preserve">requirements as indicated by the attached </w:t>
      </w:r>
      <w:r w:rsidRPr="00125A78" w:rsidR="008B5C15">
        <w:rPr>
          <w:rFonts w:asciiTheme="minorHAnsi" w:hAnsiTheme="minorHAnsi"/>
          <w:sz w:val="22"/>
          <w:szCs w:val="22"/>
        </w:rPr>
        <w:t>statute</w:t>
      </w:r>
      <w:r w:rsidR="00D81E76">
        <w:rPr>
          <w:rFonts w:asciiTheme="minorHAnsi" w:hAnsiTheme="minorHAnsi"/>
          <w:sz w:val="22"/>
          <w:szCs w:val="22"/>
        </w:rPr>
        <w:t>,</w:t>
      </w:r>
      <w:r w:rsidRPr="00125A78" w:rsidR="008B5C15">
        <w:rPr>
          <w:rFonts w:asciiTheme="minorHAnsi" w:hAnsiTheme="minorHAnsi"/>
          <w:sz w:val="22"/>
          <w:szCs w:val="22"/>
        </w:rPr>
        <w:t xml:space="preserve"> regulations</w:t>
      </w:r>
      <w:r w:rsidR="00D81E76">
        <w:rPr>
          <w:rFonts w:asciiTheme="minorHAnsi" w:hAnsiTheme="minorHAnsi"/>
          <w:sz w:val="22"/>
          <w:szCs w:val="22"/>
        </w:rPr>
        <w:t>, and NOFA</w:t>
      </w:r>
      <w:r w:rsidR="00B8272A">
        <w:rPr>
          <w:rFonts w:asciiTheme="minorHAnsi" w:hAnsiTheme="minorHAnsi"/>
          <w:sz w:val="22"/>
          <w:szCs w:val="22"/>
        </w:rPr>
        <w:t>.</w:t>
      </w:r>
    </w:p>
    <w:p w:rsidR="00EE12B4" w:rsidRPr="00125A78" w:rsidP="00AB03D7" w14:paraId="2866EEF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EE12B4" w:rsidRPr="00125A78" w:rsidP="00EE12B4" w14:paraId="0FE96959"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Describe efforts to identify duplication.  Show specifically why any similar information already available cannot be used or modified for use for the purpose described in Item 2 above.</w:t>
      </w:r>
    </w:p>
    <w:p w:rsidR="00871C95" w:rsidRPr="00125A78" w:rsidP="00871C95" w14:paraId="087B2DF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871C95" w:rsidRPr="00125A78" w:rsidP="00871C95" w14:paraId="789FEE4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There is no duplication of information</w:t>
      </w:r>
      <w:r w:rsidRPr="00125A78" w:rsidR="008B5C15">
        <w:rPr>
          <w:rFonts w:asciiTheme="minorHAnsi" w:hAnsiTheme="minorHAnsi"/>
          <w:sz w:val="22"/>
          <w:szCs w:val="22"/>
        </w:rPr>
        <w:t xml:space="preserve"> collected</w:t>
      </w:r>
      <w:r w:rsidRPr="00125A78">
        <w:rPr>
          <w:rFonts w:asciiTheme="minorHAnsi" w:hAnsiTheme="minorHAnsi"/>
          <w:sz w:val="22"/>
          <w:szCs w:val="22"/>
        </w:rPr>
        <w:t xml:space="preserve">.  </w:t>
      </w:r>
      <w:r w:rsidRPr="00125A78" w:rsidR="007856F5">
        <w:rPr>
          <w:rFonts w:asciiTheme="minorHAnsi" w:hAnsiTheme="minorHAnsi"/>
          <w:sz w:val="22"/>
          <w:szCs w:val="22"/>
        </w:rPr>
        <w:t>There are no other sources of information that are being submitted to HUD that duplicate the information</w:t>
      </w:r>
      <w:r w:rsidRPr="00125A78" w:rsidR="008B5C15">
        <w:rPr>
          <w:rFonts w:asciiTheme="minorHAnsi" w:hAnsiTheme="minorHAnsi"/>
          <w:sz w:val="22"/>
          <w:szCs w:val="22"/>
        </w:rPr>
        <w:t xml:space="preserve"> required from I</w:t>
      </w:r>
      <w:r w:rsidR="00082CBD">
        <w:rPr>
          <w:rFonts w:asciiTheme="minorHAnsi" w:hAnsiTheme="minorHAnsi"/>
          <w:sz w:val="22"/>
          <w:szCs w:val="22"/>
        </w:rPr>
        <w:t>C</w:t>
      </w:r>
      <w:r w:rsidRPr="00125A78" w:rsidR="008B5C15">
        <w:rPr>
          <w:rFonts w:asciiTheme="minorHAnsi" w:hAnsiTheme="minorHAnsi"/>
          <w:sz w:val="22"/>
          <w:szCs w:val="22"/>
        </w:rPr>
        <w:t>DBG grantees</w:t>
      </w:r>
      <w:r w:rsidRPr="00125A78" w:rsidR="009B3141">
        <w:rPr>
          <w:rFonts w:asciiTheme="minorHAnsi" w:hAnsiTheme="minorHAnsi"/>
          <w:sz w:val="22"/>
          <w:szCs w:val="22"/>
        </w:rPr>
        <w:t>.  The periodic reporting and closeout package information is not a duplication of project information and there are no</w:t>
      </w:r>
      <w:r w:rsidRPr="00125A78" w:rsidR="00514474">
        <w:rPr>
          <w:rFonts w:asciiTheme="minorHAnsi" w:hAnsiTheme="minorHAnsi"/>
          <w:sz w:val="22"/>
          <w:szCs w:val="22"/>
        </w:rPr>
        <w:t xml:space="preserve"> other sources of information.</w:t>
      </w:r>
      <w:r w:rsidR="008745A2">
        <w:rPr>
          <w:rFonts w:asciiTheme="minorHAnsi" w:hAnsiTheme="minorHAnsi"/>
          <w:sz w:val="22"/>
          <w:szCs w:val="22"/>
        </w:rPr>
        <w:t xml:space="preserve"> </w:t>
      </w:r>
    </w:p>
    <w:p w:rsidR="003262AB" w:rsidRPr="00125A78" w:rsidP="00871C95" w14:paraId="2A85939B"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3262AB" w:rsidRPr="00125A78" w:rsidP="003262AB" w14:paraId="617C6B90"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If the collection of information impacts small businesses or other small entities (Item 5 of OMB form 83-I), describe any methods used to minimize burden.</w:t>
      </w:r>
    </w:p>
    <w:p w:rsidR="003262AB" w:rsidRPr="00125A78" w:rsidP="003262AB" w14:paraId="7D374D5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3262AB" w:rsidRPr="00125A78" w:rsidP="003262AB" w14:paraId="4DA0427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collection of information does not impact small businesses or other small entities.  Some tribal governments may meet the definition of a “small entity”, however; this information collection will not have a significant impact on these entities.  HUD has minimized the burden on all applicants and recipients by allowing them to determine the complexity of the program contained in the application and grant.  </w:t>
      </w:r>
    </w:p>
    <w:p w:rsidR="00995BB3" w:rsidRPr="00125A78" w:rsidP="003262AB" w14:paraId="1822293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95BB3" w:rsidRPr="00125A78" w:rsidP="00995BB3" w14:paraId="719505D7"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 xml:space="preserve">Describe the consequence to Federal program or policy activities if </w:t>
      </w:r>
      <w:r w:rsidRPr="00125A78" w:rsidR="00C44F2B">
        <w:t>the collection</w:t>
      </w:r>
      <w:r w:rsidRPr="00125A78">
        <w:t xml:space="preserve"> is not conducted or is conducted less frequently</w:t>
      </w:r>
      <w:r w:rsidRPr="00125A78" w:rsidR="00C44F2B">
        <w:t>, as well as any technical or legal obstacles to reducing burden.</w:t>
      </w:r>
    </w:p>
    <w:p w:rsidR="00C44F2B" w:rsidRPr="00125A78" w:rsidP="00C44F2B" w14:paraId="7D0DEC88"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C44F2B" w:rsidRPr="000C7AFE" w:rsidP="00C44F2B" w14:paraId="1A381F1C" w14:textId="158BB85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 xml:space="preserve">The information is collected </w:t>
      </w:r>
      <w:r w:rsidRPr="000C7AFE" w:rsidR="00F95D6E">
        <w:rPr>
          <w:rFonts w:asciiTheme="minorHAnsi" w:hAnsiTheme="minorHAnsi" w:cstheme="minorHAnsi"/>
          <w:sz w:val="22"/>
          <w:szCs w:val="22"/>
        </w:rPr>
        <w:t xml:space="preserve">during the grant period </w:t>
      </w:r>
      <w:r w:rsidR="00606EFA">
        <w:rPr>
          <w:rFonts w:asciiTheme="minorHAnsi" w:hAnsiTheme="minorHAnsi" w:cstheme="minorHAnsi"/>
          <w:sz w:val="22"/>
          <w:szCs w:val="22"/>
        </w:rPr>
        <w:t xml:space="preserve">and </w:t>
      </w:r>
      <w:r w:rsidRPr="000C7AFE" w:rsidR="00F95D6E">
        <w:rPr>
          <w:rFonts w:asciiTheme="minorHAnsi" w:hAnsiTheme="minorHAnsi" w:cstheme="minorHAnsi"/>
          <w:sz w:val="22"/>
          <w:szCs w:val="22"/>
        </w:rPr>
        <w:t>i</w:t>
      </w:r>
      <w:r w:rsidRPr="000C7AFE">
        <w:rPr>
          <w:rFonts w:asciiTheme="minorHAnsi" w:hAnsiTheme="minorHAnsi" w:cstheme="minorHAnsi"/>
          <w:sz w:val="22"/>
          <w:szCs w:val="22"/>
        </w:rPr>
        <w:t xml:space="preserve">s required to identify the applicant, describe the project, and </w:t>
      </w:r>
      <w:r w:rsidRPr="000C7AFE" w:rsidR="00125A78">
        <w:rPr>
          <w:rFonts w:asciiTheme="minorHAnsi" w:hAnsiTheme="minorHAnsi" w:cstheme="minorHAnsi"/>
          <w:sz w:val="22"/>
          <w:szCs w:val="22"/>
        </w:rPr>
        <w:t>determine compl</w:t>
      </w:r>
      <w:r w:rsidRPr="000C7AFE" w:rsidR="00F95D6E">
        <w:rPr>
          <w:rFonts w:asciiTheme="minorHAnsi" w:hAnsiTheme="minorHAnsi" w:cstheme="minorHAnsi"/>
          <w:sz w:val="22"/>
          <w:szCs w:val="22"/>
        </w:rPr>
        <w:t>iance</w:t>
      </w:r>
      <w:r w:rsidRPr="000C7AFE">
        <w:rPr>
          <w:rFonts w:asciiTheme="minorHAnsi" w:hAnsiTheme="minorHAnsi" w:cstheme="minorHAnsi"/>
          <w:sz w:val="22"/>
          <w:szCs w:val="22"/>
        </w:rPr>
        <w:t xml:space="preserve"> with requirements.  If no records are collected, </w:t>
      </w:r>
      <w:r w:rsidRPr="000C7AFE" w:rsidR="00F95D6E">
        <w:rPr>
          <w:rFonts w:asciiTheme="minorHAnsi" w:hAnsiTheme="minorHAnsi" w:cstheme="minorHAnsi"/>
          <w:sz w:val="22"/>
          <w:szCs w:val="22"/>
        </w:rPr>
        <w:t xml:space="preserve">it will not be possible for HUD to assess </w:t>
      </w:r>
      <w:r w:rsidRPr="000C7AFE">
        <w:rPr>
          <w:rFonts w:asciiTheme="minorHAnsi" w:hAnsiTheme="minorHAnsi" w:cstheme="minorHAnsi"/>
          <w:sz w:val="22"/>
          <w:szCs w:val="22"/>
        </w:rPr>
        <w:t>program performance</w:t>
      </w:r>
      <w:r w:rsidRPr="000C7AFE" w:rsidR="00F95D6E">
        <w:rPr>
          <w:rFonts w:asciiTheme="minorHAnsi" w:hAnsiTheme="minorHAnsi" w:cstheme="minorHAnsi"/>
          <w:sz w:val="22"/>
          <w:szCs w:val="22"/>
        </w:rPr>
        <w:t xml:space="preserve"> and compliance.</w:t>
      </w:r>
      <w:r w:rsidRPr="000C7AFE">
        <w:rPr>
          <w:rFonts w:asciiTheme="minorHAnsi" w:hAnsiTheme="minorHAnsi" w:cstheme="minorHAnsi"/>
          <w:sz w:val="22"/>
          <w:szCs w:val="22"/>
        </w:rPr>
        <w:t xml:space="preserve">  According to 24 </w:t>
      </w:r>
      <w:r w:rsidRPr="000C7AFE" w:rsidR="00F95D6E">
        <w:rPr>
          <w:rFonts w:asciiTheme="minorHAnsi" w:hAnsiTheme="minorHAnsi" w:cstheme="minorHAnsi"/>
          <w:sz w:val="22"/>
          <w:szCs w:val="22"/>
        </w:rPr>
        <w:t>CFR §</w:t>
      </w:r>
      <w:r w:rsidRPr="000C7AFE">
        <w:rPr>
          <w:rFonts w:asciiTheme="minorHAnsi" w:hAnsiTheme="minorHAnsi" w:cstheme="minorHAnsi"/>
          <w:sz w:val="22"/>
          <w:szCs w:val="22"/>
        </w:rPr>
        <w:t xml:space="preserve"> 1003.505 of HUD’s implementing regulations, each ICDBG grant recipient must establish and maintain records that are adequate to allow the Secretary to determine whether or not the program is being carried out according to the applicable laws.  </w:t>
      </w:r>
      <w:r w:rsidRPr="00FF7D68" w:rsidR="00FF7D68">
        <w:rPr>
          <w:rFonts w:asciiTheme="minorHAnsi" w:hAnsiTheme="minorHAnsi" w:cstheme="minorHAnsi"/>
          <w:sz w:val="22"/>
          <w:szCs w:val="22"/>
        </w:rPr>
        <w:t>ICDBG awards are subject to requirements of section 104(f) of the HCD Act, which authorizes GAO audits of grants and provides that “The representatives of the General Accounting Office shall have access to all books, accounts, records, reports, files, and other papers, things, or property belonging to or in use by such recipients pertaining to such financial transactions and necessary to facilitate the audit.</w:t>
      </w:r>
    </w:p>
    <w:p w:rsidR="00F46A74" w:rsidRPr="00F46A74" w:rsidP="00C44F2B" w14:paraId="760E38D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p>
    <w:p w:rsidR="00F46A74" w:rsidRPr="00F46A74" w:rsidP="00F46A74" w14:paraId="1AA71E0B" w14:textId="77777777">
      <w:pPr>
        <w:numPr>
          <w:ilvl w:val="0"/>
          <w:numId w:val="21"/>
        </w:numPr>
        <w:overflowPunct/>
        <w:autoSpaceDE/>
        <w:autoSpaceDN/>
        <w:adjustRightInd/>
        <w:spacing w:after="200" w:line="276" w:lineRule="auto"/>
        <w:ind w:left="360" w:firstLine="0"/>
        <w:contextualSpacing/>
        <w:textAlignment w:val="auto"/>
        <w:rPr>
          <w:rFonts w:eastAsia="Calibri"/>
        </w:rPr>
      </w:pPr>
      <w:r w:rsidRPr="00F46A74">
        <w:rPr>
          <w:rFonts w:eastAsia="Calibri"/>
          <w:b/>
        </w:rPr>
        <w:t>Explain any special circumstances that would cause an information to be collected in a manner:</w:t>
      </w:r>
    </w:p>
    <w:p w:rsidR="00F46A74" w:rsidP="00F46A74" w14:paraId="18385DBF" w14:textId="77777777">
      <w:pPr>
        <w:numPr>
          <w:ilvl w:val="0"/>
          <w:numId w:val="20"/>
        </w:numPr>
        <w:overflowPunct/>
        <w:autoSpaceDE/>
        <w:autoSpaceDN/>
        <w:adjustRightInd/>
        <w:spacing w:after="200" w:line="276" w:lineRule="auto"/>
        <w:contextualSpacing/>
        <w:textAlignment w:val="auto"/>
        <w:rPr>
          <w:rFonts w:eastAsia="Calibri"/>
        </w:rPr>
      </w:pPr>
      <w:bookmarkStart w:id="0" w:name="_Hlk494808620"/>
      <w:r w:rsidRPr="00F46A74">
        <w:rPr>
          <w:rFonts w:eastAsia="Calibri"/>
        </w:rPr>
        <w:t xml:space="preserve">requiring respondents to report information to the agency more than quarterly; </w:t>
      </w:r>
    </w:p>
    <w:p w:rsidR="00E92D60" w:rsidRPr="003C3E67" w:rsidP="003C3E67" w14:paraId="52E3DF36" w14:textId="0E910F84">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00F46A74" w:rsidRPr="00F46A74" w:rsidP="00F46A74" w14:paraId="2040D3B5"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prepare a written response to a collection of information in fewer than 30 days after receipt of it;</w:t>
      </w:r>
    </w:p>
    <w:p w:rsidR="00F46A74" w:rsidRPr="000C7AFE" w:rsidP="00F46A74" w14:paraId="720692E1"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bookmarkStart w:id="1" w:name="_Hlk183415335"/>
      <w:r w:rsidRPr="000C7AFE">
        <w:rPr>
          <w:rFonts w:eastAsia="Calibri" w:asciiTheme="minorHAnsi" w:hAnsiTheme="minorHAnsi" w:cstheme="minorHAnsi"/>
          <w:b/>
          <w:sz w:val="22"/>
          <w:szCs w:val="22"/>
        </w:rPr>
        <w:t>Not Applicable</w:t>
      </w:r>
    </w:p>
    <w:bookmarkEnd w:id="1"/>
    <w:p w:rsidR="00F46A74" w:rsidRPr="00F46A74" w:rsidP="00F46A74" w14:paraId="013DB090"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submit more than an original and two copies of any document;</w:t>
      </w:r>
    </w:p>
    <w:p w:rsidR="00F46A74" w:rsidRPr="000C7AFE" w:rsidP="00F46A74" w14:paraId="36AB2A4D"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00F46A74" w:rsidRPr="00F46A74" w:rsidP="00F46A74" w14:paraId="5F82A955"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retain records other than health, medical, government contract, grant-in-aid, or tax records for more than three years;</w:t>
      </w:r>
    </w:p>
    <w:p w:rsidR="00F46A74" w:rsidRPr="000C7AFE" w:rsidP="00F46A74" w14:paraId="32A7139F"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00F46A74" w:rsidRPr="00F46A74" w:rsidP="00F46A74" w14:paraId="4EA88A43"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in connection with a statistical survey, that is not designed to produce valid and reliable results than can be generalized to the universe of the study;</w:t>
      </w:r>
    </w:p>
    <w:p w:rsidR="00F46A74" w:rsidRPr="000C7AFE" w:rsidP="00F46A74" w14:paraId="32CCFB77"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00F46A74" w:rsidRPr="00F46A74" w:rsidP="00F46A74" w14:paraId="7CD7D6DF"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the use of statistical data classification that has not been reviewed and approved by OMB;</w:t>
      </w:r>
    </w:p>
    <w:p w:rsidR="00F46A74" w:rsidRPr="000C7AFE" w:rsidP="00F46A74" w14:paraId="7F5B369F"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00F46A74" w:rsidRPr="00F46A74" w:rsidP="00F46A74" w14:paraId="694B7DA7"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46A74" w:rsidRPr="000C7AFE" w:rsidP="00F46A74" w14:paraId="10204E4E"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p w:rsidR="00F46A74" w:rsidRPr="00F46A74" w:rsidP="00F46A74" w14:paraId="4268C99F" w14:textId="77777777">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00F46A74" w:rsidRPr="000C7AFE" w:rsidP="00F46A74" w14:paraId="490BB6F2" w14:textId="77777777">
      <w:pPr>
        <w:overflowPunct/>
        <w:autoSpaceDE/>
        <w:autoSpaceDN/>
        <w:adjustRightInd/>
        <w:spacing w:after="200" w:line="276" w:lineRule="auto"/>
        <w:ind w:left="1485"/>
        <w:contextualSpacing/>
        <w:textAlignment w:val="auto"/>
        <w:rPr>
          <w:rFonts w:eastAsia="Calibri" w:asciiTheme="minorHAnsi" w:hAnsiTheme="minorHAnsi" w:cstheme="minorHAnsi"/>
          <w:sz w:val="22"/>
          <w:szCs w:val="22"/>
        </w:rPr>
      </w:pPr>
      <w:r w:rsidRPr="000C7AFE">
        <w:rPr>
          <w:rFonts w:eastAsia="Calibri" w:asciiTheme="minorHAnsi" w:hAnsiTheme="minorHAnsi" w:cstheme="minorHAnsi"/>
          <w:b/>
          <w:sz w:val="22"/>
          <w:szCs w:val="22"/>
        </w:rPr>
        <w:t>Not Applicable</w:t>
      </w:r>
    </w:p>
    <w:bookmarkEnd w:id="0"/>
    <w:p w:rsidR="00BF60D3" w:rsidRPr="009C53C6" w:rsidP="009C53C6" w14:paraId="11B977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8C6C90" w:rsidRPr="00125A78" w:rsidP="00236B0F" w14:paraId="1328345F" w14:textId="36965E80">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 xml:space="preserve">If applicable, provide a copy and identify the date and page number of publication in the Federal Register of the agency’s notice, required by </w:t>
      </w:r>
      <w:hyperlink r:id="rId13" w:history="1">
        <w:r w:rsidRPr="00BE4391">
          <w:rPr>
            <w:rStyle w:val="Hyperlink"/>
          </w:rPr>
          <w:t xml:space="preserve">5 </w:t>
        </w:r>
        <w:r w:rsidRPr="00BE4391" w:rsidR="00F95D6E">
          <w:rPr>
            <w:rStyle w:val="Hyperlink"/>
          </w:rPr>
          <w:t>CFR §</w:t>
        </w:r>
        <w:r w:rsidRPr="00BE4391">
          <w:rPr>
            <w:rStyle w:val="Hyperlink"/>
          </w:rPr>
          <w:t xml:space="preserve"> 1320.8(d),</w:t>
        </w:r>
      </w:hyperlink>
      <w:r w:rsidRPr="00125A78">
        <w:t xml:space="preserv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6C90" w:rsidRPr="00125A78" w:rsidP="00D03CB8" w14:paraId="086DDFD4"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Describe efforts to consult with persons outside the agency to obtain their views on the availability of data, frequency of collection, the clarity of instructions and recordkeeping disclosure, or reporting format (if any) and the data elements to recorded, disclosed, or reported.</w:t>
      </w:r>
    </w:p>
    <w:p w:rsidR="00D03CB8" w:rsidP="00D03CB8" w14:paraId="7A308E25"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AD52D2" w:rsidP="00AD52D2" w14:paraId="7F9C5F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0"/>
      </w:pPr>
    </w:p>
    <w:p w:rsidR="00AD52D2" w:rsidRPr="009C53C6" w:rsidP="009C53C6" w14:paraId="70865950" w14:textId="21FCB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alibri" w:hAnsi="Calibri" w:cs="Calibri"/>
          <w:sz w:val="22"/>
          <w:szCs w:val="22"/>
        </w:rPr>
      </w:pPr>
      <w:r w:rsidRPr="009C53C6">
        <w:rPr>
          <w:rFonts w:ascii="Calibri" w:hAnsi="Calibri" w:cs="Calibri"/>
          <w:sz w:val="22"/>
          <w:szCs w:val="22"/>
        </w:rPr>
        <w:t xml:space="preserve">In accordance with </w:t>
      </w:r>
      <w:hyperlink r:id="rId13" w:history="1">
        <w:r w:rsidRPr="009C53C6">
          <w:rPr>
            <w:rStyle w:val="Hyperlink"/>
            <w:rFonts w:ascii="Calibri" w:hAnsi="Calibri" w:cs="Calibri"/>
            <w:sz w:val="22"/>
            <w:szCs w:val="22"/>
          </w:rPr>
          <w:t>5 C.F.R. 1320.8(d)</w:t>
        </w:r>
      </w:hyperlink>
      <w:r w:rsidRPr="009C53C6">
        <w:rPr>
          <w:rFonts w:ascii="Calibri" w:hAnsi="Calibri" w:cs="Calibri"/>
          <w:sz w:val="22"/>
          <w:szCs w:val="22"/>
        </w:rPr>
        <w:t xml:space="preserve">, the agency’s notice announcing this collection of information appeared in the Federal Register on </w:t>
      </w:r>
      <w:r w:rsidR="00A15A75">
        <w:rPr>
          <w:rFonts w:ascii="Calibri" w:hAnsi="Calibri" w:cs="Calibri"/>
          <w:sz w:val="22"/>
          <w:szCs w:val="22"/>
        </w:rPr>
        <w:t>10</w:t>
      </w:r>
      <w:r w:rsidRPr="009C53C6">
        <w:rPr>
          <w:rFonts w:ascii="Calibri" w:hAnsi="Calibri" w:cs="Calibri"/>
          <w:sz w:val="22"/>
          <w:szCs w:val="22"/>
        </w:rPr>
        <w:t>-</w:t>
      </w:r>
      <w:r w:rsidR="00A15A75">
        <w:rPr>
          <w:rFonts w:ascii="Calibri" w:hAnsi="Calibri" w:cs="Calibri"/>
          <w:sz w:val="22"/>
          <w:szCs w:val="22"/>
        </w:rPr>
        <w:t>21</w:t>
      </w:r>
      <w:r w:rsidRPr="009C53C6">
        <w:rPr>
          <w:rFonts w:ascii="Calibri" w:hAnsi="Calibri" w:cs="Calibri"/>
          <w:sz w:val="22"/>
          <w:szCs w:val="22"/>
        </w:rPr>
        <w:t>-</w:t>
      </w:r>
      <w:r w:rsidR="00A15A75">
        <w:rPr>
          <w:rFonts w:ascii="Calibri" w:hAnsi="Calibri" w:cs="Calibri"/>
          <w:sz w:val="22"/>
          <w:szCs w:val="22"/>
        </w:rPr>
        <w:t>2024</w:t>
      </w:r>
      <w:r w:rsidRPr="009C53C6">
        <w:rPr>
          <w:rFonts w:ascii="Calibri" w:hAnsi="Calibri" w:cs="Calibri"/>
          <w:sz w:val="22"/>
          <w:szCs w:val="22"/>
        </w:rPr>
        <w:t xml:space="preserve">, (Volume </w:t>
      </w:r>
      <w:r w:rsidR="00A15A75">
        <w:rPr>
          <w:rFonts w:ascii="Calibri" w:hAnsi="Calibri" w:cs="Calibri"/>
          <w:sz w:val="22"/>
          <w:szCs w:val="22"/>
        </w:rPr>
        <w:t>89</w:t>
      </w:r>
      <w:r w:rsidRPr="009C53C6">
        <w:rPr>
          <w:rFonts w:ascii="Calibri" w:hAnsi="Calibri" w:cs="Calibri"/>
          <w:sz w:val="22"/>
          <w:szCs w:val="22"/>
        </w:rPr>
        <w:t xml:space="preserve">, No. </w:t>
      </w:r>
      <w:r w:rsidRPr="00A15A75" w:rsidR="00A15A75">
        <w:rPr>
          <w:rFonts w:ascii="Calibri" w:hAnsi="Calibri" w:cs="Calibri"/>
          <w:sz w:val="22"/>
          <w:szCs w:val="22"/>
        </w:rPr>
        <w:t>203</w:t>
      </w:r>
      <w:r w:rsidR="00A15A75">
        <w:rPr>
          <w:rFonts w:ascii="Calibri" w:hAnsi="Calibri" w:cs="Calibri"/>
          <w:sz w:val="22"/>
          <w:szCs w:val="22"/>
        </w:rPr>
        <w:t>, Page 84184</w:t>
      </w:r>
      <w:r w:rsidRPr="009C53C6">
        <w:rPr>
          <w:rFonts w:ascii="Calibri" w:hAnsi="Calibri" w:cs="Calibri"/>
          <w:sz w:val="22"/>
          <w:szCs w:val="22"/>
        </w:rPr>
        <w:t>).  The public was given until</w:t>
      </w:r>
      <w:r w:rsidRPr="00A15A75" w:rsidR="00A15A75">
        <w:t xml:space="preserve"> </w:t>
      </w:r>
      <w:r w:rsidRPr="00A15A75" w:rsidR="00A15A75">
        <w:rPr>
          <w:rFonts w:ascii="Calibri" w:hAnsi="Calibri" w:cs="Calibri"/>
          <w:sz w:val="22"/>
          <w:szCs w:val="22"/>
        </w:rPr>
        <w:t>December 20, 2024</w:t>
      </w:r>
      <w:r w:rsidRPr="009C53C6">
        <w:rPr>
          <w:rFonts w:ascii="Calibri" w:hAnsi="Calibri" w:cs="Calibri"/>
          <w:sz w:val="22"/>
          <w:szCs w:val="22"/>
        </w:rPr>
        <w:t xml:space="preserve">, to submit comments on the proposed information collection.  </w:t>
      </w:r>
      <w:r w:rsidR="00A15A75">
        <w:rPr>
          <w:rFonts w:ascii="Calibri" w:hAnsi="Calibri" w:cs="Calibri"/>
          <w:sz w:val="22"/>
          <w:szCs w:val="22"/>
        </w:rPr>
        <w:t>No</w:t>
      </w:r>
      <w:r w:rsidRPr="009C53C6">
        <w:rPr>
          <w:rFonts w:ascii="Calibri" w:hAnsi="Calibri" w:cs="Calibri"/>
          <w:sz w:val="22"/>
          <w:szCs w:val="22"/>
        </w:rPr>
        <w:t xml:space="preserve"> Comment(s) were received.  </w:t>
      </w:r>
    </w:p>
    <w:p w:rsidR="00F46A74" w:rsidRPr="00FF7D68" w:rsidP="00FF7D68" w14:paraId="735BF4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4"/>
          <w:szCs w:val="24"/>
        </w:rPr>
      </w:pPr>
    </w:p>
    <w:p w:rsidR="00D03CB8" w:rsidRPr="00125A78" w:rsidP="00236B0F" w14:paraId="29BAE908"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Explain any decision to provide any payment or gift to respondents, other than re</w:t>
      </w:r>
      <w:r w:rsidR="00050096">
        <w:t>mun</w:t>
      </w:r>
      <w:r w:rsidRPr="00125A78">
        <w:t>eration of contractors or grantees.</w:t>
      </w:r>
    </w:p>
    <w:p w:rsidR="00236B0F" w:rsidRPr="00176119" w:rsidP="00236B0F" w14:paraId="028AAFF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236B0F" w:rsidRPr="000C7AFE" w:rsidP="00236B0F" w14:paraId="1D8CC12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There are no provisions to provide any payments or gifts to respondents, other than re</w:t>
      </w:r>
      <w:r w:rsidRPr="000C7AFE" w:rsidR="00B86F1B">
        <w:rPr>
          <w:rFonts w:asciiTheme="minorHAnsi" w:hAnsiTheme="minorHAnsi" w:cstheme="minorHAnsi"/>
          <w:sz w:val="22"/>
          <w:szCs w:val="22"/>
        </w:rPr>
        <w:t>muneration</w:t>
      </w:r>
      <w:r w:rsidRPr="000C7AFE">
        <w:rPr>
          <w:rFonts w:asciiTheme="minorHAnsi" w:hAnsiTheme="minorHAnsi" w:cstheme="minorHAnsi"/>
          <w:sz w:val="22"/>
          <w:szCs w:val="22"/>
        </w:rPr>
        <w:t xml:space="preserve"> of contractors or grantees.</w:t>
      </w:r>
    </w:p>
    <w:p w:rsidR="00236B0F" w:rsidRPr="00125A78" w:rsidP="00236B0F" w14:paraId="3BDB317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236B0F" w:rsidRPr="00125A78" w:rsidP="000A5367" w14:paraId="63057E77"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Describe any assurance of confidentiality provided to respondents and the basis for assurance in statute, regulation or agency policy.</w:t>
      </w:r>
    </w:p>
    <w:p w:rsidR="000A5367" w:rsidRPr="00125A78" w:rsidP="000A5367" w14:paraId="64D18C12"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0A5367" w:rsidRPr="000C7AFE" w:rsidP="000A5367" w14:paraId="55F77D82"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There is no assurance of confidentiality.  This information is available under the Freedom of Information Act.  In addition, the information collected under this request does not include information on individuals.</w:t>
      </w:r>
    </w:p>
    <w:p w:rsidR="000A5367" w:rsidRPr="00125A78" w:rsidP="000A5367" w14:paraId="1296BE7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0A5367" w:rsidRPr="00125A78" w:rsidP="000A5367" w14:paraId="3C14C334"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367" w:rsidRPr="00125A78" w:rsidP="000A5367" w14:paraId="039166A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0A5367" w:rsidRPr="00125A78" w:rsidP="000A5367" w14:paraId="7C1CCAF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There are no questions of a sensitive nature included in the information to be collected.</w:t>
      </w:r>
    </w:p>
    <w:p w:rsidR="000A5367" w:rsidRPr="00125A78" w:rsidP="000A5367" w14:paraId="77A2866B"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0A5367" w:rsidRPr="00125A78" w:rsidP="000A5367" w14:paraId="310BB547"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estimates of the hour burden of the collection of information.  The statement should:</w:t>
      </w:r>
    </w:p>
    <w:p w:rsidR="000A5367" w:rsidRPr="00125A78" w:rsidP="00AC4E75" w14:paraId="293628C1" w14:textId="39FA352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125A78" w:rsidR="00DF1224">
        <w:t>Generally,</w:t>
      </w:r>
      <w:r w:rsidRPr="00125A78">
        <w:t xml:space="preserve"> estimates should not include burden hours for customary and usual business practices;</w:t>
      </w:r>
    </w:p>
    <w:p w:rsidR="00AC4E75" w:rsidRPr="00125A78" w:rsidP="00AC4E75" w14:paraId="1DC6444A" w14:textId="7777777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if this request covers more than on</w:t>
      </w:r>
      <w:r w:rsidR="00452835">
        <w:t>e</w:t>
      </w:r>
      <w:r w:rsidRPr="00125A78">
        <w:t xml:space="preserve"> form, provide separate hour burden estimates for each form and aggregate the hour burdens in Item 13 of OMB Form 83-I; and</w:t>
      </w:r>
    </w:p>
    <w:p w:rsidR="00AC4E75" w:rsidRPr="00125A78" w:rsidP="00AC4E75" w14:paraId="5A368BFF" w14:textId="4ED6EA58">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 xml:space="preserve">provide estimates of annualized cost to respondents for the hour burdens for collections of information, identifying and using appropriate wage rate categories.  The cost of contracting </w:t>
      </w:r>
      <w:r w:rsidRPr="00125A78" w:rsidR="00B21F0B">
        <w:t xml:space="preserve">out or paying outside parties for information collection activities should not be included here.  </w:t>
      </w:r>
      <w:r w:rsidRPr="00125A78" w:rsidR="00DF1224">
        <w:t>Instead,</w:t>
      </w:r>
      <w:r w:rsidRPr="00125A78" w:rsidR="00B21F0B">
        <w:t xml:space="preserve"> this cost should be included in Item 13.</w:t>
      </w:r>
    </w:p>
    <w:p w:rsidR="00B21F0B" w:rsidRPr="00125A78" w:rsidP="00B21F0B" w14:paraId="79A5898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F755E6" w:rsidRPr="000C7AFE" w:rsidP="00FC79D3" w14:paraId="5E9AF735" w14:textId="67143A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bookmarkStart w:id="2" w:name="_Hlk58396161"/>
      <w:r w:rsidRPr="00471B62">
        <w:rPr>
          <w:rFonts w:asciiTheme="minorHAnsi" w:hAnsiTheme="minorHAnsi" w:cstheme="minorHAnsi"/>
          <w:sz w:val="22"/>
          <w:szCs w:val="22"/>
        </w:rPr>
        <w:t>There are approximately 57</w:t>
      </w:r>
      <w:r w:rsidRPr="00471B62" w:rsidR="00471B62">
        <w:rPr>
          <w:rFonts w:asciiTheme="minorHAnsi" w:hAnsiTheme="minorHAnsi" w:cstheme="minorHAnsi"/>
          <w:sz w:val="22"/>
          <w:szCs w:val="22"/>
        </w:rPr>
        <w:t>4</w:t>
      </w:r>
      <w:r w:rsidRPr="00471B62">
        <w:rPr>
          <w:rFonts w:asciiTheme="minorHAnsi" w:hAnsiTheme="minorHAnsi" w:cstheme="minorHAnsi"/>
          <w:sz w:val="22"/>
          <w:szCs w:val="22"/>
        </w:rPr>
        <w:t xml:space="preserve"> N</w:t>
      </w:r>
      <w:r w:rsidRPr="00471B62" w:rsidR="000A2689">
        <w:rPr>
          <w:rFonts w:asciiTheme="minorHAnsi" w:hAnsiTheme="minorHAnsi" w:cstheme="minorHAnsi"/>
          <w:sz w:val="22"/>
          <w:szCs w:val="22"/>
        </w:rPr>
        <w:t>ative entities throughout</w:t>
      </w:r>
      <w:r w:rsidRPr="000C7AFE" w:rsidR="000A2689">
        <w:rPr>
          <w:rFonts w:asciiTheme="minorHAnsi" w:hAnsiTheme="minorHAnsi" w:cstheme="minorHAnsi"/>
          <w:sz w:val="22"/>
          <w:szCs w:val="22"/>
        </w:rPr>
        <w:t xml:space="preserve"> the country, which includes tribes, pueblos, Alaska </w:t>
      </w:r>
      <w:r w:rsidRPr="000C7AFE" w:rsidR="00C85971">
        <w:rPr>
          <w:rFonts w:asciiTheme="minorHAnsi" w:hAnsiTheme="minorHAnsi" w:cstheme="minorHAnsi"/>
          <w:sz w:val="22"/>
          <w:szCs w:val="22"/>
        </w:rPr>
        <w:t>n</w:t>
      </w:r>
      <w:r w:rsidRPr="000C7AFE" w:rsidR="000A2689">
        <w:rPr>
          <w:rFonts w:asciiTheme="minorHAnsi" w:hAnsiTheme="minorHAnsi" w:cstheme="minorHAnsi"/>
          <w:sz w:val="22"/>
          <w:szCs w:val="22"/>
        </w:rPr>
        <w:t xml:space="preserve">ative </w:t>
      </w:r>
      <w:r w:rsidRPr="000C7AFE" w:rsidR="00C85971">
        <w:rPr>
          <w:rFonts w:asciiTheme="minorHAnsi" w:hAnsiTheme="minorHAnsi" w:cstheme="minorHAnsi"/>
          <w:sz w:val="22"/>
          <w:szCs w:val="22"/>
        </w:rPr>
        <w:t>r</w:t>
      </w:r>
      <w:r w:rsidRPr="000C7AFE" w:rsidR="000A2689">
        <w:rPr>
          <w:rFonts w:asciiTheme="minorHAnsi" w:hAnsiTheme="minorHAnsi" w:cstheme="minorHAnsi"/>
          <w:sz w:val="22"/>
          <w:szCs w:val="22"/>
        </w:rPr>
        <w:t xml:space="preserve">egional </w:t>
      </w:r>
      <w:r w:rsidRPr="000C7AFE" w:rsidR="00C85971">
        <w:rPr>
          <w:rFonts w:asciiTheme="minorHAnsi" w:hAnsiTheme="minorHAnsi" w:cstheme="minorHAnsi"/>
          <w:sz w:val="22"/>
          <w:szCs w:val="22"/>
        </w:rPr>
        <w:t>c</w:t>
      </w:r>
      <w:r w:rsidRPr="000C7AFE" w:rsidR="000A2689">
        <w:rPr>
          <w:rFonts w:asciiTheme="minorHAnsi" w:hAnsiTheme="minorHAnsi" w:cstheme="minorHAnsi"/>
          <w:sz w:val="22"/>
          <w:szCs w:val="22"/>
        </w:rPr>
        <w:t xml:space="preserve">orporations, and Alaska Native </w:t>
      </w:r>
      <w:r w:rsidRPr="000C7AFE" w:rsidR="00C85971">
        <w:rPr>
          <w:rFonts w:asciiTheme="minorHAnsi" w:hAnsiTheme="minorHAnsi" w:cstheme="minorHAnsi"/>
          <w:sz w:val="22"/>
          <w:szCs w:val="22"/>
        </w:rPr>
        <w:t>v</w:t>
      </w:r>
      <w:r w:rsidRPr="000C7AFE" w:rsidR="000A2689">
        <w:rPr>
          <w:rFonts w:asciiTheme="minorHAnsi" w:hAnsiTheme="minorHAnsi" w:cstheme="minorHAnsi"/>
          <w:sz w:val="22"/>
          <w:szCs w:val="22"/>
        </w:rPr>
        <w:t>illages.  The</w:t>
      </w:r>
      <w:r w:rsidRPr="000C7AFE">
        <w:rPr>
          <w:rFonts w:asciiTheme="minorHAnsi" w:hAnsiTheme="minorHAnsi" w:cstheme="minorHAnsi"/>
          <w:sz w:val="22"/>
          <w:szCs w:val="22"/>
        </w:rPr>
        <w:t xml:space="preserve"> N</w:t>
      </w:r>
      <w:r w:rsidRPr="000C7AFE" w:rsidR="00735C5B">
        <w:rPr>
          <w:rFonts w:asciiTheme="minorHAnsi" w:hAnsiTheme="minorHAnsi" w:cstheme="minorHAnsi"/>
          <w:sz w:val="22"/>
          <w:szCs w:val="22"/>
        </w:rPr>
        <w:t>ative entities may designate</w:t>
      </w:r>
      <w:r w:rsidRPr="000C7AFE" w:rsidR="000A2689">
        <w:rPr>
          <w:rFonts w:asciiTheme="minorHAnsi" w:hAnsiTheme="minorHAnsi" w:cstheme="minorHAnsi"/>
          <w:sz w:val="22"/>
          <w:szCs w:val="22"/>
        </w:rPr>
        <w:t xml:space="preserve"> </w:t>
      </w:r>
      <w:r w:rsidRPr="000C7AFE">
        <w:rPr>
          <w:rFonts w:asciiTheme="minorHAnsi" w:hAnsiTheme="minorHAnsi" w:cstheme="minorHAnsi"/>
          <w:sz w:val="22"/>
          <w:szCs w:val="22"/>
        </w:rPr>
        <w:t>a tribal organization to submit an application and administ</w:t>
      </w:r>
      <w:r w:rsidRPr="000C7AFE" w:rsidR="00735C5B">
        <w:rPr>
          <w:rFonts w:asciiTheme="minorHAnsi" w:hAnsiTheme="minorHAnsi" w:cstheme="minorHAnsi"/>
          <w:sz w:val="22"/>
          <w:szCs w:val="22"/>
        </w:rPr>
        <w:t>er an ICDBG award on its</w:t>
      </w:r>
      <w:r w:rsidRPr="000C7AFE">
        <w:rPr>
          <w:rFonts w:asciiTheme="minorHAnsi" w:hAnsiTheme="minorHAnsi" w:cstheme="minorHAnsi"/>
          <w:sz w:val="22"/>
          <w:szCs w:val="22"/>
        </w:rPr>
        <w:t xml:space="preserve"> behalf.  </w:t>
      </w:r>
    </w:p>
    <w:p w:rsidR="00C85971" w:rsidRPr="000C7AFE" w:rsidP="007406FC" w14:paraId="7A0A98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p>
    <w:p w:rsidR="00C85971" w:rsidRPr="0078773C" w:rsidP="00C85971" w14:paraId="038478D7" w14:textId="62B9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heme="minorHAnsi" w:hAnsiTheme="minorHAnsi" w:cstheme="minorHAnsi"/>
          <w:sz w:val="22"/>
          <w:szCs w:val="22"/>
        </w:rPr>
      </w:pPr>
      <w:r w:rsidRPr="000C7AFE">
        <w:rPr>
          <w:rFonts w:asciiTheme="minorHAnsi" w:hAnsiTheme="minorHAnsi" w:cstheme="minorHAnsi"/>
          <w:sz w:val="22"/>
          <w:szCs w:val="22"/>
        </w:rPr>
        <w:t>Based upon prior</w:t>
      </w:r>
      <w:r w:rsidRPr="000C7AFE" w:rsidR="00D81E76">
        <w:rPr>
          <w:rFonts w:asciiTheme="minorHAnsi" w:hAnsiTheme="minorHAnsi" w:cstheme="minorHAnsi"/>
          <w:sz w:val="22"/>
          <w:szCs w:val="22"/>
        </w:rPr>
        <w:t xml:space="preserve"> </w:t>
      </w:r>
      <w:r w:rsidRPr="000D42E4" w:rsidR="00D81E76">
        <w:rPr>
          <w:rFonts w:asciiTheme="minorHAnsi" w:hAnsiTheme="minorHAnsi" w:cstheme="minorHAnsi"/>
          <w:sz w:val="22"/>
          <w:szCs w:val="22"/>
        </w:rPr>
        <w:t>competition experience for the ICDBG</w:t>
      </w:r>
      <w:r w:rsidRPr="000D42E4">
        <w:rPr>
          <w:rFonts w:asciiTheme="minorHAnsi" w:hAnsiTheme="minorHAnsi" w:cstheme="minorHAnsi"/>
          <w:sz w:val="22"/>
          <w:szCs w:val="22"/>
        </w:rPr>
        <w:t xml:space="preserve"> program, </w:t>
      </w:r>
      <w:r w:rsidRPr="000D42E4">
        <w:rPr>
          <w:rFonts w:asciiTheme="minorHAnsi" w:hAnsiTheme="minorHAnsi" w:cstheme="minorHAnsi"/>
          <w:sz w:val="22"/>
          <w:szCs w:val="22"/>
        </w:rPr>
        <w:t xml:space="preserve">HUD anticipates receiving </w:t>
      </w:r>
      <w:r w:rsidRPr="000D42E4">
        <w:rPr>
          <w:rFonts w:asciiTheme="minorHAnsi" w:hAnsiTheme="minorHAnsi" w:cstheme="minorHAnsi"/>
          <w:sz w:val="22"/>
          <w:szCs w:val="22"/>
        </w:rPr>
        <w:t>2</w:t>
      </w:r>
      <w:r w:rsidRPr="000D42E4" w:rsidR="00F966D3">
        <w:rPr>
          <w:rFonts w:asciiTheme="minorHAnsi" w:hAnsiTheme="minorHAnsi" w:cstheme="minorHAnsi"/>
          <w:sz w:val="22"/>
          <w:szCs w:val="22"/>
        </w:rPr>
        <w:t>4</w:t>
      </w:r>
      <w:r w:rsidRPr="000D42E4">
        <w:rPr>
          <w:rFonts w:asciiTheme="minorHAnsi" w:hAnsiTheme="minorHAnsi" w:cstheme="minorHAnsi"/>
          <w:sz w:val="22"/>
          <w:szCs w:val="22"/>
        </w:rPr>
        <w:t>0 applications</w:t>
      </w:r>
      <w:r w:rsidRPr="000D42E4" w:rsidR="00F966D3">
        <w:rPr>
          <w:rFonts w:asciiTheme="minorHAnsi" w:hAnsiTheme="minorHAnsi" w:cstheme="minorHAnsi"/>
          <w:sz w:val="22"/>
          <w:szCs w:val="22"/>
        </w:rPr>
        <w:t xml:space="preserve"> annually</w:t>
      </w:r>
      <w:r w:rsidRPr="000D42E4">
        <w:rPr>
          <w:rFonts w:asciiTheme="minorHAnsi" w:hAnsiTheme="minorHAnsi" w:cstheme="minorHAnsi"/>
          <w:sz w:val="22"/>
          <w:szCs w:val="22"/>
        </w:rPr>
        <w:t>.  The average application preparation time is 30 hours per application</w:t>
      </w:r>
      <w:r w:rsidRPr="000D42E4" w:rsidR="00B321DD">
        <w:rPr>
          <w:rFonts w:asciiTheme="minorHAnsi" w:hAnsiTheme="minorHAnsi" w:cstheme="minorHAnsi"/>
          <w:sz w:val="22"/>
          <w:szCs w:val="22"/>
        </w:rPr>
        <w:t xml:space="preserve"> for a total of </w:t>
      </w:r>
      <w:r w:rsidRPr="000D42E4" w:rsidR="00F966D3">
        <w:rPr>
          <w:rFonts w:asciiTheme="minorHAnsi" w:hAnsiTheme="minorHAnsi" w:cstheme="minorHAnsi"/>
          <w:sz w:val="22"/>
          <w:szCs w:val="22"/>
        </w:rPr>
        <w:t>7,200</w:t>
      </w:r>
      <w:r w:rsidRPr="000D42E4" w:rsidR="00B321DD">
        <w:rPr>
          <w:rFonts w:asciiTheme="minorHAnsi" w:hAnsiTheme="minorHAnsi" w:cstheme="minorHAnsi"/>
          <w:sz w:val="22"/>
          <w:szCs w:val="22"/>
        </w:rPr>
        <w:t xml:space="preserve"> burden hours</w:t>
      </w:r>
      <w:r w:rsidRPr="000D42E4">
        <w:rPr>
          <w:rFonts w:asciiTheme="minorHAnsi" w:hAnsiTheme="minorHAnsi" w:cstheme="minorHAnsi"/>
          <w:sz w:val="22"/>
          <w:szCs w:val="22"/>
        </w:rPr>
        <w:t xml:space="preserve">.  </w:t>
      </w:r>
      <w:r w:rsidRPr="000D42E4">
        <w:rPr>
          <w:rFonts w:asciiTheme="minorHAnsi" w:hAnsiTheme="minorHAnsi" w:cstheme="minorHAnsi"/>
          <w:sz w:val="22"/>
          <w:szCs w:val="22"/>
        </w:rPr>
        <w:t xml:space="preserve">HUD estimates that it will </w:t>
      </w:r>
      <w:r w:rsidRPr="000D42E4" w:rsidR="00F966D3">
        <w:rPr>
          <w:rFonts w:asciiTheme="minorHAnsi" w:hAnsiTheme="minorHAnsi" w:cstheme="minorHAnsi"/>
          <w:sz w:val="22"/>
          <w:szCs w:val="22"/>
        </w:rPr>
        <w:t xml:space="preserve">make approximately </w:t>
      </w:r>
      <w:r w:rsidRPr="000D42E4" w:rsidR="00BE249F">
        <w:rPr>
          <w:rFonts w:asciiTheme="minorHAnsi" w:hAnsiTheme="minorHAnsi" w:cstheme="minorHAnsi"/>
          <w:sz w:val="22"/>
          <w:szCs w:val="22"/>
        </w:rPr>
        <w:t>75</w:t>
      </w:r>
      <w:r w:rsidRPr="000D42E4" w:rsidR="00F966D3">
        <w:rPr>
          <w:rFonts w:asciiTheme="minorHAnsi" w:hAnsiTheme="minorHAnsi" w:cstheme="minorHAnsi"/>
          <w:sz w:val="22"/>
          <w:szCs w:val="22"/>
        </w:rPr>
        <w:t xml:space="preserve"> awards annually. </w:t>
      </w:r>
      <w:r w:rsidRPr="000D42E4">
        <w:rPr>
          <w:rFonts w:asciiTheme="minorHAnsi" w:hAnsiTheme="minorHAnsi" w:cstheme="minorHAnsi"/>
          <w:sz w:val="22"/>
          <w:szCs w:val="22"/>
        </w:rPr>
        <w:t xml:space="preserve">  </w:t>
      </w:r>
      <w:bookmarkEnd w:id="2"/>
      <w:r w:rsidRPr="000D42E4">
        <w:rPr>
          <w:rFonts w:asciiTheme="minorHAnsi" w:hAnsiTheme="minorHAnsi" w:cstheme="minorHAnsi"/>
          <w:sz w:val="22"/>
          <w:szCs w:val="22"/>
        </w:rPr>
        <w:t xml:space="preserve">Post grant award, the reports that </w:t>
      </w:r>
      <w:r w:rsidRPr="000D42E4" w:rsidR="00FC3E57">
        <w:rPr>
          <w:rFonts w:asciiTheme="minorHAnsi" w:hAnsiTheme="minorHAnsi" w:cstheme="minorHAnsi"/>
          <w:sz w:val="22"/>
          <w:szCs w:val="22"/>
        </w:rPr>
        <w:t xml:space="preserve">the estimated </w:t>
      </w:r>
      <w:r w:rsidRPr="000D42E4" w:rsidR="00BD62BC">
        <w:rPr>
          <w:rFonts w:asciiTheme="minorHAnsi" w:hAnsiTheme="minorHAnsi" w:cstheme="minorHAnsi"/>
          <w:sz w:val="22"/>
          <w:szCs w:val="22"/>
        </w:rPr>
        <w:t>75</w:t>
      </w:r>
      <w:r w:rsidRPr="000D42E4" w:rsidR="00FC3E57">
        <w:rPr>
          <w:rFonts w:asciiTheme="minorHAnsi" w:hAnsiTheme="minorHAnsi" w:cstheme="minorHAnsi"/>
          <w:sz w:val="22"/>
          <w:szCs w:val="22"/>
        </w:rPr>
        <w:t xml:space="preserve"> </w:t>
      </w:r>
      <w:r w:rsidRPr="000D42E4">
        <w:rPr>
          <w:rFonts w:asciiTheme="minorHAnsi" w:hAnsiTheme="minorHAnsi" w:cstheme="minorHAnsi"/>
          <w:sz w:val="22"/>
          <w:szCs w:val="22"/>
        </w:rPr>
        <w:t>grant recipients must submit and the time it takes to complete the reports are summarized below</w:t>
      </w:r>
      <w:r w:rsidRPr="000D42E4" w:rsidR="00BD62BC">
        <w:rPr>
          <w:rFonts w:asciiTheme="minorHAnsi" w:hAnsiTheme="minorHAnsi" w:cstheme="minorHAnsi"/>
          <w:sz w:val="22"/>
          <w:szCs w:val="22"/>
        </w:rPr>
        <w:t xml:space="preserve">. The estimated levels of </w:t>
      </w:r>
      <w:r w:rsidRPr="0078773C" w:rsidR="00BD62BC">
        <w:rPr>
          <w:rFonts w:asciiTheme="minorHAnsi" w:hAnsiTheme="minorHAnsi" w:cstheme="minorHAnsi"/>
          <w:sz w:val="22"/>
          <w:szCs w:val="22"/>
        </w:rPr>
        <w:t>effort are based on discussions with ONAP staff and their interactions with ICDBG recipient staff who prepare SF-425s.</w:t>
      </w:r>
    </w:p>
    <w:p w:rsidR="00C85971" w:rsidRPr="0078773C" w:rsidP="00C85971" w14:paraId="0C1C7B31" w14:textId="2A5D7D6F">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78773C">
        <w:rPr>
          <w:rFonts w:asciiTheme="minorHAnsi" w:hAnsiTheme="minorHAnsi" w:cstheme="minorHAnsi"/>
          <w:sz w:val="22"/>
          <w:szCs w:val="22"/>
        </w:rPr>
        <w:t>F</w:t>
      </w:r>
      <w:r w:rsidRPr="0078773C">
        <w:rPr>
          <w:rFonts w:asciiTheme="minorHAnsi" w:hAnsiTheme="minorHAnsi" w:cstheme="minorHAnsi"/>
          <w:sz w:val="22"/>
          <w:szCs w:val="22"/>
        </w:rPr>
        <w:t>ederal Financial Report</w:t>
      </w:r>
      <w:r w:rsidRPr="0078773C">
        <w:rPr>
          <w:rFonts w:asciiTheme="minorHAnsi" w:hAnsiTheme="minorHAnsi" w:cstheme="minorHAnsi"/>
          <w:sz w:val="22"/>
          <w:szCs w:val="22"/>
        </w:rPr>
        <w:t xml:space="preserve">s (SF-425) are submitted </w:t>
      </w:r>
      <w:r w:rsidR="00901F51">
        <w:rPr>
          <w:rFonts w:asciiTheme="minorHAnsi" w:hAnsiTheme="minorHAnsi" w:cstheme="minorHAnsi"/>
          <w:sz w:val="22"/>
          <w:szCs w:val="22"/>
        </w:rPr>
        <w:t>annually</w:t>
      </w:r>
      <w:r w:rsidRPr="0078773C">
        <w:rPr>
          <w:rFonts w:asciiTheme="minorHAnsi" w:hAnsiTheme="minorHAnsi" w:cstheme="minorHAnsi"/>
          <w:sz w:val="22"/>
          <w:szCs w:val="22"/>
        </w:rPr>
        <w:t xml:space="preserve"> at grant close out.  The Federal Financial Report has a</w:t>
      </w:r>
      <w:r w:rsidRPr="0078773C" w:rsidR="00BD62BC">
        <w:rPr>
          <w:rFonts w:asciiTheme="minorHAnsi" w:hAnsiTheme="minorHAnsi" w:cstheme="minorHAnsi"/>
          <w:sz w:val="22"/>
          <w:szCs w:val="22"/>
        </w:rPr>
        <w:t xml:space="preserve"> </w:t>
      </w:r>
      <w:r w:rsidRPr="0078773C">
        <w:rPr>
          <w:rFonts w:asciiTheme="minorHAnsi" w:hAnsiTheme="minorHAnsi" w:cstheme="minorHAnsi"/>
          <w:sz w:val="22"/>
          <w:szCs w:val="22"/>
        </w:rPr>
        <w:t>preparation time of 30 minutes</w:t>
      </w:r>
      <w:r w:rsidRPr="0078773C" w:rsidR="00BE249F">
        <w:rPr>
          <w:rFonts w:asciiTheme="minorHAnsi" w:hAnsiTheme="minorHAnsi" w:cstheme="minorHAnsi"/>
          <w:sz w:val="22"/>
          <w:szCs w:val="22"/>
        </w:rPr>
        <w:t>,</w:t>
      </w:r>
    </w:p>
    <w:p w:rsidR="00C85971" w:rsidRPr="0078773C" w:rsidP="00C85971" w14:paraId="3BAECB49" w14:textId="77777777">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78773C">
        <w:rPr>
          <w:rFonts w:asciiTheme="minorHAnsi" w:eastAsiaTheme="minorHAnsi" w:hAnsiTheme="minorHAnsi" w:cstheme="minorHAnsi"/>
          <w:bCs/>
          <w:sz w:val="22"/>
          <w:szCs w:val="22"/>
        </w:rPr>
        <w:t>Contract and Subcontract Activity</w:t>
      </w:r>
      <w:r w:rsidRPr="0078773C" w:rsidR="00705411">
        <w:rPr>
          <w:rFonts w:asciiTheme="minorHAnsi" w:eastAsiaTheme="minorHAnsi" w:hAnsiTheme="minorHAnsi" w:cstheme="minorHAnsi"/>
          <w:bCs/>
          <w:sz w:val="22"/>
          <w:szCs w:val="22"/>
        </w:rPr>
        <w:t xml:space="preserve"> Report</w:t>
      </w:r>
      <w:r w:rsidRPr="0078773C">
        <w:rPr>
          <w:rFonts w:asciiTheme="minorHAnsi" w:eastAsiaTheme="minorHAnsi" w:hAnsiTheme="minorHAnsi" w:cstheme="minorHAnsi"/>
          <w:bCs/>
          <w:sz w:val="22"/>
          <w:szCs w:val="22"/>
        </w:rPr>
        <w:t xml:space="preserve"> </w:t>
      </w:r>
      <w:r w:rsidRPr="0078773C">
        <w:rPr>
          <w:rFonts w:asciiTheme="minorHAnsi" w:hAnsiTheme="minorHAnsi" w:cstheme="minorHAnsi"/>
          <w:sz w:val="22"/>
          <w:szCs w:val="22"/>
        </w:rPr>
        <w:t xml:space="preserve">(HUD-2516) </w:t>
      </w:r>
      <w:r w:rsidRPr="0078773C" w:rsidR="00FC3E57">
        <w:rPr>
          <w:rFonts w:asciiTheme="minorHAnsi" w:eastAsiaTheme="minorHAnsi" w:hAnsiTheme="minorHAnsi" w:cstheme="minorHAnsi"/>
          <w:bCs/>
          <w:sz w:val="22"/>
          <w:szCs w:val="22"/>
        </w:rPr>
        <w:t>reports</w:t>
      </w:r>
      <w:r w:rsidRPr="0078773C">
        <w:rPr>
          <w:rFonts w:asciiTheme="minorHAnsi" w:eastAsiaTheme="minorHAnsi" w:hAnsiTheme="minorHAnsi" w:cstheme="minorHAnsi"/>
          <w:bCs/>
          <w:sz w:val="22"/>
          <w:szCs w:val="22"/>
        </w:rPr>
        <w:t xml:space="preserve"> </w:t>
      </w:r>
      <w:r w:rsidRPr="0078773C" w:rsidR="00FC3E57">
        <w:rPr>
          <w:rFonts w:asciiTheme="minorHAnsi" w:eastAsiaTheme="minorHAnsi" w:hAnsiTheme="minorHAnsi" w:cstheme="minorHAnsi"/>
          <w:bCs/>
          <w:sz w:val="22"/>
          <w:szCs w:val="22"/>
        </w:rPr>
        <w:t xml:space="preserve">are submitted </w:t>
      </w:r>
      <w:r w:rsidRPr="0078773C">
        <w:rPr>
          <w:rFonts w:asciiTheme="minorHAnsi" w:hAnsiTheme="minorHAnsi" w:cstheme="minorHAnsi"/>
          <w:sz w:val="22"/>
          <w:szCs w:val="22"/>
        </w:rPr>
        <w:t xml:space="preserve">by October 10 each year and preparation of this report takes approximately one hour.  </w:t>
      </w:r>
    </w:p>
    <w:p w:rsidR="00C85971" w:rsidRPr="0078773C" w:rsidP="00C85971" w14:paraId="3BB98A1C" w14:textId="390B1FC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78773C">
        <w:rPr>
          <w:rFonts w:asciiTheme="minorHAnsi" w:eastAsiaTheme="minorHAnsi" w:hAnsiTheme="minorHAnsi" w:cstheme="minorHAnsi"/>
          <w:bCs/>
          <w:sz w:val="22"/>
          <w:szCs w:val="22"/>
        </w:rPr>
        <w:t xml:space="preserve">Annual Status and Evaluation Report is </w:t>
      </w:r>
      <w:r w:rsidRPr="0078773C">
        <w:rPr>
          <w:rFonts w:asciiTheme="minorHAnsi" w:hAnsiTheme="minorHAnsi" w:cstheme="minorHAnsi"/>
          <w:bCs/>
          <w:sz w:val="22"/>
          <w:szCs w:val="22"/>
        </w:rPr>
        <w:t xml:space="preserve">a narrative report that is </w:t>
      </w:r>
      <w:r w:rsidRPr="0078773C">
        <w:rPr>
          <w:rFonts w:asciiTheme="minorHAnsi" w:eastAsiaTheme="minorHAnsi" w:hAnsiTheme="minorHAnsi" w:cstheme="minorHAnsi"/>
          <w:bCs/>
          <w:sz w:val="22"/>
          <w:szCs w:val="22"/>
        </w:rPr>
        <w:t xml:space="preserve">submitted by November 15 of each year and </w:t>
      </w:r>
      <w:r w:rsidRPr="0078773C" w:rsidR="00FD75C8">
        <w:rPr>
          <w:rFonts w:asciiTheme="minorHAnsi" w:eastAsiaTheme="minorHAnsi" w:hAnsiTheme="minorHAnsi" w:cstheme="minorHAnsi"/>
          <w:bCs/>
          <w:sz w:val="22"/>
          <w:szCs w:val="22"/>
        </w:rPr>
        <w:t>at the time of project completion.</w:t>
      </w:r>
      <w:r w:rsidRPr="0078773C" w:rsidR="003F520E">
        <w:rPr>
          <w:rFonts w:asciiTheme="minorHAnsi" w:eastAsiaTheme="minorHAnsi" w:hAnsiTheme="minorHAnsi" w:cstheme="minorHAnsi"/>
          <w:bCs/>
          <w:sz w:val="22"/>
          <w:szCs w:val="22"/>
        </w:rPr>
        <w:t xml:space="preserve">  It is assumed that an average project takes four years to complete. The preparation of the report</w:t>
      </w:r>
      <w:r w:rsidRPr="0078773C">
        <w:rPr>
          <w:rFonts w:asciiTheme="minorHAnsi" w:eastAsiaTheme="minorHAnsi" w:hAnsiTheme="minorHAnsi" w:cstheme="minorHAnsi"/>
          <w:bCs/>
          <w:sz w:val="22"/>
          <w:szCs w:val="22"/>
        </w:rPr>
        <w:t xml:space="preserve"> takes approximately </w:t>
      </w:r>
      <w:r w:rsidRPr="0078773C" w:rsidR="00B321DD">
        <w:rPr>
          <w:rFonts w:asciiTheme="minorHAnsi" w:eastAsiaTheme="minorHAnsi" w:hAnsiTheme="minorHAnsi" w:cstheme="minorHAnsi"/>
          <w:bCs/>
          <w:sz w:val="22"/>
          <w:szCs w:val="22"/>
        </w:rPr>
        <w:t>four</w:t>
      </w:r>
      <w:r w:rsidRPr="0078773C">
        <w:rPr>
          <w:rFonts w:asciiTheme="minorHAnsi" w:eastAsiaTheme="minorHAnsi" w:hAnsiTheme="minorHAnsi" w:cstheme="minorHAnsi"/>
          <w:bCs/>
          <w:sz w:val="22"/>
          <w:szCs w:val="22"/>
        </w:rPr>
        <w:t xml:space="preserve"> hours. </w:t>
      </w:r>
    </w:p>
    <w:p w:rsidR="00AF4DFD" w:rsidRPr="00F46A74" w:rsidP="007406FC" w14:paraId="57F41E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2E7184" w:rsidRPr="000C7AFE" w:rsidP="009C53C6" w14:paraId="6E856CB7" w14:textId="49771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00" w:afterAutospacing="1"/>
        <w:ind w:left="1080"/>
        <w:rPr>
          <w:rFonts w:asciiTheme="minorHAnsi" w:hAnsiTheme="minorHAnsi" w:cstheme="minorHAnsi"/>
          <w:b/>
          <w:sz w:val="22"/>
          <w:szCs w:val="22"/>
        </w:rPr>
      </w:pPr>
      <w:r>
        <w:rPr>
          <w:b/>
          <w:sz w:val="24"/>
          <w:szCs w:val="24"/>
        </w:rPr>
        <w:t xml:space="preserve">          </w:t>
      </w:r>
      <w:r w:rsidR="00026576">
        <w:rPr>
          <w:b/>
          <w:sz w:val="24"/>
          <w:szCs w:val="24"/>
        </w:rPr>
        <w:t xml:space="preserve">         </w:t>
      </w:r>
      <w:r w:rsidR="00CB1B35">
        <w:rPr>
          <w:b/>
          <w:sz w:val="24"/>
          <w:szCs w:val="24"/>
        </w:rPr>
        <w:t xml:space="preserve">                                                                                                                                                                                              </w:t>
      </w:r>
      <w:r w:rsidR="00026576">
        <w:rPr>
          <w:b/>
          <w:sz w:val="24"/>
          <w:szCs w:val="24"/>
        </w:rPr>
        <w:t xml:space="preserve"> </w:t>
      </w:r>
      <w:r w:rsidRPr="009C53C6" w:rsidR="00510955">
        <w:rPr>
          <w:rFonts w:asciiTheme="minorHAnsi" w:hAnsiTheme="minorHAnsi" w:cstheme="minorHAnsi"/>
          <w:b/>
          <w:sz w:val="22"/>
          <w:szCs w:val="22"/>
        </w:rPr>
        <w:t>Estimated Number of Respondents, Responses, and Burden Hours Per Annum</w:t>
      </w:r>
    </w:p>
    <w:tbl>
      <w:tblPr>
        <w:tblW w:w="9090" w:type="dxa"/>
        <w:jc w:val="center"/>
        <w:tblLayout w:type="fixed"/>
        <w:tblLook w:val="04A0"/>
      </w:tblPr>
      <w:tblGrid>
        <w:gridCol w:w="1318"/>
        <w:gridCol w:w="1382"/>
        <w:gridCol w:w="1350"/>
        <w:gridCol w:w="1170"/>
        <w:gridCol w:w="990"/>
        <w:gridCol w:w="1048"/>
        <w:gridCol w:w="842"/>
        <w:gridCol w:w="990"/>
      </w:tblGrid>
      <w:tr w14:paraId="41D646D5" w14:textId="07A12EDF" w:rsidTr="009C53C6">
        <w:tblPrEx>
          <w:tblW w:w="9090" w:type="dxa"/>
          <w:jc w:val="center"/>
          <w:tblLayout w:type="fixed"/>
          <w:tblLook w:val="04A0"/>
        </w:tblPrEx>
        <w:trPr>
          <w:trHeight w:val="1200"/>
          <w:jc w:val="center"/>
        </w:trPr>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FC5" w:rsidRPr="002E7184" w:rsidP="009A6245" w14:paraId="0FA892A8" w14:textId="21DDE6A3">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Type of Submission</w:t>
            </w:r>
            <w:r>
              <w:rPr>
                <w:rFonts w:asciiTheme="minorHAnsi" w:hAnsiTheme="minorHAnsi" w:cstheme="minorHAnsi"/>
                <w:i/>
                <w:iCs/>
                <w:color w:val="000000"/>
                <w:sz w:val="22"/>
                <w:szCs w:val="22"/>
              </w:rPr>
              <w:t>/Information Collection</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387FC5" w:rsidRPr="002E7184" w:rsidP="009A6245" w14:paraId="510EF958"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Number of 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387FC5" w:rsidRPr="002E7184" w:rsidP="009A6245" w14:paraId="4680754B"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Frequency of Submissions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87FC5" w:rsidRPr="002E7184" w:rsidP="009A6245" w14:paraId="49208D4C"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Responses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87FC5" w:rsidRPr="002E7184" w:rsidP="009A6245" w14:paraId="00D9684B"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Average Time (Hours)</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387FC5" w:rsidRPr="002E7184" w:rsidP="009A6245" w14:paraId="2F82A3E5" w14:textId="77777777">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Annual Burden (Hours)</w:t>
            </w:r>
          </w:p>
        </w:tc>
        <w:tc>
          <w:tcPr>
            <w:tcW w:w="842" w:type="dxa"/>
            <w:tcBorders>
              <w:top w:val="single" w:sz="4" w:space="0" w:color="auto"/>
              <w:left w:val="nil"/>
              <w:bottom w:val="single" w:sz="4" w:space="0" w:color="auto"/>
              <w:right w:val="single" w:sz="4" w:space="0" w:color="auto"/>
            </w:tcBorders>
          </w:tcPr>
          <w:p w:rsidR="00387FC5" w:rsidRPr="002E7184" w:rsidP="009A6245" w14:paraId="1680A596" w14:textId="21182982">
            <w:pPr>
              <w:overflowPunct/>
              <w:autoSpaceDE/>
              <w:autoSpaceDN/>
              <w:adjustRightInd/>
              <w:ind w:left="-30"/>
              <w:jc w:val="center"/>
              <w:textAlignment w:val="auto"/>
              <w:rPr>
                <w:rFonts w:asciiTheme="minorHAnsi" w:hAnsiTheme="minorHAnsi" w:cstheme="minorHAnsi"/>
                <w:i/>
                <w:iCs/>
                <w:color w:val="000000"/>
                <w:sz w:val="22"/>
                <w:szCs w:val="22"/>
              </w:rPr>
            </w:pPr>
            <w:r>
              <w:rPr>
                <w:rFonts w:asciiTheme="minorHAnsi" w:hAnsiTheme="minorHAnsi" w:cstheme="minorHAnsi"/>
                <w:i/>
                <w:iCs/>
                <w:color w:val="000000"/>
                <w:sz w:val="22"/>
                <w:szCs w:val="22"/>
              </w:rPr>
              <w:t>Hourly Cost</w:t>
            </w:r>
          </w:p>
        </w:tc>
        <w:tc>
          <w:tcPr>
            <w:tcW w:w="990" w:type="dxa"/>
            <w:tcBorders>
              <w:top w:val="single" w:sz="4" w:space="0" w:color="auto"/>
              <w:left w:val="nil"/>
              <w:bottom w:val="single" w:sz="4" w:space="0" w:color="auto"/>
              <w:right w:val="single" w:sz="4" w:space="0" w:color="auto"/>
            </w:tcBorders>
          </w:tcPr>
          <w:p w:rsidR="00387FC5" w:rsidP="009C53C6" w14:paraId="4D8FD396" w14:textId="798BC0EB">
            <w:pPr>
              <w:overflowPunct/>
              <w:autoSpaceDE/>
              <w:autoSpaceDN/>
              <w:adjustRightInd/>
              <w:jc w:val="both"/>
              <w:textAlignment w:val="auto"/>
              <w:rPr>
                <w:rFonts w:asciiTheme="minorHAnsi" w:hAnsiTheme="minorHAnsi" w:cstheme="minorHAnsi"/>
                <w:i/>
                <w:iCs/>
                <w:color w:val="000000"/>
                <w:sz w:val="22"/>
                <w:szCs w:val="22"/>
              </w:rPr>
            </w:pPr>
            <w:r>
              <w:rPr>
                <w:rFonts w:asciiTheme="minorHAnsi" w:hAnsiTheme="minorHAnsi" w:cstheme="minorHAnsi"/>
                <w:i/>
                <w:iCs/>
                <w:color w:val="000000"/>
                <w:sz w:val="22"/>
                <w:szCs w:val="22"/>
              </w:rPr>
              <w:t>Total Annual Cost</w:t>
            </w:r>
          </w:p>
        </w:tc>
      </w:tr>
      <w:tr w14:paraId="761D4EFA" w14:textId="0F71479D" w:rsidTr="009C53C6">
        <w:tblPrEx>
          <w:tblW w:w="9090" w:type="dxa"/>
          <w:jc w:val="center"/>
          <w:tblLayout w:type="fixed"/>
          <w:tblLook w:val="04A0"/>
        </w:tblPrEx>
        <w:trPr>
          <w:trHeight w:val="810"/>
          <w:jc w:val="center"/>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403F8E" w:rsidRPr="002E7184" w:rsidP="00E448FC" w14:paraId="3919A26F" w14:textId="3119D62B">
            <w:pPr>
              <w:overflowPunct/>
              <w:autoSpaceDE/>
              <w:autoSpaceDN/>
              <w:adjustRightInd/>
              <w:spacing w:before="240"/>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Federal Financial Report (SF-425)</w:t>
            </w:r>
            <w:r w:rsidR="00E448FC">
              <w:rPr>
                <w:rFonts w:asciiTheme="minorHAnsi" w:hAnsiTheme="minorHAnsi" w:cstheme="minorHAnsi"/>
                <w:color w:val="000000"/>
                <w:sz w:val="22"/>
                <w:szCs w:val="22"/>
              </w:rPr>
              <w:t xml:space="preserve">                      </w:t>
            </w:r>
            <w:r w:rsidR="002230C6">
              <w:rPr>
                <w:rFonts w:asciiTheme="minorHAnsi" w:hAnsiTheme="minorHAnsi" w:cstheme="minorHAnsi"/>
                <w:color w:val="000000"/>
                <w:sz w:val="22"/>
                <w:szCs w:val="22"/>
              </w:rPr>
              <w:t>OMB (4040-0014)</w:t>
            </w:r>
          </w:p>
        </w:tc>
        <w:tc>
          <w:tcPr>
            <w:tcW w:w="1382" w:type="dxa"/>
            <w:tcBorders>
              <w:top w:val="nil"/>
              <w:left w:val="nil"/>
              <w:bottom w:val="single" w:sz="4" w:space="0" w:color="auto"/>
              <w:right w:val="single" w:sz="4" w:space="0" w:color="auto"/>
            </w:tcBorders>
            <w:shd w:val="clear" w:color="auto" w:fill="auto"/>
            <w:vAlign w:val="center"/>
            <w:hideMark/>
          </w:tcPr>
          <w:p w:rsidR="000E75C5" w:rsidRPr="00B93903" w:rsidP="008F7293" w14:paraId="27795617" w14:textId="44C5A420">
            <w:pPr>
              <w:overflowPunct/>
              <w:autoSpaceDE/>
              <w:autoSpaceDN/>
              <w:adjustRightInd/>
              <w:spacing w:before="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350" w:type="dxa"/>
            <w:tcBorders>
              <w:top w:val="nil"/>
              <w:left w:val="nil"/>
              <w:bottom w:val="single" w:sz="4" w:space="0" w:color="auto"/>
              <w:right w:val="single" w:sz="4" w:space="0" w:color="auto"/>
            </w:tcBorders>
            <w:shd w:val="clear" w:color="auto" w:fill="auto"/>
            <w:vAlign w:val="center"/>
          </w:tcPr>
          <w:p w:rsidR="000E75C5" w:rsidRPr="00B93903" w:rsidP="008F7293" w14:paraId="74E87B0E" w14:textId="61C68BE0">
            <w:pPr>
              <w:overflowPunct/>
              <w:autoSpaceDE/>
              <w:autoSpaceDN/>
              <w:adjustRightInd/>
              <w:spacing w:before="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w:t>
            </w:r>
          </w:p>
        </w:tc>
        <w:tc>
          <w:tcPr>
            <w:tcW w:w="1170" w:type="dxa"/>
            <w:tcBorders>
              <w:top w:val="nil"/>
              <w:left w:val="nil"/>
              <w:bottom w:val="single" w:sz="4" w:space="0" w:color="auto"/>
              <w:right w:val="single" w:sz="4" w:space="0" w:color="auto"/>
            </w:tcBorders>
            <w:shd w:val="clear" w:color="auto" w:fill="auto"/>
            <w:vAlign w:val="center"/>
          </w:tcPr>
          <w:p w:rsidR="000E75C5" w:rsidRPr="00B93903" w:rsidP="008F7293" w14:paraId="15C5CBF6" w14:textId="42EE2BEB">
            <w:pPr>
              <w:overflowPunct/>
              <w:autoSpaceDE/>
              <w:autoSpaceDN/>
              <w:adjustRightInd/>
              <w:spacing w:before="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c>
          <w:tcPr>
            <w:tcW w:w="990" w:type="dxa"/>
            <w:tcBorders>
              <w:top w:val="nil"/>
              <w:left w:val="nil"/>
              <w:bottom w:val="single" w:sz="4" w:space="0" w:color="auto"/>
              <w:right w:val="single" w:sz="4" w:space="0" w:color="auto"/>
            </w:tcBorders>
            <w:shd w:val="clear" w:color="auto" w:fill="auto"/>
            <w:vAlign w:val="center"/>
          </w:tcPr>
          <w:p w:rsidR="000E75C5" w:rsidRPr="00B93903" w:rsidP="008F7293" w14:paraId="602E6A37" w14:textId="4617C005">
            <w:pPr>
              <w:overflowPunct/>
              <w:autoSpaceDE/>
              <w:autoSpaceDN/>
              <w:adjustRightInd/>
              <w:spacing w:before="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c>
          <w:tcPr>
            <w:tcW w:w="1048" w:type="dxa"/>
            <w:tcBorders>
              <w:top w:val="nil"/>
              <w:left w:val="nil"/>
              <w:bottom w:val="single" w:sz="4" w:space="0" w:color="auto"/>
              <w:right w:val="single" w:sz="4" w:space="0" w:color="auto"/>
            </w:tcBorders>
            <w:shd w:val="clear" w:color="auto" w:fill="auto"/>
            <w:vAlign w:val="center"/>
          </w:tcPr>
          <w:p w:rsidR="000E75C5" w:rsidRPr="00B93903" w:rsidP="002C51D7" w14:paraId="6FADB59E" w14:textId="182E5E01">
            <w:pPr>
              <w:overflowPunct/>
              <w:autoSpaceDE/>
              <w:autoSpaceDN/>
              <w:adjustRightInd/>
              <w:spacing w:before="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c>
          <w:tcPr>
            <w:tcW w:w="842" w:type="dxa"/>
            <w:tcBorders>
              <w:top w:val="nil"/>
              <w:left w:val="nil"/>
              <w:bottom w:val="single" w:sz="4" w:space="0" w:color="auto"/>
              <w:right w:val="single" w:sz="4" w:space="0" w:color="auto"/>
            </w:tcBorders>
            <w:vAlign w:val="center"/>
          </w:tcPr>
          <w:p w:rsidR="000E75C5" w:rsidRPr="00B93903" w:rsidP="00E6559E" w14:paraId="0FD07492" w14:textId="45D90C34">
            <w:pPr>
              <w:overflowPunct/>
              <w:autoSpaceDE/>
              <w:autoSpaceDN/>
              <w:adjustRightInd/>
              <w:spacing w:before="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c>
          <w:tcPr>
            <w:tcW w:w="990" w:type="dxa"/>
            <w:tcBorders>
              <w:top w:val="nil"/>
              <w:left w:val="nil"/>
              <w:bottom w:val="single" w:sz="4" w:space="0" w:color="auto"/>
              <w:right w:val="single" w:sz="4" w:space="0" w:color="auto"/>
            </w:tcBorders>
            <w:vAlign w:val="center"/>
          </w:tcPr>
          <w:p w:rsidR="000E75C5" w:rsidRPr="00B93903" w:rsidP="009C53C6" w14:paraId="07D4FB53" w14:textId="32B5F771">
            <w:pPr>
              <w:overflowPunct/>
              <w:autoSpaceDE/>
              <w:autoSpaceDN/>
              <w:adjustRightInd/>
              <w:spacing w:before="240"/>
              <w:ind w:left="-30"/>
              <w:jc w:val="both"/>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r>
      <w:tr w14:paraId="219513B8" w14:textId="10BA55DA" w:rsidTr="009C53C6">
        <w:tblPrEx>
          <w:tblW w:w="9090" w:type="dxa"/>
          <w:jc w:val="center"/>
          <w:tblLayout w:type="fixed"/>
          <w:tblLook w:val="04A0"/>
        </w:tblPrEx>
        <w:trPr>
          <w:trHeight w:val="1562"/>
          <w:jc w:val="center"/>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1605F9" w:rsidRPr="002E7184" w:rsidP="009064EA" w14:paraId="5D6BD244" w14:textId="3629ECB7">
            <w:pPr>
              <w:overflowPunct/>
              <w:autoSpaceDE/>
              <w:autoSpaceDN/>
              <w:adjustRightInd/>
              <w:spacing w:before="240" w:after="240"/>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Contract and Subcontract Activity Report (HUD-2516)</w:t>
            </w:r>
            <w:r w:rsidR="009064EA">
              <w:rPr>
                <w:rFonts w:asciiTheme="minorHAnsi" w:hAnsiTheme="minorHAnsi" w:cstheme="minorHAnsi"/>
                <w:color w:val="000000"/>
                <w:sz w:val="22"/>
                <w:szCs w:val="22"/>
              </w:rPr>
              <w:t xml:space="preserve">   </w:t>
            </w:r>
            <w:r>
              <w:rPr>
                <w:rFonts w:asciiTheme="minorHAnsi" w:hAnsiTheme="minorHAnsi" w:cstheme="minorHAnsi"/>
                <w:color w:val="000000"/>
                <w:sz w:val="22"/>
                <w:szCs w:val="22"/>
              </w:rPr>
              <w:t>OMB (2535-0117)</w:t>
            </w:r>
          </w:p>
        </w:tc>
        <w:tc>
          <w:tcPr>
            <w:tcW w:w="1382" w:type="dxa"/>
            <w:tcBorders>
              <w:top w:val="nil"/>
              <w:left w:val="nil"/>
              <w:bottom w:val="single" w:sz="4" w:space="0" w:color="auto"/>
              <w:right w:val="single" w:sz="4" w:space="0" w:color="auto"/>
            </w:tcBorders>
            <w:shd w:val="clear" w:color="auto" w:fill="auto"/>
            <w:vAlign w:val="center"/>
            <w:hideMark/>
          </w:tcPr>
          <w:p w:rsidR="001605F9" w:rsidRPr="00B93903" w:rsidP="00E6559E" w14:paraId="0C6E67E1" w14:textId="1D96991A">
            <w:pPr>
              <w:overflowPunct/>
              <w:autoSpaceDE/>
              <w:autoSpaceDN/>
              <w:adjustRightInd/>
              <w:spacing w:before="240" w:after="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350" w:type="dxa"/>
            <w:tcBorders>
              <w:top w:val="nil"/>
              <w:left w:val="nil"/>
              <w:bottom w:val="single" w:sz="4" w:space="0" w:color="auto"/>
              <w:right w:val="single" w:sz="4" w:space="0" w:color="auto"/>
            </w:tcBorders>
            <w:shd w:val="clear" w:color="auto" w:fill="auto"/>
            <w:vAlign w:val="center"/>
            <w:hideMark/>
          </w:tcPr>
          <w:p w:rsidR="001605F9" w:rsidRPr="00B93903" w:rsidP="00E6559E" w14:paraId="0293C8CE" w14:textId="77777777">
            <w:pPr>
              <w:overflowPunct/>
              <w:autoSpaceDE/>
              <w:autoSpaceDN/>
              <w:adjustRightInd/>
              <w:spacing w:before="240" w:after="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1605F9" w:rsidRPr="00B93903" w:rsidP="00E6559E" w14:paraId="7A8B44CC" w14:textId="75E24E58">
            <w:pPr>
              <w:overflowPunct/>
              <w:autoSpaceDE/>
              <w:autoSpaceDN/>
              <w:adjustRightInd/>
              <w:spacing w:before="240" w:after="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990" w:type="dxa"/>
            <w:tcBorders>
              <w:top w:val="nil"/>
              <w:left w:val="nil"/>
              <w:bottom w:val="single" w:sz="4" w:space="0" w:color="auto"/>
              <w:right w:val="single" w:sz="4" w:space="0" w:color="auto"/>
            </w:tcBorders>
            <w:shd w:val="clear" w:color="auto" w:fill="auto"/>
            <w:vAlign w:val="center"/>
            <w:hideMark/>
          </w:tcPr>
          <w:p w:rsidR="001605F9" w:rsidRPr="00B93903" w:rsidP="00E6559E" w14:paraId="4BDB4EA1" w14:textId="61237665">
            <w:pPr>
              <w:overflowPunct/>
              <w:autoSpaceDE/>
              <w:autoSpaceDN/>
              <w:adjustRightInd/>
              <w:spacing w:before="240" w:after="240"/>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w:t>
            </w:r>
          </w:p>
        </w:tc>
        <w:tc>
          <w:tcPr>
            <w:tcW w:w="1048" w:type="dxa"/>
            <w:tcBorders>
              <w:top w:val="nil"/>
              <w:left w:val="nil"/>
              <w:bottom w:val="single" w:sz="4" w:space="0" w:color="auto"/>
              <w:right w:val="single" w:sz="4" w:space="0" w:color="auto"/>
            </w:tcBorders>
            <w:shd w:val="clear" w:color="auto" w:fill="auto"/>
            <w:vAlign w:val="center"/>
            <w:hideMark/>
          </w:tcPr>
          <w:p w:rsidR="001605F9" w:rsidRPr="00B93903" w:rsidP="007B5110" w14:paraId="37646575" w14:textId="54C22812">
            <w:pPr>
              <w:overflowPunct/>
              <w:autoSpaceDE/>
              <w:autoSpaceDN/>
              <w:adjustRightInd/>
              <w:spacing w:before="240" w:after="240"/>
              <w:ind w:left="-29"/>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842" w:type="dxa"/>
            <w:tcBorders>
              <w:top w:val="nil"/>
              <w:left w:val="nil"/>
              <w:bottom w:val="single" w:sz="4" w:space="0" w:color="auto"/>
              <w:right w:val="single" w:sz="4" w:space="0" w:color="auto"/>
            </w:tcBorders>
            <w:vAlign w:val="center"/>
          </w:tcPr>
          <w:p w:rsidR="001605F9" w:rsidRPr="00B93903" w:rsidP="00F87CB3" w14:paraId="73623ADC" w14:textId="182F4594">
            <w:pPr>
              <w:overflowPunct/>
              <w:autoSpaceDE/>
              <w:autoSpaceDN/>
              <w:adjustRightInd/>
              <w:spacing w:before="240" w:after="240"/>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$43.5</w:t>
            </w:r>
            <w:r w:rsidRPr="00B93903" w:rsidR="00B91689">
              <w:rPr>
                <w:rFonts w:asciiTheme="minorHAnsi" w:hAnsiTheme="minorHAnsi" w:cstheme="minorHAnsi"/>
                <w:color w:val="000000" w:themeColor="text1"/>
                <w:sz w:val="22"/>
                <w:szCs w:val="22"/>
              </w:rPr>
              <w:t>5</w:t>
            </w:r>
          </w:p>
        </w:tc>
        <w:tc>
          <w:tcPr>
            <w:tcW w:w="990" w:type="dxa"/>
            <w:tcBorders>
              <w:top w:val="nil"/>
              <w:left w:val="nil"/>
              <w:bottom w:val="single" w:sz="4" w:space="0" w:color="auto"/>
              <w:right w:val="single" w:sz="4" w:space="0" w:color="auto"/>
            </w:tcBorders>
            <w:vAlign w:val="center"/>
          </w:tcPr>
          <w:p w:rsidR="001605F9" w:rsidRPr="00B93903" w:rsidP="009C53C6" w14:paraId="577C5699" w14:textId="46E946EC">
            <w:pPr>
              <w:overflowPunct/>
              <w:autoSpaceDE/>
              <w:autoSpaceDN/>
              <w:adjustRightInd/>
              <w:spacing w:before="240" w:after="240"/>
              <w:jc w:val="both"/>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w:t>
            </w:r>
            <w:r w:rsidRPr="00B93903" w:rsidR="005E1988">
              <w:rPr>
                <w:rFonts w:asciiTheme="minorHAnsi" w:hAnsiTheme="minorHAnsi" w:cstheme="minorHAnsi"/>
                <w:color w:val="000000" w:themeColor="text1"/>
                <w:sz w:val="22"/>
                <w:szCs w:val="22"/>
              </w:rPr>
              <w:t>3,266</w:t>
            </w:r>
          </w:p>
        </w:tc>
      </w:tr>
      <w:tr w14:paraId="64B5DAD9" w14:textId="58131395" w:rsidTr="009C53C6">
        <w:tblPrEx>
          <w:tblW w:w="9090" w:type="dxa"/>
          <w:jc w:val="center"/>
          <w:tblLayout w:type="fixed"/>
          <w:tblLook w:val="04A0"/>
        </w:tblPrEx>
        <w:trPr>
          <w:trHeight w:val="600"/>
          <w:jc w:val="center"/>
        </w:trPr>
        <w:tc>
          <w:tcPr>
            <w:tcW w:w="1318" w:type="dxa"/>
            <w:tcBorders>
              <w:top w:val="nil"/>
              <w:left w:val="single" w:sz="4" w:space="0" w:color="auto"/>
              <w:bottom w:val="single" w:sz="4" w:space="0" w:color="auto"/>
              <w:right w:val="single" w:sz="4" w:space="0" w:color="auto"/>
            </w:tcBorders>
            <w:shd w:val="clear" w:color="auto" w:fill="auto"/>
            <w:vAlign w:val="center"/>
            <w:hideMark/>
          </w:tcPr>
          <w:p w:rsidR="001605F9" w:rsidP="001605F9" w14:paraId="3B9B8617" w14:textId="77777777">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Annual Status and Evaluation Report (ASER)</w:t>
            </w:r>
          </w:p>
          <w:p w:rsidR="001605F9" w:rsidRPr="002E7184" w:rsidP="001605F9" w14:paraId="6F2247FE" w14:textId="361C2AD1">
            <w:pPr>
              <w:overflowPunct/>
              <w:autoSpaceDE/>
              <w:autoSpaceDN/>
              <w:adjustRightInd/>
              <w:ind w:left="-30"/>
              <w:textAlignment w:val="auto"/>
              <w:rPr>
                <w:rFonts w:asciiTheme="minorHAnsi" w:hAnsiTheme="minorHAnsi" w:cstheme="minorHAnsi"/>
                <w:color w:val="000000"/>
                <w:sz w:val="22"/>
                <w:szCs w:val="22"/>
              </w:rPr>
            </w:pPr>
          </w:p>
        </w:tc>
        <w:tc>
          <w:tcPr>
            <w:tcW w:w="1382" w:type="dxa"/>
            <w:tcBorders>
              <w:top w:val="nil"/>
              <w:left w:val="nil"/>
              <w:bottom w:val="single" w:sz="4" w:space="0" w:color="auto"/>
              <w:right w:val="single" w:sz="4" w:space="0" w:color="auto"/>
            </w:tcBorders>
            <w:shd w:val="clear" w:color="auto" w:fill="auto"/>
            <w:vAlign w:val="center"/>
            <w:hideMark/>
          </w:tcPr>
          <w:p w:rsidR="001605F9" w:rsidRPr="00B93903" w:rsidP="001605F9" w14:paraId="1130C66D" w14:textId="7BE3C0E7">
            <w:pPr>
              <w:overflowPunct/>
              <w:autoSpaceDE/>
              <w:autoSpaceDN/>
              <w:adjustRightInd/>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350" w:type="dxa"/>
            <w:tcBorders>
              <w:top w:val="nil"/>
              <w:left w:val="nil"/>
              <w:bottom w:val="single" w:sz="4" w:space="0" w:color="auto"/>
              <w:right w:val="single" w:sz="4" w:space="0" w:color="auto"/>
            </w:tcBorders>
            <w:shd w:val="clear" w:color="auto" w:fill="auto"/>
            <w:vAlign w:val="center"/>
            <w:hideMark/>
          </w:tcPr>
          <w:p w:rsidR="001605F9" w:rsidRPr="00B93903" w:rsidP="001605F9" w14:paraId="1738ED7C" w14:textId="35F1F0C9">
            <w:pPr>
              <w:overflowPunct/>
              <w:autoSpaceDE/>
              <w:autoSpaceDN/>
              <w:adjustRightInd/>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1.25</w:t>
            </w:r>
          </w:p>
        </w:tc>
        <w:tc>
          <w:tcPr>
            <w:tcW w:w="1170" w:type="dxa"/>
            <w:tcBorders>
              <w:top w:val="nil"/>
              <w:left w:val="nil"/>
              <w:bottom w:val="single" w:sz="4" w:space="0" w:color="auto"/>
              <w:right w:val="single" w:sz="4" w:space="0" w:color="auto"/>
            </w:tcBorders>
            <w:shd w:val="clear" w:color="auto" w:fill="auto"/>
            <w:vAlign w:val="center"/>
            <w:hideMark/>
          </w:tcPr>
          <w:p w:rsidR="001605F9" w:rsidRPr="00B93903" w:rsidP="006A4983" w14:paraId="7DFB7620" w14:textId="33E72E09">
            <w:pPr>
              <w:overflowPunct/>
              <w:autoSpaceDE/>
              <w:autoSpaceDN/>
              <w:adjustRightInd/>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94</w:t>
            </w:r>
          </w:p>
        </w:tc>
        <w:tc>
          <w:tcPr>
            <w:tcW w:w="990" w:type="dxa"/>
            <w:tcBorders>
              <w:top w:val="nil"/>
              <w:left w:val="nil"/>
              <w:bottom w:val="single" w:sz="4" w:space="0" w:color="auto"/>
              <w:right w:val="single" w:sz="4" w:space="0" w:color="auto"/>
            </w:tcBorders>
            <w:shd w:val="clear" w:color="auto" w:fill="auto"/>
            <w:vAlign w:val="center"/>
            <w:hideMark/>
          </w:tcPr>
          <w:p w:rsidR="001605F9" w:rsidRPr="00B93903" w:rsidP="001605F9" w14:paraId="32EF9FCA" w14:textId="77777777">
            <w:pPr>
              <w:overflowPunct/>
              <w:autoSpaceDE/>
              <w:autoSpaceDN/>
              <w:adjustRightInd/>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4</w:t>
            </w:r>
          </w:p>
        </w:tc>
        <w:tc>
          <w:tcPr>
            <w:tcW w:w="1048" w:type="dxa"/>
            <w:tcBorders>
              <w:top w:val="nil"/>
              <w:left w:val="nil"/>
              <w:bottom w:val="single" w:sz="4" w:space="0" w:color="auto"/>
              <w:right w:val="single" w:sz="4" w:space="0" w:color="auto"/>
            </w:tcBorders>
            <w:shd w:val="clear" w:color="auto" w:fill="auto"/>
            <w:vAlign w:val="center"/>
            <w:hideMark/>
          </w:tcPr>
          <w:p w:rsidR="001605F9" w:rsidRPr="00B93903" w:rsidP="001605F9" w14:paraId="2DD1CD18" w14:textId="53C38414">
            <w:pPr>
              <w:overflowPunct/>
              <w:autoSpaceDE/>
              <w:autoSpaceDN/>
              <w:adjustRightInd/>
              <w:ind w:left="-30"/>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376</w:t>
            </w:r>
          </w:p>
        </w:tc>
        <w:tc>
          <w:tcPr>
            <w:tcW w:w="842" w:type="dxa"/>
            <w:tcBorders>
              <w:top w:val="nil"/>
              <w:left w:val="nil"/>
              <w:bottom w:val="single" w:sz="4" w:space="0" w:color="auto"/>
              <w:right w:val="single" w:sz="4" w:space="0" w:color="auto"/>
            </w:tcBorders>
          </w:tcPr>
          <w:p w:rsidR="00361E85" w:rsidRPr="00B93903" w:rsidP="00361E85" w14:paraId="6AD6109F" w14:textId="77777777">
            <w:pPr>
              <w:overflowPunct/>
              <w:autoSpaceDE/>
              <w:autoSpaceDN/>
              <w:adjustRightInd/>
              <w:ind w:left="-30"/>
              <w:jc w:val="both"/>
              <w:textAlignment w:val="auto"/>
              <w:rPr>
                <w:rFonts w:asciiTheme="minorHAnsi" w:hAnsiTheme="minorHAnsi" w:cstheme="minorHAnsi"/>
                <w:color w:val="000000" w:themeColor="text1"/>
                <w:sz w:val="22"/>
                <w:szCs w:val="22"/>
              </w:rPr>
            </w:pPr>
          </w:p>
          <w:p w:rsidR="00361E85" w:rsidRPr="00B93903" w:rsidP="00361E85" w14:paraId="6C25A152" w14:textId="77777777">
            <w:pPr>
              <w:overflowPunct/>
              <w:autoSpaceDE/>
              <w:autoSpaceDN/>
              <w:adjustRightInd/>
              <w:ind w:left="-30"/>
              <w:jc w:val="both"/>
              <w:textAlignment w:val="auto"/>
              <w:rPr>
                <w:rFonts w:asciiTheme="minorHAnsi" w:hAnsiTheme="minorHAnsi" w:cstheme="minorHAnsi"/>
                <w:color w:val="000000" w:themeColor="text1"/>
                <w:sz w:val="22"/>
                <w:szCs w:val="22"/>
              </w:rPr>
            </w:pPr>
          </w:p>
          <w:p w:rsidR="001605F9" w:rsidRPr="00B93903" w:rsidP="00361E85" w14:paraId="40F03751" w14:textId="647B602E">
            <w:pPr>
              <w:overflowPunct/>
              <w:autoSpaceDE/>
              <w:autoSpaceDN/>
              <w:adjustRightInd/>
              <w:ind w:left="-30"/>
              <w:jc w:val="both"/>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$43.55</w:t>
            </w:r>
          </w:p>
          <w:p w:rsidR="00361E85" w:rsidRPr="00B93903" w:rsidP="009C53C6" w14:paraId="576C7CFF" w14:textId="77777777">
            <w:pPr>
              <w:overflowPunct/>
              <w:autoSpaceDE/>
              <w:autoSpaceDN/>
              <w:adjustRightInd/>
              <w:ind w:left="-30"/>
              <w:jc w:val="both"/>
              <w:textAlignment w:val="auto"/>
              <w:rPr>
                <w:rFonts w:asciiTheme="minorHAnsi" w:hAnsiTheme="minorHAnsi" w:cstheme="minorHAnsi"/>
                <w:color w:val="000000" w:themeColor="text1"/>
                <w:sz w:val="22"/>
                <w:szCs w:val="22"/>
              </w:rPr>
            </w:pPr>
          </w:p>
          <w:p w:rsidR="001605F9" w:rsidRPr="00B93903" w:rsidP="001605F9" w14:paraId="2FF0C619" w14:textId="6B8BF016">
            <w:pPr>
              <w:overflowPunct/>
              <w:autoSpaceDE/>
              <w:autoSpaceDN/>
              <w:adjustRightInd/>
              <w:ind w:left="-30"/>
              <w:jc w:val="center"/>
              <w:textAlignment w:val="auto"/>
              <w:rPr>
                <w:rFonts w:asciiTheme="minorHAnsi" w:hAnsiTheme="minorHAnsi" w:cstheme="minorHAnsi"/>
                <w:color w:val="000000" w:themeColor="text1"/>
                <w:sz w:val="22"/>
                <w:szCs w:val="22"/>
              </w:rPr>
            </w:pPr>
          </w:p>
        </w:tc>
        <w:tc>
          <w:tcPr>
            <w:tcW w:w="990" w:type="dxa"/>
            <w:tcBorders>
              <w:top w:val="nil"/>
              <w:left w:val="nil"/>
              <w:bottom w:val="single" w:sz="4" w:space="0" w:color="auto"/>
              <w:right w:val="single" w:sz="4" w:space="0" w:color="auto"/>
            </w:tcBorders>
            <w:vAlign w:val="center"/>
          </w:tcPr>
          <w:p w:rsidR="001605F9" w:rsidRPr="00B93903" w:rsidP="009C53C6" w14:paraId="6EE31976" w14:textId="016BAB67">
            <w:pPr>
              <w:overflowPunct/>
              <w:autoSpaceDE/>
              <w:autoSpaceDN/>
              <w:adjustRightInd/>
              <w:ind w:left="-30"/>
              <w:jc w:val="both"/>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w:t>
            </w:r>
            <w:r w:rsidRPr="00B93903" w:rsidR="00D83457">
              <w:rPr>
                <w:rFonts w:asciiTheme="minorHAnsi" w:hAnsiTheme="minorHAnsi" w:cstheme="minorHAnsi"/>
                <w:color w:val="000000" w:themeColor="text1"/>
                <w:sz w:val="22"/>
                <w:szCs w:val="22"/>
              </w:rPr>
              <w:t>16,375</w:t>
            </w:r>
          </w:p>
        </w:tc>
      </w:tr>
      <w:tr w14:paraId="2BDA7E62" w14:textId="77777777" w:rsidTr="009C53C6">
        <w:tblPrEx>
          <w:tblW w:w="9090" w:type="dxa"/>
          <w:jc w:val="center"/>
          <w:tblLayout w:type="fixed"/>
          <w:tblLook w:val="04A0"/>
        </w:tblPrEx>
        <w:trPr>
          <w:trHeight w:val="600"/>
          <w:jc w:val="center"/>
        </w:trPr>
        <w:tc>
          <w:tcPr>
            <w:tcW w:w="1318" w:type="dxa"/>
            <w:tcBorders>
              <w:top w:val="nil"/>
              <w:left w:val="single" w:sz="4" w:space="0" w:color="auto"/>
              <w:bottom w:val="single" w:sz="4" w:space="0" w:color="auto"/>
              <w:right w:val="single" w:sz="4" w:space="0" w:color="auto"/>
            </w:tcBorders>
            <w:shd w:val="clear" w:color="auto" w:fill="auto"/>
            <w:vAlign w:val="center"/>
          </w:tcPr>
          <w:p w:rsidR="001605F9" w:rsidRPr="000E75C5" w:rsidP="001605F9" w14:paraId="0441E247" w14:textId="72D54C39">
            <w:pPr>
              <w:overflowPunct/>
              <w:autoSpaceDE/>
              <w:autoSpaceDN/>
              <w:adjustRightInd/>
              <w:ind w:left="-30"/>
              <w:textAlignment w:val="auto"/>
              <w:rPr>
                <w:rFonts w:asciiTheme="minorHAnsi" w:hAnsiTheme="minorHAnsi" w:cstheme="minorHAnsi"/>
                <w:b/>
                <w:bCs/>
                <w:color w:val="000000"/>
                <w:sz w:val="22"/>
                <w:szCs w:val="22"/>
              </w:rPr>
            </w:pPr>
            <w:r w:rsidRPr="000E75C5">
              <w:rPr>
                <w:rFonts w:asciiTheme="minorHAnsi" w:hAnsiTheme="minorHAnsi" w:cstheme="minorHAnsi"/>
                <w:b/>
                <w:bCs/>
                <w:color w:val="000000"/>
                <w:sz w:val="22"/>
                <w:szCs w:val="22"/>
              </w:rPr>
              <w:t>Totals</w:t>
            </w:r>
          </w:p>
        </w:tc>
        <w:tc>
          <w:tcPr>
            <w:tcW w:w="1382" w:type="dxa"/>
            <w:tcBorders>
              <w:top w:val="nil"/>
              <w:left w:val="nil"/>
              <w:bottom w:val="single" w:sz="4" w:space="0" w:color="auto"/>
              <w:right w:val="single" w:sz="4" w:space="0" w:color="auto"/>
            </w:tcBorders>
            <w:shd w:val="clear" w:color="auto" w:fill="auto"/>
            <w:vAlign w:val="center"/>
          </w:tcPr>
          <w:p w:rsidR="001605F9" w:rsidRPr="00B93903" w:rsidP="001605F9" w14:paraId="6E926A13" w14:textId="074570F4">
            <w:pPr>
              <w:overflowPunct/>
              <w:autoSpaceDE/>
              <w:autoSpaceDN/>
              <w:adjustRightInd/>
              <w:ind w:left="-30"/>
              <w:jc w:val="center"/>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225</w:t>
            </w:r>
          </w:p>
        </w:tc>
        <w:tc>
          <w:tcPr>
            <w:tcW w:w="1350" w:type="dxa"/>
            <w:tcBorders>
              <w:top w:val="nil"/>
              <w:left w:val="nil"/>
              <w:bottom w:val="single" w:sz="4" w:space="0" w:color="auto"/>
              <w:right w:val="single" w:sz="4" w:space="0" w:color="auto"/>
            </w:tcBorders>
            <w:shd w:val="clear" w:color="auto" w:fill="auto"/>
            <w:vAlign w:val="center"/>
          </w:tcPr>
          <w:p w:rsidR="001605F9" w:rsidRPr="00B93903" w:rsidP="001605F9" w14:paraId="01FC4228" w14:textId="5B4B4044">
            <w:pPr>
              <w:overflowPunct/>
              <w:autoSpaceDE/>
              <w:autoSpaceDN/>
              <w:adjustRightInd/>
              <w:ind w:left="-30"/>
              <w:jc w:val="center"/>
              <w:textAlignment w:val="auto"/>
              <w:rPr>
                <w:rFonts w:asciiTheme="minorHAnsi" w:hAnsiTheme="minorHAnsi" w:cstheme="minorHAnsi"/>
                <w:b/>
                <w:bCs/>
                <w:color w:val="000000" w:themeColor="text1"/>
                <w:sz w:val="22"/>
                <w:szCs w:val="22"/>
              </w:rPr>
            </w:pPr>
          </w:p>
        </w:tc>
        <w:tc>
          <w:tcPr>
            <w:tcW w:w="1170" w:type="dxa"/>
            <w:tcBorders>
              <w:top w:val="nil"/>
              <w:left w:val="nil"/>
              <w:bottom w:val="single" w:sz="4" w:space="0" w:color="auto"/>
              <w:right w:val="single" w:sz="4" w:space="0" w:color="auto"/>
            </w:tcBorders>
            <w:shd w:val="clear" w:color="auto" w:fill="auto"/>
            <w:vAlign w:val="center"/>
          </w:tcPr>
          <w:p w:rsidR="001605F9" w:rsidRPr="00B93903" w:rsidP="006A4983" w14:paraId="4582B7B2" w14:textId="3F475B67">
            <w:pPr>
              <w:overflowPunct/>
              <w:autoSpaceDE/>
              <w:autoSpaceDN/>
              <w:adjustRightInd/>
              <w:ind w:left="-30"/>
              <w:jc w:val="center"/>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169</w:t>
            </w:r>
          </w:p>
        </w:tc>
        <w:tc>
          <w:tcPr>
            <w:tcW w:w="990" w:type="dxa"/>
            <w:tcBorders>
              <w:top w:val="nil"/>
              <w:left w:val="nil"/>
              <w:bottom w:val="single" w:sz="4" w:space="0" w:color="auto"/>
              <w:right w:val="single" w:sz="4" w:space="0" w:color="auto"/>
            </w:tcBorders>
            <w:shd w:val="clear" w:color="auto" w:fill="auto"/>
            <w:vAlign w:val="center"/>
          </w:tcPr>
          <w:p w:rsidR="001605F9" w:rsidRPr="00B93903" w:rsidP="001605F9" w14:paraId="42CE063A" w14:textId="3D090ACD">
            <w:pPr>
              <w:overflowPunct/>
              <w:autoSpaceDE/>
              <w:autoSpaceDN/>
              <w:adjustRightInd/>
              <w:ind w:left="-30"/>
              <w:jc w:val="center"/>
              <w:textAlignment w:val="auto"/>
              <w:rPr>
                <w:rFonts w:asciiTheme="minorHAnsi" w:hAnsiTheme="minorHAnsi" w:cstheme="minorHAnsi"/>
                <w:b/>
                <w:bCs/>
                <w:color w:val="000000" w:themeColor="text1"/>
                <w:sz w:val="22"/>
                <w:szCs w:val="22"/>
              </w:rPr>
            </w:pPr>
          </w:p>
        </w:tc>
        <w:tc>
          <w:tcPr>
            <w:tcW w:w="1048" w:type="dxa"/>
            <w:tcBorders>
              <w:top w:val="nil"/>
              <w:left w:val="nil"/>
              <w:bottom w:val="single" w:sz="4" w:space="0" w:color="auto"/>
              <w:right w:val="single" w:sz="4" w:space="0" w:color="auto"/>
            </w:tcBorders>
            <w:shd w:val="clear" w:color="auto" w:fill="auto"/>
            <w:vAlign w:val="center"/>
          </w:tcPr>
          <w:p w:rsidR="001605F9" w:rsidRPr="00B93903" w:rsidP="001605F9" w14:paraId="74D1B263" w14:textId="3E0464AF">
            <w:pPr>
              <w:overflowPunct/>
              <w:autoSpaceDE/>
              <w:autoSpaceDN/>
              <w:adjustRightInd/>
              <w:ind w:left="-30"/>
              <w:jc w:val="center"/>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4</w:t>
            </w:r>
            <w:r w:rsidRPr="00B93903" w:rsidR="004A052F">
              <w:rPr>
                <w:rFonts w:asciiTheme="minorHAnsi" w:hAnsiTheme="minorHAnsi" w:cstheme="minorHAnsi"/>
                <w:b/>
                <w:bCs/>
                <w:color w:val="000000" w:themeColor="text1"/>
                <w:sz w:val="22"/>
                <w:szCs w:val="22"/>
              </w:rPr>
              <w:t>51</w:t>
            </w:r>
          </w:p>
        </w:tc>
        <w:tc>
          <w:tcPr>
            <w:tcW w:w="842" w:type="dxa"/>
            <w:tcBorders>
              <w:top w:val="nil"/>
              <w:left w:val="nil"/>
              <w:bottom w:val="single" w:sz="4" w:space="0" w:color="auto"/>
              <w:right w:val="single" w:sz="4" w:space="0" w:color="auto"/>
            </w:tcBorders>
          </w:tcPr>
          <w:p w:rsidR="001605F9" w:rsidRPr="00B93903" w:rsidP="001605F9" w14:paraId="2BB57F92" w14:textId="77777777">
            <w:pPr>
              <w:overflowPunct/>
              <w:autoSpaceDE/>
              <w:autoSpaceDN/>
              <w:adjustRightInd/>
              <w:ind w:left="-30"/>
              <w:jc w:val="center"/>
              <w:textAlignment w:val="auto"/>
              <w:rPr>
                <w:rFonts w:asciiTheme="minorHAnsi" w:hAnsiTheme="minorHAnsi" w:cstheme="minorHAnsi"/>
                <w:b/>
                <w:bCs/>
                <w:color w:val="000000" w:themeColor="text1"/>
                <w:sz w:val="22"/>
                <w:szCs w:val="22"/>
              </w:rPr>
            </w:pPr>
          </w:p>
        </w:tc>
        <w:tc>
          <w:tcPr>
            <w:tcW w:w="990" w:type="dxa"/>
            <w:tcBorders>
              <w:top w:val="nil"/>
              <w:left w:val="nil"/>
              <w:bottom w:val="single" w:sz="4" w:space="0" w:color="auto"/>
              <w:right w:val="single" w:sz="4" w:space="0" w:color="auto"/>
            </w:tcBorders>
            <w:vAlign w:val="center"/>
          </w:tcPr>
          <w:p w:rsidR="001605F9" w:rsidRPr="00B93903" w:rsidP="009C53C6" w14:paraId="6CEBC466" w14:textId="186A3362">
            <w:pPr>
              <w:overflowPunct/>
              <w:autoSpaceDE/>
              <w:autoSpaceDN/>
              <w:adjustRightInd/>
              <w:ind w:left="-30"/>
              <w:jc w:val="both"/>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w:t>
            </w:r>
            <w:r w:rsidRPr="00B93903" w:rsidR="00872680">
              <w:rPr>
                <w:rFonts w:asciiTheme="minorHAnsi" w:hAnsiTheme="minorHAnsi" w:cstheme="minorHAnsi"/>
                <w:b/>
                <w:bCs/>
                <w:color w:val="000000" w:themeColor="text1"/>
                <w:sz w:val="22"/>
                <w:szCs w:val="22"/>
              </w:rPr>
              <w:t>19,641</w:t>
            </w:r>
          </w:p>
        </w:tc>
      </w:tr>
    </w:tbl>
    <w:p w:rsidR="00705411" w:rsidRPr="00F46A74" w:rsidP="00FA249C" w14:paraId="30C417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BE2BCB" w:rsidRPr="000C7AFE" w:rsidP="009C53C6" w14:paraId="461A7D9A" w14:textId="12EF542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00" w:afterAutospacing="1"/>
        <w:ind w:left="1440"/>
        <w:jc w:val="both"/>
      </w:pPr>
      <w:r>
        <w:rPr>
          <w:rFonts w:asciiTheme="minorHAnsi" w:hAnsiTheme="minorHAnsi" w:cstheme="minorHAnsi"/>
          <w:b/>
          <w:sz w:val="22"/>
          <w:szCs w:val="22"/>
        </w:rPr>
        <w:t xml:space="preserve">    </w:t>
      </w:r>
      <w:r w:rsidR="00CB1B35">
        <w:rPr>
          <w:rFonts w:asciiTheme="minorHAnsi" w:hAnsiTheme="minorHAnsi" w:cstheme="minorHAnsi"/>
          <w:b/>
          <w:sz w:val="22"/>
          <w:szCs w:val="22"/>
        </w:rPr>
        <w:t xml:space="preserve">                                                                                                                                                                                                     </w:t>
      </w:r>
      <w:r w:rsidRPr="000C7AFE" w:rsidR="00AC3379">
        <w:rPr>
          <w:rFonts w:asciiTheme="minorHAnsi" w:hAnsiTheme="minorHAnsi" w:cstheme="minorHAnsi"/>
          <w:b/>
          <w:sz w:val="22"/>
          <w:szCs w:val="22"/>
        </w:rPr>
        <w:t>Estimates of Annualized Cost to Respondents</w:t>
      </w:r>
    </w:p>
    <w:tbl>
      <w:tblPr>
        <w:tblW w:w="8995" w:type="dxa"/>
        <w:jc w:val="center"/>
        <w:tblLayout w:type="fixed"/>
        <w:tblLook w:val="04A0"/>
      </w:tblPr>
      <w:tblGrid>
        <w:gridCol w:w="4500"/>
        <w:gridCol w:w="1170"/>
        <w:gridCol w:w="1165"/>
        <w:gridCol w:w="2160"/>
      </w:tblGrid>
      <w:tr w14:paraId="2542E206" w14:textId="77777777" w:rsidTr="009C53C6">
        <w:tblPrEx>
          <w:tblW w:w="8995" w:type="dxa"/>
          <w:jc w:val="center"/>
          <w:tblLayout w:type="fixed"/>
          <w:tblLook w:val="04A0"/>
        </w:tblPrEx>
        <w:trPr>
          <w:trHeight w:val="1200"/>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BCB" w:rsidRPr="00BE2BCB" w:rsidP="009A6245" w14:paraId="01514E79" w14:textId="77777777">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Type of Submission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E2BCB" w:rsidRPr="00BE2BCB" w:rsidP="009A6245" w14:paraId="273C1D0C" w14:textId="77777777">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Total Annual Burden Hours</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BE2BCB" w:rsidRPr="00BE2BCB" w:rsidP="009A6245" w14:paraId="48332BD4" w14:textId="77777777">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Hourly Rate*</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BE2BCB" w:rsidRPr="00BE2BCB" w:rsidP="009C53C6" w14:paraId="6E253A85" w14:textId="77777777">
            <w:pPr>
              <w:overflowPunct/>
              <w:autoSpaceDE/>
              <w:autoSpaceDN/>
              <w:adjustRightInd/>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Total Annual Cost</w:t>
            </w:r>
          </w:p>
        </w:tc>
      </w:tr>
      <w:tr w14:paraId="4DF23EF6" w14:textId="77777777" w:rsidTr="009C53C6">
        <w:tblPrEx>
          <w:tblW w:w="8995" w:type="dxa"/>
          <w:jc w:val="center"/>
          <w:tblLayout w:type="fixed"/>
          <w:tblLook w:val="04A0"/>
        </w:tblPrEx>
        <w:trPr>
          <w:trHeight w:val="600"/>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BE2BCB" w:rsidRPr="00B93903" w:rsidP="009A6245" w14:paraId="52E5A65E" w14:textId="77777777">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Federal Financial Report (SF-425)</w:t>
            </w:r>
          </w:p>
        </w:tc>
        <w:tc>
          <w:tcPr>
            <w:tcW w:w="1170" w:type="dxa"/>
            <w:tcBorders>
              <w:top w:val="nil"/>
              <w:left w:val="nil"/>
              <w:bottom w:val="single" w:sz="4" w:space="0" w:color="auto"/>
              <w:right w:val="single" w:sz="4" w:space="0" w:color="auto"/>
            </w:tcBorders>
            <w:shd w:val="clear" w:color="auto" w:fill="auto"/>
            <w:vAlign w:val="center"/>
          </w:tcPr>
          <w:p w:rsidR="00BE2BCB" w:rsidRPr="00B93903" w:rsidP="009A6245" w14:paraId="6E80F7A9" w14:textId="6ACBD964">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37.</w:t>
            </w:r>
            <w:r w:rsidRPr="00B93903" w:rsidR="002809F0">
              <w:rPr>
                <w:rFonts w:asciiTheme="minorHAnsi" w:hAnsiTheme="minorHAnsi" w:cstheme="minorHAnsi"/>
                <w:color w:val="000000" w:themeColor="text1"/>
                <w:sz w:val="22"/>
                <w:szCs w:val="22"/>
              </w:rPr>
              <w:t>5</w:t>
            </w:r>
          </w:p>
          <w:p w:rsidR="0071347C" w:rsidRPr="00B93903" w:rsidP="009A6245" w14:paraId="4F2C579D" w14:textId="56747ABB">
            <w:pPr>
              <w:overflowPunct/>
              <w:autoSpaceDE/>
              <w:autoSpaceDN/>
              <w:adjustRightInd/>
              <w:jc w:val="center"/>
              <w:textAlignment w:val="auto"/>
              <w:rPr>
                <w:rFonts w:asciiTheme="minorHAnsi" w:hAnsiTheme="minorHAnsi" w:cstheme="minorHAnsi"/>
                <w:color w:val="000000" w:themeColor="text1"/>
                <w:sz w:val="22"/>
                <w:szCs w:val="22"/>
              </w:rPr>
            </w:pPr>
          </w:p>
        </w:tc>
        <w:tc>
          <w:tcPr>
            <w:tcW w:w="1165" w:type="dxa"/>
            <w:tcBorders>
              <w:top w:val="nil"/>
              <w:left w:val="nil"/>
              <w:bottom w:val="single" w:sz="4" w:space="0" w:color="auto"/>
              <w:right w:val="single" w:sz="4" w:space="0" w:color="auto"/>
            </w:tcBorders>
            <w:shd w:val="clear" w:color="auto" w:fill="auto"/>
            <w:vAlign w:val="center"/>
          </w:tcPr>
          <w:p w:rsidR="00BE2BCB" w:rsidRPr="00B93903" w:rsidP="009A6245" w14:paraId="7329F85A" w14:textId="263A58D7">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$43.55</w:t>
            </w:r>
          </w:p>
        </w:tc>
        <w:tc>
          <w:tcPr>
            <w:tcW w:w="2160" w:type="dxa"/>
            <w:tcBorders>
              <w:top w:val="nil"/>
              <w:left w:val="nil"/>
              <w:bottom w:val="single" w:sz="4" w:space="0" w:color="auto"/>
              <w:right w:val="single" w:sz="4" w:space="0" w:color="auto"/>
            </w:tcBorders>
            <w:shd w:val="clear" w:color="auto" w:fill="auto"/>
            <w:vAlign w:val="center"/>
          </w:tcPr>
          <w:p w:rsidR="00BE2BCB" w:rsidRPr="00B93903" w:rsidP="009A6245" w14:paraId="2C297820" w14:textId="6A892007">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$1,633</w:t>
            </w:r>
          </w:p>
        </w:tc>
      </w:tr>
      <w:tr w14:paraId="11A17A4E" w14:textId="77777777" w:rsidTr="009C53C6">
        <w:tblPrEx>
          <w:tblW w:w="8995" w:type="dxa"/>
          <w:jc w:val="center"/>
          <w:tblLayout w:type="fixed"/>
          <w:tblLook w:val="04A0"/>
        </w:tblPrEx>
        <w:trPr>
          <w:trHeight w:val="600"/>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BE2BCB" w:rsidRPr="00B93903" w:rsidP="009A6245" w14:paraId="61664D50" w14:textId="77777777">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Minority Business Enterprise Report (HUD-2516)</w:t>
            </w:r>
          </w:p>
        </w:tc>
        <w:tc>
          <w:tcPr>
            <w:tcW w:w="1170" w:type="dxa"/>
            <w:tcBorders>
              <w:top w:val="nil"/>
              <w:left w:val="nil"/>
              <w:bottom w:val="single" w:sz="4" w:space="0" w:color="auto"/>
              <w:right w:val="single" w:sz="4" w:space="0" w:color="auto"/>
            </w:tcBorders>
            <w:shd w:val="clear" w:color="auto" w:fill="auto"/>
            <w:vAlign w:val="center"/>
            <w:hideMark/>
          </w:tcPr>
          <w:p w:rsidR="00BE2BCB" w:rsidRPr="00B93903" w:rsidP="009A6245" w14:paraId="2CB0F01F" w14:textId="5A49C769">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165" w:type="dxa"/>
            <w:tcBorders>
              <w:top w:val="nil"/>
              <w:left w:val="nil"/>
              <w:bottom w:val="single" w:sz="4" w:space="0" w:color="auto"/>
              <w:right w:val="single" w:sz="4" w:space="0" w:color="auto"/>
            </w:tcBorders>
            <w:shd w:val="clear" w:color="auto" w:fill="auto"/>
            <w:vAlign w:val="center"/>
          </w:tcPr>
          <w:p w:rsidR="00BE2BCB" w:rsidRPr="00B93903" w:rsidP="009A6245" w14:paraId="1AF8AAFB" w14:textId="161699D9">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$43.55</w:t>
            </w:r>
          </w:p>
        </w:tc>
        <w:tc>
          <w:tcPr>
            <w:tcW w:w="2160" w:type="dxa"/>
            <w:tcBorders>
              <w:top w:val="nil"/>
              <w:left w:val="nil"/>
              <w:bottom w:val="single" w:sz="4" w:space="0" w:color="auto"/>
              <w:right w:val="single" w:sz="4" w:space="0" w:color="auto"/>
            </w:tcBorders>
            <w:shd w:val="clear" w:color="auto" w:fill="auto"/>
            <w:vAlign w:val="center"/>
          </w:tcPr>
          <w:p w:rsidR="00BE2BCB" w:rsidRPr="00B93903" w:rsidP="009A6245" w14:paraId="50C4313B" w14:textId="32A38B4F">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w:t>
            </w:r>
            <w:r w:rsidRPr="00B93903" w:rsidR="00816250">
              <w:rPr>
                <w:rFonts w:asciiTheme="minorHAnsi" w:hAnsiTheme="minorHAnsi" w:cstheme="minorHAnsi"/>
                <w:color w:val="000000" w:themeColor="text1"/>
                <w:sz w:val="22"/>
                <w:szCs w:val="22"/>
              </w:rPr>
              <w:t>3,266</w:t>
            </w:r>
          </w:p>
        </w:tc>
      </w:tr>
      <w:tr w14:paraId="650169C4" w14:textId="77777777" w:rsidTr="009C53C6">
        <w:tblPrEx>
          <w:tblW w:w="8995" w:type="dxa"/>
          <w:jc w:val="center"/>
          <w:tblLayout w:type="fixed"/>
          <w:tblLook w:val="04A0"/>
        </w:tblPrEx>
        <w:trPr>
          <w:trHeight w:val="600"/>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BE2BCB" w:rsidRPr="00B93903" w:rsidP="009A6245" w14:paraId="7ADDBBF4" w14:textId="77777777">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Annual Status and Evaluation Report (ASER)</w:t>
            </w:r>
          </w:p>
        </w:tc>
        <w:tc>
          <w:tcPr>
            <w:tcW w:w="1170" w:type="dxa"/>
            <w:tcBorders>
              <w:top w:val="nil"/>
              <w:left w:val="nil"/>
              <w:bottom w:val="single" w:sz="4" w:space="0" w:color="auto"/>
              <w:right w:val="single" w:sz="4" w:space="0" w:color="auto"/>
            </w:tcBorders>
            <w:shd w:val="clear" w:color="auto" w:fill="auto"/>
            <w:noWrap/>
            <w:vAlign w:val="center"/>
            <w:hideMark/>
          </w:tcPr>
          <w:p w:rsidR="00BE2BCB" w:rsidRPr="00B93903" w:rsidP="009A6245" w14:paraId="278073A2" w14:textId="74C6F3A8">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376</w:t>
            </w:r>
          </w:p>
        </w:tc>
        <w:tc>
          <w:tcPr>
            <w:tcW w:w="1165" w:type="dxa"/>
            <w:tcBorders>
              <w:top w:val="nil"/>
              <w:left w:val="nil"/>
              <w:bottom w:val="single" w:sz="4" w:space="0" w:color="auto"/>
              <w:right w:val="single" w:sz="4" w:space="0" w:color="auto"/>
            </w:tcBorders>
            <w:shd w:val="clear" w:color="auto" w:fill="auto"/>
            <w:noWrap/>
            <w:vAlign w:val="center"/>
          </w:tcPr>
          <w:p w:rsidR="00BE2BCB" w:rsidRPr="00B93903" w:rsidP="009A6245" w14:paraId="05E0C839" w14:textId="3189DBB5">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$43.55</w:t>
            </w:r>
          </w:p>
        </w:tc>
        <w:tc>
          <w:tcPr>
            <w:tcW w:w="2160" w:type="dxa"/>
            <w:tcBorders>
              <w:top w:val="nil"/>
              <w:left w:val="nil"/>
              <w:bottom w:val="single" w:sz="4" w:space="0" w:color="auto"/>
              <w:right w:val="single" w:sz="4" w:space="0" w:color="auto"/>
            </w:tcBorders>
            <w:shd w:val="clear" w:color="auto" w:fill="auto"/>
            <w:vAlign w:val="center"/>
          </w:tcPr>
          <w:p w:rsidR="00BE2BCB" w:rsidRPr="00B93903" w:rsidP="009A6245" w14:paraId="1B6DF94B" w14:textId="59AEFBBF">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w:t>
            </w:r>
            <w:r w:rsidRPr="00B93903" w:rsidR="00F15337">
              <w:rPr>
                <w:rFonts w:asciiTheme="minorHAnsi" w:hAnsiTheme="minorHAnsi" w:cstheme="minorHAnsi"/>
                <w:color w:val="000000" w:themeColor="text1"/>
                <w:sz w:val="22"/>
                <w:szCs w:val="22"/>
              </w:rPr>
              <w:t>16</w:t>
            </w:r>
            <w:r w:rsidRPr="00B93903" w:rsidR="00816250">
              <w:rPr>
                <w:rFonts w:asciiTheme="minorHAnsi" w:hAnsiTheme="minorHAnsi" w:cstheme="minorHAnsi"/>
                <w:color w:val="000000" w:themeColor="text1"/>
                <w:sz w:val="22"/>
                <w:szCs w:val="22"/>
              </w:rPr>
              <w:t>,375</w:t>
            </w:r>
          </w:p>
        </w:tc>
      </w:tr>
      <w:tr w14:paraId="4C207264" w14:textId="77777777" w:rsidTr="009C53C6">
        <w:tblPrEx>
          <w:tblW w:w="8995" w:type="dxa"/>
          <w:jc w:val="center"/>
          <w:tblLayout w:type="fixed"/>
          <w:tblLook w:val="04A0"/>
        </w:tblPrEx>
        <w:trPr>
          <w:trHeight w:val="300"/>
          <w:jc w:val="center"/>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rsidR="00BE2BCB" w:rsidRPr="00B93903" w:rsidP="009A6245" w14:paraId="024374E6" w14:textId="77777777">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TOTAL</w:t>
            </w:r>
          </w:p>
        </w:tc>
        <w:tc>
          <w:tcPr>
            <w:tcW w:w="1170" w:type="dxa"/>
            <w:tcBorders>
              <w:top w:val="nil"/>
              <w:left w:val="nil"/>
              <w:bottom w:val="single" w:sz="4" w:space="0" w:color="auto"/>
              <w:right w:val="single" w:sz="4" w:space="0" w:color="auto"/>
            </w:tcBorders>
            <w:shd w:val="clear" w:color="auto" w:fill="auto"/>
            <w:noWrap/>
            <w:vAlign w:val="center"/>
            <w:hideMark/>
          </w:tcPr>
          <w:p w:rsidR="00BE2BCB" w:rsidRPr="00B93903" w:rsidP="009A6245" w14:paraId="70E85639" w14:textId="629682FC">
            <w:pPr>
              <w:overflowPunct/>
              <w:autoSpaceDE/>
              <w:autoSpaceDN/>
              <w:adjustRightInd/>
              <w:jc w:val="center"/>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488.5</w:t>
            </w:r>
          </w:p>
        </w:tc>
        <w:tc>
          <w:tcPr>
            <w:tcW w:w="1165" w:type="dxa"/>
            <w:tcBorders>
              <w:top w:val="nil"/>
              <w:left w:val="nil"/>
              <w:bottom w:val="single" w:sz="4" w:space="0" w:color="auto"/>
              <w:right w:val="single" w:sz="4" w:space="0" w:color="auto"/>
            </w:tcBorders>
            <w:shd w:val="clear" w:color="auto" w:fill="auto"/>
            <w:noWrap/>
            <w:vAlign w:val="center"/>
          </w:tcPr>
          <w:p w:rsidR="00BE2BCB" w:rsidRPr="00B93903" w:rsidP="009A6245" w14:paraId="1C40AB2B" w14:textId="59A5A739">
            <w:pPr>
              <w:overflowPunct/>
              <w:autoSpaceDE/>
              <w:autoSpaceDN/>
              <w:adjustRightInd/>
              <w:textAlignment w:val="auto"/>
              <w:rPr>
                <w:rFonts w:asciiTheme="minorHAnsi" w:hAnsiTheme="minorHAnsi" w:cstheme="minorHAnsi"/>
                <w:color w:val="000000" w:themeColor="text1"/>
              </w:rPr>
            </w:pPr>
          </w:p>
        </w:tc>
        <w:tc>
          <w:tcPr>
            <w:tcW w:w="2160" w:type="dxa"/>
            <w:tcBorders>
              <w:top w:val="nil"/>
              <w:left w:val="nil"/>
              <w:bottom w:val="single" w:sz="4" w:space="0" w:color="auto"/>
              <w:right w:val="single" w:sz="4" w:space="0" w:color="auto"/>
            </w:tcBorders>
            <w:shd w:val="clear" w:color="auto" w:fill="auto"/>
            <w:vAlign w:val="center"/>
          </w:tcPr>
          <w:p w:rsidR="00BE2BCB" w:rsidRPr="00B93903" w:rsidP="009A6245" w14:paraId="77F34EBC" w14:textId="427E7239">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b/>
                <w:bCs/>
                <w:color w:val="000000" w:themeColor="text1"/>
                <w:sz w:val="22"/>
                <w:szCs w:val="22"/>
              </w:rPr>
              <w:t>$</w:t>
            </w:r>
            <w:r w:rsidRPr="00B93903" w:rsidR="00CE546D">
              <w:rPr>
                <w:rFonts w:asciiTheme="minorHAnsi" w:hAnsiTheme="minorHAnsi" w:cstheme="minorHAnsi"/>
                <w:b/>
                <w:bCs/>
                <w:color w:val="000000" w:themeColor="text1"/>
                <w:sz w:val="22"/>
                <w:szCs w:val="22"/>
              </w:rPr>
              <w:t>21,</w:t>
            </w:r>
            <w:r w:rsidRPr="00B93903" w:rsidR="00806079">
              <w:rPr>
                <w:rFonts w:asciiTheme="minorHAnsi" w:hAnsiTheme="minorHAnsi" w:cstheme="minorHAnsi"/>
                <w:b/>
                <w:bCs/>
                <w:color w:val="000000" w:themeColor="text1"/>
                <w:sz w:val="22"/>
                <w:szCs w:val="22"/>
              </w:rPr>
              <w:t>274</w:t>
            </w:r>
          </w:p>
        </w:tc>
      </w:tr>
    </w:tbl>
    <w:p w:rsidR="00C85971" w:rsidRPr="00B93903" w:rsidP="00C54F08" w14:paraId="5DBCD1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color w:val="000000" w:themeColor="text1"/>
          <w:sz w:val="22"/>
          <w:szCs w:val="22"/>
        </w:rPr>
      </w:pPr>
    </w:p>
    <w:p w:rsidR="004130BA" w:rsidRPr="004130BA" w:rsidP="004130BA" w14:paraId="28E031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Theme="minorHAnsi" w:hAnsiTheme="minorHAnsi" w:cstheme="minorHAnsi"/>
          <w:sz w:val="22"/>
          <w:szCs w:val="22"/>
        </w:rPr>
      </w:pPr>
      <w:r w:rsidRPr="000C7AFE">
        <w:rPr>
          <w:rFonts w:asciiTheme="minorHAnsi" w:hAnsiTheme="minorHAnsi" w:cstheme="minorHAnsi"/>
          <w:sz w:val="22"/>
          <w:szCs w:val="22"/>
        </w:rPr>
        <w:t>*</w:t>
      </w:r>
      <w:r w:rsidRPr="003037EB" w:rsidR="007A6760">
        <w:rPr>
          <w:rFonts w:asciiTheme="minorHAnsi" w:hAnsiTheme="minorHAnsi" w:cstheme="minorHAnsi"/>
          <w:sz w:val="22"/>
          <w:szCs w:val="22"/>
        </w:rPr>
        <w:t xml:space="preserve"> </w:t>
      </w:r>
      <w:r w:rsidRPr="004130BA">
        <w:rPr>
          <w:rFonts w:asciiTheme="minorHAnsi" w:hAnsiTheme="minorHAnsi" w:cstheme="minorHAnsi"/>
          <w:sz w:val="22"/>
          <w:szCs w:val="22"/>
        </w:rPr>
        <w:t>According to the U.S. Department of Labor, Bureau of Labor Statistics website (</w:t>
      </w:r>
      <w:hyperlink r:id="rId14" w:history="1">
        <w:r w:rsidRPr="004130BA">
          <w:rPr>
            <w:rStyle w:val="Hyperlink"/>
            <w:rFonts w:asciiTheme="minorHAnsi" w:hAnsiTheme="minorHAnsi" w:cstheme="minorHAnsi"/>
            <w:sz w:val="22"/>
            <w:szCs w:val="22"/>
          </w:rPr>
          <w:t>https://www.bls.gov/oes/current/oes130000.htm</w:t>
        </w:r>
      </w:hyperlink>
      <w:r w:rsidRPr="004130BA">
        <w:rPr>
          <w:rFonts w:asciiTheme="minorHAnsi" w:hAnsiTheme="minorHAnsi" w:cstheme="minorHAnsi"/>
          <w:sz w:val="22"/>
          <w:szCs w:val="22"/>
        </w:rPr>
        <w:t>) the wage rate category for Business and Financial Operations Occupations in 2023 is estimated to be $ 43.55 per hour including the wage rate multiplier.</w:t>
      </w:r>
    </w:p>
    <w:p w:rsidR="00B06619" w:rsidRPr="00125A78" w:rsidP="00C54F08" w14:paraId="3D1967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B06619" w:rsidRPr="00125A78" w:rsidP="008505DA" w14:paraId="12AB2C5F"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an estimate of the total annual cost burden to respondents or record keepers resulting from the collection of information (do not include the cost of any hour burden shown in Items 12 and 14).</w:t>
      </w:r>
    </w:p>
    <w:p w:rsidR="00B06619" w:rsidRPr="00125A78" w:rsidP="00B06619" w14:paraId="4BD1E7CB" w14:textId="7777777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 xml:space="preserve">The cost estimate should be split into two components: (a) a total capital and start-up cost component (annualized over its expected useful life); and (b) a total operation </w:t>
      </w:r>
      <w:r w:rsidRPr="00125A78" w:rsidR="00C93A11">
        <w:t>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93A11" w:rsidRPr="00125A78" w:rsidP="00B06619" w14:paraId="4EB621D3" w14:textId="7777777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If cost estimates are expected to vary widely, agencies should present ranges of cost burdens and explain the reasons for the variance.  The</w:t>
      </w:r>
      <w:r w:rsidRPr="00125A78" w:rsidR="00095D31">
        <w:t xml:space="preserve"> cost of purchasing </w:t>
      </w:r>
      <w:r w:rsidRPr="00125A78">
        <w:t xml:space="preserve">or contracting out information collection services should be a part of this </w:t>
      </w:r>
      <w:r w:rsidRPr="00125A78" w:rsidR="00095D31">
        <w:t>cost burden estimate.  In developing cost burden estimates, agencies may consult with a sample of respondents (fewer than 10) utilize the 60-day pre-OMB submission public comment process and use existing economic or regulatory i</w:t>
      </w:r>
      <w:r w:rsidRPr="00125A78" w:rsidR="004712E3">
        <w:t>m</w:t>
      </w:r>
      <w:r w:rsidRPr="00125A78" w:rsidR="00095D31">
        <w:t xml:space="preserve">pact analysis associated with the rulemaking containing the information collection, as appropriate.  </w:t>
      </w:r>
    </w:p>
    <w:p w:rsidR="00095D31" w:rsidRPr="00125A78" w:rsidP="00B06619" w14:paraId="3C3C75A4" w14:textId="7777777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 xml:space="preserve">Generally, estimates should not include purchases of </w:t>
      </w:r>
      <w:r w:rsidRPr="00125A78" w:rsidR="00FC79D3">
        <w:t>equipment or services, or portions thereof made:  (1) prior to October1, 1995, (2) to achieve regulatory compliance with requirements not associated with the information collection, (3) for reasons other than to provide information or keep records for the government, or (4) as part of customary and usual business or private practices.</w:t>
      </w:r>
    </w:p>
    <w:p w:rsidR="00FC79D3" w:rsidRPr="00627E33" w:rsidP="00FC79D3" w14:paraId="7679F42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FC79D3" w:rsidRPr="00627E33" w:rsidP="00FC79D3" w14:paraId="3F99A696"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627E33">
        <w:t>There are no additional costs other than what is reported above.</w:t>
      </w:r>
    </w:p>
    <w:p w:rsidR="008505DA" w:rsidRPr="00125A78" w:rsidP="00FC79D3" w14:paraId="0498978C"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8505DA" w:rsidP="008505DA" w14:paraId="6CFA7B2C" w14:textId="27482C2E">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estimates of annualized cost to the Federal government.  Also, provide a description of the method used to estimate cost, which should include quantification of hours, operational exp</w:t>
      </w:r>
      <w:r w:rsidR="00CC2E49">
        <w:t>enses</w:t>
      </w:r>
      <w:r w:rsidRPr="00125A78">
        <w:t xml:space="preserve"> (such as equipment, overhead, printing, and support staff), and any other expense that would not have been incurred without this collection of information.  Agencies also may aggregate cost estimates from Items 12, 13, ad 14 in a single table.</w:t>
      </w:r>
    </w:p>
    <w:p w:rsidR="000D42E4" w:rsidP="00E44A42" w14:paraId="4C423450" w14:textId="248131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012E7A" w:rsidRPr="00012E7A" w:rsidP="00012E7A" w14:paraId="1DFB79D7" w14:textId="3DC2C8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heme="minorHAnsi" w:hAnsiTheme="minorHAnsi" w:cstheme="minorHAnsi"/>
          <w:bCs/>
          <w:sz w:val="22"/>
          <w:szCs w:val="22"/>
        </w:rPr>
      </w:pPr>
      <w:r w:rsidRPr="00012E7A">
        <w:rPr>
          <w:rFonts w:asciiTheme="minorHAnsi" w:hAnsiTheme="minorHAnsi" w:cstheme="minorHAnsi"/>
          <w:sz w:val="22"/>
          <w:szCs w:val="22"/>
        </w:rPr>
        <w:t>The estimated hours rate of $</w:t>
      </w:r>
      <w:r w:rsidRPr="00153C72" w:rsidR="00086826">
        <w:rPr>
          <w:rFonts w:asciiTheme="minorHAnsi" w:hAnsiTheme="minorHAnsi" w:cstheme="minorHAnsi"/>
          <w:sz w:val="22"/>
          <w:szCs w:val="22"/>
        </w:rPr>
        <w:t>52.85</w:t>
      </w:r>
      <w:r w:rsidRPr="00012E7A">
        <w:rPr>
          <w:rFonts w:asciiTheme="minorHAnsi" w:hAnsiTheme="minorHAnsi" w:cstheme="minorHAnsi"/>
          <w:sz w:val="22"/>
          <w:szCs w:val="22"/>
        </w:rPr>
        <w:t>/hour represents the mean in the FY 202</w:t>
      </w:r>
      <w:r w:rsidRPr="00153C72" w:rsidR="00FB50DF">
        <w:rPr>
          <w:rFonts w:asciiTheme="minorHAnsi" w:hAnsiTheme="minorHAnsi" w:cstheme="minorHAnsi"/>
          <w:sz w:val="22"/>
          <w:szCs w:val="22"/>
        </w:rPr>
        <w:t>4</w:t>
      </w:r>
      <w:r w:rsidRPr="00012E7A">
        <w:rPr>
          <w:rFonts w:asciiTheme="minorHAnsi" w:hAnsiTheme="minorHAnsi" w:cstheme="minorHAnsi"/>
          <w:sz w:val="22"/>
          <w:szCs w:val="22"/>
        </w:rPr>
        <w:t xml:space="preserve"> GS-1</w:t>
      </w:r>
      <w:r w:rsidRPr="00153C72" w:rsidR="00FB50DF">
        <w:rPr>
          <w:rFonts w:asciiTheme="minorHAnsi" w:hAnsiTheme="minorHAnsi" w:cstheme="minorHAnsi"/>
          <w:sz w:val="22"/>
          <w:szCs w:val="22"/>
        </w:rPr>
        <w:t>3</w:t>
      </w:r>
      <w:r w:rsidRPr="00012E7A">
        <w:rPr>
          <w:rFonts w:asciiTheme="minorHAnsi" w:hAnsiTheme="minorHAnsi" w:cstheme="minorHAnsi"/>
          <w:sz w:val="22"/>
          <w:szCs w:val="22"/>
        </w:rPr>
        <w:t xml:space="preserve">, Step </w:t>
      </w:r>
      <w:r w:rsidRPr="00153C72" w:rsidR="00FB50DF">
        <w:rPr>
          <w:rFonts w:asciiTheme="minorHAnsi" w:hAnsiTheme="minorHAnsi" w:cstheme="minorHAnsi"/>
          <w:sz w:val="22"/>
          <w:szCs w:val="22"/>
        </w:rPr>
        <w:t>3</w:t>
      </w:r>
      <w:r w:rsidRPr="00012E7A">
        <w:rPr>
          <w:rFonts w:asciiTheme="minorHAnsi" w:hAnsiTheme="minorHAnsi" w:cstheme="minorHAnsi"/>
          <w:sz w:val="22"/>
          <w:szCs w:val="22"/>
        </w:rPr>
        <w:t xml:space="preserve"> schedule for </w:t>
      </w:r>
      <w:r w:rsidRPr="00A2413F" w:rsidR="0031709F">
        <w:rPr>
          <w:rFonts w:asciiTheme="minorHAnsi" w:hAnsiTheme="minorHAnsi" w:cstheme="minorHAnsi"/>
          <w:sz w:val="22"/>
          <w:szCs w:val="22"/>
        </w:rPr>
        <w:t>GS 13, Step 3 employee, 2024 OPM General Schedule (GS), Rest of U.S. Pay Table</w:t>
      </w:r>
      <w:r w:rsidR="00805884">
        <w:rPr>
          <w:rFonts w:asciiTheme="minorHAnsi" w:hAnsiTheme="minorHAnsi" w:cstheme="minorHAnsi"/>
          <w:sz w:val="22"/>
          <w:szCs w:val="22"/>
        </w:rPr>
        <w:t>.</w:t>
      </w:r>
      <w:r w:rsidRPr="00A2413F" w:rsidR="0031709F">
        <w:rPr>
          <w:rFonts w:asciiTheme="minorHAnsi" w:hAnsiTheme="minorHAnsi" w:cstheme="minorHAnsi"/>
          <w:sz w:val="22"/>
          <w:szCs w:val="22"/>
        </w:rPr>
        <w:t xml:space="preserve"> </w:t>
      </w:r>
    </w:p>
    <w:p w:rsidR="003F520E" w:rsidP="003F520E" w14:paraId="07F2634A" w14:textId="4CBCD6A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bl>
      <w:tblPr>
        <w:tblW w:w="10662" w:type="dxa"/>
        <w:tblInd w:w="720" w:type="dxa"/>
        <w:tblLook w:val="04A0"/>
      </w:tblPr>
      <w:tblGrid>
        <w:gridCol w:w="1296"/>
        <w:gridCol w:w="1356"/>
        <w:gridCol w:w="1300"/>
        <w:gridCol w:w="1142"/>
        <w:gridCol w:w="1184"/>
        <w:gridCol w:w="1052"/>
        <w:gridCol w:w="411"/>
        <w:gridCol w:w="642"/>
        <w:gridCol w:w="1209"/>
        <w:gridCol w:w="668"/>
        <w:gridCol w:w="402"/>
      </w:tblGrid>
      <w:tr w14:paraId="4CD98CC4" w14:textId="77777777" w:rsidTr="009C53C6">
        <w:tblPrEx>
          <w:tblW w:w="10662" w:type="dxa"/>
          <w:tblInd w:w="720" w:type="dxa"/>
          <w:tblLook w:val="04A0"/>
        </w:tblPrEx>
        <w:trPr>
          <w:trHeight w:val="315"/>
        </w:trPr>
        <w:tc>
          <w:tcPr>
            <w:tcW w:w="7741" w:type="dxa"/>
            <w:gridSpan w:val="7"/>
            <w:tcBorders>
              <w:top w:val="nil"/>
              <w:left w:val="nil"/>
              <w:bottom w:val="nil"/>
              <w:right w:val="nil"/>
            </w:tcBorders>
            <w:shd w:val="clear" w:color="auto" w:fill="auto"/>
            <w:noWrap/>
            <w:vAlign w:val="bottom"/>
            <w:hideMark/>
          </w:tcPr>
          <w:p w:rsidR="00105455" w:rsidRPr="000C7AFE" w:rsidP="009C53C6" w14:paraId="1E75AF8D" w14:textId="1705B6AB">
            <w:pPr>
              <w:overflowPunct/>
              <w:autoSpaceDE/>
              <w:autoSpaceDN/>
              <w:adjustRightInd/>
              <w:spacing w:after="240"/>
              <w:textAlignment w:val="auto"/>
              <w:rPr>
                <w:rFonts w:asciiTheme="minorHAnsi" w:hAnsiTheme="minorHAnsi" w:cstheme="minorHAnsi"/>
                <w:b/>
                <w:bCs/>
                <w:color w:val="000000"/>
                <w:sz w:val="22"/>
                <w:szCs w:val="22"/>
              </w:rPr>
            </w:pPr>
            <w:r w:rsidRPr="00105455">
              <w:rPr>
                <w:rFonts w:asciiTheme="minorHAnsi" w:hAnsiTheme="minorHAnsi" w:cstheme="minorHAnsi"/>
                <w:b/>
                <w:bCs/>
                <w:color w:val="000000"/>
                <w:sz w:val="22"/>
                <w:szCs w:val="22"/>
              </w:rPr>
              <w:t>Estimated Annualized Cost to the Federal Government</w:t>
            </w:r>
          </w:p>
        </w:tc>
        <w:tc>
          <w:tcPr>
            <w:tcW w:w="1851" w:type="dxa"/>
            <w:gridSpan w:val="2"/>
            <w:tcBorders>
              <w:top w:val="nil"/>
              <w:left w:val="nil"/>
              <w:bottom w:val="nil"/>
              <w:right w:val="nil"/>
            </w:tcBorders>
            <w:shd w:val="clear" w:color="auto" w:fill="auto"/>
            <w:noWrap/>
            <w:vAlign w:val="bottom"/>
            <w:hideMark/>
          </w:tcPr>
          <w:p w:rsidR="003F520E" w:rsidRPr="000C7AFE" w:rsidP="003F520E" w14:paraId="23DC71BE" w14:textId="77777777">
            <w:pPr>
              <w:overflowPunct/>
              <w:autoSpaceDE/>
              <w:autoSpaceDN/>
              <w:adjustRightInd/>
              <w:textAlignment w:val="auto"/>
              <w:rPr>
                <w:rFonts w:asciiTheme="minorHAnsi" w:hAnsiTheme="minorHAnsi" w:cstheme="minorHAnsi"/>
                <w:b/>
                <w:bCs/>
                <w:color w:val="000000"/>
                <w:sz w:val="22"/>
                <w:szCs w:val="22"/>
              </w:rPr>
            </w:pPr>
          </w:p>
        </w:tc>
        <w:tc>
          <w:tcPr>
            <w:tcW w:w="1070" w:type="dxa"/>
            <w:gridSpan w:val="2"/>
            <w:tcBorders>
              <w:top w:val="nil"/>
              <w:left w:val="nil"/>
              <w:bottom w:val="nil"/>
              <w:right w:val="nil"/>
            </w:tcBorders>
            <w:shd w:val="clear" w:color="auto" w:fill="auto"/>
            <w:noWrap/>
            <w:vAlign w:val="bottom"/>
            <w:hideMark/>
          </w:tcPr>
          <w:p w:rsidR="003F520E" w:rsidRPr="000C7AFE" w:rsidP="003F520E" w14:paraId="5B043E5E" w14:textId="77777777">
            <w:pPr>
              <w:overflowPunct/>
              <w:autoSpaceDE/>
              <w:autoSpaceDN/>
              <w:adjustRightInd/>
              <w:textAlignment w:val="auto"/>
              <w:rPr>
                <w:rFonts w:asciiTheme="minorHAnsi" w:hAnsiTheme="minorHAnsi" w:cstheme="minorHAnsi"/>
                <w:sz w:val="22"/>
                <w:szCs w:val="22"/>
              </w:rPr>
            </w:pPr>
          </w:p>
        </w:tc>
      </w:tr>
      <w:tr w14:paraId="79DABD4A" w14:textId="77777777" w:rsidTr="009C53C6">
        <w:tblPrEx>
          <w:tblW w:w="10662" w:type="dxa"/>
          <w:tblInd w:w="720" w:type="dxa"/>
          <w:tblLook w:val="04A0"/>
        </w:tblPrEx>
        <w:trPr>
          <w:gridAfter w:val="1"/>
          <w:wAfter w:w="402" w:type="dxa"/>
          <w:trHeight w:val="300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184" w:rsidRPr="002E7184" w:rsidP="002E7184" w14:paraId="7B5D0DF9"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Type of Submission</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2E7184" w:rsidRPr="002E7184" w:rsidP="002E7184" w14:paraId="3BEE04A4"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Number of Respondents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2E7184" w:rsidRPr="002E7184" w:rsidP="002E7184" w14:paraId="3534D2BB"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Frequency of Submissions</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2E7184" w:rsidRPr="002E7184" w:rsidP="002E7184" w14:paraId="468530E4"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Responses</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2E7184" w:rsidRPr="002E7184" w:rsidP="002E7184" w14:paraId="7EB17650"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Average Time Receiving, Reviewing, and Awarding (Hours)</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2E7184" w:rsidRPr="002E7184" w:rsidP="002E7184" w14:paraId="7914D2F2"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Annual Burden (Hours)</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2E7184" w:rsidRPr="002E7184" w:rsidP="002E7184" w14:paraId="2EED7FBB"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Hourly Rate*</w:t>
            </w:r>
          </w:p>
        </w:tc>
        <w:tc>
          <w:tcPr>
            <w:tcW w:w="1877" w:type="dxa"/>
            <w:gridSpan w:val="2"/>
            <w:tcBorders>
              <w:top w:val="single" w:sz="4" w:space="0" w:color="auto"/>
              <w:left w:val="nil"/>
              <w:bottom w:val="single" w:sz="4" w:space="0" w:color="auto"/>
              <w:right w:val="single" w:sz="4" w:space="0" w:color="auto"/>
            </w:tcBorders>
            <w:shd w:val="clear" w:color="auto" w:fill="auto"/>
            <w:vAlign w:val="center"/>
            <w:hideMark/>
          </w:tcPr>
          <w:p w:rsidR="002E7184" w:rsidRPr="002E7184" w:rsidP="002E7184" w14:paraId="6849FF79" w14:textId="77777777">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Annual Cost</w:t>
            </w:r>
          </w:p>
        </w:tc>
      </w:tr>
      <w:tr w14:paraId="45CBD394" w14:textId="77777777" w:rsidTr="009C53C6">
        <w:tblPrEx>
          <w:tblW w:w="10662" w:type="dxa"/>
          <w:tblInd w:w="720" w:type="dxa"/>
          <w:tblLook w:val="04A0"/>
        </w:tblPrEx>
        <w:trPr>
          <w:gridAfter w:val="1"/>
          <w:wAfter w:w="402" w:type="dxa"/>
          <w:trHeight w:val="600"/>
        </w:trPr>
        <w:tc>
          <w:tcPr>
            <w:tcW w:w="1296" w:type="dxa"/>
            <w:tcBorders>
              <w:top w:val="nil"/>
              <w:left w:val="single" w:sz="4" w:space="0" w:color="auto"/>
              <w:bottom w:val="single" w:sz="4" w:space="0" w:color="auto"/>
              <w:right w:val="single" w:sz="4" w:space="0" w:color="auto"/>
            </w:tcBorders>
            <w:shd w:val="clear" w:color="auto" w:fill="auto"/>
            <w:vAlign w:val="center"/>
            <w:hideMark/>
          </w:tcPr>
          <w:p w:rsidR="002E7184" w:rsidRPr="002E7184" w:rsidP="002E7184" w14:paraId="64298631"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Federal Financial Report (SF-425)</w:t>
            </w:r>
          </w:p>
        </w:tc>
        <w:tc>
          <w:tcPr>
            <w:tcW w:w="1356" w:type="dxa"/>
            <w:tcBorders>
              <w:top w:val="nil"/>
              <w:left w:val="nil"/>
              <w:bottom w:val="single" w:sz="4" w:space="0" w:color="auto"/>
              <w:right w:val="single" w:sz="4" w:space="0" w:color="auto"/>
            </w:tcBorders>
            <w:shd w:val="clear" w:color="auto" w:fill="auto"/>
            <w:vAlign w:val="center"/>
            <w:hideMark/>
          </w:tcPr>
          <w:p w:rsidR="002E7184" w:rsidRPr="00B93903" w:rsidP="002E7184" w14:paraId="280DE69C" w14:textId="2FB48F91">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300" w:type="dxa"/>
            <w:tcBorders>
              <w:top w:val="nil"/>
              <w:left w:val="nil"/>
              <w:bottom w:val="single" w:sz="4" w:space="0" w:color="auto"/>
              <w:right w:val="single" w:sz="4" w:space="0" w:color="auto"/>
            </w:tcBorders>
            <w:shd w:val="clear" w:color="auto" w:fill="auto"/>
            <w:vAlign w:val="center"/>
          </w:tcPr>
          <w:p w:rsidR="002E7184" w:rsidRPr="00B93903" w:rsidP="002E7184" w14:paraId="3854BC39" w14:textId="33AA5FA9">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w:t>
            </w:r>
          </w:p>
        </w:tc>
        <w:tc>
          <w:tcPr>
            <w:tcW w:w="1142" w:type="dxa"/>
            <w:tcBorders>
              <w:top w:val="nil"/>
              <w:left w:val="nil"/>
              <w:bottom w:val="single" w:sz="4" w:space="0" w:color="auto"/>
              <w:right w:val="single" w:sz="4" w:space="0" w:color="auto"/>
            </w:tcBorders>
            <w:shd w:val="clear" w:color="auto" w:fill="auto"/>
            <w:vAlign w:val="center"/>
          </w:tcPr>
          <w:p w:rsidR="002E7184" w:rsidRPr="00B93903" w:rsidP="002E7184" w14:paraId="25C5B079" w14:textId="5BC36864">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c>
          <w:tcPr>
            <w:tcW w:w="1184" w:type="dxa"/>
            <w:tcBorders>
              <w:top w:val="nil"/>
              <w:left w:val="nil"/>
              <w:bottom w:val="single" w:sz="4" w:space="0" w:color="auto"/>
              <w:right w:val="single" w:sz="4" w:space="0" w:color="auto"/>
            </w:tcBorders>
            <w:shd w:val="clear" w:color="auto" w:fill="auto"/>
            <w:vAlign w:val="center"/>
          </w:tcPr>
          <w:p w:rsidR="002E7184" w:rsidRPr="00B93903" w:rsidP="002E7184" w14:paraId="2C0FDCA9" w14:textId="0075EEC9">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c>
          <w:tcPr>
            <w:tcW w:w="1052" w:type="dxa"/>
            <w:tcBorders>
              <w:top w:val="nil"/>
              <w:left w:val="nil"/>
              <w:bottom w:val="single" w:sz="4" w:space="0" w:color="auto"/>
              <w:right w:val="single" w:sz="4" w:space="0" w:color="auto"/>
            </w:tcBorders>
            <w:shd w:val="clear" w:color="auto" w:fill="auto"/>
            <w:vAlign w:val="center"/>
          </w:tcPr>
          <w:p w:rsidR="002E7184" w:rsidRPr="00B93903" w:rsidP="002E7184" w14:paraId="77911CE7" w14:textId="53FA03E1">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c>
          <w:tcPr>
            <w:tcW w:w="1053" w:type="dxa"/>
            <w:gridSpan w:val="2"/>
            <w:tcBorders>
              <w:top w:val="nil"/>
              <w:left w:val="nil"/>
              <w:bottom w:val="single" w:sz="4" w:space="0" w:color="auto"/>
              <w:right w:val="single" w:sz="4" w:space="0" w:color="auto"/>
            </w:tcBorders>
            <w:shd w:val="clear" w:color="auto" w:fill="auto"/>
            <w:noWrap/>
            <w:vAlign w:val="center"/>
          </w:tcPr>
          <w:p w:rsidR="002E7184" w:rsidRPr="00B93903" w:rsidP="002E7184" w14:paraId="150EBE22" w14:textId="251FA70D">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c>
          <w:tcPr>
            <w:tcW w:w="1877" w:type="dxa"/>
            <w:gridSpan w:val="2"/>
            <w:tcBorders>
              <w:top w:val="nil"/>
              <w:left w:val="nil"/>
              <w:bottom w:val="single" w:sz="4" w:space="0" w:color="auto"/>
              <w:right w:val="single" w:sz="4" w:space="0" w:color="auto"/>
            </w:tcBorders>
            <w:shd w:val="clear" w:color="auto" w:fill="auto"/>
            <w:noWrap/>
            <w:vAlign w:val="center"/>
          </w:tcPr>
          <w:p w:rsidR="002E7184" w:rsidRPr="00B93903" w:rsidP="002E7184" w14:paraId="71A0EDB3" w14:textId="3D041719">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0</w:t>
            </w:r>
          </w:p>
        </w:tc>
      </w:tr>
      <w:tr w14:paraId="67FCB8AB" w14:textId="77777777" w:rsidTr="009C53C6">
        <w:tblPrEx>
          <w:tblW w:w="10662" w:type="dxa"/>
          <w:tblInd w:w="720" w:type="dxa"/>
          <w:tblLook w:val="04A0"/>
        </w:tblPrEx>
        <w:trPr>
          <w:gridAfter w:val="1"/>
          <w:wAfter w:w="402" w:type="dxa"/>
          <w:trHeight w:val="600"/>
        </w:trPr>
        <w:tc>
          <w:tcPr>
            <w:tcW w:w="1296" w:type="dxa"/>
            <w:tcBorders>
              <w:top w:val="nil"/>
              <w:left w:val="single" w:sz="4" w:space="0" w:color="auto"/>
              <w:bottom w:val="single" w:sz="4" w:space="0" w:color="auto"/>
              <w:right w:val="single" w:sz="4" w:space="0" w:color="auto"/>
            </w:tcBorders>
            <w:shd w:val="clear" w:color="auto" w:fill="auto"/>
            <w:vAlign w:val="center"/>
            <w:hideMark/>
          </w:tcPr>
          <w:p w:rsidR="002E7184" w:rsidRPr="002E7184" w:rsidP="002E7184" w14:paraId="3780AFCE"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Contract and Subcontract Activity Report (HUD-2516)</w:t>
            </w:r>
          </w:p>
        </w:tc>
        <w:tc>
          <w:tcPr>
            <w:tcW w:w="1356" w:type="dxa"/>
            <w:tcBorders>
              <w:top w:val="nil"/>
              <w:left w:val="nil"/>
              <w:bottom w:val="single" w:sz="4" w:space="0" w:color="auto"/>
              <w:right w:val="single" w:sz="4" w:space="0" w:color="auto"/>
            </w:tcBorders>
            <w:shd w:val="clear" w:color="auto" w:fill="auto"/>
            <w:vAlign w:val="center"/>
            <w:hideMark/>
          </w:tcPr>
          <w:p w:rsidR="002E7184" w:rsidRPr="00B93903" w:rsidP="002E7184" w14:paraId="5EE53FE9" w14:textId="54E0F64B">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300" w:type="dxa"/>
            <w:tcBorders>
              <w:top w:val="nil"/>
              <w:left w:val="nil"/>
              <w:bottom w:val="single" w:sz="4" w:space="0" w:color="auto"/>
              <w:right w:val="single" w:sz="4" w:space="0" w:color="auto"/>
            </w:tcBorders>
            <w:shd w:val="clear" w:color="auto" w:fill="auto"/>
            <w:vAlign w:val="center"/>
            <w:hideMark/>
          </w:tcPr>
          <w:p w:rsidR="002E7184" w:rsidRPr="00B93903" w:rsidP="002E7184" w14:paraId="1BD1B1D4" w14:textId="45CE7B92">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w:t>
            </w:r>
          </w:p>
        </w:tc>
        <w:tc>
          <w:tcPr>
            <w:tcW w:w="1142" w:type="dxa"/>
            <w:tcBorders>
              <w:top w:val="nil"/>
              <w:left w:val="nil"/>
              <w:bottom w:val="single" w:sz="4" w:space="0" w:color="auto"/>
              <w:right w:val="single" w:sz="4" w:space="0" w:color="auto"/>
            </w:tcBorders>
            <w:shd w:val="clear" w:color="auto" w:fill="auto"/>
            <w:vAlign w:val="center"/>
            <w:hideMark/>
          </w:tcPr>
          <w:p w:rsidR="002E7184" w:rsidRPr="00B93903" w:rsidP="002E7184" w14:paraId="569FBFDF" w14:textId="1F5CAE57">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184" w:type="dxa"/>
            <w:tcBorders>
              <w:top w:val="nil"/>
              <w:left w:val="nil"/>
              <w:bottom w:val="single" w:sz="4" w:space="0" w:color="auto"/>
              <w:right w:val="single" w:sz="4" w:space="0" w:color="auto"/>
            </w:tcBorders>
            <w:shd w:val="clear" w:color="auto" w:fill="auto"/>
            <w:vAlign w:val="center"/>
            <w:hideMark/>
          </w:tcPr>
          <w:p w:rsidR="002E7184" w:rsidRPr="00B93903" w:rsidP="002E7184" w14:paraId="4990AE25" w14:textId="2897037A">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w:t>
            </w:r>
          </w:p>
        </w:tc>
        <w:tc>
          <w:tcPr>
            <w:tcW w:w="1052" w:type="dxa"/>
            <w:tcBorders>
              <w:top w:val="nil"/>
              <w:left w:val="nil"/>
              <w:bottom w:val="single" w:sz="4" w:space="0" w:color="auto"/>
              <w:right w:val="single" w:sz="4" w:space="0" w:color="auto"/>
            </w:tcBorders>
            <w:shd w:val="clear" w:color="auto" w:fill="auto"/>
            <w:vAlign w:val="center"/>
          </w:tcPr>
          <w:p w:rsidR="002E7184" w:rsidRPr="00B93903" w:rsidP="002E7184" w14:paraId="4E759D01" w14:textId="2D0E6D61">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053" w:type="dxa"/>
            <w:gridSpan w:val="2"/>
            <w:tcBorders>
              <w:top w:val="nil"/>
              <w:left w:val="nil"/>
              <w:bottom w:val="single" w:sz="4" w:space="0" w:color="auto"/>
              <w:right w:val="single" w:sz="4" w:space="0" w:color="auto"/>
            </w:tcBorders>
            <w:shd w:val="clear" w:color="auto" w:fill="auto"/>
            <w:noWrap/>
            <w:vAlign w:val="center"/>
          </w:tcPr>
          <w:p w:rsidR="002E7184" w:rsidRPr="00B93903" w:rsidP="002E7184" w14:paraId="111507DB" w14:textId="03797C28">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$52.85</w:t>
            </w:r>
          </w:p>
        </w:tc>
        <w:tc>
          <w:tcPr>
            <w:tcW w:w="1877" w:type="dxa"/>
            <w:gridSpan w:val="2"/>
            <w:tcBorders>
              <w:top w:val="nil"/>
              <w:left w:val="nil"/>
              <w:bottom w:val="single" w:sz="4" w:space="0" w:color="auto"/>
              <w:right w:val="single" w:sz="4" w:space="0" w:color="auto"/>
            </w:tcBorders>
            <w:shd w:val="clear" w:color="auto" w:fill="auto"/>
            <w:noWrap/>
            <w:vAlign w:val="center"/>
          </w:tcPr>
          <w:p w:rsidR="002E7184" w:rsidRPr="00B93903" w:rsidP="002E7184" w14:paraId="6EDB23E3" w14:textId="2563441B">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w:t>
            </w:r>
            <w:r w:rsidRPr="00B93903" w:rsidR="00EC18BC">
              <w:rPr>
                <w:rFonts w:asciiTheme="minorHAnsi" w:hAnsiTheme="minorHAnsi" w:cstheme="minorHAnsi"/>
                <w:color w:val="000000" w:themeColor="text1"/>
                <w:sz w:val="22"/>
                <w:szCs w:val="22"/>
              </w:rPr>
              <w:t>3,964</w:t>
            </w:r>
          </w:p>
        </w:tc>
      </w:tr>
      <w:tr w14:paraId="124BB827" w14:textId="77777777" w:rsidTr="009C53C6">
        <w:tblPrEx>
          <w:tblW w:w="10662" w:type="dxa"/>
          <w:tblInd w:w="720" w:type="dxa"/>
          <w:tblLook w:val="04A0"/>
        </w:tblPrEx>
        <w:trPr>
          <w:gridAfter w:val="1"/>
          <w:wAfter w:w="402" w:type="dxa"/>
          <w:trHeight w:val="600"/>
        </w:trPr>
        <w:tc>
          <w:tcPr>
            <w:tcW w:w="1296" w:type="dxa"/>
            <w:tcBorders>
              <w:top w:val="nil"/>
              <w:left w:val="single" w:sz="4" w:space="0" w:color="auto"/>
              <w:bottom w:val="single" w:sz="4" w:space="0" w:color="auto"/>
              <w:right w:val="single" w:sz="4" w:space="0" w:color="auto"/>
            </w:tcBorders>
            <w:shd w:val="clear" w:color="auto" w:fill="auto"/>
            <w:vAlign w:val="center"/>
            <w:hideMark/>
          </w:tcPr>
          <w:p w:rsidR="002E7184" w:rsidP="002E7184" w14:paraId="41BD0BD3"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Annual Status and Evaluation Report (ASER)</w:t>
            </w:r>
          </w:p>
          <w:p w:rsidR="00A713FD" w:rsidRPr="002E7184" w:rsidP="002E7184" w14:paraId="6545660A" w14:textId="3E448D55">
            <w:pPr>
              <w:overflowPunct/>
              <w:autoSpaceDE/>
              <w:autoSpaceDN/>
              <w:adjustRightInd/>
              <w:textAlignment w:val="auto"/>
              <w:rPr>
                <w:rFonts w:asciiTheme="minorHAnsi" w:hAnsiTheme="minorHAnsi" w:cstheme="minorHAnsi"/>
                <w:color w:val="000000"/>
                <w:sz w:val="22"/>
                <w:szCs w:val="22"/>
              </w:rPr>
            </w:pPr>
          </w:p>
        </w:tc>
        <w:tc>
          <w:tcPr>
            <w:tcW w:w="1356" w:type="dxa"/>
            <w:tcBorders>
              <w:top w:val="nil"/>
              <w:left w:val="nil"/>
              <w:bottom w:val="single" w:sz="4" w:space="0" w:color="auto"/>
              <w:right w:val="single" w:sz="4" w:space="0" w:color="auto"/>
            </w:tcBorders>
            <w:shd w:val="clear" w:color="auto" w:fill="auto"/>
            <w:vAlign w:val="center"/>
            <w:hideMark/>
          </w:tcPr>
          <w:p w:rsidR="002E7184" w:rsidRPr="00B93903" w:rsidP="002E7184" w14:paraId="32687961" w14:textId="4889CE00">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75</w:t>
            </w:r>
          </w:p>
        </w:tc>
        <w:tc>
          <w:tcPr>
            <w:tcW w:w="1300" w:type="dxa"/>
            <w:tcBorders>
              <w:top w:val="nil"/>
              <w:left w:val="nil"/>
              <w:bottom w:val="single" w:sz="4" w:space="0" w:color="auto"/>
              <w:right w:val="single" w:sz="4" w:space="0" w:color="auto"/>
            </w:tcBorders>
            <w:shd w:val="clear" w:color="auto" w:fill="auto"/>
            <w:vAlign w:val="center"/>
            <w:hideMark/>
          </w:tcPr>
          <w:p w:rsidR="002E7184" w:rsidRPr="00B93903" w:rsidP="002E7184" w14:paraId="6D055FB8" w14:textId="6FB8E9C1">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1</w:t>
            </w:r>
            <w:r w:rsidRPr="00B93903" w:rsidR="001F3C77">
              <w:rPr>
                <w:rFonts w:asciiTheme="minorHAnsi" w:hAnsiTheme="minorHAnsi" w:cstheme="minorHAnsi"/>
                <w:color w:val="000000" w:themeColor="text1"/>
                <w:sz w:val="22"/>
                <w:szCs w:val="22"/>
              </w:rPr>
              <w:t>.25</w:t>
            </w:r>
          </w:p>
        </w:tc>
        <w:tc>
          <w:tcPr>
            <w:tcW w:w="1142" w:type="dxa"/>
            <w:tcBorders>
              <w:top w:val="nil"/>
              <w:left w:val="nil"/>
              <w:bottom w:val="single" w:sz="4" w:space="0" w:color="auto"/>
              <w:right w:val="single" w:sz="4" w:space="0" w:color="auto"/>
            </w:tcBorders>
            <w:shd w:val="clear" w:color="auto" w:fill="auto"/>
            <w:vAlign w:val="center"/>
            <w:hideMark/>
          </w:tcPr>
          <w:p w:rsidR="002E7184" w:rsidRPr="00B93903" w:rsidP="00280648" w14:paraId="0235FBC0" w14:textId="3A952E1D">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94</w:t>
            </w:r>
          </w:p>
        </w:tc>
        <w:tc>
          <w:tcPr>
            <w:tcW w:w="1184" w:type="dxa"/>
            <w:tcBorders>
              <w:top w:val="nil"/>
              <w:left w:val="nil"/>
              <w:bottom w:val="single" w:sz="4" w:space="0" w:color="auto"/>
              <w:right w:val="single" w:sz="4" w:space="0" w:color="auto"/>
            </w:tcBorders>
            <w:shd w:val="clear" w:color="auto" w:fill="auto"/>
            <w:vAlign w:val="center"/>
            <w:hideMark/>
          </w:tcPr>
          <w:p w:rsidR="002E7184" w:rsidRPr="00B93903" w:rsidP="002E7184" w14:paraId="6C07A96C" w14:textId="77777777">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4</w:t>
            </w:r>
          </w:p>
        </w:tc>
        <w:tc>
          <w:tcPr>
            <w:tcW w:w="1052" w:type="dxa"/>
            <w:tcBorders>
              <w:top w:val="nil"/>
              <w:left w:val="nil"/>
              <w:bottom w:val="single" w:sz="4" w:space="0" w:color="auto"/>
              <w:right w:val="single" w:sz="4" w:space="0" w:color="auto"/>
            </w:tcBorders>
            <w:shd w:val="clear" w:color="auto" w:fill="auto"/>
            <w:vAlign w:val="center"/>
          </w:tcPr>
          <w:p w:rsidR="002E7184" w:rsidRPr="00B93903" w:rsidP="002E7184" w14:paraId="7CFB88AC" w14:textId="3EE88A59">
            <w:pPr>
              <w:overflowPunct/>
              <w:autoSpaceDE/>
              <w:autoSpaceDN/>
              <w:adjustRightInd/>
              <w:jc w:val="center"/>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376</w:t>
            </w:r>
          </w:p>
        </w:tc>
        <w:tc>
          <w:tcPr>
            <w:tcW w:w="1053" w:type="dxa"/>
            <w:gridSpan w:val="2"/>
            <w:tcBorders>
              <w:top w:val="nil"/>
              <w:left w:val="nil"/>
              <w:bottom w:val="single" w:sz="4" w:space="0" w:color="auto"/>
              <w:right w:val="single" w:sz="4" w:space="0" w:color="auto"/>
            </w:tcBorders>
            <w:shd w:val="clear" w:color="auto" w:fill="auto"/>
            <w:noWrap/>
            <w:vAlign w:val="center"/>
          </w:tcPr>
          <w:p w:rsidR="002E7184" w:rsidRPr="00B93903" w:rsidP="002E7184" w14:paraId="58B729BE" w14:textId="462A8C23">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$52.85</w:t>
            </w:r>
          </w:p>
        </w:tc>
        <w:tc>
          <w:tcPr>
            <w:tcW w:w="1877" w:type="dxa"/>
            <w:gridSpan w:val="2"/>
            <w:tcBorders>
              <w:top w:val="nil"/>
              <w:left w:val="nil"/>
              <w:bottom w:val="single" w:sz="4" w:space="0" w:color="auto"/>
              <w:right w:val="single" w:sz="4" w:space="0" w:color="auto"/>
            </w:tcBorders>
            <w:shd w:val="clear" w:color="auto" w:fill="auto"/>
            <w:noWrap/>
            <w:vAlign w:val="center"/>
          </w:tcPr>
          <w:p w:rsidR="002E7184" w:rsidRPr="00B93903" w:rsidP="002E7184" w14:paraId="05C93039" w14:textId="66DF5A2C">
            <w:pPr>
              <w:overflowPunct/>
              <w:autoSpaceDE/>
              <w:autoSpaceDN/>
              <w:adjustRightInd/>
              <w:textAlignment w:val="auto"/>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w:t>
            </w:r>
            <w:r w:rsidRPr="00B93903" w:rsidR="00EB0D6E">
              <w:rPr>
                <w:rFonts w:asciiTheme="minorHAnsi" w:hAnsiTheme="minorHAnsi" w:cstheme="minorHAnsi"/>
                <w:color w:val="000000" w:themeColor="text1"/>
                <w:sz w:val="22"/>
                <w:szCs w:val="22"/>
              </w:rPr>
              <w:t>19,872</w:t>
            </w:r>
          </w:p>
        </w:tc>
      </w:tr>
      <w:tr w14:paraId="3A1E052A" w14:textId="77777777" w:rsidTr="009C53C6">
        <w:tblPrEx>
          <w:tblW w:w="10662" w:type="dxa"/>
          <w:tblInd w:w="720" w:type="dxa"/>
          <w:tblLook w:val="04A0"/>
        </w:tblPrEx>
        <w:trPr>
          <w:gridAfter w:val="1"/>
          <w:wAfter w:w="402" w:type="dxa"/>
          <w:trHeight w:val="300"/>
        </w:trPr>
        <w:tc>
          <w:tcPr>
            <w:tcW w:w="1296" w:type="dxa"/>
            <w:tcBorders>
              <w:top w:val="nil"/>
              <w:left w:val="single" w:sz="4" w:space="0" w:color="auto"/>
              <w:bottom w:val="single" w:sz="4" w:space="0" w:color="auto"/>
              <w:right w:val="single" w:sz="4" w:space="0" w:color="auto"/>
            </w:tcBorders>
            <w:shd w:val="clear" w:color="auto" w:fill="auto"/>
            <w:vAlign w:val="center"/>
            <w:hideMark/>
          </w:tcPr>
          <w:p w:rsidR="002E7184" w:rsidRPr="002E7184" w:rsidP="002E7184" w14:paraId="7DE4618B" w14:textId="77777777">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TOTAL</w:t>
            </w:r>
          </w:p>
        </w:tc>
        <w:tc>
          <w:tcPr>
            <w:tcW w:w="1356" w:type="dxa"/>
            <w:tcBorders>
              <w:top w:val="nil"/>
              <w:left w:val="nil"/>
              <w:bottom w:val="single" w:sz="4" w:space="0" w:color="auto"/>
              <w:right w:val="single" w:sz="4" w:space="0" w:color="auto"/>
            </w:tcBorders>
            <w:shd w:val="clear" w:color="auto" w:fill="auto"/>
            <w:vAlign w:val="center"/>
            <w:hideMark/>
          </w:tcPr>
          <w:p w:rsidR="002E7184" w:rsidRPr="00B93903" w:rsidP="002C2C55" w14:paraId="3D7F063C" w14:textId="1E24A375">
            <w:pPr>
              <w:overflowPunct/>
              <w:autoSpaceDE/>
              <w:autoSpaceDN/>
              <w:adjustRightInd/>
              <w:jc w:val="center"/>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225</w:t>
            </w:r>
          </w:p>
        </w:tc>
        <w:tc>
          <w:tcPr>
            <w:tcW w:w="1300" w:type="dxa"/>
            <w:tcBorders>
              <w:top w:val="nil"/>
              <w:left w:val="nil"/>
              <w:bottom w:val="single" w:sz="4" w:space="0" w:color="auto"/>
              <w:right w:val="single" w:sz="4" w:space="0" w:color="auto"/>
            </w:tcBorders>
            <w:shd w:val="clear" w:color="auto" w:fill="auto"/>
            <w:vAlign w:val="center"/>
            <w:hideMark/>
          </w:tcPr>
          <w:p w:rsidR="002E7184" w:rsidRPr="00B93903" w:rsidP="002E7184" w14:paraId="4D1F05A3" w14:textId="7F067EBC">
            <w:pPr>
              <w:overflowPunct/>
              <w:autoSpaceDE/>
              <w:autoSpaceDN/>
              <w:adjustRightInd/>
              <w:textAlignment w:val="auto"/>
              <w:rPr>
                <w:rFonts w:asciiTheme="minorHAnsi" w:hAnsiTheme="minorHAnsi" w:cstheme="minorHAnsi"/>
                <w:color w:val="000000" w:themeColor="text1"/>
                <w:sz w:val="22"/>
                <w:szCs w:val="22"/>
              </w:rPr>
            </w:pPr>
          </w:p>
        </w:tc>
        <w:tc>
          <w:tcPr>
            <w:tcW w:w="1142" w:type="dxa"/>
            <w:tcBorders>
              <w:top w:val="nil"/>
              <w:left w:val="nil"/>
              <w:bottom w:val="single" w:sz="4" w:space="0" w:color="auto"/>
              <w:right w:val="single" w:sz="4" w:space="0" w:color="auto"/>
            </w:tcBorders>
            <w:shd w:val="clear" w:color="auto" w:fill="auto"/>
            <w:vAlign w:val="center"/>
            <w:hideMark/>
          </w:tcPr>
          <w:p w:rsidR="002E7184" w:rsidRPr="00B93903" w:rsidP="002E7184" w14:paraId="3A280FE3" w14:textId="2011FA4A">
            <w:pPr>
              <w:overflowPunct/>
              <w:autoSpaceDE/>
              <w:autoSpaceDN/>
              <w:adjustRightInd/>
              <w:jc w:val="center"/>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169</w:t>
            </w:r>
          </w:p>
        </w:tc>
        <w:tc>
          <w:tcPr>
            <w:tcW w:w="1184" w:type="dxa"/>
            <w:tcBorders>
              <w:top w:val="nil"/>
              <w:left w:val="nil"/>
              <w:bottom w:val="single" w:sz="4" w:space="0" w:color="auto"/>
              <w:right w:val="single" w:sz="4" w:space="0" w:color="auto"/>
            </w:tcBorders>
            <w:shd w:val="clear" w:color="auto" w:fill="auto"/>
            <w:vAlign w:val="center"/>
            <w:hideMark/>
          </w:tcPr>
          <w:p w:rsidR="002E7184" w:rsidRPr="00B93903" w:rsidP="002E7184" w14:paraId="2DF650DB" w14:textId="20A1B451">
            <w:pPr>
              <w:overflowPunct/>
              <w:autoSpaceDE/>
              <w:autoSpaceDN/>
              <w:adjustRightInd/>
              <w:textAlignment w:val="auto"/>
              <w:rPr>
                <w:rFonts w:asciiTheme="minorHAnsi" w:hAnsiTheme="minorHAnsi" w:cstheme="minorHAnsi"/>
                <w:color w:val="000000" w:themeColor="text1"/>
                <w:sz w:val="22"/>
                <w:szCs w:val="22"/>
              </w:rPr>
            </w:pPr>
          </w:p>
        </w:tc>
        <w:tc>
          <w:tcPr>
            <w:tcW w:w="1052" w:type="dxa"/>
            <w:tcBorders>
              <w:top w:val="nil"/>
              <w:left w:val="nil"/>
              <w:bottom w:val="single" w:sz="4" w:space="0" w:color="auto"/>
              <w:right w:val="single" w:sz="4" w:space="0" w:color="auto"/>
            </w:tcBorders>
            <w:shd w:val="clear" w:color="auto" w:fill="auto"/>
            <w:vAlign w:val="center"/>
          </w:tcPr>
          <w:p w:rsidR="002E7184" w:rsidRPr="00B93903" w:rsidP="002E7184" w14:paraId="6D0E6965" w14:textId="768F5AE5">
            <w:pPr>
              <w:overflowPunct/>
              <w:autoSpaceDE/>
              <w:autoSpaceDN/>
              <w:adjustRightInd/>
              <w:jc w:val="center"/>
              <w:textAlignment w:val="auto"/>
              <w:rPr>
                <w:rFonts w:asciiTheme="minorHAnsi" w:hAnsiTheme="minorHAnsi" w:cstheme="minorHAnsi"/>
                <w:color w:val="000000" w:themeColor="text1"/>
                <w:sz w:val="22"/>
                <w:szCs w:val="22"/>
              </w:rPr>
            </w:pPr>
          </w:p>
          <w:p w:rsidR="00E25DCA" w:rsidRPr="00B93903" w:rsidP="00E25DCA" w14:paraId="5D88AFC8" w14:textId="5C1415F5">
            <w:pPr>
              <w:overflowPunct/>
              <w:autoSpaceDE/>
              <w:autoSpaceDN/>
              <w:adjustRightInd/>
              <w:jc w:val="center"/>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451</w:t>
            </w:r>
          </w:p>
        </w:tc>
        <w:tc>
          <w:tcPr>
            <w:tcW w:w="1053" w:type="dxa"/>
            <w:gridSpan w:val="2"/>
            <w:tcBorders>
              <w:top w:val="nil"/>
              <w:left w:val="nil"/>
              <w:bottom w:val="single" w:sz="4" w:space="0" w:color="auto"/>
              <w:right w:val="single" w:sz="4" w:space="0" w:color="auto"/>
            </w:tcBorders>
            <w:shd w:val="clear" w:color="auto" w:fill="auto"/>
            <w:noWrap/>
            <w:vAlign w:val="bottom"/>
          </w:tcPr>
          <w:p w:rsidR="002E7184" w:rsidRPr="00B93903" w:rsidP="002E7184" w14:paraId="5FCC7DC5" w14:textId="09783161">
            <w:pPr>
              <w:overflowPunct/>
              <w:autoSpaceDE/>
              <w:autoSpaceDN/>
              <w:adjustRightInd/>
              <w:textAlignment w:val="auto"/>
              <w:rPr>
                <w:rFonts w:asciiTheme="minorHAnsi" w:hAnsiTheme="minorHAnsi" w:cstheme="minorHAnsi"/>
                <w:color w:val="000000" w:themeColor="text1"/>
                <w:sz w:val="22"/>
                <w:szCs w:val="22"/>
              </w:rPr>
            </w:pPr>
          </w:p>
        </w:tc>
        <w:tc>
          <w:tcPr>
            <w:tcW w:w="1877" w:type="dxa"/>
            <w:gridSpan w:val="2"/>
            <w:tcBorders>
              <w:top w:val="nil"/>
              <w:left w:val="nil"/>
              <w:bottom w:val="single" w:sz="4" w:space="0" w:color="auto"/>
              <w:right w:val="single" w:sz="4" w:space="0" w:color="auto"/>
            </w:tcBorders>
            <w:shd w:val="clear" w:color="auto" w:fill="auto"/>
            <w:noWrap/>
            <w:vAlign w:val="bottom"/>
          </w:tcPr>
          <w:p w:rsidR="00E44A99" w:rsidRPr="00B93903" w:rsidP="002E7184" w14:paraId="44D26C03" w14:textId="0F91F6A3">
            <w:pPr>
              <w:overflowPunct/>
              <w:autoSpaceDE/>
              <w:autoSpaceDN/>
              <w:adjustRightInd/>
              <w:textAlignment w:val="auto"/>
              <w:rPr>
                <w:rFonts w:asciiTheme="minorHAnsi" w:hAnsiTheme="minorHAnsi" w:cstheme="minorHAnsi"/>
                <w:color w:val="000000" w:themeColor="text1"/>
                <w:sz w:val="22"/>
                <w:szCs w:val="22"/>
              </w:rPr>
            </w:pPr>
          </w:p>
          <w:p w:rsidR="002E7184" w:rsidRPr="00B93903" w:rsidP="002E7184" w14:paraId="4301E0E8" w14:textId="4A8E4E0E">
            <w:pPr>
              <w:overflowPunct/>
              <w:autoSpaceDE/>
              <w:autoSpaceDN/>
              <w:adjustRightInd/>
              <w:textAlignment w:val="auto"/>
              <w:rPr>
                <w:rFonts w:asciiTheme="minorHAnsi" w:hAnsiTheme="minorHAnsi" w:cstheme="minorHAnsi"/>
                <w:b/>
                <w:bCs/>
                <w:color w:val="000000" w:themeColor="text1"/>
                <w:sz w:val="22"/>
                <w:szCs w:val="22"/>
              </w:rPr>
            </w:pPr>
            <w:r w:rsidRPr="00B93903">
              <w:rPr>
                <w:rFonts w:asciiTheme="minorHAnsi" w:hAnsiTheme="minorHAnsi" w:cstheme="minorHAnsi"/>
                <w:b/>
                <w:bCs/>
                <w:color w:val="000000" w:themeColor="text1"/>
                <w:sz w:val="22"/>
                <w:szCs w:val="22"/>
              </w:rPr>
              <w:t>$</w:t>
            </w:r>
            <w:r w:rsidRPr="00B93903" w:rsidR="00E25DCA">
              <w:rPr>
                <w:rFonts w:asciiTheme="minorHAnsi" w:hAnsiTheme="minorHAnsi" w:cstheme="minorHAnsi"/>
                <w:b/>
                <w:bCs/>
                <w:color w:val="000000" w:themeColor="text1"/>
                <w:sz w:val="22"/>
                <w:szCs w:val="22"/>
              </w:rPr>
              <w:t>28,836</w:t>
            </w:r>
          </w:p>
        </w:tc>
      </w:tr>
    </w:tbl>
    <w:p w:rsidR="003F520E" w:rsidRPr="00125A78" w:rsidP="003F520E" w14:paraId="03843976"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A2413F" w:rsidRPr="00A2413F" w:rsidP="00A2413F" w14:paraId="561B21D5"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A2413F">
        <w:t xml:space="preserve">*GS 13, Step 3 employee, 2024 OPM General Schedule (GS), Rest of U.S. Pay Table $110,304 annual rate; $52.85 hourly rate.https://www.opm.gov/policy-data-oversight/pay-leave/salaries-wages/salary-tables/pdf/2024/RUS_h.pdf  </w:t>
      </w:r>
    </w:p>
    <w:p w:rsidR="008505DA" w:rsidRPr="00125A78" w:rsidP="008505DA" w14:paraId="6054325B"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8505DA" w:rsidRPr="00125A78" w:rsidP="008505DA" w14:paraId="7CEAC3D3"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8505DA" w:rsidRPr="00125A78" w:rsidP="008505DA" w14:paraId="5567710F" w14:textId="77777777">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Explain the reasons for any program changes or adjustments reported in Items 13 or 14 of the OMB Form 83-I.</w:t>
      </w:r>
    </w:p>
    <w:p w:rsidR="00C702E8" w:rsidRPr="00B93903" w:rsidP="00C702E8" w14:paraId="7C692C94"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rPr>
      </w:pPr>
    </w:p>
    <w:p w:rsidR="003035C3" w:rsidRPr="00B93903" w:rsidP="00C702E8" w14:paraId="57F8FDF1" w14:textId="2D917B7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color w:val="000000" w:themeColor="text1"/>
          <w:sz w:val="22"/>
          <w:szCs w:val="22"/>
        </w:rPr>
      </w:pPr>
      <w:r w:rsidRPr="00B93903">
        <w:rPr>
          <w:rFonts w:asciiTheme="minorHAnsi" w:hAnsiTheme="minorHAnsi" w:cstheme="minorHAnsi"/>
          <w:color w:val="000000" w:themeColor="text1"/>
          <w:sz w:val="22"/>
          <w:szCs w:val="22"/>
        </w:rPr>
        <w:t xml:space="preserve">The </w:t>
      </w:r>
      <w:r w:rsidRPr="00B93903" w:rsidR="00D80182">
        <w:rPr>
          <w:rFonts w:asciiTheme="minorHAnsi" w:hAnsiTheme="minorHAnsi" w:cstheme="minorHAnsi"/>
          <w:color w:val="000000" w:themeColor="text1"/>
          <w:sz w:val="22"/>
          <w:szCs w:val="22"/>
        </w:rPr>
        <w:t>Federal Financial Report (SF-425) is</w:t>
      </w:r>
      <w:r w:rsidRPr="00B93903" w:rsidR="00567D79">
        <w:rPr>
          <w:rFonts w:asciiTheme="minorHAnsi" w:hAnsiTheme="minorHAnsi" w:cstheme="minorHAnsi"/>
          <w:color w:val="000000" w:themeColor="text1"/>
          <w:sz w:val="22"/>
          <w:szCs w:val="22"/>
        </w:rPr>
        <w:t xml:space="preserve"> now</w:t>
      </w:r>
      <w:r w:rsidRPr="00B93903" w:rsidR="00D80182">
        <w:rPr>
          <w:rFonts w:asciiTheme="minorHAnsi" w:hAnsiTheme="minorHAnsi" w:cstheme="minorHAnsi"/>
          <w:color w:val="000000" w:themeColor="text1"/>
          <w:sz w:val="22"/>
          <w:szCs w:val="22"/>
        </w:rPr>
        <w:t xml:space="preserve"> required annually </w:t>
      </w:r>
      <w:r w:rsidRPr="00B93903" w:rsidR="00567D79">
        <w:rPr>
          <w:rFonts w:asciiTheme="minorHAnsi" w:hAnsiTheme="minorHAnsi" w:cstheme="minorHAnsi"/>
          <w:color w:val="000000" w:themeColor="text1"/>
          <w:sz w:val="22"/>
          <w:szCs w:val="22"/>
        </w:rPr>
        <w:t>instead of quarterly</w:t>
      </w:r>
      <w:r w:rsidRPr="00B93903" w:rsidR="00A42B0E">
        <w:rPr>
          <w:rFonts w:asciiTheme="minorHAnsi" w:hAnsiTheme="minorHAnsi" w:cstheme="minorHAnsi"/>
          <w:color w:val="000000" w:themeColor="text1"/>
          <w:sz w:val="22"/>
          <w:szCs w:val="22"/>
        </w:rPr>
        <w:t xml:space="preserve"> therefore, reducing </w:t>
      </w:r>
      <w:r w:rsidRPr="00B93903" w:rsidR="008532C6">
        <w:rPr>
          <w:rFonts w:asciiTheme="minorHAnsi" w:hAnsiTheme="minorHAnsi" w:cstheme="minorHAnsi"/>
          <w:color w:val="000000" w:themeColor="text1"/>
          <w:sz w:val="22"/>
          <w:szCs w:val="22"/>
        </w:rPr>
        <w:t>the number of submissions</w:t>
      </w:r>
      <w:r w:rsidRPr="00B93903" w:rsidR="002F1634">
        <w:rPr>
          <w:rFonts w:asciiTheme="minorHAnsi" w:hAnsiTheme="minorHAnsi" w:cstheme="minorHAnsi"/>
          <w:color w:val="000000" w:themeColor="text1"/>
          <w:sz w:val="22"/>
          <w:szCs w:val="22"/>
        </w:rPr>
        <w:t xml:space="preserve">. </w:t>
      </w:r>
      <w:r w:rsidRPr="00B93903" w:rsidR="00BF6145">
        <w:rPr>
          <w:rFonts w:asciiTheme="minorHAnsi" w:hAnsiTheme="minorHAnsi" w:cstheme="minorHAnsi"/>
          <w:color w:val="000000" w:themeColor="text1"/>
          <w:sz w:val="22"/>
          <w:szCs w:val="22"/>
        </w:rPr>
        <w:t xml:space="preserve">Additionally, the </w:t>
      </w:r>
      <w:r w:rsidRPr="00B93903" w:rsidR="00945DBC">
        <w:rPr>
          <w:rFonts w:asciiTheme="minorHAnsi" w:hAnsiTheme="minorHAnsi" w:cstheme="minorHAnsi"/>
          <w:color w:val="000000" w:themeColor="text1"/>
          <w:sz w:val="22"/>
          <w:szCs w:val="22"/>
        </w:rPr>
        <w:t>hourly rates have increased</w:t>
      </w:r>
      <w:r w:rsidRPr="00B93903" w:rsidR="0026503B">
        <w:rPr>
          <w:rFonts w:asciiTheme="minorHAnsi" w:hAnsiTheme="minorHAnsi" w:cstheme="minorHAnsi"/>
          <w:color w:val="000000" w:themeColor="text1"/>
          <w:sz w:val="22"/>
          <w:szCs w:val="22"/>
        </w:rPr>
        <w:t xml:space="preserve"> and are</w:t>
      </w:r>
      <w:r w:rsidRPr="00B93903" w:rsidR="00945DBC">
        <w:rPr>
          <w:rFonts w:asciiTheme="minorHAnsi" w:hAnsiTheme="minorHAnsi" w:cstheme="minorHAnsi"/>
          <w:color w:val="000000" w:themeColor="text1"/>
          <w:sz w:val="22"/>
          <w:szCs w:val="22"/>
        </w:rPr>
        <w:t xml:space="preserve"> based on the </w:t>
      </w:r>
      <w:r w:rsidRPr="00B93903" w:rsidR="00D5096F">
        <w:rPr>
          <w:rFonts w:asciiTheme="minorHAnsi" w:hAnsiTheme="minorHAnsi" w:cstheme="minorHAnsi"/>
          <w:color w:val="000000" w:themeColor="text1"/>
          <w:sz w:val="22"/>
          <w:szCs w:val="22"/>
        </w:rPr>
        <w:t xml:space="preserve">2024 </w:t>
      </w:r>
      <w:r w:rsidRPr="00B93903" w:rsidR="00945DBC">
        <w:rPr>
          <w:rFonts w:asciiTheme="minorHAnsi" w:hAnsiTheme="minorHAnsi" w:cstheme="minorHAnsi"/>
          <w:color w:val="000000" w:themeColor="text1"/>
          <w:sz w:val="22"/>
          <w:szCs w:val="22"/>
        </w:rPr>
        <w:t xml:space="preserve">GS </w:t>
      </w:r>
      <w:r w:rsidRPr="00B93903" w:rsidR="00D5096F">
        <w:rPr>
          <w:rFonts w:asciiTheme="minorHAnsi" w:hAnsiTheme="minorHAnsi" w:cstheme="minorHAnsi"/>
          <w:color w:val="000000" w:themeColor="text1"/>
          <w:sz w:val="22"/>
          <w:szCs w:val="22"/>
        </w:rPr>
        <w:t>pay scale</w:t>
      </w:r>
      <w:r w:rsidRPr="00B93903" w:rsidR="00535713">
        <w:rPr>
          <w:rFonts w:asciiTheme="minorHAnsi" w:hAnsiTheme="minorHAnsi" w:cstheme="minorHAnsi"/>
          <w:color w:val="000000" w:themeColor="text1"/>
          <w:sz w:val="22"/>
          <w:szCs w:val="22"/>
        </w:rPr>
        <w:t>.</w:t>
      </w:r>
    </w:p>
    <w:p w:rsidR="002E7184" w:rsidRPr="00125A78" w:rsidP="00C702E8" w14:paraId="46C63219"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547664" w:rsidRPr="00125A78" w:rsidP="00547664" w14:paraId="0632DBD3" w14:textId="77777777">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For collections of information whose resu</w:t>
      </w:r>
      <w:r w:rsidRPr="00125A78" w:rsidR="00B94795">
        <w:t>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4795" w:rsidRPr="00125A78" w:rsidP="00B94795" w14:paraId="6827D5E3"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B94795" w:rsidRPr="000C7AFE" w:rsidP="000C7AFE" w14:paraId="0DB6A130" w14:textId="3E2C7B44">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 information collected is not for statistical use nor does its collection use statistical methods, however, the information is provided to Congress, upon request.</w:t>
      </w:r>
    </w:p>
    <w:p w:rsidR="00B12095" w:rsidRPr="00125A78" w:rsidP="00B94795" w14:paraId="32526AD5"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B94795" w:rsidRPr="00125A78" w:rsidP="00B94795" w14:paraId="1ED9304B" w14:textId="77777777">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If seeking approval to not display the expiration date for OMB approval of the information collection, explain the reasons that display would be inappropriate.</w:t>
      </w:r>
    </w:p>
    <w:p w:rsidR="00B94795" w:rsidRPr="00125A78" w:rsidP="00B94795" w14:paraId="0D1E6898"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B94795" w:rsidRPr="00125A78" w:rsidP="00B94795" w14:paraId="629F3D4C"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 OMB number and expiration date of the information collection will be displayed on the forms.</w:t>
      </w:r>
    </w:p>
    <w:p w:rsidR="00B94795" w:rsidRPr="00125A78" w:rsidP="00B94795" w14:paraId="11FF81A7"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B94795" w:rsidRPr="00125A78" w:rsidP="00B94795" w14:paraId="121D8C82" w14:textId="77777777">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Explain each exception to the certification statement identified in item 19.</w:t>
      </w:r>
    </w:p>
    <w:p w:rsidR="002802EE" w:rsidRPr="00125A78" w:rsidP="002802EE" w14:paraId="12A40A7B"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2802EE" w:rsidRPr="00125A78" w:rsidP="002802EE" w14:paraId="3A32CD73"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There are no</w:t>
      </w:r>
      <w:r w:rsidRPr="00125A78">
        <w:rPr>
          <w:rFonts w:asciiTheme="minorHAnsi" w:hAnsiTheme="minorHAnsi"/>
          <w:sz w:val="22"/>
          <w:szCs w:val="22"/>
        </w:rPr>
        <w:t xml:space="preserve"> exceptions to the certification identified in Item 19 of the OMB 83-I.</w:t>
      </w:r>
    </w:p>
    <w:p w:rsidR="0024435A" w:rsidRPr="00B12095" w:rsidP="00B12095" w14:paraId="4A009A88" w14:textId="77777777">
      <w:pPr>
        <w:overflowPunct/>
        <w:autoSpaceDE/>
        <w:autoSpaceDN/>
        <w:adjustRightInd/>
        <w:textAlignment w:val="auto"/>
        <w:rPr>
          <w:sz w:val="24"/>
          <w:szCs w:val="24"/>
        </w:rPr>
      </w:pPr>
    </w:p>
    <w:sectPr w:rsidSect="009E3123">
      <w:footerReference w:type="default" r:id="rId15"/>
      <w:headerReference w:type="first" r:id="rId16"/>
      <w:footerReference w:type="first" r:id="rId17"/>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700" w14:paraId="39AB71A0"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1570440"/>
      <w:docPartObj>
        <w:docPartGallery w:val="Page Numbers (Bottom of Page)"/>
        <w:docPartUnique/>
      </w:docPartObj>
    </w:sdtPr>
    <w:sdtEndPr>
      <w:rPr>
        <w:noProof/>
      </w:rPr>
    </w:sdtEndPr>
    <w:sdtContent>
      <w:p w:rsidR="00387C69" w14:paraId="271C6D20" w14:textId="35634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4700" w14:paraId="44BABEAF" w14:textId="07B0DD0A">
    <w:pPr>
      <w:pStyle w:val="Footer"/>
      <w:pBdr>
        <w:top w:val="single" w:sz="6" w:space="1" w:color="auto"/>
      </w:pBdr>
      <w:tabs>
        <w:tab w:val="clear" w:pos="4320"/>
        <w:tab w:val="clear" w:pos="8640"/>
        <w:tab w:val="right" w:pos="10920"/>
      </w:tabs>
      <w:rPr>
        <w:rFonts w:ascii="Helvetica" w:hAnsi="Helvetica"/>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5721174"/>
      <w:docPartObj>
        <w:docPartGallery w:val="Page Numbers (Top of Page)"/>
        <w:docPartUnique/>
      </w:docPartObj>
    </w:sdtPr>
    <w:sdtEndPr>
      <w:rPr>
        <w:noProof/>
      </w:rPr>
    </w:sdtEndPr>
    <w:sdtContent>
      <w:p w:rsidR="00387C69" w14:paraId="42D95685" w14:textId="5202D2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87C69" w14:paraId="581BF0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1C2F2A"/>
    <w:multiLevelType w:val="hybridMultilevel"/>
    <w:tmpl w:val="53E4D79A"/>
    <w:lvl w:ilvl="0">
      <w:start w:val="7"/>
      <w:numFmt w:val="decimal"/>
      <w:lvlText w:val="%1."/>
      <w:lvlJc w:val="left"/>
      <w:pPr>
        <w:ind w:left="1530" w:hanging="360"/>
      </w:pPr>
      <w:rPr>
        <w:rFonts w:hint="default"/>
        <w:b/>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38A521D"/>
    <w:multiLevelType w:val="hybridMultilevel"/>
    <w:tmpl w:val="C2C20F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80A5F43"/>
    <w:multiLevelType w:val="hybridMultilevel"/>
    <w:tmpl w:val="9DD697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9383473"/>
    <w:multiLevelType w:val="hybridMultilevel"/>
    <w:tmpl w:val="BDB8B31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BC674EB"/>
    <w:multiLevelType w:val="hybridMultilevel"/>
    <w:tmpl w:val="D6F03334"/>
    <w:lvl w:ilvl="0">
      <w:start w:val="1"/>
      <w:numFmt w:val="decimal"/>
      <w:lvlText w:val="%1."/>
      <w:lvlJc w:val="left"/>
      <w:pPr>
        <w:ind w:left="720" w:hanging="360"/>
      </w:pPr>
      <w:rPr>
        <w:rFonts w:ascii="Times New Roman" w:hAnsi="Times New Roman"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3C1C5B"/>
    <w:multiLevelType w:val="hybridMultilevel"/>
    <w:tmpl w:val="1D64E9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0">
    <w:nsid w:val="460911F4"/>
    <w:multiLevelType w:val="hybridMultilevel"/>
    <w:tmpl w:val="DBC0EA9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25553A7"/>
    <w:multiLevelType w:val="hybridMultilevel"/>
    <w:tmpl w:val="E5CC4784"/>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3">
    <w:nsid w:val="54627B55"/>
    <w:multiLevelType w:val="hybridMultilevel"/>
    <w:tmpl w:val="67A00304"/>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7126963"/>
    <w:multiLevelType w:val="hybridMultilevel"/>
    <w:tmpl w:val="F8EE6C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770F8B"/>
    <w:multiLevelType w:val="hybridMultilevel"/>
    <w:tmpl w:val="FD240A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4DC604B"/>
    <w:multiLevelType w:val="hybridMultilevel"/>
    <w:tmpl w:val="909EA058"/>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2069761462">
    <w:abstractNumId w:val="3"/>
  </w:num>
  <w:num w:numId="2" w16cid:durableId="2014067407">
    <w:abstractNumId w:val="19"/>
  </w:num>
  <w:num w:numId="3" w16cid:durableId="1036195958">
    <w:abstractNumId w:val="2"/>
  </w:num>
  <w:num w:numId="4" w16cid:durableId="1017778741">
    <w:abstractNumId w:val="18"/>
  </w:num>
  <w:num w:numId="5" w16cid:durableId="516699065">
    <w:abstractNumId w:val="16"/>
  </w:num>
  <w:num w:numId="6" w16cid:durableId="605694829">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800294651">
    <w:abstractNumId w:val="11"/>
  </w:num>
  <w:num w:numId="8" w16cid:durableId="48104078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743141963">
    <w:abstractNumId w:val="13"/>
  </w:num>
  <w:num w:numId="10" w16cid:durableId="572278203">
    <w:abstractNumId w:val="14"/>
  </w:num>
  <w:num w:numId="11" w16cid:durableId="464661922">
    <w:abstractNumId w:val="7"/>
  </w:num>
  <w:num w:numId="12" w16cid:durableId="563881395">
    <w:abstractNumId w:val="4"/>
  </w:num>
  <w:num w:numId="13" w16cid:durableId="1617171697">
    <w:abstractNumId w:val="8"/>
  </w:num>
  <w:num w:numId="14" w16cid:durableId="1948467187">
    <w:abstractNumId w:val="17"/>
  </w:num>
  <w:num w:numId="15" w16cid:durableId="1098989307">
    <w:abstractNumId w:val="10"/>
  </w:num>
  <w:num w:numId="16" w16cid:durableId="2122797788">
    <w:abstractNumId w:val="6"/>
  </w:num>
  <w:num w:numId="17" w16cid:durableId="1017078739">
    <w:abstractNumId w:val="5"/>
  </w:num>
  <w:num w:numId="18" w16cid:durableId="953512905">
    <w:abstractNumId w:val="12"/>
  </w:num>
  <w:num w:numId="19" w16cid:durableId="411203776">
    <w:abstractNumId w:val="15"/>
  </w:num>
  <w:num w:numId="20" w16cid:durableId="511140366">
    <w:abstractNumId w:val="9"/>
  </w:num>
  <w:num w:numId="21" w16cid:durableId="100921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F3"/>
    <w:rsid w:val="00000FE8"/>
    <w:rsid w:val="00002EFD"/>
    <w:rsid w:val="000033F1"/>
    <w:rsid w:val="00012E7A"/>
    <w:rsid w:val="00015025"/>
    <w:rsid w:val="00026576"/>
    <w:rsid w:val="000273FD"/>
    <w:rsid w:val="00034D64"/>
    <w:rsid w:val="00045444"/>
    <w:rsid w:val="00046EFF"/>
    <w:rsid w:val="00050096"/>
    <w:rsid w:val="00051DB8"/>
    <w:rsid w:val="00056F86"/>
    <w:rsid w:val="00060AFE"/>
    <w:rsid w:val="00070875"/>
    <w:rsid w:val="00071F4B"/>
    <w:rsid w:val="000760D0"/>
    <w:rsid w:val="00077845"/>
    <w:rsid w:val="00082CBD"/>
    <w:rsid w:val="00084A60"/>
    <w:rsid w:val="00084F3C"/>
    <w:rsid w:val="0008667D"/>
    <w:rsid w:val="00086826"/>
    <w:rsid w:val="00087CDF"/>
    <w:rsid w:val="00094BE0"/>
    <w:rsid w:val="00095D31"/>
    <w:rsid w:val="00097A31"/>
    <w:rsid w:val="000A0EF4"/>
    <w:rsid w:val="000A2689"/>
    <w:rsid w:val="000A5367"/>
    <w:rsid w:val="000A6550"/>
    <w:rsid w:val="000C7AFE"/>
    <w:rsid w:val="000D2446"/>
    <w:rsid w:val="000D42E4"/>
    <w:rsid w:val="000D5D86"/>
    <w:rsid w:val="000E0CF3"/>
    <w:rsid w:val="000E40B9"/>
    <w:rsid w:val="000E6D4B"/>
    <w:rsid w:val="000E75C5"/>
    <w:rsid w:val="000F1DDE"/>
    <w:rsid w:val="000F50B1"/>
    <w:rsid w:val="000F718E"/>
    <w:rsid w:val="000F7CDB"/>
    <w:rsid w:val="00105455"/>
    <w:rsid w:val="00107308"/>
    <w:rsid w:val="00110731"/>
    <w:rsid w:val="001219F3"/>
    <w:rsid w:val="00122A99"/>
    <w:rsid w:val="001244BA"/>
    <w:rsid w:val="001259C0"/>
    <w:rsid w:val="00125A78"/>
    <w:rsid w:val="0012712B"/>
    <w:rsid w:val="00132EE4"/>
    <w:rsid w:val="00141EE3"/>
    <w:rsid w:val="00146F7A"/>
    <w:rsid w:val="00147ADE"/>
    <w:rsid w:val="00150226"/>
    <w:rsid w:val="001505F5"/>
    <w:rsid w:val="00150AFD"/>
    <w:rsid w:val="00153C72"/>
    <w:rsid w:val="00155A3B"/>
    <w:rsid w:val="001605F9"/>
    <w:rsid w:val="0016193E"/>
    <w:rsid w:val="0016242D"/>
    <w:rsid w:val="001633CA"/>
    <w:rsid w:val="001644C0"/>
    <w:rsid w:val="00165BAF"/>
    <w:rsid w:val="001664D8"/>
    <w:rsid w:val="001720EE"/>
    <w:rsid w:val="00176119"/>
    <w:rsid w:val="00181425"/>
    <w:rsid w:val="00183A87"/>
    <w:rsid w:val="00187D1D"/>
    <w:rsid w:val="001A3834"/>
    <w:rsid w:val="001A6D65"/>
    <w:rsid w:val="001A724F"/>
    <w:rsid w:val="001B19A4"/>
    <w:rsid w:val="001B1FBD"/>
    <w:rsid w:val="001B2ED3"/>
    <w:rsid w:val="001C5761"/>
    <w:rsid w:val="001C631C"/>
    <w:rsid w:val="001D1802"/>
    <w:rsid w:val="001D2140"/>
    <w:rsid w:val="001D351E"/>
    <w:rsid w:val="001E07AD"/>
    <w:rsid w:val="001E41FB"/>
    <w:rsid w:val="001E5DAF"/>
    <w:rsid w:val="001E624E"/>
    <w:rsid w:val="001F21FE"/>
    <w:rsid w:val="001F2C60"/>
    <w:rsid w:val="001F3C77"/>
    <w:rsid w:val="001F4614"/>
    <w:rsid w:val="00213278"/>
    <w:rsid w:val="0021383C"/>
    <w:rsid w:val="002150FC"/>
    <w:rsid w:val="002217B8"/>
    <w:rsid w:val="002230C6"/>
    <w:rsid w:val="00223237"/>
    <w:rsid w:val="00224721"/>
    <w:rsid w:val="0022709B"/>
    <w:rsid w:val="002274F5"/>
    <w:rsid w:val="00232BFD"/>
    <w:rsid w:val="00236B0F"/>
    <w:rsid w:val="0024435A"/>
    <w:rsid w:val="00245AAF"/>
    <w:rsid w:val="00250533"/>
    <w:rsid w:val="00253BB5"/>
    <w:rsid w:val="00254CC5"/>
    <w:rsid w:val="002605DA"/>
    <w:rsid w:val="00263833"/>
    <w:rsid w:val="00264AAE"/>
    <w:rsid w:val="0026503B"/>
    <w:rsid w:val="00267C9D"/>
    <w:rsid w:val="00271F66"/>
    <w:rsid w:val="002802EE"/>
    <w:rsid w:val="00280648"/>
    <w:rsid w:val="002809F0"/>
    <w:rsid w:val="00280CDD"/>
    <w:rsid w:val="00283720"/>
    <w:rsid w:val="0028579B"/>
    <w:rsid w:val="002859FA"/>
    <w:rsid w:val="00286A04"/>
    <w:rsid w:val="00287382"/>
    <w:rsid w:val="00295978"/>
    <w:rsid w:val="002968AD"/>
    <w:rsid w:val="00297290"/>
    <w:rsid w:val="002A6281"/>
    <w:rsid w:val="002B0F18"/>
    <w:rsid w:val="002B2726"/>
    <w:rsid w:val="002B334D"/>
    <w:rsid w:val="002B5DEB"/>
    <w:rsid w:val="002B61CD"/>
    <w:rsid w:val="002C2C55"/>
    <w:rsid w:val="002C47B9"/>
    <w:rsid w:val="002C4E28"/>
    <w:rsid w:val="002C51D7"/>
    <w:rsid w:val="002C73B2"/>
    <w:rsid w:val="002D0CD6"/>
    <w:rsid w:val="002D4384"/>
    <w:rsid w:val="002D461B"/>
    <w:rsid w:val="002D70E0"/>
    <w:rsid w:val="002D78E9"/>
    <w:rsid w:val="002D7D70"/>
    <w:rsid w:val="002E2C08"/>
    <w:rsid w:val="002E7184"/>
    <w:rsid w:val="002F0469"/>
    <w:rsid w:val="002F1634"/>
    <w:rsid w:val="002F18BB"/>
    <w:rsid w:val="002F4352"/>
    <w:rsid w:val="002F6D10"/>
    <w:rsid w:val="002F71F9"/>
    <w:rsid w:val="003035C3"/>
    <w:rsid w:val="003037EB"/>
    <w:rsid w:val="00303C07"/>
    <w:rsid w:val="00305C30"/>
    <w:rsid w:val="003070A7"/>
    <w:rsid w:val="0031540B"/>
    <w:rsid w:val="0031709F"/>
    <w:rsid w:val="003262AB"/>
    <w:rsid w:val="00326B72"/>
    <w:rsid w:val="00332782"/>
    <w:rsid w:val="0033285D"/>
    <w:rsid w:val="0034053C"/>
    <w:rsid w:val="00340C93"/>
    <w:rsid w:val="00341712"/>
    <w:rsid w:val="00346A7A"/>
    <w:rsid w:val="00346F5C"/>
    <w:rsid w:val="00353D6A"/>
    <w:rsid w:val="0035402D"/>
    <w:rsid w:val="00361E85"/>
    <w:rsid w:val="00361F44"/>
    <w:rsid w:val="00367DE4"/>
    <w:rsid w:val="00373BD8"/>
    <w:rsid w:val="00375E96"/>
    <w:rsid w:val="00377016"/>
    <w:rsid w:val="00381451"/>
    <w:rsid w:val="003830EC"/>
    <w:rsid w:val="00384703"/>
    <w:rsid w:val="00385228"/>
    <w:rsid w:val="00387C69"/>
    <w:rsid w:val="00387FC5"/>
    <w:rsid w:val="00390726"/>
    <w:rsid w:val="0039122C"/>
    <w:rsid w:val="00393A67"/>
    <w:rsid w:val="003946AC"/>
    <w:rsid w:val="003A3151"/>
    <w:rsid w:val="003A392B"/>
    <w:rsid w:val="003A4922"/>
    <w:rsid w:val="003A7D91"/>
    <w:rsid w:val="003B4D7E"/>
    <w:rsid w:val="003B51FE"/>
    <w:rsid w:val="003B5B7A"/>
    <w:rsid w:val="003C3E67"/>
    <w:rsid w:val="003C501F"/>
    <w:rsid w:val="003C5DA3"/>
    <w:rsid w:val="003D2CCA"/>
    <w:rsid w:val="003D5209"/>
    <w:rsid w:val="003E3DC6"/>
    <w:rsid w:val="003E7E7B"/>
    <w:rsid w:val="003F0112"/>
    <w:rsid w:val="003F141E"/>
    <w:rsid w:val="003F280E"/>
    <w:rsid w:val="003F2B97"/>
    <w:rsid w:val="003F520E"/>
    <w:rsid w:val="004009B8"/>
    <w:rsid w:val="00403F8E"/>
    <w:rsid w:val="0040623F"/>
    <w:rsid w:val="00412EEE"/>
    <w:rsid w:val="004130BA"/>
    <w:rsid w:val="004162AA"/>
    <w:rsid w:val="0042125C"/>
    <w:rsid w:val="0042237B"/>
    <w:rsid w:val="00426318"/>
    <w:rsid w:val="004350DA"/>
    <w:rsid w:val="00437A3A"/>
    <w:rsid w:val="0044165D"/>
    <w:rsid w:val="00444117"/>
    <w:rsid w:val="00452835"/>
    <w:rsid w:val="00455223"/>
    <w:rsid w:val="00455E50"/>
    <w:rsid w:val="00465D21"/>
    <w:rsid w:val="004703DD"/>
    <w:rsid w:val="004712E3"/>
    <w:rsid w:val="00471B62"/>
    <w:rsid w:val="004724B0"/>
    <w:rsid w:val="00472872"/>
    <w:rsid w:val="004737D2"/>
    <w:rsid w:val="0047635D"/>
    <w:rsid w:val="00476735"/>
    <w:rsid w:val="0047733F"/>
    <w:rsid w:val="00484104"/>
    <w:rsid w:val="00486338"/>
    <w:rsid w:val="004872DE"/>
    <w:rsid w:val="00490B05"/>
    <w:rsid w:val="00493058"/>
    <w:rsid w:val="00495619"/>
    <w:rsid w:val="004A052F"/>
    <w:rsid w:val="004B365D"/>
    <w:rsid w:val="004B6949"/>
    <w:rsid w:val="004C0B48"/>
    <w:rsid w:val="004C15BB"/>
    <w:rsid w:val="004D176D"/>
    <w:rsid w:val="004D5E8A"/>
    <w:rsid w:val="004E1885"/>
    <w:rsid w:val="004E36B8"/>
    <w:rsid w:val="004F08DB"/>
    <w:rsid w:val="004F1FCA"/>
    <w:rsid w:val="004F50BD"/>
    <w:rsid w:val="004F7791"/>
    <w:rsid w:val="00510955"/>
    <w:rsid w:val="00514474"/>
    <w:rsid w:val="00514F11"/>
    <w:rsid w:val="00517073"/>
    <w:rsid w:val="00521104"/>
    <w:rsid w:val="0052539F"/>
    <w:rsid w:val="005253EF"/>
    <w:rsid w:val="005269CA"/>
    <w:rsid w:val="00535713"/>
    <w:rsid w:val="005358DA"/>
    <w:rsid w:val="005361F9"/>
    <w:rsid w:val="00540904"/>
    <w:rsid w:val="00543E10"/>
    <w:rsid w:val="00547664"/>
    <w:rsid w:val="005506C1"/>
    <w:rsid w:val="005528AA"/>
    <w:rsid w:val="00553C37"/>
    <w:rsid w:val="00556DB1"/>
    <w:rsid w:val="0056048B"/>
    <w:rsid w:val="0056341E"/>
    <w:rsid w:val="00567D79"/>
    <w:rsid w:val="00570C38"/>
    <w:rsid w:val="00571390"/>
    <w:rsid w:val="0057291C"/>
    <w:rsid w:val="005752F2"/>
    <w:rsid w:val="00577D4E"/>
    <w:rsid w:val="00581CFA"/>
    <w:rsid w:val="00584391"/>
    <w:rsid w:val="00585C0C"/>
    <w:rsid w:val="00585DB0"/>
    <w:rsid w:val="00586B25"/>
    <w:rsid w:val="005A1998"/>
    <w:rsid w:val="005A4926"/>
    <w:rsid w:val="005A546B"/>
    <w:rsid w:val="005A66B3"/>
    <w:rsid w:val="005B2706"/>
    <w:rsid w:val="005C3728"/>
    <w:rsid w:val="005C52FC"/>
    <w:rsid w:val="005D45A3"/>
    <w:rsid w:val="005E1988"/>
    <w:rsid w:val="005E674C"/>
    <w:rsid w:val="005E78A6"/>
    <w:rsid w:val="005F533A"/>
    <w:rsid w:val="005F64CC"/>
    <w:rsid w:val="005F7867"/>
    <w:rsid w:val="005F7FD4"/>
    <w:rsid w:val="00603E36"/>
    <w:rsid w:val="0060569E"/>
    <w:rsid w:val="00606EFA"/>
    <w:rsid w:val="0061082C"/>
    <w:rsid w:val="0062596A"/>
    <w:rsid w:val="00627E33"/>
    <w:rsid w:val="00634FB3"/>
    <w:rsid w:val="006354D8"/>
    <w:rsid w:val="0064051C"/>
    <w:rsid w:val="0064667A"/>
    <w:rsid w:val="006611E9"/>
    <w:rsid w:val="00666D44"/>
    <w:rsid w:val="0066709A"/>
    <w:rsid w:val="00667691"/>
    <w:rsid w:val="00673093"/>
    <w:rsid w:val="0067698E"/>
    <w:rsid w:val="00677765"/>
    <w:rsid w:val="00680BE1"/>
    <w:rsid w:val="00680FC3"/>
    <w:rsid w:val="006852DC"/>
    <w:rsid w:val="006A0FDF"/>
    <w:rsid w:val="006A4983"/>
    <w:rsid w:val="006A4FC0"/>
    <w:rsid w:val="006A6360"/>
    <w:rsid w:val="006A7735"/>
    <w:rsid w:val="006B0608"/>
    <w:rsid w:val="006C25F2"/>
    <w:rsid w:val="006C6937"/>
    <w:rsid w:val="006D0766"/>
    <w:rsid w:val="006D32A4"/>
    <w:rsid w:val="006E132B"/>
    <w:rsid w:val="006E31A4"/>
    <w:rsid w:val="006E7109"/>
    <w:rsid w:val="006E7C72"/>
    <w:rsid w:val="006F3EED"/>
    <w:rsid w:val="006F675F"/>
    <w:rsid w:val="007037F5"/>
    <w:rsid w:val="00705411"/>
    <w:rsid w:val="0071347C"/>
    <w:rsid w:val="0071593A"/>
    <w:rsid w:val="0072113E"/>
    <w:rsid w:val="0072339E"/>
    <w:rsid w:val="00723B8D"/>
    <w:rsid w:val="00730ADE"/>
    <w:rsid w:val="00731E90"/>
    <w:rsid w:val="0073330E"/>
    <w:rsid w:val="00734666"/>
    <w:rsid w:val="00735C5B"/>
    <w:rsid w:val="00736D83"/>
    <w:rsid w:val="007406FC"/>
    <w:rsid w:val="00741E63"/>
    <w:rsid w:val="007437E6"/>
    <w:rsid w:val="00744FF3"/>
    <w:rsid w:val="00765F11"/>
    <w:rsid w:val="007701FB"/>
    <w:rsid w:val="0077053D"/>
    <w:rsid w:val="007708B9"/>
    <w:rsid w:val="00777F7D"/>
    <w:rsid w:val="00782165"/>
    <w:rsid w:val="00782AD8"/>
    <w:rsid w:val="007856F5"/>
    <w:rsid w:val="0078773C"/>
    <w:rsid w:val="00791737"/>
    <w:rsid w:val="007949CB"/>
    <w:rsid w:val="0079639B"/>
    <w:rsid w:val="007A16AA"/>
    <w:rsid w:val="007A36DF"/>
    <w:rsid w:val="007A40A4"/>
    <w:rsid w:val="007A4E09"/>
    <w:rsid w:val="007A5B53"/>
    <w:rsid w:val="007A6760"/>
    <w:rsid w:val="007B5110"/>
    <w:rsid w:val="007B60C9"/>
    <w:rsid w:val="007B73C4"/>
    <w:rsid w:val="007C2EDF"/>
    <w:rsid w:val="007C74DE"/>
    <w:rsid w:val="007D1505"/>
    <w:rsid w:val="007E5370"/>
    <w:rsid w:val="007F6F24"/>
    <w:rsid w:val="008008D2"/>
    <w:rsid w:val="008057BD"/>
    <w:rsid w:val="00805884"/>
    <w:rsid w:val="00806079"/>
    <w:rsid w:val="00806CD3"/>
    <w:rsid w:val="008108D0"/>
    <w:rsid w:val="00815AF0"/>
    <w:rsid w:val="00816250"/>
    <w:rsid w:val="0082133B"/>
    <w:rsid w:val="008254D3"/>
    <w:rsid w:val="0083474B"/>
    <w:rsid w:val="008359A2"/>
    <w:rsid w:val="00837BD5"/>
    <w:rsid w:val="008505DA"/>
    <w:rsid w:val="008529EE"/>
    <w:rsid w:val="008532C6"/>
    <w:rsid w:val="00856875"/>
    <w:rsid w:val="008646CD"/>
    <w:rsid w:val="008654E1"/>
    <w:rsid w:val="00870B7B"/>
    <w:rsid w:val="00871C95"/>
    <w:rsid w:val="00871ED9"/>
    <w:rsid w:val="00872680"/>
    <w:rsid w:val="00872BBB"/>
    <w:rsid w:val="008745A2"/>
    <w:rsid w:val="00876423"/>
    <w:rsid w:val="00884094"/>
    <w:rsid w:val="00884B53"/>
    <w:rsid w:val="008926C8"/>
    <w:rsid w:val="00893948"/>
    <w:rsid w:val="00893A4E"/>
    <w:rsid w:val="008A1544"/>
    <w:rsid w:val="008A69D8"/>
    <w:rsid w:val="008B1C79"/>
    <w:rsid w:val="008B5C15"/>
    <w:rsid w:val="008B6982"/>
    <w:rsid w:val="008C09BA"/>
    <w:rsid w:val="008C6C90"/>
    <w:rsid w:val="008E0856"/>
    <w:rsid w:val="008E0F1A"/>
    <w:rsid w:val="008E493B"/>
    <w:rsid w:val="008E758D"/>
    <w:rsid w:val="008F3653"/>
    <w:rsid w:val="008F5B9D"/>
    <w:rsid w:val="008F7293"/>
    <w:rsid w:val="00901F51"/>
    <w:rsid w:val="00905D1D"/>
    <w:rsid w:val="009064E2"/>
    <w:rsid w:val="009064EA"/>
    <w:rsid w:val="00906F66"/>
    <w:rsid w:val="009172FE"/>
    <w:rsid w:val="009201F4"/>
    <w:rsid w:val="0093179C"/>
    <w:rsid w:val="00933A82"/>
    <w:rsid w:val="00934700"/>
    <w:rsid w:val="00937F0E"/>
    <w:rsid w:val="009451CD"/>
    <w:rsid w:val="009452F1"/>
    <w:rsid w:val="00945DBC"/>
    <w:rsid w:val="00945EF0"/>
    <w:rsid w:val="00946BF3"/>
    <w:rsid w:val="00947593"/>
    <w:rsid w:val="00953305"/>
    <w:rsid w:val="00954505"/>
    <w:rsid w:val="00954E5E"/>
    <w:rsid w:val="00955EFA"/>
    <w:rsid w:val="00957FAC"/>
    <w:rsid w:val="00971E64"/>
    <w:rsid w:val="00981748"/>
    <w:rsid w:val="00987AC4"/>
    <w:rsid w:val="0099053A"/>
    <w:rsid w:val="00991CBB"/>
    <w:rsid w:val="00994C61"/>
    <w:rsid w:val="00995BB3"/>
    <w:rsid w:val="009A1699"/>
    <w:rsid w:val="009A1B6B"/>
    <w:rsid w:val="009A4EDA"/>
    <w:rsid w:val="009A5121"/>
    <w:rsid w:val="009A6245"/>
    <w:rsid w:val="009B0CAD"/>
    <w:rsid w:val="009B1783"/>
    <w:rsid w:val="009B2D43"/>
    <w:rsid w:val="009B3141"/>
    <w:rsid w:val="009B6106"/>
    <w:rsid w:val="009C16BD"/>
    <w:rsid w:val="009C53C6"/>
    <w:rsid w:val="009C79C1"/>
    <w:rsid w:val="009D6122"/>
    <w:rsid w:val="009E3123"/>
    <w:rsid w:val="009F5163"/>
    <w:rsid w:val="009F53F9"/>
    <w:rsid w:val="009F791F"/>
    <w:rsid w:val="00A02706"/>
    <w:rsid w:val="00A03467"/>
    <w:rsid w:val="00A0692D"/>
    <w:rsid w:val="00A06CA3"/>
    <w:rsid w:val="00A15A75"/>
    <w:rsid w:val="00A1688A"/>
    <w:rsid w:val="00A20607"/>
    <w:rsid w:val="00A2183D"/>
    <w:rsid w:val="00A2413F"/>
    <w:rsid w:val="00A254AE"/>
    <w:rsid w:val="00A30A58"/>
    <w:rsid w:val="00A32139"/>
    <w:rsid w:val="00A35777"/>
    <w:rsid w:val="00A372A9"/>
    <w:rsid w:val="00A40AF3"/>
    <w:rsid w:val="00A41C4B"/>
    <w:rsid w:val="00A42B0E"/>
    <w:rsid w:val="00A43D63"/>
    <w:rsid w:val="00A4582B"/>
    <w:rsid w:val="00A47ADA"/>
    <w:rsid w:val="00A50D2E"/>
    <w:rsid w:val="00A534B0"/>
    <w:rsid w:val="00A61424"/>
    <w:rsid w:val="00A61D02"/>
    <w:rsid w:val="00A62294"/>
    <w:rsid w:val="00A65A8A"/>
    <w:rsid w:val="00A713FD"/>
    <w:rsid w:val="00A739F9"/>
    <w:rsid w:val="00A800B3"/>
    <w:rsid w:val="00A808FC"/>
    <w:rsid w:val="00A84BDE"/>
    <w:rsid w:val="00A864D4"/>
    <w:rsid w:val="00A86847"/>
    <w:rsid w:val="00A9604D"/>
    <w:rsid w:val="00AA04E3"/>
    <w:rsid w:val="00AA27A4"/>
    <w:rsid w:val="00AB03D7"/>
    <w:rsid w:val="00AB657E"/>
    <w:rsid w:val="00AB6676"/>
    <w:rsid w:val="00AC07D3"/>
    <w:rsid w:val="00AC0876"/>
    <w:rsid w:val="00AC3379"/>
    <w:rsid w:val="00AC4E1E"/>
    <w:rsid w:val="00AC4E75"/>
    <w:rsid w:val="00AD1C42"/>
    <w:rsid w:val="00AD2534"/>
    <w:rsid w:val="00AD52D2"/>
    <w:rsid w:val="00AE22FC"/>
    <w:rsid w:val="00AE6F8B"/>
    <w:rsid w:val="00AF3EDE"/>
    <w:rsid w:val="00AF4DFD"/>
    <w:rsid w:val="00B016E8"/>
    <w:rsid w:val="00B06619"/>
    <w:rsid w:val="00B12095"/>
    <w:rsid w:val="00B217AB"/>
    <w:rsid w:val="00B21F0B"/>
    <w:rsid w:val="00B24222"/>
    <w:rsid w:val="00B24C1E"/>
    <w:rsid w:val="00B25521"/>
    <w:rsid w:val="00B27832"/>
    <w:rsid w:val="00B321DD"/>
    <w:rsid w:val="00B32D70"/>
    <w:rsid w:val="00B44678"/>
    <w:rsid w:val="00B556DA"/>
    <w:rsid w:val="00B66536"/>
    <w:rsid w:val="00B70E2C"/>
    <w:rsid w:val="00B715ED"/>
    <w:rsid w:val="00B81419"/>
    <w:rsid w:val="00B8272A"/>
    <w:rsid w:val="00B85B52"/>
    <w:rsid w:val="00B86F1B"/>
    <w:rsid w:val="00B91689"/>
    <w:rsid w:val="00B93903"/>
    <w:rsid w:val="00B94795"/>
    <w:rsid w:val="00BA4E9E"/>
    <w:rsid w:val="00BB0F0B"/>
    <w:rsid w:val="00BC303B"/>
    <w:rsid w:val="00BD2CCA"/>
    <w:rsid w:val="00BD37F3"/>
    <w:rsid w:val="00BD4BB1"/>
    <w:rsid w:val="00BD5D31"/>
    <w:rsid w:val="00BD62BC"/>
    <w:rsid w:val="00BE1F35"/>
    <w:rsid w:val="00BE249F"/>
    <w:rsid w:val="00BE2926"/>
    <w:rsid w:val="00BE2BCB"/>
    <w:rsid w:val="00BE4391"/>
    <w:rsid w:val="00BF060C"/>
    <w:rsid w:val="00BF600F"/>
    <w:rsid w:val="00BF60D3"/>
    <w:rsid w:val="00BF6145"/>
    <w:rsid w:val="00C001D4"/>
    <w:rsid w:val="00C07B3D"/>
    <w:rsid w:val="00C10CC2"/>
    <w:rsid w:val="00C13811"/>
    <w:rsid w:val="00C174B4"/>
    <w:rsid w:val="00C21AE4"/>
    <w:rsid w:val="00C21D59"/>
    <w:rsid w:val="00C21F6F"/>
    <w:rsid w:val="00C25E81"/>
    <w:rsid w:val="00C27375"/>
    <w:rsid w:val="00C30DD3"/>
    <w:rsid w:val="00C32108"/>
    <w:rsid w:val="00C334E9"/>
    <w:rsid w:val="00C375B3"/>
    <w:rsid w:val="00C448E6"/>
    <w:rsid w:val="00C44F2B"/>
    <w:rsid w:val="00C53069"/>
    <w:rsid w:val="00C54F08"/>
    <w:rsid w:val="00C61311"/>
    <w:rsid w:val="00C61ED0"/>
    <w:rsid w:val="00C67A4C"/>
    <w:rsid w:val="00C702E8"/>
    <w:rsid w:val="00C720B8"/>
    <w:rsid w:val="00C82057"/>
    <w:rsid w:val="00C846B7"/>
    <w:rsid w:val="00C85971"/>
    <w:rsid w:val="00C90B4B"/>
    <w:rsid w:val="00C93823"/>
    <w:rsid w:val="00C93A11"/>
    <w:rsid w:val="00C9429B"/>
    <w:rsid w:val="00C974CE"/>
    <w:rsid w:val="00CA0481"/>
    <w:rsid w:val="00CA1BEC"/>
    <w:rsid w:val="00CA2243"/>
    <w:rsid w:val="00CB0CE3"/>
    <w:rsid w:val="00CB1B35"/>
    <w:rsid w:val="00CB1CC3"/>
    <w:rsid w:val="00CB4B0C"/>
    <w:rsid w:val="00CB6049"/>
    <w:rsid w:val="00CB7E52"/>
    <w:rsid w:val="00CC1B68"/>
    <w:rsid w:val="00CC2E49"/>
    <w:rsid w:val="00CC4ED7"/>
    <w:rsid w:val="00CC5431"/>
    <w:rsid w:val="00CC6888"/>
    <w:rsid w:val="00CD3BF0"/>
    <w:rsid w:val="00CD4CDA"/>
    <w:rsid w:val="00CE546D"/>
    <w:rsid w:val="00CF1C1C"/>
    <w:rsid w:val="00CF2FCA"/>
    <w:rsid w:val="00CF4442"/>
    <w:rsid w:val="00CF5A46"/>
    <w:rsid w:val="00CF5C32"/>
    <w:rsid w:val="00CF684B"/>
    <w:rsid w:val="00D03CB8"/>
    <w:rsid w:val="00D04100"/>
    <w:rsid w:val="00D12CC8"/>
    <w:rsid w:val="00D13870"/>
    <w:rsid w:val="00D177EA"/>
    <w:rsid w:val="00D210D8"/>
    <w:rsid w:val="00D23E9A"/>
    <w:rsid w:val="00D260A0"/>
    <w:rsid w:val="00D271F8"/>
    <w:rsid w:val="00D27D53"/>
    <w:rsid w:val="00D323CD"/>
    <w:rsid w:val="00D43972"/>
    <w:rsid w:val="00D5096F"/>
    <w:rsid w:val="00D509C2"/>
    <w:rsid w:val="00D55894"/>
    <w:rsid w:val="00D60E99"/>
    <w:rsid w:val="00D623E0"/>
    <w:rsid w:val="00D7050E"/>
    <w:rsid w:val="00D72A22"/>
    <w:rsid w:val="00D74B3D"/>
    <w:rsid w:val="00D77CEE"/>
    <w:rsid w:val="00D80182"/>
    <w:rsid w:val="00D80E0D"/>
    <w:rsid w:val="00D81735"/>
    <w:rsid w:val="00D81E76"/>
    <w:rsid w:val="00D83457"/>
    <w:rsid w:val="00D868C0"/>
    <w:rsid w:val="00D90E24"/>
    <w:rsid w:val="00D9612A"/>
    <w:rsid w:val="00DA0008"/>
    <w:rsid w:val="00DA48C0"/>
    <w:rsid w:val="00DA713E"/>
    <w:rsid w:val="00DB0E61"/>
    <w:rsid w:val="00DB4837"/>
    <w:rsid w:val="00DB7AE2"/>
    <w:rsid w:val="00DC0FF8"/>
    <w:rsid w:val="00DC56E0"/>
    <w:rsid w:val="00DD170E"/>
    <w:rsid w:val="00DD2CD4"/>
    <w:rsid w:val="00DD6CF4"/>
    <w:rsid w:val="00DD7A93"/>
    <w:rsid w:val="00DE0DFC"/>
    <w:rsid w:val="00DE6BD3"/>
    <w:rsid w:val="00DE6DBC"/>
    <w:rsid w:val="00DF1224"/>
    <w:rsid w:val="00E07AD6"/>
    <w:rsid w:val="00E14AE3"/>
    <w:rsid w:val="00E20272"/>
    <w:rsid w:val="00E23809"/>
    <w:rsid w:val="00E25DCA"/>
    <w:rsid w:val="00E27CF8"/>
    <w:rsid w:val="00E36024"/>
    <w:rsid w:val="00E40605"/>
    <w:rsid w:val="00E41501"/>
    <w:rsid w:val="00E448FC"/>
    <w:rsid w:val="00E44A42"/>
    <w:rsid w:val="00E44A99"/>
    <w:rsid w:val="00E50B51"/>
    <w:rsid w:val="00E51294"/>
    <w:rsid w:val="00E612E1"/>
    <w:rsid w:val="00E61D18"/>
    <w:rsid w:val="00E646CC"/>
    <w:rsid w:val="00E6559E"/>
    <w:rsid w:val="00E66F0E"/>
    <w:rsid w:val="00E763A5"/>
    <w:rsid w:val="00E82F02"/>
    <w:rsid w:val="00E8415F"/>
    <w:rsid w:val="00E84869"/>
    <w:rsid w:val="00E8775B"/>
    <w:rsid w:val="00E90DF3"/>
    <w:rsid w:val="00E92D60"/>
    <w:rsid w:val="00EB0411"/>
    <w:rsid w:val="00EB0D6E"/>
    <w:rsid w:val="00EB2DC9"/>
    <w:rsid w:val="00EB46E4"/>
    <w:rsid w:val="00EC18BC"/>
    <w:rsid w:val="00EC3DF4"/>
    <w:rsid w:val="00EC49BD"/>
    <w:rsid w:val="00EC6415"/>
    <w:rsid w:val="00EC6678"/>
    <w:rsid w:val="00ED56FA"/>
    <w:rsid w:val="00EE08C0"/>
    <w:rsid w:val="00EE0FFE"/>
    <w:rsid w:val="00EE12B4"/>
    <w:rsid w:val="00EE2EEA"/>
    <w:rsid w:val="00EE48C3"/>
    <w:rsid w:val="00EE518A"/>
    <w:rsid w:val="00EF3F78"/>
    <w:rsid w:val="00EF4FFC"/>
    <w:rsid w:val="00EF507B"/>
    <w:rsid w:val="00EF5EDE"/>
    <w:rsid w:val="00F0069F"/>
    <w:rsid w:val="00F01301"/>
    <w:rsid w:val="00F05B0B"/>
    <w:rsid w:val="00F1376F"/>
    <w:rsid w:val="00F15337"/>
    <w:rsid w:val="00F2094C"/>
    <w:rsid w:val="00F27CCA"/>
    <w:rsid w:val="00F33DBD"/>
    <w:rsid w:val="00F36C99"/>
    <w:rsid w:val="00F377C0"/>
    <w:rsid w:val="00F4070C"/>
    <w:rsid w:val="00F41D01"/>
    <w:rsid w:val="00F440AC"/>
    <w:rsid w:val="00F46A74"/>
    <w:rsid w:val="00F52BD5"/>
    <w:rsid w:val="00F53FB2"/>
    <w:rsid w:val="00F61C21"/>
    <w:rsid w:val="00F61F61"/>
    <w:rsid w:val="00F70E97"/>
    <w:rsid w:val="00F73977"/>
    <w:rsid w:val="00F755E6"/>
    <w:rsid w:val="00F7591E"/>
    <w:rsid w:val="00F75A5C"/>
    <w:rsid w:val="00F82736"/>
    <w:rsid w:val="00F83718"/>
    <w:rsid w:val="00F83A3D"/>
    <w:rsid w:val="00F87CB3"/>
    <w:rsid w:val="00F95D6E"/>
    <w:rsid w:val="00F966D3"/>
    <w:rsid w:val="00F97B86"/>
    <w:rsid w:val="00FA00B9"/>
    <w:rsid w:val="00FA249C"/>
    <w:rsid w:val="00FA7728"/>
    <w:rsid w:val="00FB08E8"/>
    <w:rsid w:val="00FB0F88"/>
    <w:rsid w:val="00FB1317"/>
    <w:rsid w:val="00FB173D"/>
    <w:rsid w:val="00FB50DF"/>
    <w:rsid w:val="00FB5E45"/>
    <w:rsid w:val="00FB66B6"/>
    <w:rsid w:val="00FC0E6D"/>
    <w:rsid w:val="00FC1074"/>
    <w:rsid w:val="00FC28D9"/>
    <w:rsid w:val="00FC3ADF"/>
    <w:rsid w:val="00FC3E57"/>
    <w:rsid w:val="00FC7826"/>
    <w:rsid w:val="00FC79D3"/>
    <w:rsid w:val="00FC7E96"/>
    <w:rsid w:val="00FD2F96"/>
    <w:rsid w:val="00FD4CF0"/>
    <w:rsid w:val="00FD65D7"/>
    <w:rsid w:val="00FD75C8"/>
    <w:rsid w:val="00FF2C1E"/>
    <w:rsid w:val="00FF6D9F"/>
    <w:rsid w:val="00FF7D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17B305"/>
  <w15:docId w15:val="{99D78748-3B6A-4BAE-9E56-132800C0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312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3123"/>
    <w:pPr>
      <w:tabs>
        <w:tab w:val="center" w:pos="4320"/>
        <w:tab w:val="right" w:pos="8640"/>
      </w:tabs>
    </w:pPr>
  </w:style>
  <w:style w:type="paragraph" w:styleId="Footer">
    <w:name w:val="footer"/>
    <w:basedOn w:val="Normal"/>
    <w:link w:val="FooterChar"/>
    <w:uiPriority w:val="99"/>
    <w:rsid w:val="009E3123"/>
    <w:pPr>
      <w:tabs>
        <w:tab w:val="center" w:pos="4320"/>
        <w:tab w:val="right" w:pos="8640"/>
      </w:tabs>
    </w:pPr>
  </w:style>
  <w:style w:type="paragraph" w:styleId="ListParagraph">
    <w:name w:val="List Paragraph"/>
    <w:basedOn w:val="Normal"/>
    <w:uiPriority w:val="34"/>
    <w:qFormat/>
    <w:rsid w:val="006354D8"/>
    <w:pPr>
      <w:ind w:left="720"/>
      <w:contextualSpacing/>
    </w:pPr>
  </w:style>
  <w:style w:type="table" w:styleId="TableGrid">
    <w:name w:val="Table Grid"/>
    <w:basedOn w:val="TableNormal"/>
    <w:rsid w:val="00510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C21"/>
    <w:rPr>
      <w:rFonts w:ascii="Tahoma" w:hAnsi="Tahoma" w:cs="Tahoma"/>
      <w:sz w:val="16"/>
      <w:szCs w:val="16"/>
    </w:rPr>
  </w:style>
  <w:style w:type="character" w:customStyle="1" w:styleId="BalloonTextChar">
    <w:name w:val="Balloon Text Char"/>
    <w:basedOn w:val="DefaultParagraphFont"/>
    <w:link w:val="BalloonText"/>
    <w:rsid w:val="00F61C21"/>
    <w:rPr>
      <w:rFonts w:ascii="Tahoma" w:hAnsi="Tahoma" w:cs="Tahoma"/>
      <w:sz w:val="16"/>
      <w:szCs w:val="16"/>
    </w:rPr>
  </w:style>
  <w:style w:type="character" w:styleId="PageNumber">
    <w:name w:val="page number"/>
    <w:basedOn w:val="DefaultParagraphFont"/>
    <w:rsid w:val="00AC07D3"/>
  </w:style>
  <w:style w:type="paragraph" w:customStyle="1" w:styleId="Document1">
    <w:name w:val="Document 1"/>
    <w:rsid w:val="00AC07D3"/>
    <w:pPr>
      <w:keepNext/>
      <w:keepLines/>
      <w:widowControl w:val="0"/>
      <w:tabs>
        <w:tab w:val="left" w:pos="0"/>
      </w:tabs>
      <w:suppressAutoHyphens/>
      <w:autoSpaceDE w:val="0"/>
      <w:autoSpaceDN w:val="0"/>
      <w:adjustRightInd w:val="0"/>
      <w:spacing w:line="240" w:lineRule="atLeast"/>
    </w:pPr>
    <w:rPr>
      <w:rFonts w:ascii="Courier" w:hAnsi="Courier"/>
    </w:rPr>
  </w:style>
  <w:style w:type="character" w:styleId="CommentReference">
    <w:name w:val="annotation reference"/>
    <w:basedOn w:val="DefaultParagraphFont"/>
    <w:rsid w:val="009064E2"/>
    <w:rPr>
      <w:sz w:val="16"/>
      <w:szCs w:val="16"/>
    </w:rPr>
  </w:style>
  <w:style w:type="paragraph" w:styleId="CommentText">
    <w:name w:val="annotation text"/>
    <w:basedOn w:val="Normal"/>
    <w:link w:val="CommentTextChar"/>
    <w:rsid w:val="009064E2"/>
  </w:style>
  <w:style w:type="character" w:customStyle="1" w:styleId="CommentTextChar">
    <w:name w:val="Comment Text Char"/>
    <w:basedOn w:val="DefaultParagraphFont"/>
    <w:link w:val="CommentText"/>
    <w:rsid w:val="009064E2"/>
  </w:style>
  <w:style w:type="paragraph" w:styleId="CommentSubject">
    <w:name w:val="annotation subject"/>
    <w:basedOn w:val="CommentText"/>
    <w:next w:val="CommentText"/>
    <w:link w:val="CommentSubjectChar"/>
    <w:rsid w:val="009064E2"/>
    <w:rPr>
      <w:b/>
      <w:bCs/>
    </w:rPr>
  </w:style>
  <w:style w:type="character" w:customStyle="1" w:styleId="CommentSubjectChar">
    <w:name w:val="Comment Subject Char"/>
    <w:basedOn w:val="CommentTextChar"/>
    <w:link w:val="CommentSubject"/>
    <w:rsid w:val="009064E2"/>
    <w:rPr>
      <w:b/>
      <w:bCs/>
    </w:rPr>
  </w:style>
  <w:style w:type="paragraph" w:customStyle="1" w:styleId="Default">
    <w:name w:val="Default"/>
    <w:rsid w:val="005C3728"/>
    <w:pPr>
      <w:autoSpaceDE w:val="0"/>
      <w:autoSpaceDN w:val="0"/>
      <w:adjustRightInd w:val="0"/>
    </w:pPr>
    <w:rPr>
      <w:color w:val="000000"/>
      <w:sz w:val="24"/>
      <w:szCs w:val="24"/>
    </w:rPr>
  </w:style>
  <w:style w:type="character" w:styleId="Hyperlink">
    <w:name w:val="Hyperlink"/>
    <w:basedOn w:val="DefaultParagraphFont"/>
    <w:unhideWhenUsed/>
    <w:rsid w:val="004130BA"/>
    <w:rPr>
      <w:color w:val="0000FF" w:themeColor="hyperlink"/>
      <w:u w:val="single"/>
    </w:rPr>
  </w:style>
  <w:style w:type="character" w:styleId="UnresolvedMention">
    <w:name w:val="Unresolved Mention"/>
    <w:basedOn w:val="DefaultParagraphFont"/>
    <w:uiPriority w:val="99"/>
    <w:semiHidden/>
    <w:unhideWhenUsed/>
    <w:rsid w:val="004130BA"/>
    <w:rPr>
      <w:color w:val="605E5C"/>
      <w:shd w:val="clear" w:color="auto" w:fill="E1DFDD"/>
    </w:rPr>
  </w:style>
  <w:style w:type="paragraph" w:styleId="Revision">
    <w:name w:val="Revision"/>
    <w:hidden/>
    <w:uiPriority w:val="99"/>
    <w:semiHidden/>
    <w:rsid w:val="00BB0F0B"/>
  </w:style>
  <w:style w:type="character" w:customStyle="1" w:styleId="FooterChar">
    <w:name w:val="Footer Char"/>
    <w:basedOn w:val="DefaultParagraphFont"/>
    <w:link w:val="Footer"/>
    <w:uiPriority w:val="99"/>
    <w:rsid w:val="00387C69"/>
  </w:style>
  <w:style w:type="character" w:customStyle="1" w:styleId="HeaderChar">
    <w:name w:val="Header Char"/>
    <w:basedOn w:val="DefaultParagraphFont"/>
    <w:link w:val="Header"/>
    <w:uiPriority w:val="99"/>
    <w:rsid w:val="00387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4/subtitle-B/chapter-IX/part-1003" TargetMode="External" /><Relationship Id="rId11" Type="http://schemas.openxmlformats.org/officeDocument/2006/relationships/hyperlink" Target="https://www.ecfr.gov/current/title-2/subtitle-A/chapter-II/part-200/subpart-D/subject-group-ECFR36520e4111dce32/section-200.328" TargetMode="External" /><Relationship Id="rId12" Type="http://schemas.openxmlformats.org/officeDocument/2006/relationships/hyperlink" Target="https://www.ecfr.gov/current/title-24/subtitle-B/chapter-IX/part-1003/subpart-F/section-1003.506" TargetMode="External" /><Relationship Id="rId13" Type="http://schemas.openxmlformats.org/officeDocument/2006/relationships/hyperlink" Target="https://www.ecfr.gov/current/title-5/chapter-III/subchapter-B/part-1320/section-1320.8" TargetMode="External" /><Relationship Id="rId14" Type="http://schemas.openxmlformats.org/officeDocument/2006/relationships/hyperlink" Target="https://www.bls.gov/oes/current/oes130000.htm"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STATUTE-88/pdf/STATUTE-88-Pg633-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earance xmlns="85afbc03-4ac1-4918-9c7b-f49c0d7d3946">3049</Clearance>
    <test xmlns="85afbc03-4ac1-4918-9c7b-f49c0d7d3946">Office of General Counsel (OGC)</test>
    <_dlc_DocId xmlns="f7708968-ed3a-4bc5-a409-51c06323f3fd">HUDOGCAPPS-653078659-11050</_dlc_DocId>
    <_dlc_DocIdUrl xmlns="f7708968-ed3a-4bc5-a409-51c06323f3fd">
      <Url>http://sharepoint.hud.gov/sites/ogcapps/OGCInternalClearances/_layouts/15/DocIdRedir.aspx?ID=HUDOGCAPPS-653078659-11050</Url>
      <Description>HUDOGCAPPS-653078659-11050</Description>
    </_dlc_DocIdUrl>
  </documentManagement>
</p:properties>
</file>

<file path=customXml/itemProps1.xml><?xml version="1.0" encoding="utf-8"?>
<ds:datastoreItem xmlns:ds="http://schemas.openxmlformats.org/officeDocument/2006/customXml" ds:itemID="{86E317B1-267A-441A-9F24-56C8BB634281}">
  <ds:schemaRefs>
    <ds:schemaRef ds:uri="http://schemas.openxmlformats.org/officeDocument/2006/bibliography"/>
  </ds:schemaRefs>
</ds:datastoreItem>
</file>

<file path=customXml/itemProps2.xml><?xml version="1.0" encoding="utf-8"?>
<ds:datastoreItem xmlns:ds="http://schemas.openxmlformats.org/officeDocument/2006/customXml" ds:itemID="{F5D0CA16-3ABC-4D03-A36B-BF693D6C4EC8}">
  <ds:schemaRefs>
    <ds:schemaRef ds:uri="http://schemas.microsoft.com/sharepoint/v3/contenttype/forms"/>
  </ds:schemaRefs>
</ds:datastoreItem>
</file>

<file path=customXml/itemProps3.xml><?xml version="1.0" encoding="utf-8"?>
<ds:datastoreItem xmlns:ds="http://schemas.openxmlformats.org/officeDocument/2006/customXml" ds:itemID="{AF4E40CA-FE3B-409C-9493-F6D1BF0FC307}">
  <ds:schemaRefs>
    <ds:schemaRef ds:uri="http://schemas.microsoft.com/sharepoint/events"/>
  </ds:schemaRefs>
</ds:datastoreItem>
</file>

<file path=customXml/itemProps4.xml><?xml version="1.0" encoding="utf-8"?>
<ds:datastoreItem xmlns:ds="http://schemas.openxmlformats.org/officeDocument/2006/customXml" ds:itemID="{C03BCFAD-D879-409B-BEF3-AC59A3C5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CC463A-465F-4C4F-B6BE-4AE2A11E4524}">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Motley, Tara S</dc:creator>
  <cp:lastModifiedBy>Thornton, Leea J</cp:lastModifiedBy>
  <cp:revision>2</cp:revision>
  <dcterms:created xsi:type="dcterms:W3CDTF">2024-12-19T21:31:00Z</dcterms:created>
  <dcterms:modified xsi:type="dcterms:W3CDTF">2024-12-19T21:31:00Z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53431a39-cca9-4d0f-bf33-ec9ee15b5990</vt:lpwstr>
  </property>
</Properties>
</file>