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2009" w:rsidRPr="00EF2009" w:rsidP="00EF2009" w14:paraId="2C90520D" w14:textId="388DCF94">
      <w:pPr>
        <w:jc w:val="center"/>
        <w:rPr>
          <w:rFonts w:ascii="Times New Roman" w:hAnsi="Times New Roman"/>
        </w:rPr>
      </w:pPr>
      <w:r w:rsidRPr="00EF2009">
        <w:rPr>
          <w:rFonts w:ascii="Times New Roman" w:hAnsi="Times New Roman"/>
        </w:rPr>
        <w:t xml:space="preserve">Supporting </w:t>
      </w:r>
      <w:r>
        <w:rPr>
          <w:rFonts w:ascii="Times New Roman" w:hAnsi="Times New Roman"/>
        </w:rPr>
        <w:t>S</w:t>
      </w:r>
      <w:r w:rsidRPr="00EF2009">
        <w:rPr>
          <w:rFonts w:ascii="Times New Roman" w:hAnsi="Times New Roman"/>
        </w:rPr>
        <w:t xml:space="preserve">tatement – </w:t>
      </w:r>
      <w:r>
        <w:rPr>
          <w:rFonts w:ascii="Times New Roman" w:hAnsi="Times New Roman"/>
        </w:rPr>
        <w:t>P</w:t>
      </w:r>
      <w:r w:rsidRPr="00EF2009">
        <w:rPr>
          <w:rFonts w:ascii="Times New Roman" w:hAnsi="Times New Roman"/>
        </w:rPr>
        <w:t xml:space="preserve">art </w:t>
      </w:r>
      <w:r>
        <w:rPr>
          <w:rFonts w:ascii="Times New Roman" w:hAnsi="Times New Roman"/>
        </w:rPr>
        <w:t>B</w:t>
      </w:r>
    </w:p>
    <w:p w:rsidR="00EF2009" w:rsidRPr="00EF2009" w:rsidP="00EF2009" w14:paraId="590F6AB5" w14:textId="75DEE2B5">
      <w:pPr>
        <w:jc w:val="center"/>
        <w:rPr>
          <w:rFonts w:ascii="Times New Roman" w:hAnsi="Times New Roman"/>
        </w:rPr>
      </w:pPr>
      <w:r w:rsidRPr="00EF2009">
        <w:rPr>
          <w:rFonts w:ascii="Times New Roman" w:hAnsi="Times New Roman"/>
        </w:rPr>
        <w:t>Collections of information</w:t>
      </w:r>
      <w:r>
        <w:rPr>
          <w:rFonts w:ascii="Times New Roman" w:hAnsi="Times New Roman"/>
        </w:rPr>
        <w:t xml:space="preserve"> e</w:t>
      </w:r>
      <w:r w:rsidRPr="00EF2009">
        <w:rPr>
          <w:rFonts w:ascii="Times New Roman" w:hAnsi="Times New Roman"/>
        </w:rPr>
        <w:t>mploying statistical methods</w:t>
      </w:r>
    </w:p>
    <w:p w:rsidR="00EF2009" w:rsidP="00EF2009" w14:paraId="3F7D919F" w14:textId="77777777">
      <w:pPr>
        <w:rPr>
          <w:rFonts w:ascii="Times New Roman" w:hAnsi="Times New Roman"/>
          <w:b/>
          <w:szCs w:val="24"/>
        </w:rPr>
      </w:pPr>
    </w:p>
    <w:p w:rsidR="00EF2009" w:rsidRPr="00952324" w:rsidP="00EF2009" w14:paraId="4F4861DE" w14:textId="77777777">
      <w:pPr>
        <w:rPr>
          <w:rFonts w:ascii="Times New Roman" w:hAnsi="Times New Roman"/>
          <w:b/>
          <w:szCs w:val="24"/>
        </w:rPr>
      </w:pPr>
    </w:p>
    <w:p w:rsidR="00EF2009" w:rsidRPr="00952324" w:rsidP="00EF2009" w14:paraId="26DF6B13" w14:textId="77777777">
      <w:pPr>
        <w:rPr>
          <w:rFonts w:ascii="Times New Roman" w:hAnsi="Times New Roman"/>
          <w:b/>
          <w:szCs w:val="24"/>
        </w:rPr>
      </w:pPr>
      <w:r w:rsidRPr="00952324">
        <w:rPr>
          <w:rFonts w:ascii="Times New Roman" w:hAnsi="Times New Roman"/>
          <w:b/>
          <w:szCs w:val="24"/>
        </w:rPr>
        <w:t xml:space="preserve">Section B must be completed if the information collected from covered members of the public will be used to statistical purposes.   </w:t>
      </w:r>
    </w:p>
    <w:p w:rsidR="00EF2009" w:rsidRPr="00952324" w:rsidP="00EF2009" w14:paraId="641B812E" w14:textId="77777777">
      <w:pPr>
        <w:rPr>
          <w:rFonts w:ascii="Times New Roman" w:hAnsi="Times New Roman"/>
          <w:b/>
          <w:szCs w:val="24"/>
        </w:rPr>
      </w:pPr>
      <w:r w:rsidRPr="00952324">
        <w:rPr>
          <w:rFonts w:ascii="Times New Roman" w:hAnsi="Times New Roman"/>
          <w:i/>
          <w:szCs w:val="24"/>
        </w:rPr>
        <w:t>If the collection owner does not feel this question applies, a possible response would be: “This information collection does not employ statistical methods.” If this is the case Section B can be deleted in your final submission of the supporting statement</w:t>
      </w:r>
      <w:r w:rsidRPr="00952324">
        <w:rPr>
          <w:rFonts w:ascii="Times New Roman" w:hAnsi="Times New Roman"/>
          <w:b/>
          <w:szCs w:val="24"/>
        </w:rPr>
        <w:t>.</w:t>
      </w:r>
    </w:p>
    <w:p w:rsidR="00EF2009" w:rsidRPr="00952324" w:rsidP="00EF2009" w14:paraId="0E37B448" w14:textId="77777777">
      <w:pPr>
        <w:rPr>
          <w:rFonts w:ascii="Times New Roman" w:hAnsi="Times New Roman"/>
          <w:b/>
          <w:szCs w:val="24"/>
        </w:rPr>
      </w:pPr>
    </w:p>
    <w:p w:rsidR="00EF2009" w:rsidRPr="000C15E5" w:rsidP="00EF2009" w14:paraId="0A0BD738" w14:textId="77777777">
      <w:pPr>
        <w:numPr>
          <w:ilvl w:val="0"/>
          <w:numId w:val="5"/>
        </w:numPr>
        <w:tabs>
          <w:tab w:val="left" w:pos="-1440"/>
        </w:tabs>
        <w:ind w:left="360"/>
        <w:contextualSpacing/>
        <w:rPr>
          <w:rFonts w:ascii="Times New Roman" w:hAnsi="Times New Roman"/>
          <w:b/>
          <w:szCs w:val="24"/>
        </w:rPr>
      </w:pPr>
      <w:r w:rsidRPr="000C15E5">
        <w:rPr>
          <w:rFonts w:ascii="Times New Roman" w:hAnsi="Times New Roman"/>
          <w:b/>
          <w:szCs w:val="24"/>
        </w:rPr>
        <w:t>Describe (including a numerical estimate) the potential respondent universe and any sampling or other respondent selection method to be used.</w:t>
      </w:r>
    </w:p>
    <w:p w:rsidR="00EF2009" w:rsidRPr="000C15E5" w:rsidP="00EF2009" w14:paraId="034C4781" w14:textId="77777777">
      <w:pPr>
        <w:tabs>
          <w:tab w:val="left" w:pos="-1440"/>
        </w:tabs>
        <w:contextualSpacing/>
        <w:rPr>
          <w:rFonts w:ascii="Times New Roman" w:hAnsi="Times New Roman"/>
          <w:bCs/>
          <w:szCs w:val="24"/>
        </w:rPr>
      </w:pPr>
    </w:p>
    <w:p w:rsidR="00746131" w:rsidP="00746131" w14:paraId="12D1F26A" w14:textId="25066014">
      <w:pPr>
        <w:tabs>
          <w:tab w:val="left" w:pos="-1440"/>
        </w:tabs>
        <w:ind w:left="360"/>
        <w:contextualSpacing/>
        <w:rPr>
          <w:rFonts w:ascii="Times New Roman" w:hAnsi="Times New Roman"/>
          <w:bCs/>
          <w:szCs w:val="24"/>
        </w:rPr>
      </w:pPr>
      <w:r w:rsidRPr="000C15E5">
        <w:rPr>
          <w:rFonts w:ascii="Times New Roman" w:hAnsi="Times New Roman"/>
          <w:bCs/>
          <w:szCs w:val="24"/>
        </w:rPr>
        <w:t xml:space="preserve">The potential respondent universe will consist of 1500 U.S. citizens that are participants in </w:t>
      </w:r>
      <w:r w:rsidRPr="000C15E5">
        <w:rPr>
          <w:rFonts w:ascii="Times New Roman" w:hAnsi="Times New Roman"/>
          <w:bCs/>
          <w:szCs w:val="24"/>
        </w:rPr>
        <w:t>AmeriSpeak</w:t>
      </w:r>
      <w:r w:rsidRPr="000C15E5">
        <w:rPr>
          <w:rFonts w:ascii="Times New Roman" w:hAnsi="Times New Roman"/>
          <w:bCs/>
          <w:szCs w:val="24"/>
        </w:rPr>
        <w:t xml:space="preserve">®, a large probability-based panel funded and operated by NORC at the University of Chicago. </w:t>
      </w:r>
      <w:r w:rsidRPr="000C15E5">
        <w:rPr>
          <w:rFonts w:ascii="Times New Roman" w:hAnsi="Times New Roman"/>
          <w:bCs/>
          <w:szCs w:val="24"/>
        </w:rPr>
        <w:t>AmeriSpeak</w:t>
      </w:r>
      <w:r w:rsidRPr="000C15E5">
        <w:rPr>
          <w:rFonts w:ascii="Times New Roman" w:hAnsi="Times New Roman"/>
          <w:bCs/>
          <w:szCs w:val="24"/>
        </w:rPr>
        <w:t xml:space="preserve"> is designed to be representative of the U.S. household population, including all 50 states and the District of Columbia. U.S. households are randomly selected with a known, non-zero probability from the NORC National Frame as well as address-based sample (ABS) frames, and then recruited by mail, telephone, and by field interviewers face to face. </w:t>
      </w:r>
      <w:r w:rsidRPr="000C15E5">
        <w:rPr>
          <w:rFonts w:ascii="Times New Roman" w:hAnsi="Times New Roman"/>
          <w:bCs/>
          <w:szCs w:val="24"/>
        </w:rPr>
        <w:t>AmeriSpeak</w:t>
      </w:r>
      <w:r w:rsidRPr="000C15E5">
        <w:rPr>
          <w:rFonts w:ascii="Times New Roman" w:hAnsi="Times New Roman"/>
          <w:bCs/>
          <w:szCs w:val="24"/>
        </w:rPr>
        <w:t xml:space="preserve"> panelists participate in NORC studies or studies conducted by NORC on behalf of governmental agencies, academic institutions, the media, and commercial organizations.</w:t>
      </w:r>
    </w:p>
    <w:p w:rsidR="00746131" w:rsidP="00746131" w14:paraId="09336134" w14:textId="77777777">
      <w:pPr>
        <w:tabs>
          <w:tab w:val="left" w:pos="-1440"/>
        </w:tabs>
        <w:ind w:left="360"/>
        <w:contextualSpacing/>
        <w:rPr>
          <w:rFonts w:ascii="Times New Roman" w:hAnsi="Times New Roman"/>
          <w:bCs/>
          <w:szCs w:val="24"/>
        </w:rPr>
      </w:pPr>
    </w:p>
    <w:p w:rsidR="00746131" w:rsidP="00746131" w14:paraId="30BAFA5A" w14:textId="5BE9A9B5">
      <w:pPr>
        <w:tabs>
          <w:tab w:val="left" w:pos="-1440"/>
        </w:tabs>
        <w:ind w:left="360"/>
        <w:contextualSpacing/>
        <w:rPr>
          <w:rFonts w:ascii="Times New Roman" w:hAnsi="Times New Roman"/>
          <w:bCs/>
          <w:szCs w:val="24"/>
        </w:rPr>
      </w:pPr>
      <w:r>
        <w:rPr>
          <w:rFonts w:ascii="Times New Roman" w:hAnsi="Times New Roman"/>
          <w:bCs/>
          <w:szCs w:val="24"/>
        </w:rPr>
        <w:t xml:space="preserve">Below is a table </w:t>
      </w:r>
      <w:r>
        <w:rPr>
          <w:rFonts w:ascii="Times New Roman" w:hAnsi="Times New Roman"/>
          <w:bCs/>
          <w:szCs w:val="24"/>
        </w:rPr>
        <w:t>that</w:t>
      </w:r>
      <w:r w:rsidRPr="00746131">
        <w:rPr>
          <w:rFonts w:ascii="Times New Roman" w:hAnsi="Times New Roman"/>
          <w:bCs/>
          <w:szCs w:val="24"/>
        </w:rPr>
        <w:t xml:space="preserve"> summarizes demographic and socioeconomic characteristics </w:t>
      </w:r>
      <w:r w:rsidR="007E1A48">
        <w:rPr>
          <w:rFonts w:ascii="Times New Roman" w:hAnsi="Times New Roman"/>
          <w:bCs/>
          <w:szCs w:val="24"/>
        </w:rPr>
        <w:t>for the demographic segments in the</w:t>
      </w:r>
      <w:r w:rsidRPr="00746131">
        <w:rPr>
          <w:rFonts w:ascii="Times New Roman" w:hAnsi="Times New Roman"/>
          <w:bCs/>
          <w:szCs w:val="24"/>
        </w:rPr>
        <w:t xml:space="preserve"> sample of 1,500 individuals, comparing percentages in the national population to their representation in the sample. It also provides the margin of error (MOE) for each subgroup.</w:t>
      </w:r>
    </w:p>
    <w:p w:rsidR="00746131" w:rsidP="00746131" w14:paraId="2F69A65B" w14:textId="77777777">
      <w:pPr>
        <w:tabs>
          <w:tab w:val="left" w:pos="-1440"/>
        </w:tabs>
        <w:ind w:left="360"/>
        <w:contextualSpacing/>
        <w:rPr>
          <w:rFonts w:ascii="Times New Roman" w:hAnsi="Times New Roman"/>
          <w:bCs/>
          <w:szCs w:val="24"/>
        </w:rPr>
      </w:pPr>
    </w:p>
    <w:p w:rsidR="00746131" w:rsidRPr="00746131" w:rsidP="00746131" w14:paraId="748879B5" w14:textId="102325B1">
      <w:pPr>
        <w:tabs>
          <w:tab w:val="left" w:pos="-1440"/>
        </w:tabs>
        <w:ind w:left="360"/>
        <w:contextualSpacing/>
        <w:rPr>
          <w:rFonts w:ascii="Times New Roman" w:hAnsi="Times New Roman"/>
          <w:bCs/>
          <w:szCs w:val="24"/>
        </w:rPr>
      </w:pPr>
      <w:r w:rsidRPr="00746131">
        <w:rPr>
          <w:rFonts w:ascii="Times New Roman" w:hAnsi="Times New Roman"/>
          <w:snapToGrid/>
          <w:szCs w:val="24"/>
        </w:rPr>
        <w:t>Key dimensions include:</w:t>
      </w:r>
    </w:p>
    <w:p w:rsidR="00746131" w:rsidRPr="00746131" w:rsidP="00746131" w14:paraId="32B20C57" w14:textId="77777777">
      <w:pPr>
        <w:widowControl/>
        <w:numPr>
          <w:ilvl w:val="0"/>
          <w:numId w:val="8"/>
        </w:numPr>
        <w:spacing w:before="100" w:beforeAutospacing="1" w:after="100" w:afterAutospacing="1"/>
        <w:rPr>
          <w:rFonts w:ascii="Times New Roman" w:hAnsi="Times New Roman"/>
          <w:snapToGrid/>
          <w:szCs w:val="24"/>
        </w:rPr>
      </w:pPr>
      <w:r w:rsidRPr="00746131">
        <w:rPr>
          <w:rFonts w:ascii="Times New Roman" w:hAnsi="Times New Roman"/>
          <w:b/>
          <w:bCs/>
          <w:snapToGrid/>
          <w:szCs w:val="24"/>
        </w:rPr>
        <w:t>Gender</w:t>
      </w:r>
      <w:r w:rsidRPr="00746131">
        <w:rPr>
          <w:rFonts w:ascii="Times New Roman" w:hAnsi="Times New Roman"/>
          <w:snapToGrid/>
          <w:szCs w:val="24"/>
        </w:rPr>
        <w:t>: Proportions of males and females.</w:t>
      </w:r>
    </w:p>
    <w:p w:rsidR="00746131" w:rsidRPr="00746131" w:rsidP="00746131" w14:paraId="73903B8C" w14:textId="77777777">
      <w:pPr>
        <w:widowControl/>
        <w:numPr>
          <w:ilvl w:val="0"/>
          <w:numId w:val="8"/>
        </w:numPr>
        <w:spacing w:before="100" w:beforeAutospacing="1" w:after="100" w:afterAutospacing="1"/>
        <w:rPr>
          <w:rFonts w:ascii="Times New Roman" w:hAnsi="Times New Roman"/>
          <w:snapToGrid/>
          <w:szCs w:val="24"/>
        </w:rPr>
      </w:pPr>
      <w:r w:rsidRPr="00746131">
        <w:rPr>
          <w:rFonts w:ascii="Times New Roman" w:hAnsi="Times New Roman"/>
          <w:b/>
          <w:bCs/>
          <w:snapToGrid/>
          <w:szCs w:val="24"/>
        </w:rPr>
        <w:t>Age Groups</w:t>
      </w:r>
      <w:r w:rsidRPr="00746131">
        <w:rPr>
          <w:rFonts w:ascii="Times New Roman" w:hAnsi="Times New Roman"/>
          <w:snapToGrid/>
          <w:szCs w:val="24"/>
        </w:rPr>
        <w:t>: Breakdown into 18-34, 35-44, 45-64, and 65+.</w:t>
      </w:r>
    </w:p>
    <w:p w:rsidR="00746131" w:rsidRPr="00746131" w:rsidP="00746131" w14:paraId="7F4950CF" w14:textId="77777777">
      <w:pPr>
        <w:widowControl/>
        <w:numPr>
          <w:ilvl w:val="0"/>
          <w:numId w:val="8"/>
        </w:numPr>
        <w:spacing w:before="100" w:beforeAutospacing="1" w:after="100" w:afterAutospacing="1"/>
        <w:rPr>
          <w:rFonts w:ascii="Times New Roman" w:hAnsi="Times New Roman"/>
          <w:snapToGrid/>
          <w:szCs w:val="24"/>
        </w:rPr>
      </w:pPr>
      <w:r w:rsidRPr="00746131">
        <w:rPr>
          <w:rFonts w:ascii="Times New Roman" w:hAnsi="Times New Roman"/>
          <w:b/>
          <w:bCs/>
          <w:snapToGrid/>
          <w:szCs w:val="24"/>
        </w:rPr>
        <w:t>Race/Ethnicity</w:t>
      </w:r>
      <w:r w:rsidRPr="00746131">
        <w:rPr>
          <w:rFonts w:ascii="Times New Roman" w:hAnsi="Times New Roman"/>
          <w:snapToGrid/>
          <w:szCs w:val="24"/>
        </w:rPr>
        <w:t>: Representation of Non-Hispanic (NH) Whites, NH Blacks, NH Asians, Hispanics, and NH Others.</w:t>
      </w:r>
    </w:p>
    <w:p w:rsidR="00746131" w:rsidRPr="00746131" w:rsidP="00746131" w14:paraId="3AAE0538" w14:textId="77777777">
      <w:pPr>
        <w:widowControl/>
        <w:numPr>
          <w:ilvl w:val="0"/>
          <w:numId w:val="8"/>
        </w:numPr>
        <w:spacing w:before="100" w:beforeAutospacing="1" w:after="100" w:afterAutospacing="1"/>
        <w:rPr>
          <w:rFonts w:ascii="Times New Roman" w:hAnsi="Times New Roman"/>
          <w:snapToGrid/>
          <w:szCs w:val="24"/>
        </w:rPr>
      </w:pPr>
      <w:r w:rsidRPr="00746131">
        <w:rPr>
          <w:rFonts w:ascii="Times New Roman" w:hAnsi="Times New Roman"/>
          <w:b/>
          <w:bCs/>
          <w:snapToGrid/>
          <w:szCs w:val="24"/>
        </w:rPr>
        <w:t>Household Income</w:t>
      </w:r>
      <w:r w:rsidRPr="00746131">
        <w:rPr>
          <w:rFonts w:ascii="Times New Roman" w:hAnsi="Times New Roman"/>
          <w:snapToGrid/>
          <w:szCs w:val="24"/>
        </w:rPr>
        <w:t>: Income categories from less than $25,000 to $100,000+.</w:t>
      </w:r>
    </w:p>
    <w:p w:rsidR="00746131" w:rsidRPr="00746131" w:rsidP="00746131" w14:paraId="410AFE19" w14:textId="77777777">
      <w:pPr>
        <w:widowControl/>
        <w:numPr>
          <w:ilvl w:val="0"/>
          <w:numId w:val="8"/>
        </w:numPr>
        <w:spacing w:before="100" w:beforeAutospacing="1" w:after="100" w:afterAutospacing="1"/>
        <w:rPr>
          <w:rFonts w:ascii="Times New Roman" w:hAnsi="Times New Roman"/>
          <w:snapToGrid/>
          <w:szCs w:val="24"/>
        </w:rPr>
      </w:pPr>
      <w:r w:rsidRPr="00746131">
        <w:rPr>
          <w:rFonts w:ascii="Times New Roman" w:hAnsi="Times New Roman"/>
          <w:b/>
          <w:bCs/>
          <w:snapToGrid/>
          <w:szCs w:val="24"/>
        </w:rPr>
        <w:t>Education Levels</w:t>
      </w:r>
      <w:r w:rsidRPr="00746131">
        <w:rPr>
          <w:rFonts w:ascii="Times New Roman" w:hAnsi="Times New Roman"/>
          <w:snapToGrid/>
          <w:szCs w:val="24"/>
        </w:rPr>
        <w:t>: Ranging from less than high school to college and beyond.</w:t>
      </w:r>
    </w:p>
    <w:p w:rsidR="00746131" w:rsidP="00746131" w14:paraId="3BDAB8C9" w14:textId="77777777">
      <w:pPr>
        <w:widowControl/>
        <w:numPr>
          <w:ilvl w:val="0"/>
          <w:numId w:val="8"/>
        </w:numPr>
        <w:spacing w:before="100" w:beforeAutospacing="1" w:after="100" w:afterAutospacing="1"/>
        <w:rPr>
          <w:rFonts w:ascii="Times New Roman" w:hAnsi="Times New Roman"/>
          <w:snapToGrid/>
          <w:szCs w:val="24"/>
        </w:rPr>
      </w:pPr>
      <w:r w:rsidRPr="00746131">
        <w:rPr>
          <w:rFonts w:ascii="Times New Roman" w:hAnsi="Times New Roman"/>
          <w:b/>
          <w:bCs/>
          <w:snapToGrid/>
          <w:szCs w:val="24"/>
        </w:rPr>
        <w:t>Parental Status</w:t>
      </w:r>
      <w:r w:rsidRPr="00746131">
        <w:rPr>
          <w:rFonts w:ascii="Times New Roman" w:hAnsi="Times New Roman"/>
          <w:snapToGrid/>
          <w:szCs w:val="24"/>
        </w:rPr>
        <w:t>: Differentiates between parents of children under 18 and non-parents</w:t>
      </w:r>
    </w:p>
    <w:p w:rsidR="000B62F9" w:rsidP="000B62F9" w14:paraId="1F92148F" w14:textId="77777777">
      <w:pPr>
        <w:widowControl/>
        <w:spacing w:before="100" w:beforeAutospacing="1" w:after="100" w:afterAutospacing="1"/>
        <w:ind w:left="360"/>
        <w:rPr>
          <w:rFonts w:ascii="Times New Roman" w:hAnsi="Times New Roman"/>
          <w:snapToGrid/>
          <w:szCs w:val="24"/>
        </w:rPr>
      </w:pPr>
    </w:p>
    <w:p w:rsidR="000B62F9" w:rsidP="000B62F9" w14:paraId="16A24F7A" w14:textId="77777777">
      <w:pPr>
        <w:widowControl/>
        <w:spacing w:before="100" w:beforeAutospacing="1" w:after="100" w:afterAutospacing="1"/>
        <w:ind w:left="360"/>
        <w:rPr>
          <w:rFonts w:ascii="Times New Roman" w:hAnsi="Times New Roman"/>
          <w:snapToGrid/>
          <w:szCs w:val="24"/>
        </w:rPr>
      </w:pPr>
    </w:p>
    <w:p w:rsidR="000B62F9" w:rsidP="000B62F9" w14:paraId="1D5FAC85" w14:textId="77777777">
      <w:pPr>
        <w:widowControl/>
        <w:spacing w:before="100" w:beforeAutospacing="1" w:after="100" w:afterAutospacing="1"/>
        <w:ind w:left="360"/>
        <w:rPr>
          <w:rFonts w:ascii="Times New Roman" w:hAnsi="Times New Roman"/>
          <w:snapToGrid/>
          <w:szCs w:val="24"/>
        </w:rPr>
      </w:pPr>
    </w:p>
    <w:p w:rsidR="007E1A48" w:rsidRPr="000B62F9" w:rsidP="000B62F9" w14:paraId="2340045C" w14:textId="77777777">
      <w:pPr>
        <w:widowControl/>
        <w:spacing w:before="100" w:beforeAutospacing="1" w:after="100" w:afterAutospacing="1"/>
        <w:ind w:left="360"/>
        <w:rPr>
          <w:rFonts w:ascii="Times New Roman" w:hAnsi="Times New Roman"/>
          <w:snapToGrid/>
          <w:szCs w:val="24"/>
        </w:rPr>
      </w:pPr>
    </w:p>
    <w:tbl>
      <w:tblPr>
        <w:tblW w:w="8725" w:type="dxa"/>
        <w:tblInd w:w="355" w:type="dxa"/>
        <w:tblLook w:val="04A0"/>
      </w:tblPr>
      <w:tblGrid>
        <w:gridCol w:w="1665"/>
        <w:gridCol w:w="2500"/>
        <w:gridCol w:w="1840"/>
        <w:gridCol w:w="1440"/>
        <w:gridCol w:w="1280"/>
      </w:tblGrid>
      <w:tr w14:paraId="5003C9B2" w14:textId="77777777" w:rsidTr="00FA6807">
        <w:tblPrEx>
          <w:tblW w:w="8725" w:type="dxa"/>
          <w:tblInd w:w="355" w:type="dxa"/>
          <w:tblLook w:val="04A0"/>
        </w:tblPrEx>
        <w:trPr>
          <w:trHeight w:val="576"/>
        </w:trPr>
        <w:tc>
          <w:tcPr>
            <w:tcW w:w="1665" w:type="dxa"/>
            <w:tcBorders>
              <w:top w:val="single" w:sz="4" w:space="0" w:color="4472C4"/>
              <w:left w:val="single" w:sz="4" w:space="0" w:color="4472C4"/>
              <w:bottom w:val="nil"/>
              <w:right w:val="nil"/>
            </w:tcBorders>
            <w:shd w:val="clear" w:color="4472C4" w:fill="4472C4"/>
            <w:vAlign w:val="bottom"/>
            <w:hideMark/>
          </w:tcPr>
          <w:p w:rsidR="00FA6807" w:rsidRPr="00FA6807" w:rsidP="00FA6807" w14:paraId="76C412ED" w14:textId="77777777">
            <w:pPr>
              <w:widowControl/>
              <w:rPr>
                <w:rFonts w:ascii="Calibri" w:hAnsi="Calibri" w:cs="Calibri"/>
                <w:b/>
                <w:bCs/>
                <w:snapToGrid/>
                <w:color w:val="FFFFFF"/>
                <w:sz w:val="22"/>
                <w:szCs w:val="22"/>
              </w:rPr>
            </w:pPr>
            <w:r w:rsidRPr="00FA6807">
              <w:rPr>
                <w:rFonts w:ascii="Calibri" w:hAnsi="Calibri" w:cs="Calibri"/>
                <w:b/>
                <w:bCs/>
                <w:snapToGrid/>
                <w:color w:val="FFFFFF"/>
                <w:sz w:val="22"/>
                <w:szCs w:val="22"/>
              </w:rPr>
              <w:t xml:space="preserve">Group </w:t>
            </w:r>
          </w:p>
        </w:tc>
        <w:tc>
          <w:tcPr>
            <w:tcW w:w="2500" w:type="dxa"/>
            <w:tcBorders>
              <w:top w:val="single" w:sz="4" w:space="0" w:color="4472C4"/>
              <w:left w:val="nil"/>
              <w:bottom w:val="nil"/>
              <w:right w:val="nil"/>
            </w:tcBorders>
            <w:shd w:val="clear" w:color="4472C4" w:fill="4472C4"/>
            <w:vAlign w:val="bottom"/>
            <w:hideMark/>
          </w:tcPr>
          <w:p w:rsidR="00FA6807" w:rsidRPr="00FA6807" w:rsidP="00FA6807" w14:paraId="5B170B14" w14:textId="77777777">
            <w:pPr>
              <w:widowControl/>
              <w:rPr>
                <w:rFonts w:ascii="Calibri" w:hAnsi="Calibri" w:cs="Calibri"/>
                <w:b/>
                <w:bCs/>
                <w:snapToGrid/>
                <w:color w:val="FFFFFF"/>
                <w:sz w:val="22"/>
                <w:szCs w:val="22"/>
              </w:rPr>
            </w:pPr>
            <w:r w:rsidRPr="00FA6807">
              <w:rPr>
                <w:rFonts w:ascii="Calibri" w:hAnsi="Calibri" w:cs="Calibri"/>
                <w:b/>
                <w:bCs/>
                <w:snapToGrid/>
                <w:color w:val="FFFFFF"/>
                <w:sz w:val="22"/>
                <w:szCs w:val="22"/>
              </w:rPr>
              <w:t xml:space="preserve"> Segment </w:t>
            </w:r>
          </w:p>
        </w:tc>
        <w:tc>
          <w:tcPr>
            <w:tcW w:w="1840" w:type="dxa"/>
            <w:tcBorders>
              <w:top w:val="single" w:sz="4" w:space="0" w:color="4472C4"/>
              <w:left w:val="nil"/>
              <w:bottom w:val="nil"/>
              <w:right w:val="nil"/>
            </w:tcBorders>
            <w:shd w:val="clear" w:color="4472C4" w:fill="4472C4"/>
            <w:vAlign w:val="bottom"/>
            <w:hideMark/>
          </w:tcPr>
          <w:p w:rsidR="00FA6807" w:rsidRPr="00FA6807" w:rsidP="00FA6807" w14:paraId="1E10D735" w14:textId="77777777">
            <w:pPr>
              <w:widowControl/>
              <w:jc w:val="center"/>
              <w:rPr>
                <w:rFonts w:ascii="Calibri" w:hAnsi="Calibri" w:cs="Calibri"/>
                <w:b/>
                <w:bCs/>
                <w:snapToGrid/>
                <w:color w:val="FFFFFF"/>
                <w:sz w:val="22"/>
                <w:szCs w:val="22"/>
              </w:rPr>
            </w:pPr>
            <w:r w:rsidRPr="00FA6807">
              <w:rPr>
                <w:rFonts w:ascii="Calibri" w:hAnsi="Calibri" w:cs="Calibri"/>
                <w:b/>
                <w:bCs/>
                <w:snapToGrid/>
                <w:color w:val="FFFFFF"/>
                <w:sz w:val="22"/>
                <w:szCs w:val="22"/>
              </w:rPr>
              <w:t>% in National Pop.</w:t>
            </w:r>
          </w:p>
        </w:tc>
        <w:tc>
          <w:tcPr>
            <w:tcW w:w="1440" w:type="dxa"/>
            <w:tcBorders>
              <w:top w:val="single" w:sz="4" w:space="0" w:color="4472C4"/>
              <w:left w:val="nil"/>
              <w:bottom w:val="nil"/>
              <w:right w:val="nil"/>
            </w:tcBorders>
            <w:shd w:val="clear" w:color="4472C4" w:fill="4472C4"/>
            <w:vAlign w:val="bottom"/>
            <w:hideMark/>
          </w:tcPr>
          <w:p w:rsidR="00FA6807" w:rsidRPr="00FA6807" w:rsidP="00FA6807" w14:paraId="071CD709" w14:textId="77777777">
            <w:pPr>
              <w:widowControl/>
              <w:jc w:val="center"/>
              <w:rPr>
                <w:rFonts w:ascii="Calibri" w:hAnsi="Calibri" w:cs="Calibri"/>
                <w:b/>
                <w:bCs/>
                <w:snapToGrid/>
                <w:color w:val="FFFFFF"/>
                <w:sz w:val="22"/>
                <w:szCs w:val="22"/>
              </w:rPr>
            </w:pPr>
            <w:r w:rsidRPr="00FA6807">
              <w:rPr>
                <w:rFonts w:ascii="Calibri" w:hAnsi="Calibri" w:cs="Calibri"/>
                <w:b/>
                <w:bCs/>
                <w:snapToGrid/>
                <w:color w:val="FFFFFF"/>
                <w:sz w:val="22"/>
                <w:szCs w:val="22"/>
              </w:rPr>
              <w:t xml:space="preserve">~ # in Sample of 1,500 </w:t>
            </w:r>
          </w:p>
        </w:tc>
        <w:tc>
          <w:tcPr>
            <w:tcW w:w="1280" w:type="dxa"/>
            <w:tcBorders>
              <w:top w:val="single" w:sz="4" w:space="0" w:color="4472C4"/>
              <w:left w:val="nil"/>
              <w:bottom w:val="nil"/>
              <w:right w:val="single" w:sz="4" w:space="0" w:color="4472C4"/>
            </w:tcBorders>
            <w:shd w:val="clear" w:color="4472C4" w:fill="4472C4"/>
            <w:vAlign w:val="bottom"/>
            <w:hideMark/>
          </w:tcPr>
          <w:p w:rsidR="00FA6807" w:rsidRPr="00FA6807" w:rsidP="00FA6807" w14:paraId="78723262" w14:textId="77777777">
            <w:pPr>
              <w:widowControl/>
              <w:jc w:val="center"/>
              <w:rPr>
                <w:rFonts w:ascii="Calibri" w:hAnsi="Calibri" w:cs="Calibri"/>
                <w:b/>
                <w:bCs/>
                <w:snapToGrid/>
                <w:color w:val="FFFFFF"/>
                <w:sz w:val="22"/>
                <w:szCs w:val="22"/>
              </w:rPr>
            </w:pPr>
            <w:r w:rsidRPr="00FA6807">
              <w:rPr>
                <w:rFonts w:ascii="Calibri" w:hAnsi="Calibri" w:cs="Calibri"/>
                <w:b/>
                <w:bCs/>
                <w:snapToGrid/>
                <w:color w:val="FFFFFF"/>
                <w:sz w:val="22"/>
                <w:szCs w:val="22"/>
              </w:rPr>
              <w:t xml:space="preserve"> MOE (+/-)</w:t>
            </w:r>
          </w:p>
        </w:tc>
      </w:tr>
      <w:tr w14:paraId="0EC34C28"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3C5D8150" w14:textId="77777777">
            <w:pPr>
              <w:widowControl/>
              <w:rPr>
                <w:rFonts w:ascii="Calibri" w:hAnsi="Calibri" w:cs="Calibri"/>
                <w:i/>
                <w:iCs/>
                <w:snapToGrid/>
                <w:color w:val="000000"/>
                <w:sz w:val="22"/>
                <w:szCs w:val="22"/>
              </w:rPr>
            </w:pPr>
            <w:r w:rsidRPr="00FA6807">
              <w:rPr>
                <w:rFonts w:ascii="Calibri" w:hAnsi="Calibri" w:cs="Calibri"/>
                <w:i/>
                <w:iCs/>
                <w:snapToGrid/>
                <w:color w:val="000000"/>
                <w:sz w:val="22"/>
                <w:szCs w:val="22"/>
              </w:rPr>
              <w:t>ALL SURVEY</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6A36B71F" w14:textId="77777777">
            <w:pPr>
              <w:widowControl/>
              <w:rPr>
                <w:rFonts w:ascii="Calibri" w:hAnsi="Calibri" w:cs="Calibri"/>
                <w:i/>
                <w:iCs/>
                <w:snapToGrid/>
                <w:color w:val="000000"/>
                <w:sz w:val="22"/>
                <w:szCs w:val="22"/>
              </w:rPr>
            </w:pPr>
            <w:r w:rsidRPr="00FA6807">
              <w:rPr>
                <w:rFonts w:ascii="Calibri" w:hAnsi="Calibri" w:cs="Calibri"/>
                <w:i/>
                <w:iCs/>
                <w:snapToGrid/>
                <w:color w:val="000000"/>
                <w:sz w:val="22"/>
                <w:szCs w:val="22"/>
              </w:rPr>
              <w:t>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501C1107" w14:textId="77777777">
            <w:pPr>
              <w:widowControl/>
              <w:jc w:val="center"/>
              <w:rPr>
                <w:rFonts w:ascii="Calibri" w:hAnsi="Calibri" w:cs="Calibri"/>
                <w:i/>
                <w:iCs/>
                <w:snapToGrid/>
                <w:color w:val="000000"/>
                <w:sz w:val="22"/>
                <w:szCs w:val="22"/>
              </w:rPr>
            </w:pPr>
            <w:r w:rsidRPr="00FA6807">
              <w:rPr>
                <w:rFonts w:ascii="Calibri" w:hAnsi="Calibri" w:cs="Calibri"/>
                <w:i/>
                <w:iCs/>
                <w:snapToGrid/>
                <w:color w:val="000000"/>
                <w:sz w:val="22"/>
                <w:szCs w:val="22"/>
              </w:rPr>
              <w:t xml:space="preserve">                                 </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5FC6218B" w14:textId="77777777">
            <w:pPr>
              <w:widowControl/>
              <w:jc w:val="center"/>
              <w:rPr>
                <w:rFonts w:ascii="Calibri" w:hAnsi="Calibri" w:cs="Calibri"/>
                <w:i/>
                <w:iCs/>
                <w:snapToGrid/>
                <w:color w:val="000000"/>
                <w:sz w:val="22"/>
                <w:szCs w:val="22"/>
              </w:rPr>
            </w:pPr>
            <w:r w:rsidRPr="00FA6807">
              <w:rPr>
                <w:rFonts w:ascii="Calibri" w:hAnsi="Calibri" w:cs="Calibri"/>
                <w:i/>
                <w:iCs/>
                <w:snapToGrid/>
                <w:color w:val="000000"/>
                <w:sz w:val="22"/>
                <w:szCs w:val="22"/>
              </w:rPr>
              <w:t> </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4F01AFD5" w14:textId="77777777">
            <w:pPr>
              <w:widowControl/>
              <w:jc w:val="center"/>
              <w:rPr>
                <w:rFonts w:ascii="Calibri" w:hAnsi="Calibri" w:cs="Calibri"/>
                <w:i/>
                <w:iCs/>
                <w:snapToGrid/>
                <w:color w:val="000000"/>
                <w:sz w:val="22"/>
                <w:szCs w:val="22"/>
              </w:rPr>
            </w:pPr>
            <w:r w:rsidRPr="00FA6807">
              <w:rPr>
                <w:rFonts w:ascii="Calibri" w:hAnsi="Calibri" w:cs="Calibri"/>
                <w:i/>
                <w:iCs/>
                <w:snapToGrid/>
                <w:color w:val="000000"/>
                <w:sz w:val="22"/>
                <w:szCs w:val="22"/>
              </w:rPr>
              <w:t>2.5%</w:t>
            </w:r>
          </w:p>
        </w:tc>
      </w:tr>
      <w:tr w14:paraId="619F5A8F"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754D62D6"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Gender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34D59072"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Male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0013440D"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49%</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7E266A01"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735</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22BDACEA"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2.8%</w:t>
            </w:r>
          </w:p>
        </w:tc>
      </w:tr>
      <w:tr w14:paraId="39664A1B"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3961F9B7"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7EB5AC2E"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Female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1A9B6496"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51%</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566E9C57"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765</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6C70AB3E"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2.8%</w:t>
            </w:r>
          </w:p>
        </w:tc>
      </w:tr>
      <w:tr w14:paraId="068DFD24"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2435CCE5"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Age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3F0233ED"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18-34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528ED08E"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29%</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4BE3C009"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435</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7B4AFB0C"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3.7%</w:t>
            </w:r>
          </w:p>
        </w:tc>
      </w:tr>
      <w:tr w14:paraId="36995C8D"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1034F246"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5A3F10A4"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35-44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406E39AC"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17%</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5FA74A02"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255</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2FCF165B"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4.9%</w:t>
            </w:r>
          </w:p>
        </w:tc>
      </w:tr>
      <w:tr w14:paraId="1E54EA27"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34806F9B"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3E4653BE"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45-64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2B076FF9"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32%</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575F7607"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480</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043FCAD4"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3.6%</w:t>
            </w:r>
          </w:p>
        </w:tc>
      </w:tr>
      <w:tr w14:paraId="7B099ED4"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3AA7AA6B"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4D4192F4"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65+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67AF6A70"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22%</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4F9335AF"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330</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5D7F6319"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4.3%</w:t>
            </w:r>
          </w:p>
        </w:tc>
      </w:tr>
      <w:tr w14:paraId="7E12EC44"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3B1F28AC"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Race/Ethnicity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3568197D"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NH White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75A6A36E"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58%</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14D896B2"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870</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5419D526"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2.6%</w:t>
            </w:r>
          </w:p>
        </w:tc>
      </w:tr>
      <w:tr w14:paraId="68E44AF4"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36FEE843"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6C211A0B"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NH Black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4CF111AE"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12%</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57401973"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180</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511D376E"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5.8%</w:t>
            </w:r>
          </w:p>
        </w:tc>
      </w:tr>
      <w:tr w14:paraId="1E83A3DF"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191C643C"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713E135B"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NH Asian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757987C9"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6%</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525B226E"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90</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0D44ABE8"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8.2%</w:t>
            </w:r>
          </w:p>
        </w:tc>
      </w:tr>
      <w:tr w14:paraId="1F23BC4C"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3B326B84"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18538810"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Hispanic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579790DF"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19%</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6C9DAAA7"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285</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77A8BB3B"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4.6%</w:t>
            </w:r>
          </w:p>
        </w:tc>
      </w:tr>
      <w:tr w14:paraId="4D9B8BC1"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38FB7ECF"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233CA4D1"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NH Other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688BA2B1"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5%</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4FED460E"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75</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5CA55430"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9.1%</w:t>
            </w:r>
          </w:p>
        </w:tc>
      </w:tr>
      <w:tr w14:paraId="0F816EEC"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634D4E8B"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Household Income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27CB05C3"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Less than $25,000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32A8C675"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17%</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0FD24E53"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255</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12137523"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4.9%</w:t>
            </w:r>
          </w:p>
        </w:tc>
      </w:tr>
      <w:tr w14:paraId="482BB944"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738917D7"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6D649794"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$25,000-$49,999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4717E800"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19%</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7B2C1CBE"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285</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66578F92"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4.6%</w:t>
            </w:r>
          </w:p>
        </w:tc>
      </w:tr>
      <w:tr w14:paraId="6B94EAB2"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506F4EC0"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592D0EEA"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$50,000-$99,999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30A207D1"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30%</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5312AA7A"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450</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0E22E416"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3.7%</w:t>
            </w:r>
          </w:p>
        </w:tc>
      </w:tr>
      <w:tr w14:paraId="21A5DED9"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4AFC8C2D"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559A6832"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$100,000+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1F9C3BCE"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34%</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47AF080E"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510</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20D4E019"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3.5%</w:t>
            </w:r>
          </w:p>
        </w:tc>
      </w:tr>
      <w:tr w14:paraId="64FB31BE"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7362F469"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Education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36474839"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Less than HS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67AA71B8"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11%</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10D996D5"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165</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067C2DF1"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6.1%</w:t>
            </w:r>
          </w:p>
        </w:tc>
      </w:tr>
      <w:tr w14:paraId="097C22D8"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13B032E6"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699D521B"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High School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5363CA9F"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27%</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3661166C"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405</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45A5ECD9"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3.9%</w:t>
            </w:r>
          </w:p>
        </w:tc>
      </w:tr>
      <w:tr w14:paraId="486D941A"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7A515C0E"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1E459001"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Some College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6DB24735"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30%</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6B62BC14"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450</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45D646F9"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3.7%</w:t>
            </w:r>
          </w:p>
        </w:tc>
      </w:tr>
      <w:tr w14:paraId="0D369F05" w14:textId="77777777" w:rsidTr="00FA6807">
        <w:tblPrEx>
          <w:tblW w:w="8725" w:type="dxa"/>
          <w:tblInd w:w="355" w:type="dxa"/>
          <w:tblLook w:val="04A0"/>
        </w:tblPrEx>
        <w:trPr>
          <w:trHeight w:val="288"/>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2ED77486"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1A9E12AC"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College +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3D3F09BB"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32%</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36651C15"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480</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5FF3209A"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3.6%</w:t>
            </w:r>
          </w:p>
        </w:tc>
      </w:tr>
      <w:tr w14:paraId="336EB445" w14:textId="77777777" w:rsidTr="00FA6807">
        <w:tblPrEx>
          <w:tblW w:w="8725" w:type="dxa"/>
          <w:tblInd w:w="355" w:type="dxa"/>
          <w:tblLook w:val="04A0"/>
        </w:tblPrEx>
        <w:trPr>
          <w:trHeight w:val="576"/>
        </w:trPr>
        <w:tc>
          <w:tcPr>
            <w:tcW w:w="1665" w:type="dxa"/>
            <w:tcBorders>
              <w:top w:val="single" w:sz="4" w:space="0" w:color="4472C4"/>
              <w:left w:val="single" w:sz="4" w:space="0" w:color="4472C4"/>
              <w:bottom w:val="nil"/>
              <w:right w:val="nil"/>
            </w:tcBorders>
            <w:shd w:val="clear" w:color="auto" w:fill="auto"/>
            <w:vAlign w:val="bottom"/>
            <w:hideMark/>
          </w:tcPr>
          <w:p w:rsidR="00FA6807" w:rsidRPr="00FA6807" w:rsidP="00FA6807" w14:paraId="037F4BF3"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Parental Status </w:t>
            </w:r>
          </w:p>
        </w:tc>
        <w:tc>
          <w:tcPr>
            <w:tcW w:w="2500" w:type="dxa"/>
            <w:tcBorders>
              <w:top w:val="single" w:sz="4" w:space="0" w:color="4472C4"/>
              <w:left w:val="nil"/>
              <w:bottom w:val="nil"/>
              <w:right w:val="nil"/>
            </w:tcBorders>
            <w:shd w:val="clear" w:color="auto" w:fill="auto"/>
            <w:vAlign w:val="bottom"/>
            <w:hideMark/>
          </w:tcPr>
          <w:p w:rsidR="00FA6807" w:rsidRPr="00FA6807" w:rsidP="00FA6807" w14:paraId="4591678B"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Parents (children aged &lt;18 in HH) </w:t>
            </w:r>
          </w:p>
        </w:tc>
        <w:tc>
          <w:tcPr>
            <w:tcW w:w="1840" w:type="dxa"/>
            <w:tcBorders>
              <w:top w:val="single" w:sz="4" w:space="0" w:color="4472C4"/>
              <w:left w:val="nil"/>
              <w:bottom w:val="nil"/>
              <w:right w:val="nil"/>
            </w:tcBorders>
            <w:shd w:val="clear" w:color="auto" w:fill="auto"/>
            <w:vAlign w:val="bottom"/>
            <w:hideMark/>
          </w:tcPr>
          <w:p w:rsidR="00FA6807" w:rsidRPr="00FA6807" w:rsidP="00FA6807" w14:paraId="763E1729"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35%</w:t>
            </w:r>
          </w:p>
        </w:tc>
        <w:tc>
          <w:tcPr>
            <w:tcW w:w="1440" w:type="dxa"/>
            <w:tcBorders>
              <w:top w:val="single" w:sz="4" w:space="0" w:color="4472C4"/>
              <w:left w:val="nil"/>
              <w:bottom w:val="nil"/>
              <w:right w:val="nil"/>
            </w:tcBorders>
            <w:shd w:val="clear" w:color="auto" w:fill="auto"/>
            <w:vAlign w:val="bottom"/>
            <w:hideMark/>
          </w:tcPr>
          <w:p w:rsidR="00FA6807" w:rsidRPr="00FA6807" w:rsidP="00FA6807" w14:paraId="470B6DAA"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525</w:t>
            </w:r>
          </w:p>
        </w:tc>
        <w:tc>
          <w:tcPr>
            <w:tcW w:w="1280" w:type="dxa"/>
            <w:tcBorders>
              <w:top w:val="single" w:sz="4" w:space="0" w:color="4472C4"/>
              <w:left w:val="nil"/>
              <w:bottom w:val="nil"/>
              <w:right w:val="single" w:sz="4" w:space="0" w:color="4472C4"/>
            </w:tcBorders>
            <w:shd w:val="clear" w:color="auto" w:fill="auto"/>
            <w:vAlign w:val="bottom"/>
            <w:hideMark/>
          </w:tcPr>
          <w:p w:rsidR="00FA6807" w:rsidRPr="00FA6807" w:rsidP="00FA6807" w14:paraId="1C7AF0A5"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3.6%</w:t>
            </w:r>
          </w:p>
        </w:tc>
      </w:tr>
      <w:tr w14:paraId="41D746E1" w14:textId="77777777" w:rsidTr="00FA6807">
        <w:tblPrEx>
          <w:tblW w:w="8725" w:type="dxa"/>
          <w:tblInd w:w="355" w:type="dxa"/>
          <w:tblLook w:val="04A0"/>
        </w:tblPrEx>
        <w:trPr>
          <w:trHeight w:val="576"/>
        </w:trPr>
        <w:tc>
          <w:tcPr>
            <w:tcW w:w="1665" w:type="dxa"/>
            <w:tcBorders>
              <w:top w:val="single" w:sz="4" w:space="0" w:color="4472C4"/>
              <w:left w:val="single" w:sz="4" w:space="0" w:color="4472C4"/>
              <w:bottom w:val="single" w:sz="4" w:space="0" w:color="4472C4"/>
              <w:right w:val="nil"/>
            </w:tcBorders>
            <w:shd w:val="clear" w:color="auto" w:fill="auto"/>
            <w:vAlign w:val="bottom"/>
            <w:hideMark/>
          </w:tcPr>
          <w:p w:rsidR="00FA6807" w:rsidRPr="00FA6807" w:rsidP="00FA6807" w14:paraId="39069C19"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 xml:space="preserve">       </w:t>
            </w:r>
          </w:p>
        </w:tc>
        <w:tc>
          <w:tcPr>
            <w:tcW w:w="2500" w:type="dxa"/>
            <w:tcBorders>
              <w:top w:val="single" w:sz="4" w:space="0" w:color="4472C4"/>
              <w:left w:val="nil"/>
              <w:bottom w:val="single" w:sz="4" w:space="0" w:color="4472C4"/>
              <w:right w:val="nil"/>
            </w:tcBorders>
            <w:shd w:val="clear" w:color="auto" w:fill="auto"/>
            <w:vAlign w:val="bottom"/>
            <w:hideMark/>
          </w:tcPr>
          <w:p w:rsidR="00FA6807" w:rsidRPr="00FA6807" w:rsidP="00FA6807" w14:paraId="4D9F4D8A" w14:textId="77777777">
            <w:pPr>
              <w:widowControl/>
              <w:rPr>
                <w:rFonts w:ascii="Calibri" w:hAnsi="Calibri" w:cs="Calibri"/>
                <w:snapToGrid/>
                <w:color w:val="000000"/>
                <w:sz w:val="22"/>
                <w:szCs w:val="22"/>
              </w:rPr>
            </w:pPr>
            <w:r w:rsidRPr="00FA6807">
              <w:rPr>
                <w:rFonts w:ascii="Calibri" w:hAnsi="Calibri" w:cs="Calibri"/>
                <w:snapToGrid/>
                <w:color w:val="000000"/>
                <w:sz w:val="22"/>
                <w:szCs w:val="22"/>
              </w:rPr>
              <w:t>Non-parents / no children aged &lt;</w:t>
            </w:r>
            <w:r w:rsidRPr="00FA6807">
              <w:rPr>
                <w:rFonts w:ascii="Calibri" w:hAnsi="Calibri" w:cs="Calibri"/>
                <w:snapToGrid/>
                <w:color w:val="000000"/>
                <w:sz w:val="22"/>
                <w:szCs w:val="22"/>
              </w:rPr>
              <w:t>18  in</w:t>
            </w:r>
            <w:r w:rsidRPr="00FA6807">
              <w:rPr>
                <w:rFonts w:ascii="Calibri" w:hAnsi="Calibri" w:cs="Calibri"/>
                <w:snapToGrid/>
                <w:color w:val="000000"/>
                <w:sz w:val="22"/>
                <w:szCs w:val="22"/>
              </w:rPr>
              <w:t xml:space="preserve"> HH</w:t>
            </w:r>
          </w:p>
        </w:tc>
        <w:tc>
          <w:tcPr>
            <w:tcW w:w="1840" w:type="dxa"/>
            <w:tcBorders>
              <w:top w:val="single" w:sz="4" w:space="0" w:color="4472C4"/>
              <w:left w:val="nil"/>
              <w:bottom w:val="single" w:sz="4" w:space="0" w:color="4472C4"/>
              <w:right w:val="nil"/>
            </w:tcBorders>
            <w:shd w:val="clear" w:color="auto" w:fill="auto"/>
            <w:vAlign w:val="bottom"/>
            <w:hideMark/>
          </w:tcPr>
          <w:p w:rsidR="00FA6807" w:rsidRPr="00FA6807" w:rsidP="00FA6807" w14:paraId="736E7488"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65%</w:t>
            </w:r>
          </w:p>
        </w:tc>
        <w:tc>
          <w:tcPr>
            <w:tcW w:w="1440" w:type="dxa"/>
            <w:tcBorders>
              <w:top w:val="single" w:sz="4" w:space="0" w:color="4472C4"/>
              <w:left w:val="nil"/>
              <w:bottom w:val="single" w:sz="4" w:space="0" w:color="4472C4"/>
              <w:right w:val="nil"/>
            </w:tcBorders>
            <w:shd w:val="clear" w:color="auto" w:fill="auto"/>
            <w:vAlign w:val="bottom"/>
            <w:hideMark/>
          </w:tcPr>
          <w:p w:rsidR="00FA6807" w:rsidRPr="00FA6807" w:rsidP="00FA6807" w14:paraId="6F797798"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975</w:t>
            </w:r>
          </w:p>
        </w:tc>
        <w:tc>
          <w:tcPr>
            <w:tcW w:w="1280" w:type="dxa"/>
            <w:tcBorders>
              <w:top w:val="single" w:sz="4" w:space="0" w:color="4472C4"/>
              <w:left w:val="nil"/>
              <w:bottom w:val="single" w:sz="4" w:space="0" w:color="4472C4"/>
              <w:right w:val="single" w:sz="4" w:space="0" w:color="4472C4"/>
            </w:tcBorders>
            <w:shd w:val="clear" w:color="auto" w:fill="auto"/>
            <w:vAlign w:val="bottom"/>
            <w:hideMark/>
          </w:tcPr>
          <w:p w:rsidR="00FA6807" w:rsidRPr="00FA6807" w:rsidP="00FA6807" w14:paraId="21EDFB88" w14:textId="77777777">
            <w:pPr>
              <w:widowControl/>
              <w:jc w:val="center"/>
              <w:rPr>
                <w:rFonts w:ascii="Calibri" w:hAnsi="Calibri" w:cs="Calibri"/>
                <w:snapToGrid/>
                <w:color w:val="000000"/>
                <w:sz w:val="22"/>
                <w:szCs w:val="22"/>
              </w:rPr>
            </w:pPr>
            <w:r w:rsidRPr="00FA6807">
              <w:rPr>
                <w:rFonts w:ascii="Calibri" w:hAnsi="Calibri" w:cs="Calibri"/>
                <w:snapToGrid/>
                <w:color w:val="000000"/>
                <w:sz w:val="22"/>
                <w:szCs w:val="22"/>
              </w:rPr>
              <w:t>2.5%</w:t>
            </w:r>
          </w:p>
        </w:tc>
      </w:tr>
    </w:tbl>
    <w:p w:rsidR="001C37FB" w:rsidRPr="000C15E5" w:rsidP="00EF2009" w14:paraId="4EDD7311" w14:textId="77777777">
      <w:pPr>
        <w:tabs>
          <w:tab w:val="left" w:pos="-1440"/>
        </w:tabs>
        <w:ind w:left="360"/>
        <w:contextualSpacing/>
        <w:rPr>
          <w:rFonts w:ascii="Times New Roman" w:hAnsi="Times New Roman"/>
          <w:bCs/>
          <w:szCs w:val="24"/>
        </w:rPr>
      </w:pPr>
    </w:p>
    <w:p w:rsidR="00EF2009" w:rsidRPr="000C15E5" w:rsidP="00EF2009" w14:paraId="16C5A796" w14:textId="77777777">
      <w:pPr>
        <w:tabs>
          <w:tab w:val="left" w:pos="-1440"/>
        </w:tabs>
        <w:ind w:left="360"/>
        <w:contextualSpacing/>
        <w:rPr>
          <w:rFonts w:ascii="Times New Roman" w:hAnsi="Times New Roman"/>
          <w:bCs/>
          <w:szCs w:val="24"/>
        </w:rPr>
      </w:pPr>
    </w:p>
    <w:p w:rsidR="00EF2009" w:rsidRPr="000C15E5" w:rsidP="00EF2009" w14:paraId="37BAD8AB" w14:textId="33DDFFFA">
      <w:pPr>
        <w:tabs>
          <w:tab w:val="left" w:pos="-1440"/>
        </w:tabs>
        <w:ind w:left="360"/>
        <w:contextualSpacing/>
        <w:rPr>
          <w:rFonts w:ascii="Times New Roman" w:hAnsi="Times New Roman"/>
          <w:bCs/>
          <w:szCs w:val="24"/>
        </w:rPr>
      </w:pPr>
      <w:r w:rsidRPr="000C15E5">
        <w:rPr>
          <w:rFonts w:ascii="Times New Roman" w:hAnsi="Times New Roman"/>
          <w:bCs/>
          <w:szCs w:val="24"/>
        </w:rPr>
        <w:t xml:space="preserve">The construction of the </w:t>
      </w:r>
      <w:r w:rsidRPr="000C15E5">
        <w:rPr>
          <w:rFonts w:ascii="Times New Roman" w:hAnsi="Times New Roman"/>
          <w:bCs/>
          <w:szCs w:val="24"/>
        </w:rPr>
        <w:t>AmeriSpeak</w:t>
      </w:r>
      <w:r w:rsidRPr="000C15E5">
        <w:rPr>
          <w:rFonts w:ascii="Times New Roman" w:hAnsi="Times New Roman"/>
          <w:bCs/>
          <w:szCs w:val="24"/>
        </w:rPr>
        <w:t xml:space="preserve"> panel started in 2014 with pilot samples. In 2015, about 7,000 households were recruited from a sample of around 60,000 addresses. In 2016, about 128,000 addresses were sampled to expand the panel to around 20,000 recruited households. About 51,000 addresses were selected for the 2017 recruitment, which led to the expansion of the regular </w:t>
      </w:r>
      <w:r w:rsidRPr="000C15E5">
        <w:rPr>
          <w:rFonts w:ascii="Times New Roman" w:hAnsi="Times New Roman"/>
          <w:bCs/>
          <w:szCs w:val="24"/>
        </w:rPr>
        <w:t>AmeriSpeak</w:t>
      </w:r>
      <w:r w:rsidRPr="000C15E5">
        <w:rPr>
          <w:rFonts w:ascii="Times New Roman" w:hAnsi="Times New Roman"/>
          <w:bCs/>
          <w:szCs w:val="24"/>
        </w:rPr>
        <w:t xml:space="preserve"> panel to 23,000 recruited households. The </w:t>
      </w:r>
      <w:r w:rsidRPr="000C15E5">
        <w:rPr>
          <w:rFonts w:ascii="Times New Roman" w:hAnsi="Times New Roman"/>
          <w:bCs/>
          <w:szCs w:val="24"/>
        </w:rPr>
        <w:t>AmeriSpeak</w:t>
      </w:r>
      <w:r w:rsidRPr="000C15E5">
        <w:rPr>
          <w:rFonts w:ascii="Times New Roman" w:hAnsi="Times New Roman"/>
          <w:bCs/>
          <w:szCs w:val="24"/>
        </w:rPr>
        <w:t xml:space="preserve"> Panel expanded to approximately 30,000 households in 2018 and 35,000 households in 2019 through further recruitment efforts. The current panel size is 54,001 panel members aged 13 and over residing in over 43,000 households.</w:t>
      </w:r>
    </w:p>
    <w:p w:rsidR="00EF2009" w:rsidRPr="000C15E5" w:rsidP="00EF2009" w14:paraId="1616F449" w14:textId="77777777">
      <w:pPr>
        <w:tabs>
          <w:tab w:val="left" w:pos="-1440"/>
        </w:tabs>
        <w:ind w:left="360"/>
        <w:contextualSpacing/>
        <w:rPr>
          <w:rFonts w:ascii="Times New Roman" w:hAnsi="Times New Roman"/>
          <w:bCs/>
          <w:szCs w:val="24"/>
        </w:rPr>
      </w:pPr>
    </w:p>
    <w:p w:rsidR="00EF2009" w:rsidRPr="000C15E5" w:rsidP="00EF2009" w14:paraId="09A65809" w14:textId="4EEF706E">
      <w:pPr>
        <w:tabs>
          <w:tab w:val="left" w:pos="-1440"/>
        </w:tabs>
        <w:ind w:left="360"/>
        <w:contextualSpacing/>
        <w:rPr>
          <w:rFonts w:ascii="Times New Roman" w:hAnsi="Times New Roman"/>
          <w:bCs/>
          <w:szCs w:val="24"/>
        </w:rPr>
      </w:pPr>
      <w:r w:rsidRPr="000C15E5">
        <w:rPr>
          <w:rFonts w:ascii="Times New Roman" w:hAnsi="Times New Roman"/>
          <w:bCs/>
          <w:szCs w:val="24"/>
        </w:rPr>
        <w:t xml:space="preserve">The primary sampling frame for </w:t>
      </w:r>
      <w:r w:rsidRPr="000C15E5">
        <w:rPr>
          <w:rFonts w:ascii="Times New Roman" w:hAnsi="Times New Roman"/>
          <w:bCs/>
          <w:szCs w:val="24"/>
        </w:rPr>
        <w:t>AmeriSpeak</w:t>
      </w:r>
      <w:r w:rsidRPr="000C15E5">
        <w:rPr>
          <w:rFonts w:ascii="Times New Roman" w:hAnsi="Times New Roman"/>
          <w:bCs/>
          <w:szCs w:val="24"/>
        </w:rPr>
        <w:t xml:space="preserve"> is the 2010 NORC National Frame, a multistage probability sample that fully represents the U.S. household population. For panel sample selection between 2014 and 2018 and in 2020, National Frame segments were stratified into six sampling strata based on the race/ethnicity and age composition of each segment, as below:</w:t>
      </w:r>
    </w:p>
    <w:p w:rsidR="00EF2009" w:rsidRPr="000C15E5" w:rsidP="00EF2009" w14:paraId="4D8BF7A2" w14:textId="77777777">
      <w:pPr>
        <w:pStyle w:val="ListParagraph"/>
        <w:numPr>
          <w:ilvl w:val="0"/>
          <w:numId w:val="6"/>
        </w:numPr>
        <w:tabs>
          <w:tab w:val="left" w:pos="-1440"/>
        </w:tabs>
        <w:rPr>
          <w:rFonts w:ascii="Times New Roman" w:hAnsi="Times New Roman"/>
          <w:bCs/>
          <w:szCs w:val="24"/>
        </w:rPr>
      </w:pPr>
      <w:r w:rsidRPr="000C15E5">
        <w:rPr>
          <w:rFonts w:ascii="Times New Roman" w:hAnsi="Times New Roman"/>
          <w:bCs/>
          <w:szCs w:val="24"/>
        </w:rPr>
        <w:t>Hispanic, high youth segments</w:t>
      </w:r>
    </w:p>
    <w:p w:rsidR="00EF2009" w:rsidRPr="000C15E5" w:rsidP="00EF2009" w14:paraId="0DA7DBB2" w14:textId="77777777">
      <w:pPr>
        <w:pStyle w:val="ListParagraph"/>
        <w:numPr>
          <w:ilvl w:val="0"/>
          <w:numId w:val="6"/>
        </w:numPr>
        <w:tabs>
          <w:tab w:val="left" w:pos="-1440"/>
        </w:tabs>
        <w:rPr>
          <w:rFonts w:ascii="Times New Roman" w:hAnsi="Times New Roman"/>
          <w:bCs/>
          <w:szCs w:val="24"/>
        </w:rPr>
      </w:pPr>
      <w:r w:rsidRPr="000C15E5">
        <w:rPr>
          <w:rFonts w:ascii="Times New Roman" w:hAnsi="Times New Roman"/>
          <w:bCs/>
          <w:szCs w:val="24"/>
        </w:rPr>
        <w:t>Hispanic, not high youth segments</w:t>
      </w:r>
    </w:p>
    <w:p w:rsidR="00EF2009" w:rsidRPr="000C15E5" w:rsidP="00EF2009" w14:paraId="7BA3E6F8" w14:textId="77777777">
      <w:pPr>
        <w:pStyle w:val="ListParagraph"/>
        <w:numPr>
          <w:ilvl w:val="0"/>
          <w:numId w:val="6"/>
        </w:numPr>
        <w:tabs>
          <w:tab w:val="left" w:pos="-1440"/>
        </w:tabs>
        <w:rPr>
          <w:rFonts w:ascii="Times New Roman" w:hAnsi="Times New Roman"/>
          <w:bCs/>
          <w:szCs w:val="24"/>
        </w:rPr>
      </w:pPr>
      <w:r w:rsidRPr="000C15E5">
        <w:rPr>
          <w:rFonts w:ascii="Times New Roman" w:hAnsi="Times New Roman"/>
          <w:bCs/>
          <w:szCs w:val="24"/>
        </w:rPr>
        <w:t>Non-Hispanic Black, high youth segments</w:t>
      </w:r>
    </w:p>
    <w:p w:rsidR="00EF2009" w:rsidRPr="000C15E5" w:rsidP="00EF2009" w14:paraId="59E0B7D8" w14:textId="77777777">
      <w:pPr>
        <w:pStyle w:val="ListParagraph"/>
        <w:numPr>
          <w:ilvl w:val="0"/>
          <w:numId w:val="6"/>
        </w:numPr>
        <w:tabs>
          <w:tab w:val="left" w:pos="-1440"/>
        </w:tabs>
        <w:rPr>
          <w:rFonts w:ascii="Times New Roman" w:hAnsi="Times New Roman"/>
          <w:bCs/>
          <w:szCs w:val="24"/>
        </w:rPr>
      </w:pPr>
      <w:r w:rsidRPr="000C15E5">
        <w:rPr>
          <w:rFonts w:ascii="Times New Roman" w:hAnsi="Times New Roman"/>
          <w:bCs/>
          <w:szCs w:val="24"/>
        </w:rPr>
        <w:t>Non-Hispanic Black, not high youth segments</w:t>
      </w:r>
    </w:p>
    <w:p w:rsidR="00EF2009" w:rsidRPr="000C15E5" w:rsidP="00EF2009" w14:paraId="1CF9CE22" w14:textId="77777777">
      <w:pPr>
        <w:pStyle w:val="ListParagraph"/>
        <w:numPr>
          <w:ilvl w:val="0"/>
          <w:numId w:val="6"/>
        </w:numPr>
        <w:tabs>
          <w:tab w:val="left" w:pos="-1440"/>
        </w:tabs>
        <w:rPr>
          <w:rFonts w:ascii="Times New Roman" w:hAnsi="Times New Roman"/>
          <w:bCs/>
          <w:szCs w:val="24"/>
        </w:rPr>
      </w:pPr>
      <w:r w:rsidRPr="000C15E5">
        <w:rPr>
          <w:rFonts w:ascii="Times New Roman" w:hAnsi="Times New Roman"/>
          <w:bCs/>
          <w:szCs w:val="24"/>
        </w:rPr>
        <w:t>Other, high youth segments</w:t>
      </w:r>
    </w:p>
    <w:p w:rsidR="00EF2009" w:rsidRPr="000C15E5" w:rsidP="00EF2009" w14:paraId="3665C113" w14:textId="77777777">
      <w:pPr>
        <w:pStyle w:val="ListParagraph"/>
        <w:numPr>
          <w:ilvl w:val="0"/>
          <w:numId w:val="6"/>
        </w:numPr>
        <w:tabs>
          <w:tab w:val="left" w:pos="-1440"/>
        </w:tabs>
        <w:rPr>
          <w:rFonts w:ascii="Times New Roman" w:hAnsi="Times New Roman"/>
          <w:bCs/>
          <w:szCs w:val="24"/>
        </w:rPr>
      </w:pPr>
      <w:r w:rsidRPr="000C15E5">
        <w:rPr>
          <w:rFonts w:ascii="Times New Roman" w:hAnsi="Times New Roman"/>
          <w:bCs/>
          <w:szCs w:val="24"/>
        </w:rPr>
        <w:t>Other, not high youth segments</w:t>
      </w:r>
    </w:p>
    <w:p w:rsidR="00EF2009" w:rsidRPr="000C15E5" w:rsidP="00EF2009" w14:paraId="78ACBDC1" w14:textId="77777777">
      <w:pPr>
        <w:tabs>
          <w:tab w:val="left" w:pos="-1440"/>
        </w:tabs>
        <w:rPr>
          <w:rFonts w:ascii="Times New Roman" w:hAnsi="Times New Roman"/>
          <w:bCs/>
          <w:szCs w:val="24"/>
        </w:rPr>
      </w:pPr>
    </w:p>
    <w:p w:rsidR="00EF2009" w:rsidRPr="000C15E5" w:rsidP="00EF2009" w14:paraId="15F89CBD" w14:textId="214B179A">
      <w:pPr>
        <w:tabs>
          <w:tab w:val="left" w:pos="-1440"/>
        </w:tabs>
        <w:ind w:left="360"/>
        <w:rPr>
          <w:rFonts w:ascii="Times New Roman" w:hAnsi="Times New Roman"/>
          <w:bCs/>
          <w:szCs w:val="24"/>
        </w:rPr>
      </w:pPr>
      <w:r w:rsidRPr="000C15E5">
        <w:rPr>
          <w:rFonts w:ascii="Times New Roman" w:hAnsi="Times New Roman"/>
          <w:bCs/>
          <w:szCs w:val="24"/>
        </w:rPr>
        <w:t xml:space="preserve">Hispanic segments are those where Hispanics make up at least a third of the population and the Hispanic share in the population is greater than that of non-Hispanic Black. Similarly, non-Hispanic Black segments are those where non-Hispanic Black make up at least a third of the population and the non-Hispanic Black share in the population is greater than that of Hispanics. Finally, High Youth refers to segments in which 18-24-year-old adults are at least 12% of the total adult population. The above stratification is used to oversample housing units in areas with a higher concentration of young adults, Hispanics, and non-Hispanic African Americans. The resulting household sample is referred to as the initial </w:t>
      </w:r>
      <w:r w:rsidRPr="000C15E5">
        <w:rPr>
          <w:rFonts w:ascii="Times New Roman" w:hAnsi="Times New Roman"/>
          <w:bCs/>
          <w:szCs w:val="24"/>
        </w:rPr>
        <w:t>AmeriSpeak</w:t>
      </w:r>
      <w:r w:rsidRPr="000C15E5">
        <w:rPr>
          <w:rFonts w:ascii="Times New Roman" w:hAnsi="Times New Roman"/>
          <w:bCs/>
          <w:szCs w:val="24"/>
        </w:rPr>
        <w:t xml:space="preserve"> sample or sample for initial panel recruitment.</w:t>
      </w:r>
    </w:p>
    <w:p w:rsidR="00EF2009" w:rsidRPr="000C15E5" w:rsidP="00EF2009" w14:paraId="7DA1A94A" w14:textId="77777777">
      <w:pPr>
        <w:tabs>
          <w:tab w:val="left" w:pos="-1440"/>
        </w:tabs>
        <w:ind w:left="360"/>
        <w:rPr>
          <w:rFonts w:ascii="Times New Roman" w:hAnsi="Times New Roman"/>
          <w:bCs/>
          <w:szCs w:val="24"/>
        </w:rPr>
      </w:pPr>
    </w:p>
    <w:p w:rsidR="00EF2009" w:rsidRPr="000C15E5" w:rsidP="00EF2009" w14:paraId="3DE889A6" w14:textId="2E7AFD8C">
      <w:pPr>
        <w:tabs>
          <w:tab w:val="left" w:pos="-1440"/>
        </w:tabs>
        <w:ind w:left="360"/>
        <w:rPr>
          <w:rFonts w:ascii="Times New Roman" w:hAnsi="Times New Roman"/>
          <w:bCs/>
          <w:szCs w:val="24"/>
        </w:rPr>
      </w:pPr>
      <w:r w:rsidRPr="000C15E5">
        <w:rPr>
          <w:rFonts w:ascii="Times New Roman" w:hAnsi="Times New Roman"/>
          <w:bCs/>
          <w:szCs w:val="24"/>
        </w:rPr>
        <w:t xml:space="preserve">At the end of 2020, a major assessment of panel representativeness was conducted to inform the 2021 sampling strategy. This analysis again explored representativity by state, but as well explored a full range of demographic variables. This analysis was conducted both with the full panelist dataset as well as by assessing “effective panelists,” a measure of the likely demographic distributions that would occur among complete cases in any typical </w:t>
      </w:r>
      <w:r w:rsidRPr="000C15E5">
        <w:rPr>
          <w:rFonts w:ascii="Times New Roman" w:hAnsi="Times New Roman"/>
          <w:bCs/>
          <w:szCs w:val="24"/>
        </w:rPr>
        <w:t>AmeriSpeak</w:t>
      </w:r>
      <w:r w:rsidRPr="000C15E5">
        <w:rPr>
          <w:rFonts w:ascii="Times New Roman" w:hAnsi="Times New Roman"/>
          <w:bCs/>
          <w:szCs w:val="24"/>
        </w:rPr>
        <w:t xml:space="preserve"> survey. This analysis found that </w:t>
      </w:r>
      <w:r w:rsidRPr="000C15E5">
        <w:rPr>
          <w:rFonts w:ascii="Times New Roman" w:hAnsi="Times New Roman"/>
          <w:bCs/>
          <w:szCs w:val="24"/>
        </w:rPr>
        <w:t>AmeriSpeak</w:t>
      </w:r>
      <w:r w:rsidRPr="000C15E5">
        <w:rPr>
          <w:rFonts w:ascii="Times New Roman" w:hAnsi="Times New Roman"/>
          <w:bCs/>
          <w:szCs w:val="24"/>
        </w:rPr>
        <w:t xml:space="preserve"> could benefit from additional panelists in seven groups: households earning over $200,000, household with children, Hispanics, Hispanics that specifically speak Spanish, African Americans, persons ages 18 to 24, and persons with less than a High School education. As such, the sample was stratified using NORC Big Data Classifiers (</w:t>
      </w:r>
      <w:r w:rsidRPr="000C15E5">
        <w:rPr>
          <w:rFonts w:ascii="Times New Roman" w:hAnsi="Times New Roman"/>
          <w:bCs/>
          <w:szCs w:val="24"/>
        </w:rPr>
        <w:t>Dutwin</w:t>
      </w:r>
      <w:r w:rsidRPr="000C15E5">
        <w:rPr>
          <w:rFonts w:ascii="Times New Roman" w:hAnsi="Times New Roman"/>
          <w:bCs/>
          <w:szCs w:val="24"/>
        </w:rPr>
        <w:t xml:space="preserve"> et al, 2022), a technique utilizing available consumer and other public Big Data to make predictions on a range of household attributes during survey sampling. Households predicted to be one of these seven attributes were oversampled, while households predicted only hold persons aged 50 and older, or otherwise not predicted hold someone with one of the seven attributes, were under sampled. This sampling method was tested in the first sampling replicate, and given very positive results, was continued in all other 2021 replicates.</w:t>
      </w:r>
    </w:p>
    <w:p w:rsidR="00EF2009" w:rsidRPr="000C15E5" w:rsidP="00EF2009" w14:paraId="1CF57242" w14:textId="77777777">
      <w:pPr>
        <w:tabs>
          <w:tab w:val="left" w:pos="-1440"/>
        </w:tabs>
        <w:ind w:left="360"/>
        <w:rPr>
          <w:rFonts w:ascii="Times New Roman" w:hAnsi="Times New Roman"/>
          <w:bCs/>
          <w:szCs w:val="24"/>
        </w:rPr>
      </w:pPr>
    </w:p>
    <w:p w:rsidR="00EF2009" w:rsidRPr="000C15E5" w:rsidP="00EF2009" w14:paraId="0F2D165C" w14:textId="0CCF6840">
      <w:pPr>
        <w:tabs>
          <w:tab w:val="left" w:pos="-1440"/>
        </w:tabs>
        <w:ind w:left="360"/>
        <w:rPr>
          <w:rFonts w:ascii="Times New Roman" w:hAnsi="Times New Roman"/>
          <w:bCs/>
          <w:szCs w:val="24"/>
        </w:rPr>
      </w:pPr>
      <w:r w:rsidRPr="000C15E5">
        <w:rPr>
          <w:rFonts w:ascii="Times New Roman" w:hAnsi="Times New Roman"/>
          <w:bCs/>
          <w:szCs w:val="24"/>
        </w:rPr>
        <w:t>AmeriSpeak</w:t>
      </w:r>
      <w:r w:rsidRPr="000C15E5">
        <w:rPr>
          <w:rFonts w:ascii="Times New Roman" w:hAnsi="Times New Roman"/>
          <w:bCs/>
          <w:szCs w:val="24"/>
        </w:rPr>
        <w:t xml:space="preserve"> Panel recruitment is a two-stage process: (i) initial recruitment using USPS mailings, telephone contact, and modest incentives, and (ii) a more elaborate NRFU recruitment using FedEx mailings, enhanced incentives, and in-person visits by NORC field interviewers. For the initial recruitment, sample households are invited to join </w:t>
      </w:r>
      <w:r w:rsidRPr="000C15E5">
        <w:rPr>
          <w:rFonts w:ascii="Times New Roman" w:hAnsi="Times New Roman"/>
          <w:bCs/>
          <w:szCs w:val="24"/>
        </w:rPr>
        <w:t>AmeriSpeak</w:t>
      </w:r>
      <w:r w:rsidRPr="000C15E5">
        <w:rPr>
          <w:rFonts w:ascii="Times New Roman" w:hAnsi="Times New Roman"/>
          <w:bCs/>
          <w:szCs w:val="24"/>
        </w:rPr>
        <w:t xml:space="preserve"> online by visiting the panel website AmeriSpeak.org or by calling a toll-free telephone line (inbound/outbound supported). Both English and Spanish languages are supported for online and telephone recruitment. The initial recruitment data collection protocol features the following: an over-sized pre-notification postcard, a USPS recruitment package in a 9”x12” envelope (containing a cover letter, a summary of the privacy policy, FAQs, and a study brochure), two follow-up postcards, and contact by NORC’s telephone research center for sample units with a matched telephone number.</w:t>
      </w:r>
    </w:p>
    <w:p w:rsidR="00EF2009" w:rsidRPr="000C15E5" w:rsidP="00EF2009" w14:paraId="4FBF8CBB" w14:textId="77777777">
      <w:pPr>
        <w:tabs>
          <w:tab w:val="left" w:pos="-1440"/>
        </w:tabs>
        <w:ind w:left="360"/>
        <w:rPr>
          <w:rFonts w:ascii="Times New Roman" w:hAnsi="Times New Roman"/>
          <w:bCs/>
          <w:szCs w:val="24"/>
        </w:rPr>
      </w:pPr>
    </w:p>
    <w:p w:rsidR="00EF2009" w:rsidP="00EF2009" w14:paraId="0286BC73" w14:textId="401E984C">
      <w:pPr>
        <w:tabs>
          <w:tab w:val="left" w:pos="-1440"/>
        </w:tabs>
        <w:ind w:left="360"/>
        <w:rPr>
          <w:rFonts w:ascii="Times New Roman" w:hAnsi="Times New Roman"/>
          <w:bCs/>
          <w:szCs w:val="24"/>
        </w:rPr>
      </w:pPr>
      <w:r w:rsidRPr="000C15E5">
        <w:rPr>
          <w:rFonts w:ascii="Times New Roman" w:hAnsi="Times New Roman"/>
          <w:bCs/>
          <w:szCs w:val="24"/>
        </w:rPr>
        <w:t xml:space="preserve">For the second stage NRFU recruitment, a stratified random sample is selected from the nonrespondents of the initial recruitment. Units sampled for NRFU are sent a new </w:t>
      </w:r>
      <w:r w:rsidRPr="000C15E5">
        <w:rPr>
          <w:rFonts w:ascii="Times New Roman" w:hAnsi="Times New Roman"/>
          <w:bCs/>
          <w:szCs w:val="24"/>
        </w:rPr>
        <w:t>recruitment package by Federal Express with an enhanced incentive offer. Shortly thereafter, NORC field interviewers make personal, face-to-face visits to the pending cases to encourage participation. Once the households are located, the field interviewers administer the recruitment survey in-person using CAPI or else encourage the respondents to register online or by telephone.</w:t>
      </w:r>
    </w:p>
    <w:p w:rsidR="00EF2009" w:rsidP="00EF2009" w14:paraId="05F84B71" w14:textId="77777777">
      <w:pPr>
        <w:tabs>
          <w:tab w:val="left" w:pos="-1440"/>
        </w:tabs>
        <w:ind w:left="360"/>
        <w:rPr>
          <w:rFonts w:ascii="Times New Roman" w:hAnsi="Times New Roman"/>
          <w:bCs/>
          <w:szCs w:val="24"/>
        </w:rPr>
      </w:pPr>
    </w:p>
    <w:p w:rsidR="00EF2009" w:rsidRPr="00E52EB6" w:rsidP="00EF2009" w14:paraId="4F627F4A" w14:textId="77777777">
      <w:pPr>
        <w:tabs>
          <w:tab w:val="left" w:pos="-1440"/>
        </w:tabs>
        <w:ind w:left="360"/>
        <w:rPr>
          <w:rFonts w:ascii="Times New Roman" w:hAnsi="Times New Roman"/>
          <w:bCs/>
          <w:szCs w:val="24"/>
        </w:rPr>
      </w:pPr>
    </w:p>
    <w:p w:rsidR="00EF2009" w:rsidP="00EF2009" w14:paraId="10BA21F6" w14:textId="77777777">
      <w:pPr>
        <w:numPr>
          <w:ilvl w:val="0"/>
          <w:numId w:val="5"/>
        </w:numPr>
        <w:tabs>
          <w:tab w:val="left" w:pos="-1440"/>
        </w:tabs>
        <w:ind w:left="360"/>
        <w:contextualSpacing/>
        <w:rPr>
          <w:rFonts w:ascii="Times New Roman" w:hAnsi="Times New Roman"/>
          <w:b/>
          <w:szCs w:val="24"/>
        </w:rPr>
      </w:pPr>
      <w:r w:rsidRPr="002C6214">
        <w:rPr>
          <w:rFonts w:ascii="Times New Roman" w:hAnsi="Times New Roman"/>
          <w:b/>
          <w:szCs w:val="24"/>
        </w:rPr>
        <w:t>Describe the procedures for the collection of information.</w:t>
      </w:r>
    </w:p>
    <w:p w:rsidR="00EF2009" w:rsidP="00EF2009" w14:paraId="4FB5994E" w14:textId="77777777">
      <w:pPr>
        <w:tabs>
          <w:tab w:val="left" w:pos="-1440"/>
        </w:tabs>
        <w:contextualSpacing/>
        <w:rPr>
          <w:rFonts w:ascii="Times New Roman" w:hAnsi="Times New Roman"/>
          <w:b/>
          <w:szCs w:val="24"/>
        </w:rPr>
      </w:pPr>
    </w:p>
    <w:p w:rsidR="00EF2009" w:rsidRPr="00A419DC" w:rsidP="00EF2009" w14:paraId="04C7355C" w14:textId="1CC6B729">
      <w:pPr>
        <w:tabs>
          <w:tab w:val="left" w:pos="-1440"/>
        </w:tabs>
        <w:ind w:left="360"/>
        <w:contextualSpacing/>
        <w:rPr>
          <w:rFonts w:ascii="Times New Roman" w:hAnsi="Times New Roman"/>
          <w:bCs/>
          <w:szCs w:val="24"/>
        </w:rPr>
      </w:pPr>
      <w:r>
        <w:rPr>
          <w:rFonts w:ascii="Times New Roman" w:hAnsi="Times New Roman"/>
          <w:bCs/>
          <w:szCs w:val="24"/>
        </w:rPr>
        <w:t xml:space="preserve">For this study, we will be employing a probability survey, drawing from a carefully curated pool of possible respondents designed to be representative of the U.S. public. Probability surveys use random sampling methods to ensure that the sample is representative of the population being studied without using sampling quotas. Since probability surveys using representative samples as their base pool of participants, they are more statistically accurate than non-probability surveys. </w:t>
      </w:r>
      <w:r w:rsidRPr="00BA7833">
        <w:rPr>
          <w:rFonts w:ascii="Times New Roman" w:hAnsi="Times New Roman"/>
          <w:bCs/>
          <w:szCs w:val="24"/>
        </w:rPr>
        <w:t xml:space="preserve">The information will be collected via the </w:t>
      </w:r>
      <w:r w:rsidRPr="00BA7833">
        <w:rPr>
          <w:rFonts w:ascii="Times New Roman" w:hAnsi="Times New Roman"/>
          <w:bCs/>
          <w:szCs w:val="24"/>
        </w:rPr>
        <w:t>AmeriSpeak</w:t>
      </w:r>
      <w:r w:rsidRPr="00BA7833">
        <w:rPr>
          <w:rFonts w:ascii="Times New Roman" w:hAnsi="Times New Roman"/>
          <w:bCs/>
          <w:szCs w:val="24"/>
        </w:rPr>
        <w:t xml:space="preserve"> panel developed specifically for general population studies</w:t>
      </w:r>
      <w:r>
        <w:rPr>
          <w:rFonts w:ascii="Times New Roman" w:hAnsi="Times New Roman"/>
          <w:bCs/>
          <w:szCs w:val="24"/>
        </w:rPr>
        <w:t xml:space="preserve"> as described in question 1</w:t>
      </w:r>
      <w:r w:rsidRPr="00BA7833">
        <w:rPr>
          <w:rFonts w:ascii="Times New Roman" w:hAnsi="Times New Roman"/>
          <w:bCs/>
          <w:szCs w:val="24"/>
        </w:rPr>
        <w:t>. The panel will be surveyed via mixed-mode data collection</w:t>
      </w:r>
      <w:r>
        <w:rPr>
          <w:rFonts w:ascii="Times New Roman" w:hAnsi="Times New Roman"/>
          <w:bCs/>
          <w:szCs w:val="24"/>
        </w:rPr>
        <w:t xml:space="preserve"> (web and telephone)</w:t>
      </w:r>
      <w:r w:rsidRPr="00BA7833">
        <w:rPr>
          <w:rFonts w:ascii="Times New Roman" w:hAnsi="Times New Roman"/>
          <w:bCs/>
          <w:szCs w:val="24"/>
        </w:rPr>
        <w:t xml:space="preserve"> to improve response rate and the representativeness of the complete surveys</w:t>
      </w:r>
      <w:r>
        <w:rPr>
          <w:rFonts w:ascii="Times New Roman" w:hAnsi="Times New Roman"/>
          <w:bCs/>
          <w:szCs w:val="24"/>
        </w:rPr>
        <w:t xml:space="preserve"> and take 10-15 minutes to complete</w:t>
      </w:r>
      <w:r w:rsidRPr="00BA7833">
        <w:rPr>
          <w:rFonts w:ascii="Times New Roman" w:hAnsi="Times New Roman"/>
          <w:bCs/>
          <w:szCs w:val="24"/>
        </w:rPr>
        <w:t>.</w:t>
      </w:r>
      <w:r>
        <w:rPr>
          <w:rFonts w:ascii="Times New Roman" w:hAnsi="Times New Roman"/>
          <w:bCs/>
          <w:szCs w:val="24"/>
        </w:rPr>
        <w:t xml:space="preserve"> Potential participants will be initially invited via email and receive 5 reminder emails.</w:t>
      </w:r>
      <w:r w:rsidRPr="00BA7833">
        <w:rPr>
          <w:rFonts w:ascii="Times New Roman" w:hAnsi="Times New Roman"/>
          <w:bCs/>
          <w:szCs w:val="24"/>
        </w:rPr>
        <w:t xml:space="preserve"> </w:t>
      </w:r>
      <w:r>
        <w:rPr>
          <w:rFonts w:ascii="Times New Roman" w:hAnsi="Times New Roman"/>
          <w:bCs/>
          <w:szCs w:val="24"/>
        </w:rPr>
        <w:t xml:space="preserve">The survey will be conducted in both English and Spanish to ensure a respondent can participate in their preferred. </w:t>
      </w:r>
      <w:r w:rsidRPr="00BA7833">
        <w:rPr>
          <w:rFonts w:ascii="Times New Roman" w:hAnsi="Times New Roman"/>
          <w:bCs/>
          <w:szCs w:val="24"/>
        </w:rPr>
        <w:t>During recruitment, panelists are offered an opportunity to choose their preferred mode – web or phone – for future participation. Panelists predominantly prefer web over phone mode.</w:t>
      </w:r>
      <w:r>
        <w:rPr>
          <w:rFonts w:ascii="Times New Roman" w:hAnsi="Times New Roman"/>
          <w:bCs/>
          <w:szCs w:val="24"/>
        </w:rPr>
        <w:t xml:space="preserve"> </w:t>
      </w:r>
      <w:r w:rsidRPr="00D54087">
        <w:rPr>
          <w:rFonts w:ascii="Times New Roman" w:hAnsi="Times New Roman"/>
          <w:bCs/>
          <w:szCs w:val="24"/>
        </w:rPr>
        <w:t>The telephone mode encompasses panelists without internet access, panelists whose only internet access is via smartphone, and panelists with internet access but are unwilling to share an email address</w:t>
      </w:r>
      <w:r>
        <w:rPr>
          <w:rFonts w:ascii="Times New Roman" w:hAnsi="Times New Roman"/>
          <w:bCs/>
          <w:szCs w:val="24"/>
        </w:rPr>
        <w:t xml:space="preserve">. These panelists will complete the survey over the telephone. The survey is also ADA compliant. Respondents will be incentivized for their participation commensurate with their effort. </w:t>
      </w:r>
    </w:p>
    <w:p w:rsidR="00EF2009" w:rsidRPr="002C6214" w:rsidP="00EF2009" w14:paraId="6956ACBD" w14:textId="77777777">
      <w:pPr>
        <w:tabs>
          <w:tab w:val="left" w:pos="-1440"/>
        </w:tabs>
        <w:ind w:left="360"/>
        <w:contextualSpacing/>
        <w:rPr>
          <w:rFonts w:ascii="Times New Roman" w:hAnsi="Times New Roman"/>
          <w:b/>
          <w:szCs w:val="24"/>
        </w:rPr>
      </w:pPr>
    </w:p>
    <w:p w:rsidR="00EF2009" w:rsidRPr="002C6214" w:rsidP="5CA34B45" w14:paraId="3D2DAFD8" w14:textId="77777777">
      <w:pPr>
        <w:numPr>
          <w:ilvl w:val="0"/>
          <w:numId w:val="5"/>
        </w:numPr>
        <w:ind w:left="360"/>
        <w:contextualSpacing/>
        <w:rPr>
          <w:rFonts w:ascii="Times New Roman" w:hAnsi="Times New Roman"/>
          <w:b/>
          <w:bCs/>
        </w:rPr>
      </w:pPr>
      <w:r w:rsidRPr="5CA34B45">
        <w:rPr>
          <w:rFonts w:ascii="Times New Roman" w:hAnsi="Times New Roman"/>
          <w:b/>
          <w:bCs/>
        </w:rPr>
        <w:t xml:space="preserve">Describe methods to maximize response rates and to deal with issues of non-response.  </w:t>
      </w:r>
    </w:p>
    <w:p w:rsidR="00EF2009" w:rsidP="00EF2009" w14:paraId="1CBFBB80" w14:textId="77777777">
      <w:pPr>
        <w:tabs>
          <w:tab w:val="left" w:pos="-1440"/>
        </w:tabs>
        <w:ind w:left="360"/>
        <w:contextualSpacing/>
        <w:rPr>
          <w:rFonts w:ascii="Times New Roman" w:hAnsi="Times New Roman"/>
          <w:b/>
          <w:szCs w:val="24"/>
        </w:rPr>
      </w:pPr>
    </w:p>
    <w:p w:rsidR="006827D1" w:rsidP="006827D1" w14:paraId="6E908050" w14:textId="25955A74">
      <w:pPr>
        <w:tabs>
          <w:tab w:val="left" w:pos="-1440"/>
        </w:tabs>
        <w:ind w:left="360"/>
        <w:contextualSpacing/>
        <w:rPr>
          <w:rFonts w:ascii="Times New Roman" w:hAnsi="Times New Roman"/>
          <w:bCs/>
          <w:szCs w:val="24"/>
        </w:rPr>
      </w:pPr>
      <w:r>
        <w:rPr>
          <w:rFonts w:ascii="Times New Roman" w:hAnsi="Times New Roman"/>
          <w:bCs/>
          <w:szCs w:val="24"/>
        </w:rPr>
        <w:t xml:space="preserve">NORC’s </w:t>
      </w:r>
      <w:r>
        <w:rPr>
          <w:rFonts w:ascii="Times New Roman" w:hAnsi="Times New Roman"/>
          <w:bCs/>
          <w:szCs w:val="24"/>
        </w:rPr>
        <w:t>AmeriSpeak</w:t>
      </w:r>
      <w:r>
        <w:rPr>
          <w:rFonts w:ascii="Times New Roman" w:hAnsi="Times New Roman"/>
          <w:bCs/>
          <w:szCs w:val="24"/>
        </w:rPr>
        <w:t xml:space="preserve"> panel has three stages of response, which comprise “response rate”. The first stage is the recruiting stage. This is the stage where the panel </w:t>
      </w:r>
      <w:r>
        <w:rPr>
          <w:rFonts w:ascii="Times New Roman" w:hAnsi="Times New Roman"/>
          <w:bCs/>
          <w:szCs w:val="24"/>
        </w:rPr>
        <w:t>recruits</w:t>
      </w:r>
      <w:r>
        <w:rPr>
          <w:rFonts w:ascii="Times New Roman" w:hAnsi="Times New Roman"/>
          <w:bCs/>
          <w:szCs w:val="24"/>
        </w:rPr>
        <w:t xml:space="preserve"> people into their panel. Second, is the profiling stage. The profiling stage is the stage during which someone who joins the panel is given an initial test of their true willingness to be a panel member. They are immediately sent at least one “profile survey” so the panel provider understands them better. If they do not respond to the profiling survey, they are not counted as a panelist and are dropped from the panel. The third stage is the survey stage. This is when a panelist is invited to participate in a specific survey and will or will not respond to that. This rate at which panelists participate is the “survey cooperation rate”. </w:t>
      </w:r>
      <w:r>
        <w:rPr>
          <w:rFonts w:ascii="Times New Roman" w:hAnsi="Times New Roman"/>
          <w:bCs/>
          <w:szCs w:val="24"/>
        </w:rPr>
        <w:t>AmeriSpeak</w:t>
      </w:r>
      <w:r>
        <w:rPr>
          <w:rFonts w:ascii="Times New Roman" w:hAnsi="Times New Roman"/>
          <w:bCs/>
          <w:szCs w:val="24"/>
        </w:rPr>
        <w:t xml:space="preserve"> considers response rate in a transparent and holistic way that includes recruitment rate, profiling rate, retention rate, and survey completion rate. </w:t>
      </w:r>
    </w:p>
    <w:p w:rsidR="006827D1" w:rsidP="006827D1" w14:paraId="389766B6" w14:textId="77777777">
      <w:pPr>
        <w:tabs>
          <w:tab w:val="left" w:pos="-1440"/>
        </w:tabs>
        <w:ind w:left="360"/>
        <w:contextualSpacing/>
        <w:rPr>
          <w:rFonts w:ascii="Times New Roman" w:hAnsi="Times New Roman"/>
          <w:bCs/>
          <w:szCs w:val="24"/>
        </w:rPr>
      </w:pPr>
    </w:p>
    <w:p w:rsidR="006827D1" w:rsidP="006827D1" w14:paraId="234C3274" w14:textId="338A803D">
      <w:pPr>
        <w:tabs>
          <w:tab w:val="left" w:pos="-1440"/>
        </w:tabs>
        <w:ind w:left="360"/>
        <w:contextualSpacing/>
        <w:rPr>
          <w:rFonts w:ascii="Times New Roman" w:hAnsi="Times New Roman"/>
          <w:bCs/>
          <w:szCs w:val="24"/>
        </w:rPr>
      </w:pPr>
      <w:r w:rsidRPr="00CF5F78">
        <w:rPr>
          <w:rFonts w:ascii="Times New Roman" w:hAnsi="Times New Roman"/>
          <w:bCs/>
          <w:szCs w:val="24"/>
        </w:rPr>
        <w:t xml:space="preserve">The </w:t>
      </w:r>
      <w:r w:rsidRPr="00CF5F78">
        <w:rPr>
          <w:rFonts w:ascii="Times New Roman" w:hAnsi="Times New Roman"/>
          <w:bCs/>
          <w:szCs w:val="24"/>
        </w:rPr>
        <w:t>AmeriSpeak</w:t>
      </w:r>
      <w:r w:rsidRPr="00CF5F78">
        <w:rPr>
          <w:rFonts w:ascii="Times New Roman" w:hAnsi="Times New Roman"/>
          <w:bCs/>
          <w:szCs w:val="24"/>
        </w:rPr>
        <w:t xml:space="preserve"> Panel response rate – a key measure of survey quality – is substantially higher than the response rate obtainable from any other available household panel.</w:t>
      </w:r>
      <w:r>
        <w:rPr>
          <w:rFonts w:ascii="Times New Roman" w:hAnsi="Times New Roman"/>
          <w:bCs/>
          <w:szCs w:val="24"/>
        </w:rPr>
        <w:t xml:space="preserve"> </w:t>
      </w:r>
      <w:r w:rsidRPr="00E74EEA">
        <w:rPr>
          <w:rFonts w:ascii="Times New Roman" w:hAnsi="Times New Roman"/>
          <w:bCs/>
          <w:szCs w:val="24"/>
        </w:rPr>
        <w:t xml:space="preserve">How? </w:t>
      </w:r>
      <w:r w:rsidRPr="00E74EEA">
        <w:rPr>
          <w:rFonts w:ascii="Times New Roman" w:hAnsi="Times New Roman"/>
          <w:bCs/>
          <w:szCs w:val="24"/>
        </w:rPr>
        <w:t>AmeriSpeak</w:t>
      </w:r>
      <w:r w:rsidRPr="00E74EEA">
        <w:rPr>
          <w:rFonts w:ascii="Times New Roman" w:hAnsi="Times New Roman"/>
          <w:bCs/>
          <w:szCs w:val="24"/>
        </w:rPr>
        <w:t xml:space="preserve"> is the only consumer panel available that relies on Federal Express mailings, high incentives for participation, and in</w:t>
      </w:r>
      <w:r>
        <w:rPr>
          <w:rFonts w:ascii="Times New Roman" w:hAnsi="Times New Roman"/>
          <w:bCs/>
          <w:szCs w:val="24"/>
        </w:rPr>
        <w:t xml:space="preserve"> </w:t>
      </w:r>
      <w:r w:rsidRPr="00E74EEA">
        <w:rPr>
          <w:rFonts w:ascii="Times New Roman" w:hAnsi="Times New Roman"/>
          <w:bCs/>
          <w:szCs w:val="24"/>
        </w:rPr>
        <w:t xml:space="preserve">person, face-to-face interviewing for the panel </w:t>
      </w:r>
      <w:r w:rsidRPr="00E74EEA">
        <w:rPr>
          <w:rFonts w:ascii="Times New Roman" w:hAnsi="Times New Roman"/>
          <w:bCs/>
          <w:szCs w:val="24"/>
        </w:rPr>
        <w:t xml:space="preserve">recruitment. Our </w:t>
      </w:r>
      <w:r w:rsidRPr="00E74EEA">
        <w:rPr>
          <w:rFonts w:ascii="Times New Roman" w:hAnsi="Times New Roman"/>
          <w:bCs/>
          <w:szCs w:val="24"/>
        </w:rPr>
        <w:t>AmeriSpeak</w:t>
      </w:r>
      <w:r w:rsidRPr="00E74EEA">
        <w:rPr>
          <w:rFonts w:ascii="Times New Roman" w:hAnsi="Times New Roman"/>
          <w:bCs/>
          <w:szCs w:val="24"/>
        </w:rPr>
        <w:t xml:space="preserve"> </w:t>
      </w:r>
      <w:r w:rsidRPr="00E74EEA">
        <w:rPr>
          <w:rFonts w:ascii="Times New Roman" w:hAnsi="Times New Roman"/>
          <w:bCs/>
          <w:szCs w:val="24"/>
        </w:rPr>
        <w:t>probability</w:t>
      </w:r>
      <w:r>
        <w:rPr>
          <w:rFonts w:ascii="Times New Roman" w:hAnsi="Times New Roman"/>
          <w:bCs/>
          <w:szCs w:val="24"/>
        </w:rPr>
        <w:t xml:space="preserve"> </w:t>
      </w:r>
      <w:r w:rsidRPr="00E74EEA">
        <w:rPr>
          <w:rFonts w:ascii="Times New Roman" w:hAnsi="Times New Roman"/>
          <w:bCs/>
          <w:szCs w:val="24"/>
        </w:rPr>
        <w:t>based</w:t>
      </w:r>
      <w:r w:rsidRPr="00E74EEA">
        <w:rPr>
          <w:rFonts w:ascii="Times New Roman" w:hAnsi="Times New Roman"/>
          <w:bCs/>
          <w:szCs w:val="24"/>
        </w:rPr>
        <w:t xml:space="preserve"> sample has an all-inclusive response rate of approximately 5% to 10% (considering the respective stages of panel recruitment, panel retention, and the survey cooperation rate), compared to approximately 1 percent other U.S. consumer probability-based panels. </w:t>
      </w:r>
      <w:r>
        <w:rPr>
          <w:rFonts w:ascii="Times New Roman" w:hAnsi="Times New Roman"/>
          <w:bCs/>
          <w:szCs w:val="24"/>
        </w:rPr>
        <w:t>The table</w:t>
      </w:r>
      <w:r w:rsidRPr="00E74EEA">
        <w:rPr>
          <w:rFonts w:ascii="Times New Roman" w:hAnsi="Times New Roman"/>
          <w:bCs/>
          <w:szCs w:val="24"/>
        </w:rPr>
        <w:t xml:space="preserve"> below summarizes and compares key features of </w:t>
      </w:r>
      <w:r w:rsidRPr="00E74EEA">
        <w:rPr>
          <w:rFonts w:ascii="Times New Roman" w:hAnsi="Times New Roman"/>
          <w:bCs/>
          <w:szCs w:val="24"/>
        </w:rPr>
        <w:t>AmeriSpeak</w:t>
      </w:r>
      <w:r w:rsidRPr="00E74EEA">
        <w:rPr>
          <w:rFonts w:ascii="Times New Roman" w:hAnsi="Times New Roman"/>
          <w:bCs/>
          <w:szCs w:val="24"/>
        </w:rPr>
        <w:t xml:space="preserve"> vis-à-vis other probability panels</w:t>
      </w:r>
      <w:r>
        <w:rPr>
          <w:rFonts w:ascii="Times New Roman" w:hAnsi="Times New Roman"/>
          <w:bCs/>
          <w:szCs w:val="24"/>
        </w:rPr>
        <w:t>, and additional details can be found in</w:t>
      </w:r>
      <w:r w:rsidRPr="000A5FD9">
        <w:rPr>
          <w:rFonts w:ascii="Times New Roman" w:hAnsi="Times New Roman"/>
          <w:bCs/>
          <w:color w:val="000000" w:themeColor="text1"/>
          <w:szCs w:val="24"/>
        </w:rPr>
        <w:t xml:space="preserve"> </w:t>
      </w:r>
      <w:hyperlink r:id="rId7" w:history="1">
        <w:r w:rsidRPr="000A5FD9">
          <w:rPr>
            <w:rStyle w:val="Hyperlink"/>
            <w:rFonts w:ascii="Times New Roman" w:hAnsi="Times New Roman"/>
            <w:bCs/>
            <w:color w:val="000000" w:themeColor="text1"/>
            <w:szCs w:val="24"/>
          </w:rPr>
          <w:t>t</w:t>
        </w:r>
        <w:r w:rsidRPr="000A5FD9">
          <w:rPr>
            <w:rStyle w:val="Hyperlink"/>
            <w:rFonts w:ascii="Times New Roman" w:hAnsi="Times New Roman"/>
            <w:bCs/>
            <w:color w:val="000000" w:themeColor="text1"/>
            <w:szCs w:val="24"/>
          </w:rPr>
          <w:t>h</w:t>
        </w:r>
        <w:r w:rsidRPr="000A5FD9">
          <w:rPr>
            <w:rStyle w:val="Hyperlink"/>
            <w:rFonts w:ascii="Times New Roman" w:hAnsi="Times New Roman"/>
            <w:bCs/>
            <w:color w:val="000000" w:themeColor="text1"/>
            <w:szCs w:val="24"/>
          </w:rPr>
          <w:t xml:space="preserve">is </w:t>
        </w:r>
        <w:r w:rsidRPr="000A5FD9">
          <w:rPr>
            <w:rStyle w:val="Hyperlink"/>
            <w:rFonts w:ascii="Times New Roman" w:hAnsi="Times New Roman"/>
            <w:bCs/>
            <w:color w:val="000000" w:themeColor="text1"/>
            <w:szCs w:val="24"/>
          </w:rPr>
          <w:t>w</w:t>
        </w:r>
        <w:r w:rsidRPr="000A5FD9">
          <w:rPr>
            <w:rStyle w:val="Hyperlink"/>
            <w:rFonts w:ascii="Times New Roman" w:hAnsi="Times New Roman"/>
            <w:bCs/>
            <w:color w:val="000000" w:themeColor="text1"/>
            <w:szCs w:val="24"/>
          </w:rPr>
          <w:t>hite paper</w:t>
        </w:r>
      </w:hyperlink>
      <w:r w:rsidRPr="000A5FD9" w:rsidR="000A5FD9">
        <w:rPr>
          <w:rStyle w:val="Hyperlink"/>
          <w:rFonts w:ascii="Times New Roman" w:hAnsi="Times New Roman"/>
          <w:bCs/>
          <w:color w:val="000000" w:themeColor="text1"/>
          <w:szCs w:val="24"/>
        </w:rPr>
        <w:t xml:space="preserve"> (</w:t>
      </w:r>
      <w:r w:rsidRPr="000A5FD9" w:rsidR="000A5FD9">
        <w:rPr>
          <w:rStyle w:val="Hyperlink"/>
          <w:rFonts w:ascii="Times New Roman" w:hAnsi="Times New Roman"/>
          <w:bCs/>
          <w:color w:val="000000" w:themeColor="text1"/>
          <w:szCs w:val="24"/>
        </w:rPr>
        <w:t>https://amerispeak.norc.org/content/dam/amerispeak/supporting-documents/response-rate-transparency-in-panels.pdf</w:t>
      </w:r>
      <w:r w:rsidRPr="000A5FD9" w:rsidR="000A5FD9">
        <w:rPr>
          <w:rStyle w:val="Hyperlink"/>
          <w:rFonts w:ascii="Times New Roman" w:hAnsi="Times New Roman"/>
          <w:bCs/>
          <w:color w:val="000000" w:themeColor="text1"/>
          <w:szCs w:val="24"/>
        </w:rPr>
        <w:t>)</w:t>
      </w:r>
      <w:r w:rsidRPr="000A5FD9">
        <w:rPr>
          <w:rFonts w:ascii="Times New Roman" w:hAnsi="Times New Roman"/>
          <w:bCs/>
          <w:color w:val="000000" w:themeColor="text1"/>
          <w:szCs w:val="24"/>
        </w:rPr>
        <w:t xml:space="preserve"> </w:t>
      </w:r>
      <w:r>
        <w:rPr>
          <w:rFonts w:ascii="Times New Roman" w:hAnsi="Times New Roman"/>
          <w:bCs/>
          <w:szCs w:val="24"/>
        </w:rPr>
        <w:t>provided by NORC</w:t>
      </w:r>
      <w:r w:rsidRPr="00E74EEA">
        <w:rPr>
          <w:rFonts w:ascii="Times New Roman" w:hAnsi="Times New Roman"/>
          <w:bCs/>
          <w:szCs w:val="24"/>
        </w:rPr>
        <w:t xml:space="preserve">. Because of the high response rate obtained by </w:t>
      </w:r>
      <w:r w:rsidRPr="00E74EEA">
        <w:rPr>
          <w:rFonts w:ascii="Times New Roman" w:hAnsi="Times New Roman"/>
          <w:bCs/>
          <w:szCs w:val="24"/>
        </w:rPr>
        <w:t>AmeriSpeak</w:t>
      </w:r>
      <w:r w:rsidRPr="00E74EEA">
        <w:rPr>
          <w:rFonts w:ascii="Times New Roman" w:hAnsi="Times New Roman"/>
          <w:bCs/>
          <w:szCs w:val="24"/>
        </w:rPr>
        <w:t xml:space="preserve"> and our use of in-person, face-to-face interviewing for the panel recruitment, we can provide an interviewed sample that is representative of the U.S. population, including hard-to-reach lower</w:t>
      </w:r>
      <w:r>
        <w:rPr>
          <w:rFonts w:ascii="Times New Roman" w:hAnsi="Times New Roman"/>
          <w:bCs/>
          <w:szCs w:val="24"/>
        </w:rPr>
        <w:t xml:space="preserve"> </w:t>
      </w:r>
      <w:r w:rsidRPr="00E74EEA">
        <w:rPr>
          <w:rFonts w:ascii="Times New Roman" w:hAnsi="Times New Roman"/>
          <w:bCs/>
          <w:szCs w:val="24"/>
        </w:rPr>
        <w:t xml:space="preserve">income households, residents of rural areas, lesser educated persons, and those who are infrequent users of the internet. This is a data-quality benefit that is unique to </w:t>
      </w:r>
      <w:r w:rsidRPr="00E74EEA">
        <w:rPr>
          <w:rFonts w:ascii="Times New Roman" w:hAnsi="Times New Roman"/>
          <w:bCs/>
          <w:szCs w:val="24"/>
        </w:rPr>
        <w:t>AmeriSpeak</w:t>
      </w:r>
      <w:r w:rsidRPr="00E74EEA">
        <w:rPr>
          <w:rFonts w:ascii="Times New Roman" w:hAnsi="Times New Roman"/>
          <w:bCs/>
          <w:szCs w:val="24"/>
        </w:rPr>
        <w:t>.</w:t>
      </w:r>
      <w:r>
        <w:rPr>
          <w:rFonts w:ascii="Times New Roman" w:hAnsi="Times New Roman"/>
          <w:bCs/>
          <w:szCs w:val="24"/>
        </w:rPr>
        <w:t xml:space="preserve"> </w:t>
      </w:r>
    </w:p>
    <w:p w:rsidR="00BD6A7C" w:rsidP="006827D1" w14:paraId="3064B7ED" w14:textId="395353DC">
      <w:pPr>
        <w:tabs>
          <w:tab w:val="left" w:pos="-1440"/>
        </w:tabs>
        <w:ind w:left="360"/>
        <w:contextualSpacing/>
        <w:rPr>
          <w:rFonts w:ascii="Times New Roman" w:hAnsi="Times New Roman"/>
          <w:bCs/>
          <w:szCs w:val="24"/>
        </w:rPr>
      </w:pPr>
      <w:r>
        <w:rPr>
          <w:noProof/>
          <w:snapToGrid/>
          <w14:ligatures w14:val="standardContextual"/>
        </w:rPr>
        <w:drawing>
          <wp:anchor distT="0" distB="0" distL="114300" distR="114300" simplePos="0" relativeHeight="251658240" behindDoc="1" locked="0" layoutInCell="1" allowOverlap="1">
            <wp:simplePos x="0" y="0"/>
            <wp:positionH relativeFrom="column">
              <wp:posOffset>94387</wp:posOffset>
            </wp:positionH>
            <wp:positionV relativeFrom="paragraph">
              <wp:posOffset>316457</wp:posOffset>
            </wp:positionV>
            <wp:extent cx="5943600" cy="3397250"/>
            <wp:effectExtent l="0" t="0" r="0" b="0"/>
            <wp:wrapTight wrapText="bothSides">
              <wp:wrapPolygon>
                <wp:start x="0" y="0"/>
                <wp:lineTo x="0" y="21439"/>
                <wp:lineTo x="21531" y="21439"/>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5943600" cy="3397250"/>
                    </a:xfrm>
                    <a:prstGeom prst="rect">
                      <a:avLst/>
                    </a:prstGeom>
                  </pic:spPr>
                </pic:pic>
              </a:graphicData>
            </a:graphic>
          </wp:anchor>
        </w:drawing>
      </w:r>
    </w:p>
    <w:p w:rsidR="006827D1" w:rsidP="006827D1" w14:paraId="35DE54AE" w14:textId="77777777">
      <w:pPr>
        <w:tabs>
          <w:tab w:val="left" w:pos="-1440"/>
        </w:tabs>
        <w:ind w:left="360"/>
        <w:contextualSpacing/>
        <w:rPr>
          <w:rFonts w:ascii="Times New Roman" w:hAnsi="Times New Roman"/>
          <w:bCs/>
          <w:szCs w:val="24"/>
        </w:rPr>
      </w:pPr>
      <w:r>
        <w:rPr>
          <w:rFonts w:ascii="Times New Roman" w:hAnsi="Times New Roman"/>
          <w:bCs/>
          <w:szCs w:val="24"/>
        </w:rPr>
        <w:t>Non-response follow-up (</w:t>
      </w:r>
      <w:r w:rsidRPr="00D94418">
        <w:rPr>
          <w:rFonts w:ascii="Times New Roman" w:hAnsi="Times New Roman"/>
          <w:bCs/>
          <w:szCs w:val="24"/>
        </w:rPr>
        <w:t>NRFU</w:t>
      </w:r>
      <w:r>
        <w:rPr>
          <w:rFonts w:ascii="Times New Roman" w:hAnsi="Times New Roman"/>
          <w:bCs/>
          <w:szCs w:val="24"/>
        </w:rPr>
        <w:t>)</w:t>
      </w:r>
      <w:r w:rsidRPr="00D94418">
        <w:rPr>
          <w:rFonts w:ascii="Times New Roman" w:hAnsi="Times New Roman"/>
          <w:bCs/>
          <w:szCs w:val="24"/>
        </w:rPr>
        <w:t xml:space="preserve"> is instrumental in producing the industry-leading response</w:t>
      </w:r>
      <w:r>
        <w:rPr>
          <w:rFonts w:ascii="Times New Roman" w:hAnsi="Times New Roman"/>
          <w:bCs/>
          <w:szCs w:val="24"/>
        </w:rPr>
        <w:t xml:space="preserve"> </w:t>
      </w:r>
      <w:r w:rsidRPr="00D94418">
        <w:rPr>
          <w:rFonts w:ascii="Times New Roman" w:hAnsi="Times New Roman"/>
          <w:bCs/>
          <w:szCs w:val="24"/>
        </w:rPr>
        <w:t xml:space="preserve">rate for </w:t>
      </w:r>
      <w:r w:rsidRPr="00D94418">
        <w:rPr>
          <w:rFonts w:ascii="Times New Roman" w:hAnsi="Times New Roman"/>
          <w:bCs/>
          <w:szCs w:val="24"/>
        </w:rPr>
        <w:t>AmeriSpeak</w:t>
      </w:r>
      <w:r w:rsidRPr="00D94418">
        <w:rPr>
          <w:rFonts w:ascii="Times New Roman" w:hAnsi="Times New Roman"/>
          <w:bCs/>
          <w:szCs w:val="24"/>
        </w:rPr>
        <w:t xml:space="preserve"> Panel recruitment.</w:t>
      </w:r>
      <w:r>
        <w:rPr>
          <w:rFonts w:ascii="Times New Roman" w:hAnsi="Times New Roman"/>
          <w:bCs/>
          <w:szCs w:val="24"/>
        </w:rPr>
        <w:t xml:space="preserve"> </w:t>
      </w:r>
      <w:r w:rsidRPr="00D94418">
        <w:rPr>
          <w:rFonts w:ascii="Times New Roman" w:hAnsi="Times New Roman"/>
          <w:bCs/>
          <w:szCs w:val="24"/>
        </w:rPr>
        <w:t>Moreover, due to the more intensive effort, NRFU recruitments better represent hard-to-reach groups and</w:t>
      </w:r>
      <w:r>
        <w:rPr>
          <w:rFonts w:ascii="Times New Roman" w:hAnsi="Times New Roman"/>
          <w:bCs/>
          <w:szCs w:val="24"/>
        </w:rPr>
        <w:t xml:space="preserve"> </w:t>
      </w:r>
      <w:r w:rsidRPr="00D94418">
        <w:rPr>
          <w:rFonts w:ascii="Times New Roman" w:hAnsi="Times New Roman"/>
          <w:bCs/>
          <w:szCs w:val="24"/>
        </w:rPr>
        <w:t>are therefore more representative of</w:t>
      </w:r>
      <w:r>
        <w:rPr>
          <w:rFonts w:ascii="Times New Roman" w:hAnsi="Times New Roman"/>
          <w:bCs/>
          <w:szCs w:val="24"/>
        </w:rPr>
        <w:t xml:space="preserve"> </w:t>
      </w:r>
      <w:r w:rsidRPr="00D94418">
        <w:rPr>
          <w:rFonts w:ascii="Times New Roman" w:hAnsi="Times New Roman"/>
          <w:bCs/>
          <w:szCs w:val="24"/>
        </w:rPr>
        <w:t>the target population. For example, initial recruitment tends to underrepresent young adults 18-34 years of age. NRFU recruitment corrects for this bias by bringing the age</w:t>
      </w:r>
      <w:r>
        <w:rPr>
          <w:rFonts w:ascii="Times New Roman" w:hAnsi="Times New Roman"/>
          <w:bCs/>
          <w:szCs w:val="24"/>
        </w:rPr>
        <w:t xml:space="preserve"> </w:t>
      </w:r>
      <w:r w:rsidRPr="00D94418">
        <w:rPr>
          <w:rFonts w:ascii="Times New Roman" w:hAnsi="Times New Roman"/>
          <w:bCs/>
          <w:szCs w:val="24"/>
        </w:rPr>
        <w:t>distribution of the panel closer to ACS benchmarks.</w:t>
      </w:r>
    </w:p>
    <w:p w:rsidR="006827D1" w:rsidP="006827D1" w14:paraId="2D63558E" w14:textId="77777777">
      <w:pPr>
        <w:tabs>
          <w:tab w:val="left" w:pos="-1440"/>
        </w:tabs>
        <w:ind w:left="360"/>
        <w:contextualSpacing/>
        <w:rPr>
          <w:rFonts w:ascii="Times New Roman" w:hAnsi="Times New Roman"/>
          <w:bCs/>
          <w:szCs w:val="24"/>
        </w:rPr>
      </w:pPr>
    </w:p>
    <w:p w:rsidR="006827D1" w:rsidRPr="00D94418" w:rsidP="006827D1" w14:paraId="56D5E0DB" w14:textId="77777777">
      <w:pPr>
        <w:tabs>
          <w:tab w:val="left" w:pos="-1440"/>
        </w:tabs>
        <w:ind w:left="360"/>
        <w:contextualSpacing/>
        <w:rPr>
          <w:rFonts w:ascii="Times New Roman" w:hAnsi="Times New Roman"/>
          <w:bCs/>
          <w:szCs w:val="24"/>
        </w:rPr>
      </w:pPr>
      <w:r w:rsidRPr="00D94418">
        <w:rPr>
          <w:rFonts w:ascii="Times New Roman" w:hAnsi="Times New Roman"/>
          <w:bCs/>
          <w:szCs w:val="24"/>
        </w:rPr>
        <w:t>Overall, NRFU recruitment significantly improves the representation of the panel with respect to</w:t>
      </w:r>
      <w:r>
        <w:rPr>
          <w:rFonts w:ascii="Times New Roman" w:hAnsi="Times New Roman"/>
          <w:bCs/>
          <w:szCs w:val="24"/>
        </w:rPr>
        <w:t xml:space="preserve"> </w:t>
      </w:r>
      <w:r w:rsidRPr="00D94418">
        <w:rPr>
          <w:rFonts w:ascii="Times New Roman" w:hAnsi="Times New Roman"/>
          <w:bCs/>
          <w:szCs w:val="24"/>
        </w:rPr>
        <w:t>demographic segments that are under-represented among the respondents to the initial recruitment, including</w:t>
      </w:r>
      <w:r>
        <w:rPr>
          <w:rFonts w:ascii="Times New Roman" w:hAnsi="Times New Roman"/>
          <w:bCs/>
          <w:szCs w:val="24"/>
        </w:rPr>
        <w:t xml:space="preserve"> </w:t>
      </w:r>
      <w:r w:rsidRPr="00D94418">
        <w:rPr>
          <w:rFonts w:ascii="Times New Roman" w:hAnsi="Times New Roman"/>
          <w:bCs/>
          <w:szCs w:val="24"/>
        </w:rPr>
        <w:t>young adults (persons 18 to 34 years of age), Africa</w:t>
      </w:r>
      <w:r>
        <w:rPr>
          <w:rFonts w:ascii="Times New Roman" w:hAnsi="Times New Roman"/>
          <w:bCs/>
          <w:szCs w:val="24"/>
        </w:rPr>
        <w:t xml:space="preserve"> </w:t>
      </w:r>
      <w:r w:rsidRPr="00D94418">
        <w:rPr>
          <w:rFonts w:ascii="Times New Roman" w:hAnsi="Times New Roman"/>
          <w:bCs/>
          <w:szCs w:val="24"/>
        </w:rPr>
        <w:t>Americans, Hispanics, lower-income households,</w:t>
      </w:r>
      <w:r>
        <w:rPr>
          <w:rFonts w:ascii="Times New Roman" w:hAnsi="Times New Roman"/>
          <w:bCs/>
          <w:szCs w:val="24"/>
        </w:rPr>
        <w:t xml:space="preserve"> </w:t>
      </w:r>
      <w:r w:rsidRPr="00D94418">
        <w:rPr>
          <w:rFonts w:ascii="Times New Roman" w:hAnsi="Times New Roman"/>
          <w:bCs/>
          <w:szCs w:val="24"/>
        </w:rPr>
        <w:t>renters, cellphone-only households, and persons with lower educational attainment (e.g., no college degree).</w:t>
      </w:r>
      <w:r>
        <w:rPr>
          <w:rFonts w:ascii="Times New Roman" w:hAnsi="Times New Roman"/>
          <w:bCs/>
          <w:szCs w:val="24"/>
        </w:rPr>
        <w:t xml:space="preserve"> </w:t>
      </w:r>
      <w:r w:rsidRPr="00D94418">
        <w:rPr>
          <w:rFonts w:ascii="Times New Roman" w:hAnsi="Times New Roman"/>
          <w:bCs/>
          <w:szCs w:val="24"/>
        </w:rPr>
        <w:t xml:space="preserve">To the extent that these demographic </w:t>
      </w:r>
      <w:r w:rsidRPr="00D94418">
        <w:rPr>
          <w:rFonts w:ascii="Times New Roman" w:hAnsi="Times New Roman"/>
          <w:bCs/>
          <w:szCs w:val="24"/>
        </w:rPr>
        <w:t>characteristics are correlated with substantive survey variables, NRFU</w:t>
      </w:r>
      <w:r>
        <w:rPr>
          <w:rFonts w:ascii="Times New Roman" w:hAnsi="Times New Roman"/>
          <w:bCs/>
          <w:szCs w:val="24"/>
        </w:rPr>
        <w:t xml:space="preserve"> </w:t>
      </w:r>
      <w:r w:rsidRPr="00D94418">
        <w:rPr>
          <w:rFonts w:ascii="Times New Roman" w:hAnsi="Times New Roman"/>
          <w:bCs/>
          <w:szCs w:val="24"/>
        </w:rPr>
        <w:t>helps to reduce potential non-response bias in the sample estimates. NORC’s research indicates that NRFU</w:t>
      </w:r>
      <w:r>
        <w:rPr>
          <w:rFonts w:ascii="Times New Roman" w:hAnsi="Times New Roman"/>
          <w:bCs/>
          <w:szCs w:val="24"/>
        </w:rPr>
        <w:t xml:space="preserve"> </w:t>
      </w:r>
      <w:r w:rsidRPr="00D94418">
        <w:rPr>
          <w:rFonts w:ascii="Times New Roman" w:hAnsi="Times New Roman"/>
          <w:bCs/>
          <w:szCs w:val="24"/>
        </w:rPr>
        <w:t>respondents are indeed somewhat different from initial respondents for many common</w:t>
      </w:r>
      <w:r>
        <w:rPr>
          <w:rFonts w:ascii="Times New Roman" w:hAnsi="Times New Roman"/>
          <w:bCs/>
          <w:szCs w:val="24"/>
        </w:rPr>
        <w:t xml:space="preserve"> </w:t>
      </w:r>
      <w:r w:rsidRPr="00D94418">
        <w:rPr>
          <w:rFonts w:ascii="Times New Roman" w:hAnsi="Times New Roman"/>
          <w:bCs/>
          <w:szCs w:val="24"/>
        </w:rPr>
        <w:t>survey variables. For</w:t>
      </w:r>
      <w:r>
        <w:rPr>
          <w:rFonts w:ascii="Times New Roman" w:hAnsi="Times New Roman"/>
          <w:bCs/>
          <w:szCs w:val="24"/>
        </w:rPr>
        <w:t xml:space="preserve"> </w:t>
      </w:r>
      <w:r w:rsidRPr="00D94418">
        <w:rPr>
          <w:rFonts w:ascii="Times New Roman" w:hAnsi="Times New Roman"/>
          <w:bCs/>
          <w:szCs w:val="24"/>
        </w:rPr>
        <w:t>example, compared to the panelists recruited during the initial stage, NRFU panelists tend to be more</w:t>
      </w:r>
      <w:r>
        <w:rPr>
          <w:rFonts w:ascii="Times New Roman" w:hAnsi="Times New Roman"/>
          <w:bCs/>
          <w:szCs w:val="24"/>
        </w:rPr>
        <w:t xml:space="preserve"> </w:t>
      </w:r>
      <w:r w:rsidRPr="00D94418">
        <w:rPr>
          <w:rFonts w:ascii="Times New Roman" w:hAnsi="Times New Roman"/>
          <w:bCs/>
          <w:szCs w:val="24"/>
        </w:rPr>
        <w:t>conservative politically, more likely to attend church, less interested in current events or topics in the news</w:t>
      </w:r>
      <w:r>
        <w:rPr>
          <w:rFonts w:ascii="Times New Roman" w:hAnsi="Times New Roman"/>
          <w:bCs/>
          <w:szCs w:val="24"/>
        </w:rPr>
        <w:t xml:space="preserve"> </w:t>
      </w:r>
      <w:r w:rsidRPr="00D94418">
        <w:rPr>
          <w:rFonts w:ascii="Times New Roman" w:hAnsi="Times New Roman"/>
          <w:bCs/>
          <w:szCs w:val="24"/>
        </w:rPr>
        <w:t>report, less knowledgeable about science</w:t>
      </w:r>
      <w:r>
        <w:rPr>
          <w:rFonts w:ascii="Times New Roman" w:hAnsi="Times New Roman"/>
          <w:bCs/>
          <w:szCs w:val="24"/>
        </w:rPr>
        <w:t xml:space="preserve"> </w:t>
      </w:r>
      <w:r w:rsidRPr="00D94418">
        <w:rPr>
          <w:rFonts w:ascii="Times New Roman" w:hAnsi="Times New Roman"/>
          <w:bCs/>
          <w:szCs w:val="24"/>
        </w:rPr>
        <w:t>less likely to be in favor of gun control policies, less likely to read a</w:t>
      </w:r>
      <w:r>
        <w:rPr>
          <w:rFonts w:ascii="Times New Roman" w:hAnsi="Times New Roman"/>
          <w:bCs/>
          <w:szCs w:val="24"/>
        </w:rPr>
        <w:t xml:space="preserve"> </w:t>
      </w:r>
      <w:r w:rsidRPr="00D94418">
        <w:rPr>
          <w:rFonts w:ascii="Times New Roman" w:hAnsi="Times New Roman"/>
          <w:bCs/>
          <w:szCs w:val="24"/>
        </w:rPr>
        <w:t>print newspaper (more</w:t>
      </w:r>
      <w:r>
        <w:rPr>
          <w:rFonts w:ascii="Times New Roman" w:hAnsi="Times New Roman"/>
          <w:bCs/>
          <w:szCs w:val="24"/>
        </w:rPr>
        <w:t xml:space="preserve"> </w:t>
      </w:r>
      <w:r w:rsidRPr="00D94418">
        <w:rPr>
          <w:rFonts w:ascii="Times New Roman" w:hAnsi="Times New Roman"/>
          <w:bCs/>
          <w:szCs w:val="24"/>
        </w:rPr>
        <w:t>likely to read the news online and use social media), more likely to eat at fast-food</w:t>
      </w:r>
      <w:r>
        <w:rPr>
          <w:rFonts w:ascii="Times New Roman" w:hAnsi="Times New Roman"/>
          <w:bCs/>
          <w:szCs w:val="24"/>
        </w:rPr>
        <w:t xml:space="preserve"> </w:t>
      </w:r>
      <w:r w:rsidRPr="00D94418">
        <w:rPr>
          <w:rFonts w:ascii="Times New Roman" w:hAnsi="Times New Roman"/>
          <w:bCs/>
          <w:szCs w:val="24"/>
        </w:rPr>
        <w:t>restaurants, and so on</w:t>
      </w:r>
      <w:r>
        <w:rPr>
          <w:rFonts w:ascii="Times New Roman" w:hAnsi="Times New Roman"/>
          <w:bCs/>
          <w:szCs w:val="24"/>
        </w:rPr>
        <w:t xml:space="preserve">. </w:t>
      </w:r>
      <w:r w:rsidRPr="00D94418">
        <w:rPr>
          <w:rFonts w:ascii="Times New Roman" w:hAnsi="Times New Roman"/>
          <w:bCs/>
          <w:szCs w:val="24"/>
        </w:rPr>
        <w:t>These observations illustrate that NRFU recruitment is critical for achieving a more</w:t>
      </w:r>
      <w:r>
        <w:rPr>
          <w:rFonts w:ascii="Times New Roman" w:hAnsi="Times New Roman"/>
          <w:bCs/>
          <w:szCs w:val="24"/>
        </w:rPr>
        <w:t xml:space="preserve"> </w:t>
      </w:r>
      <w:r w:rsidRPr="003C4151">
        <w:rPr>
          <w:rFonts w:ascii="Times New Roman" w:hAnsi="Times New Roman"/>
          <w:bCs/>
          <w:szCs w:val="24"/>
        </w:rPr>
        <w:t xml:space="preserve">balanced panel and for making the substantive estimates in </w:t>
      </w:r>
      <w:r w:rsidRPr="003C4151">
        <w:rPr>
          <w:rFonts w:ascii="Times New Roman" w:hAnsi="Times New Roman"/>
          <w:bCs/>
          <w:szCs w:val="24"/>
        </w:rPr>
        <w:t>AmeriSpeak</w:t>
      </w:r>
      <w:r w:rsidRPr="003C4151">
        <w:rPr>
          <w:rFonts w:ascii="Times New Roman" w:hAnsi="Times New Roman"/>
          <w:bCs/>
          <w:szCs w:val="24"/>
        </w:rPr>
        <w:t xml:space="preserve"> studies more accurate. Even though</w:t>
      </w:r>
      <w:r>
        <w:rPr>
          <w:rFonts w:ascii="Times New Roman" w:hAnsi="Times New Roman"/>
          <w:bCs/>
          <w:szCs w:val="24"/>
        </w:rPr>
        <w:t xml:space="preserve"> </w:t>
      </w:r>
      <w:r w:rsidRPr="003C4151">
        <w:rPr>
          <w:rFonts w:ascii="Times New Roman" w:hAnsi="Times New Roman"/>
          <w:bCs/>
          <w:szCs w:val="24"/>
        </w:rPr>
        <w:t>NRFU panelists are more reluctant to complete surveys,</w:t>
      </w:r>
      <w:r>
        <w:rPr>
          <w:rFonts w:ascii="Times New Roman" w:hAnsi="Times New Roman"/>
          <w:bCs/>
          <w:szCs w:val="24"/>
        </w:rPr>
        <w:t xml:space="preserve"> </w:t>
      </w:r>
      <w:r w:rsidRPr="003C4151">
        <w:rPr>
          <w:rFonts w:ascii="Times New Roman" w:hAnsi="Times New Roman"/>
          <w:bCs/>
          <w:szCs w:val="24"/>
        </w:rPr>
        <w:t>the addition of NRFU panelists reduced total</w:t>
      </w:r>
      <w:r>
        <w:rPr>
          <w:rFonts w:ascii="Times New Roman" w:hAnsi="Times New Roman"/>
          <w:bCs/>
          <w:szCs w:val="24"/>
        </w:rPr>
        <w:t xml:space="preserve"> </w:t>
      </w:r>
      <w:r w:rsidRPr="003C4151">
        <w:rPr>
          <w:rFonts w:ascii="Times New Roman" w:hAnsi="Times New Roman"/>
          <w:bCs/>
          <w:szCs w:val="24"/>
        </w:rPr>
        <w:t>absolute bias on average 5 to 21 percentage</w:t>
      </w:r>
      <w:r>
        <w:rPr>
          <w:rFonts w:ascii="Times New Roman" w:hAnsi="Times New Roman"/>
          <w:bCs/>
          <w:szCs w:val="24"/>
        </w:rPr>
        <w:t xml:space="preserve"> </w:t>
      </w:r>
      <w:r w:rsidRPr="003C4151">
        <w:rPr>
          <w:rFonts w:ascii="Times New Roman" w:hAnsi="Times New Roman"/>
          <w:bCs/>
          <w:szCs w:val="24"/>
        </w:rPr>
        <w:t>points when compared to the initial stage recruits (among</w:t>
      </w:r>
      <w:r>
        <w:rPr>
          <w:rFonts w:ascii="Times New Roman" w:hAnsi="Times New Roman"/>
          <w:bCs/>
          <w:szCs w:val="24"/>
        </w:rPr>
        <w:t xml:space="preserve"> </w:t>
      </w:r>
      <w:r w:rsidRPr="003C4151">
        <w:rPr>
          <w:rFonts w:ascii="Times New Roman" w:hAnsi="Times New Roman"/>
          <w:bCs/>
          <w:szCs w:val="24"/>
        </w:rPr>
        <w:t>examined surveys).</w:t>
      </w:r>
    </w:p>
    <w:p w:rsidR="00EF2009" w:rsidRPr="002C6214" w:rsidP="00EF2009" w14:paraId="4684A757" w14:textId="77777777">
      <w:pPr>
        <w:tabs>
          <w:tab w:val="left" w:pos="-1440"/>
        </w:tabs>
        <w:ind w:left="360"/>
        <w:contextualSpacing/>
        <w:rPr>
          <w:rFonts w:ascii="Times New Roman" w:hAnsi="Times New Roman"/>
          <w:b/>
          <w:szCs w:val="24"/>
        </w:rPr>
      </w:pPr>
    </w:p>
    <w:p w:rsidR="00EF2009" w:rsidP="00EF2009" w14:paraId="6A14842D" w14:textId="77777777">
      <w:pPr>
        <w:numPr>
          <w:ilvl w:val="0"/>
          <w:numId w:val="5"/>
        </w:numPr>
        <w:tabs>
          <w:tab w:val="left" w:pos="-1440"/>
        </w:tabs>
        <w:ind w:left="360"/>
        <w:contextualSpacing/>
        <w:rPr>
          <w:rFonts w:ascii="Times New Roman" w:hAnsi="Times New Roman"/>
          <w:b/>
          <w:szCs w:val="24"/>
        </w:rPr>
      </w:pPr>
      <w:r w:rsidRPr="002C6214">
        <w:rPr>
          <w:rFonts w:ascii="Times New Roman" w:hAnsi="Times New Roman"/>
          <w:b/>
          <w:szCs w:val="24"/>
        </w:rPr>
        <w:t>Describe any tests of procedures or methods to be undertaken.</w:t>
      </w:r>
    </w:p>
    <w:p w:rsidR="00EF2009" w:rsidP="00EF2009" w14:paraId="301FAECE" w14:textId="77777777">
      <w:pPr>
        <w:tabs>
          <w:tab w:val="left" w:pos="-1440"/>
        </w:tabs>
        <w:contextualSpacing/>
        <w:rPr>
          <w:rFonts w:ascii="Times New Roman" w:hAnsi="Times New Roman"/>
          <w:b/>
          <w:szCs w:val="24"/>
        </w:rPr>
      </w:pPr>
    </w:p>
    <w:p w:rsidR="00EF2009" w:rsidRPr="00D670E6" w:rsidP="00EF2009" w14:paraId="4A81E35C" w14:textId="7FA0F5C9">
      <w:pPr>
        <w:tabs>
          <w:tab w:val="left" w:pos="-1440"/>
        </w:tabs>
        <w:ind w:left="360"/>
        <w:contextualSpacing/>
        <w:rPr>
          <w:rFonts w:ascii="Times New Roman" w:hAnsi="Times New Roman"/>
          <w:bCs/>
          <w:szCs w:val="24"/>
        </w:rPr>
      </w:pPr>
      <w:r>
        <w:rPr>
          <w:rFonts w:ascii="Times New Roman" w:hAnsi="Times New Roman"/>
          <w:bCs/>
          <w:szCs w:val="24"/>
        </w:rPr>
        <w:t>A soft launch of the survey will take place</w:t>
      </w:r>
      <w:r w:rsidRPr="00D670E6">
        <w:rPr>
          <w:rFonts w:ascii="Times New Roman" w:hAnsi="Times New Roman"/>
          <w:bCs/>
          <w:szCs w:val="24"/>
        </w:rPr>
        <w:t xml:space="preserve">. </w:t>
      </w:r>
      <w:r>
        <w:rPr>
          <w:rFonts w:ascii="Times New Roman" w:hAnsi="Times New Roman"/>
          <w:bCs/>
          <w:szCs w:val="24"/>
        </w:rPr>
        <w:t>T</w:t>
      </w:r>
      <w:r w:rsidRPr="00D670E6">
        <w:rPr>
          <w:rFonts w:ascii="Times New Roman" w:hAnsi="Times New Roman"/>
          <w:bCs/>
          <w:szCs w:val="24"/>
        </w:rPr>
        <w:t>ypically,</w:t>
      </w:r>
      <w:r>
        <w:rPr>
          <w:rFonts w:ascii="Times New Roman" w:hAnsi="Times New Roman"/>
          <w:bCs/>
          <w:szCs w:val="24"/>
        </w:rPr>
        <w:t xml:space="preserve"> a soft launch is</w:t>
      </w:r>
      <w:r w:rsidRPr="00D670E6">
        <w:rPr>
          <w:rFonts w:ascii="Times New Roman" w:hAnsi="Times New Roman"/>
          <w:bCs/>
          <w:szCs w:val="24"/>
        </w:rPr>
        <w:t xml:space="preserve"> perform</w:t>
      </w:r>
      <w:r>
        <w:rPr>
          <w:rFonts w:ascii="Times New Roman" w:hAnsi="Times New Roman"/>
          <w:bCs/>
          <w:szCs w:val="24"/>
        </w:rPr>
        <w:t>ed</w:t>
      </w:r>
      <w:r w:rsidRPr="00D670E6">
        <w:rPr>
          <w:rFonts w:ascii="Times New Roman" w:hAnsi="Times New Roman"/>
          <w:bCs/>
          <w:szCs w:val="24"/>
        </w:rPr>
        <w:t xml:space="preserve"> </w:t>
      </w:r>
      <w:r>
        <w:rPr>
          <w:rFonts w:ascii="Times New Roman" w:hAnsi="Times New Roman"/>
          <w:bCs/>
          <w:szCs w:val="24"/>
        </w:rPr>
        <w:t>by sending</w:t>
      </w:r>
      <w:r w:rsidRPr="00D670E6">
        <w:rPr>
          <w:rFonts w:ascii="Times New Roman" w:hAnsi="Times New Roman"/>
          <w:bCs/>
          <w:szCs w:val="24"/>
        </w:rPr>
        <w:t xml:space="preserve"> the survey out to 10% of the total n-size that</w:t>
      </w:r>
      <w:r>
        <w:rPr>
          <w:rFonts w:ascii="Times New Roman" w:hAnsi="Times New Roman"/>
          <w:bCs/>
          <w:szCs w:val="24"/>
        </w:rPr>
        <w:t xml:space="preserve"> is needed for the</w:t>
      </w:r>
      <w:r w:rsidRPr="00D670E6">
        <w:rPr>
          <w:rFonts w:ascii="Times New Roman" w:hAnsi="Times New Roman"/>
          <w:bCs/>
          <w:szCs w:val="24"/>
        </w:rPr>
        <w:t xml:space="preserve"> survey. This helps to ensure the survey is working properly (e.g., question logic is working correctly, respondents </w:t>
      </w:r>
      <w:r w:rsidRPr="00D670E6">
        <w:rPr>
          <w:rFonts w:ascii="Times New Roman" w:hAnsi="Times New Roman"/>
          <w:bCs/>
          <w:szCs w:val="24"/>
        </w:rPr>
        <w:t>are able to</w:t>
      </w:r>
      <w:r w:rsidRPr="00D670E6">
        <w:rPr>
          <w:rFonts w:ascii="Times New Roman" w:hAnsi="Times New Roman"/>
          <w:bCs/>
          <w:szCs w:val="24"/>
        </w:rPr>
        <w:t xml:space="preserve"> fully complete the survey, and all questions are being asked of the right people). It also helps to </w:t>
      </w:r>
      <w:r>
        <w:rPr>
          <w:rFonts w:ascii="Times New Roman" w:hAnsi="Times New Roman"/>
          <w:bCs/>
          <w:szCs w:val="24"/>
        </w:rPr>
        <w:t>gauge</w:t>
      </w:r>
      <w:r w:rsidRPr="00D670E6">
        <w:rPr>
          <w:rFonts w:ascii="Times New Roman" w:hAnsi="Times New Roman"/>
          <w:bCs/>
          <w:szCs w:val="24"/>
        </w:rPr>
        <w:t xml:space="preserve"> </w:t>
      </w:r>
      <w:r>
        <w:rPr>
          <w:rFonts w:ascii="Times New Roman" w:hAnsi="Times New Roman"/>
          <w:bCs/>
          <w:szCs w:val="24"/>
        </w:rPr>
        <w:t>the length</w:t>
      </w:r>
      <w:r w:rsidRPr="00D670E6">
        <w:rPr>
          <w:rFonts w:ascii="Times New Roman" w:hAnsi="Times New Roman"/>
          <w:bCs/>
          <w:szCs w:val="24"/>
        </w:rPr>
        <w:t xml:space="preserve"> it takes participants to complete the survey</w:t>
      </w:r>
      <w:r>
        <w:rPr>
          <w:rFonts w:ascii="Times New Roman" w:hAnsi="Times New Roman"/>
          <w:bCs/>
          <w:szCs w:val="24"/>
        </w:rPr>
        <w:t xml:space="preserve"> to ensure time requirements aren’t being exceeded</w:t>
      </w:r>
      <w:r w:rsidRPr="00D670E6">
        <w:rPr>
          <w:rFonts w:ascii="Times New Roman" w:hAnsi="Times New Roman"/>
          <w:bCs/>
          <w:szCs w:val="24"/>
        </w:rPr>
        <w:t xml:space="preserve"> and to ensure there aren't any</w:t>
      </w:r>
      <w:r>
        <w:rPr>
          <w:rFonts w:ascii="Times New Roman" w:hAnsi="Times New Roman"/>
          <w:bCs/>
          <w:szCs w:val="24"/>
        </w:rPr>
        <w:t xml:space="preserve"> technical</w:t>
      </w:r>
      <w:r w:rsidRPr="00D670E6">
        <w:rPr>
          <w:rFonts w:ascii="Times New Roman" w:hAnsi="Times New Roman"/>
          <w:bCs/>
          <w:szCs w:val="24"/>
        </w:rPr>
        <w:t xml:space="preserve"> issues with the survey </w:t>
      </w:r>
      <w:r>
        <w:rPr>
          <w:rFonts w:ascii="Times New Roman" w:hAnsi="Times New Roman"/>
          <w:bCs/>
          <w:szCs w:val="24"/>
        </w:rPr>
        <w:t>that need correction</w:t>
      </w:r>
      <w:r w:rsidRPr="00D670E6">
        <w:rPr>
          <w:rFonts w:ascii="Times New Roman" w:hAnsi="Times New Roman"/>
          <w:bCs/>
          <w:szCs w:val="24"/>
        </w:rPr>
        <w:t>. The respondents collected in a soft launch will come from the same panel sample as the rest of the respondent</w:t>
      </w:r>
      <w:r>
        <w:rPr>
          <w:rFonts w:ascii="Times New Roman" w:hAnsi="Times New Roman"/>
          <w:bCs/>
          <w:szCs w:val="24"/>
        </w:rPr>
        <w:t xml:space="preserve"> universe</w:t>
      </w:r>
      <w:r w:rsidRPr="00D670E6">
        <w:rPr>
          <w:rFonts w:ascii="Times New Roman" w:hAnsi="Times New Roman"/>
          <w:bCs/>
          <w:szCs w:val="24"/>
        </w:rPr>
        <w:t xml:space="preserve"> and will be included in the final data. NORC will perform the soft launch and then full launch</w:t>
      </w:r>
      <w:r>
        <w:rPr>
          <w:rFonts w:ascii="Times New Roman" w:hAnsi="Times New Roman"/>
          <w:bCs/>
          <w:szCs w:val="24"/>
        </w:rPr>
        <w:t xml:space="preserve"> of the survey will take place after the list of checks have been completed.</w:t>
      </w:r>
    </w:p>
    <w:p w:rsidR="00EF2009" w:rsidRPr="00D670E6" w:rsidP="00EF2009" w14:paraId="73FC280B" w14:textId="77777777">
      <w:pPr>
        <w:tabs>
          <w:tab w:val="left" w:pos="-1440"/>
        </w:tabs>
        <w:contextualSpacing/>
        <w:rPr>
          <w:rFonts w:ascii="Times New Roman" w:hAnsi="Times New Roman"/>
          <w:bCs/>
          <w:szCs w:val="24"/>
        </w:rPr>
      </w:pPr>
      <w:r w:rsidRPr="00D670E6">
        <w:rPr>
          <w:rFonts w:ascii="Times New Roman" w:hAnsi="Times New Roman"/>
          <w:bCs/>
          <w:szCs w:val="24"/>
        </w:rPr>
        <w:t xml:space="preserve"> </w:t>
      </w:r>
    </w:p>
    <w:p w:rsidR="00EF2009" w:rsidRPr="007222C7" w:rsidP="00EF2009" w14:paraId="2B993638" w14:textId="77777777">
      <w:pPr>
        <w:tabs>
          <w:tab w:val="left" w:pos="-1440"/>
        </w:tabs>
        <w:ind w:left="360"/>
        <w:contextualSpacing/>
        <w:rPr>
          <w:rFonts w:ascii="Times New Roman" w:hAnsi="Times New Roman"/>
          <w:bCs/>
          <w:szCs w:val="24"/>
        </w:rPr>
      </w:pPr>
      <w:r>
        <w:rPr>
          <w:rFonts w:ascii="Times New Roman" w:hAnsi="Times New Roman"/>
          <w:bCs/>
          <w:szCs w:val="24"/>
        </w:rPr>
        <w:t>A</w:t>
      </w:r>
      <w:r w:rsidRPr="00D670E6">
        <w:rPr>
          <w:rFonts w:ascii="Times New Roman" w:hAnsi="Times New Roman"/>
          <w:bCs/>
          <w:szCs w:val="24"/>
        </w:rPr>
        <w:t xml:space="preserve">lthough </w:t>
      </w:r>
      <w:r>
        <w:rPr>
          <w:rFonts w:ascii="Times New Roman" w:hAnsi="Times New Roman"/>
          <w:bCs/>
          <w:szCs w:val="24"/>
        </w:rPr>
        <w:t>a</w:t>
      </w:r>
      <w:r w:rsidRPr="00D670E6">
        <w:rPr>
          <w:rFonts w:ascii="Times New Roman" w:hAnsi="Times New Roman"/>
          <w:bCs/>
          <w:szCs w:val="24"/>
        </w:rPr>
        <w:t xml:space="preserve"> soft launch can </w:t>
      </w:r>
      <w:r>
        <w:rPr>
          <w:rFonts w:ascii="Times New Roman" w:hAnsi="Times New Roman"/>
          <w:bCs/>
          <w:szCs w:val="24"/>
        </w:rPr>
        <w:t>likely</w:t>
      </w:r>
      <w:r w:rsidRPr="00D670E6">
        <w:rPr>
          <w:rFonts w:ascii="Times New Roman" w:hAnsi="Times New Roman"/>
          <w:bCs/>
          <w:szCs w:val="24"/>
        </w:rPr>
        <w:t xml:space="preserve"> be considered</w:t>
      </w:r>
      <w:r>
        <w:rPr>
          <w:rFonts w:ascii="Times New Roman" w:hAnsi="Times New Roman"/>
          <w:bCs/>
          <w:szCs w:val="24"/>
        </w:rPr>
        <w:t xml:space="preserve"> an example of “testing procedures”</w:t>
      </w:r>
      <w:r w:rsidRPr="00D670E6">
        <w:rPr>
          <w:rFonts w:ascii="Times New Roman" w:hAnsi="Times New Roman"/>
          <w:bCs/>
          <w:szCs w:val="24"/>
        </w:rPr>
        <w:t>, the soft launch</w:t>
      </w:r>
      <w:r>
        <w:rPr>
          <w:rFonts w:ascii="Times New Roman" w:hAnsi="Times New Roman"/>
          <w:bCs/>
          <w:szCs w:val="24"/>
        </w:rPr>
        <w:t xml:space="preserve"> will not be used</w:t>
      </w:r>
      <w:r w:rsidRPr="00D670E6">
        <w:rPr>
          <w:rFonts w:ascii="Times New Roman" w:hAnsi="Times New Roman"/>
          <w:bCs/>
          <w:szCs w:val="24"/>
        </w:rPr>
        <w:t xml:space="preserve"> as an opportunity to test question language or make major changes to the</w:t>
      </w:r>
      <w:r>
        <w:rPr>
          <w:rFonts w:ascii="Times New Roman" w:hAnsi="Times New Roman"/>
          <w:bCs/>
          <w:szCs w:val="24"/>
        </w:rPr>
        <w:t xml:space="preserve"> overall</w:t>
      </w:r>
      <w:r w:rsidRPr="00D670E6">
        <w:rPr>
          <w:rFonts w:ascii="Times New Roman" w:hAnsi="Times New Roman"/>
          <w:bCs/>
          <w:szCs w:val="24"/>
        </w:rPr>
        <w:t xml:space="preserve"> survey as this wastes</w:t>
      </w:r>
      <w:r>
        <w:rPr>
          <w:rFonts w:ascii="Times New Roman" w:hAnsi="Times New Roman"/>
          <w:bCs/>
          <w:szCs w:val="24"/>
        </w:rPr>
        <w:t xml:space="preserve"> a portion of the</w:t>
      </w:r>
      <w:r w:rsidRPr="00D670E6">
        <w:rPr>
          <w:rFonts w:ascii="Times New Roman" w:hAnsi="Times New Roman"/>
          <w:bCs/>
          <w:szCs w:val="24"/>
        </w:rPr>
        <w:t xml:space="preserve"> sample and can impact results if changes are made</w:t>
      </w:r>
      <w:r>
        <w:rPr>
          <w:rFonts w:ascii="Times New Roman" w:hAnsi="Times New Roman"/>
          <w:bCs/>
          <w:szCs w:val="24"/>
        </w:rPr>
        <w:t xml:space="preserve"> after the fact,</w:t>
      </w:r>
      <w:r w:rsidRPr="00D670E6">
        <w:rPr>
          <w:rFonts w:ascii="Times New Roman" w:hAnsi="Times New Roman"/>
          <w:bCs/>
          <w:szCs w:val="24"/>
        </w:rPr>
        <w:t xml:space="preserve"> since the first 10% would </w:t>
      </w:r>
      <w:r>
        <w:rPr>
          <w:rFonts w:ascii="Times New Roman" w:hAnsi="Times New Roman"/>
          <w:bCs/>
          <w:szCs w:val="24"/>
        </w:rPr>
        <w:t>experience a different survey than the remaining 90% of the sample after full launch.</w:t>
      </w:r>
    </w:p>
    <w:p w:rsidR="00EF2009" w:rsidRPr="002C6214" w:rsidP="00EF2009" w14:paraId="2FC1BE5D" w14:textId="77777777">
      <w:pPr>
        <w:tabs>
          <w:tab w:val="left" w:pos="-1440"/>
        </w:tabs>
        <w:ind w:left="360"/>
        <w:contextualSpacing/>
        <w:rPr>
          <w:rFonts w:ascii="Times New Roman" w:hAnsi="Times New Roman"/>
          <w:b/>
          <w:szCs w:val="24"/>
        </w:rPr>
      </w:pPr>
    </w:p>
    <w:p w:rsidR="00EF2009" w:rsidRPr="002C6214" w:rsidP="00EF2009" w14:paraId="36B0BC38" w14:textId="77777777">
      <w:pPr>
        <w:numPr>
          <w:ilvl w:val="0"/>
          <w:numId w:val="5"/>
        </w:numPr>
        <w:tabs>
          <w:tab w:val="left" w:pos="-1440"/>
        </w:tabs>
        <w:ind w:left="360"/>
        <w:contextualSpacing/>
        <w:rPr>
          <w:rFonts w:ascii="Times New Roman" w:hAnsi="Times New Roman"/>
          <w:szCs w:val="24"/>
        </w:rPr>
      </w:pPr>
      <w:r w:rsidRPr="002C6214">
        <w:rPr>
          <w:rFonts w:ascii="Times New Roman" w:hAnsi="Times New Roman"/>
          <w:b/>
          <w:szCs w:val="24"/>
        </w:rPr>
        <w:t xml:space="preserve">Provide the name and email, or telephone number, of individuals consulted on statistical aspects of the design and the name of the agency unit, contractor(s), grantee(s), or other person(s) who will </w:t>
      </w:r>
      <w:r w:rsidRPr="002C6214">
        <w:rPr>
          <w:rFonts w:ascii="Times New Roman" w:hAnsi="Times New Roman"/>
          <w:b/>
          <w:szCs w:val="24"/>
        </w:rPr>
        <w:t>actually collect</w:t>
      </w:r>
      <w:r w:rsidRPr="002C6214">
        <w:rPr>
          <w:rFonts w:ascii="Times New Roman" w:hAnsi="Times New Roman"/>
          <w:b/>
          <w:szCs w:val="24"/>
        </w:rPr>
        <w:t xml:space="preserve"> and/or analyze the information for the agency.</w:t>
      </w:r>
      <w:r w:rsidRPr="002C6214">
        <w:rPr>
          <w:rFonts w:ascii="Times New Roman" w:hAnsi="Times New Roman"/>
          <w:szCs w:val="24"/>
        </w:rPr>
        <w:t xml:space="preserve"> </w:t>
      </w:r>
      <w:r w:rsidRPr="002C6214">
        <w:rPr>
          <w:rFonts w:ascii="Times New Roman" w:hAnsi="Times New Roman"/>
          <w:b/>
          <w:szCs w:val="24"/>
        </w:rPr>
        <w:t xml:space="preserve"> </w:t>
      </w:r>
    </w:p>
    <w:p w:rsidR="00EF2009" w:rsidP="00EF2009" w14:paraId="3531804B" w14:textId="77777777"/>
    <w:p w:rsidR="43AC87D9" w:rsidRPr="000A5FD9" w:rsidP="000A5FD9" w14:paraId="4C463B7D" w14:textId="7889B742">
      <w:pPr>
        <w:ind w:left="360"/>
        <w:rPr>
          <w:rFonts w:ascii="Times New Roman" w:hAnsi="Times New Roman"/>
          <w:color w:val="000000" w:themeColor="text1"/>
          <w:szCs w:val="24"/>
        </w:rPr>
      </w:pPr>
      <w:r w:rsidRPr="000A5FD9">
        <w:rPr>
          <w:rFonts w:ascii="Times New Roman" w:hAnsi="Times New Roman"/>
        </w:rPr>
        <w:t xml:space="preserve">NASA/Government POC: </w:t>
      </w:r>
      <w:r w:rsidRPr="000A5FD9">
        <w:rPr>
          <w:rFonts w:ascii="Times New Roman" w:hAnsi="Times New Roman"/>
          <w:color w:val="000000" w:themeColor="text1"/>
          <w:szCs w:val="24"/>
        </w:rPr>
        <w:t xml:space="preserve">Name: Janel Kasper-Wolfe, NASA, Office of Communications </w:t>
      </w:r>
      <w:r w:rsidRPr="000A5FD9">
        <w:rPr>
          <w:rFonts w:ascii="Times New Roman" w:hAnsi="Times New Roman"/>
        </w:rPr>
        <w:t xml:space="preserve">–  </w:t>
      </w:r>
      <w:hyperlink r:id="rId9">
        <w:r w:rsidRPr="00A470D6">
          <w:rPr>
            <w:rStyle w:val="Hyperlink"/>
            <w:rFonts w:ascii="Times New Roman" w:hAnsi="Times New Roman"/>
            <w:szCs w:val="24"/>
          </w:rPr>
          <w:t>janel.c.kasper-wolfe@nasa.gov</w:t>
        </w:r>
      </w:hyperlink>
      <w:r w:rsidRPr="000A5FD9">
        <w:rPr>
          <w:rFonts w:ascii="Times New Roman" w:hAnsi="Times New Roman"/>
          <w:szCs w:val="24"/>
        </w:rPr>
        <w:t xml:space="preserve"> </w:t>
      </w:r>
    </w:p>
    <w:p w:rsidR="00EF2009" w:rsidRPr="000A5FD9" w:rsidP="000A5FD9" w14:paraId="47138FD1" w14:textId="46F0834A">
      <w:pPr>
        <w:ind w:left="360"/>
        <w:rPr>
          <w:rFonts w:ascii="Times New Roman" w:hAnsi="Times New Roman"/>
        </w:rPr>
      </w:pPr>
      <w:r w:rsidRPr="000A5FD9">
        <w:rPr>
          <w:rFonts w:ascii="Times New Roman" w:hAnsi="Times New Roman"/>
        </w:rPr>
        <w:t xml:space="preserve">Main study partner, </w:t>
      </w:r>
      <w:r w:rsidRPr="000A5FD9">
        <w:rPr>
          <w:rFonts w:ascii="Times New Roman" w:hAnsi="Times New Roman"/>
        </w:rPr>
        <w:t xml:space="preserve">VML – Kelcey Curtis – </w:t>
      </w:r>
      <w:hyperlink r:id="rId10">
        <w:r w:rsidRPr="00A470D6">
          <w:rPr>
            <w:rStyle w:val="Hyperlink"/>
            <w:rFonts w:ascii="Times New Roman" w:hAnsi="Times New Roman" w:eastAsiaTheme="majorEastAsia"/>
          </w:rPr>
          <w:t>kelcey.curtis@vml.com</w:t>
        </w:r>
      </w:hyperlink>
    </w:p>
    <w:p w:rsidR="00EF2009" w:rsidRPr="000A5FD9" w:rsidP="000A5FD9" w14:paraId="54812535" w14:textId="77777777">
      <w:pPr>
        <w:ind w:left="360"/>
        <w:rPr>
          <w:rFonts w:ascii="Times New Roman" w:hAnsi="Times New Roman"/>
        </w:rPr>
      </w:pPr>
      <w:r w:rsidRPr="000A5FD9">
        <w:rPr>
          <w:rFonts w:ascii="Times New Roman" w:hAnsi="Times New Roman"/>
        </w:rPr>
        <w:t xml:space="preserve">Sample and analysis partner, NORC: Statistical questions: </w:t>
      </w:r>
      <w:r w:rsidRPr="000A5FD9">
        <w:rPr>
          <w:rFonts w:ascii="Times New Roman" w:hAnsi="Times New Roman"/>
        </w:rPr>
        <w:t>Kanru</w:t>
      </w:r>
      <w:r w:rsidRPr="000A5FD9">
        <w:rPr>
          <w:rFonts w:ascii="Times New Roman" w:hAnsi="Times New Roman"/>
        </w:rPr>
        <w:t xml:space="preserve"> </w:t>
      </w:r>
      <w:r w:rsidRPr="000A5FD9">
        <w:rPr>
          <w:rFonts w:ascii="Times New Roman" w:hAnsi="Times New Roman"/>
        </w:rPr>
        <w:t>Xia  -</w:t>
      </w:r>
      <w:r w:rsidRPr="000A5FD9">
        <w:rPr>
          <w:rFonts w:ascii="Times New Roman" w:hAnsi="Times New Roman"/>
        </w:rPr>
        <w:t xml:space="preserve"> </w:t>
      </w:r>
      <w:hyperlink r:id="rId11" w:history="1">
        <w:r w:rsidRPr="00A470D6">
          <w:rPr>
            <w:rStyle w:val="Hyperlink"/>
            <w:rFonts w:ascii="Times New Roman" w:hAnsi="Times New Roman" w:eastAsiaTheme="majorEastAsia"/>
          </w:rPr>
          <w:t>xia-kanru@norc.org</w:t>
        </w:r>
      </w:hyperlink>
    </w:p>
    <w:p w:rsidR="00DF79C6" w:rsidP="000A5FD9" w14:paraId="1EF2AFD9" w14:textId="780F2B5C">
      <w:pPr>
        <w:ind w:left="360"/>
      </w:pPr>
      <w:r w:rsidRPr="000A5FD9">
        <w:rPr>
          <w:rFonts w:ascii="Times New Roman" w:hAnsi="Times New Roman"/>
        </w:rPr>
        <w:t xml:space="preserve">Survey administration/data collection aspects: Jessica Torres – </w:t>
      </w:r>
      <w:hyperlink r:id="rId12" w:history="1">
        <w:r w:rsidRPr="00A470D6">
          <w:rPr>
            <w:rStyle w:val="Hyperlink"/>
            <w:rFonts w:ascii="Times New Roman" w:hAnsi="Times New Roman" w:eastAsiaTheme="majorEastAsia"/>
          </w:rPr>
          <w:t>torres-jessica@norc.org</w:t>
        </w:r>
      </w:hyperlink>
      <w:r w:rsidRPr="000A5FD9">
        <w:rPr>
          <w:rFonts w:ascii="Times New Roman" w:hAnsi="Times New Roman"/>
        </w:rPr>
        <w:t xml:space="preserve">, or Mark Watts – </w:t>
      </w:r>
      <w:hyperlink r:id="rId13" w:history="1">
        <w:r w:rsidRPr="00A470D6">
          <w:rPr>
            <w:rStyle w:val="Hyperlink"/>
            <w:rFonts w:ascii="Times New Roman" w:hAnsi="Times New Roman" w:eastAsiaTheme="majorEastAsia"/>
          </w:rPr>
          <w:t>watts-mark@norc.org</w:t>
        </w:r>
      </w:hyperlink>
      <w:r w:rsidRPr="000A5FD9">
        <w:rPr>
          <w:rFonts w:ascii="Times New Roman" w:hAnsi="Times New Roman"/>
        </w:rPr>
        <w:t xml:space="preserve"> Research agency, PSB – Amy Crosby – acrosby@psbinsights.com</w:t>
      </w:r>
    </w:p>
    <w:sectPr w:rsidSect="00EF2009">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w:panose1 w:val="02070309020205020404"/>
    <w:charset w:val="00"/>
    <w:family w:val="modern"/>
    <w:pitch w:val="fixed"/>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836DE8"/>
    <w:multiLevelType w:val="hybridMultilevel"/>
    <w:tmpl w:val="78C6BA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4254E08"/>
    <w:multiLevelType w:val="hybridMultilevel"/>
    <w:tmpl w:val="12849D06"/>
    <w:lvl w:ilvl="0">
      <w:start w:val="1"/>
      <w:numFmt w:val="decimal"/>
      <w:lvlText w:val="%1."/>
      <w:lvlJc w:val="left"/>
      <w:pPr>
        <w:ind w:left="720" w:hanging="360"/>
      </w:pPr>
      <w:rPr>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FF4CA9"/>
    <w:multiLevelType w:val="hybridMultilevel"/>
    <w:tmpl w:val="8D080F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325A0EC2"/>
    <w:multiLevelType w:val="hybridMultilevel"/>
    <w:tmpl w:val="3F66BD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556F4BB7"/>
    <w:multiLevelType w:val="multilevel"/>
    <w:tmpl w:val="F6303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E35C7F"/>
    <w:multiLevelType w:val="multilevel"/>
    <w:tmpl w:val="8D92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6842800"/>
    <w:multiLevelType w:val="hybridMultilevel"/>
    <w:tmpl w:val="5218DED8"/>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8EE2FE1"/>
    <w:multiLevelType w:val="hybridMultilevel"/>
    <w:tmpl w:val="B08A0D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608270485">
    <w:abstractNumId w:val="3"/>
  </w:num>
  <w:num w:numId="2" w16cid:durableId="1470129064">
    <w:abstractNumId w:val="2"/>
  </w:num>
  <w:num w:numId="3" w16cid:durableId="1504514080">
    <w:abstractNumId w:val="0"/>
  </w:num>
  <w:num w:numId="4" w16cid:durableId="1224681719">
    <w:abstractNumId w:val="7"/>
  </w:num>
  <w:num w:numId="5" w16cid:durableId="932402162">
    <w:abstractNumId w:val="1"/>
  </w:num>
  <w:num w:numId="6" w16cid:durableId="1824467388">
    <w:abstractNumId w:val="6"/>
  </w:num>
  <w:num w:numId="7" w16cid:durableId="931208258">
    <w:abstractNumId w:val="4"/>
  </w:num>
  <w:num w:numId="8" w16cid:durableId="8157277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4"/>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009"/>
    <w:rsid w:val="000A5FD9"/>
    <w:rsid w:val="000B62F9"/>
    <w:rsid w:val="000C15E5"/>
    <w:rsid w:val="001C37FB"/>
    <w:rsid w:val="002C6214"/>
    <w:rsid w:val="003C4151"/>
    <w:rsid w:val="005204BF"/>
    <w:rsid w:val="00523C2A"/>
    <w:rsid w:val="0058569C"/>
    <w:rsid w:val="00631C8C"/>
    <w:rsid w:val="006613BA"/>
    <w:rsid w:val="006827D1"/>
    <w:rsid w:val="007222C7"/>
    <w:rsid w:val="00746131"/>
    <w:rsid w:val="007E1A48"/>
    <w:rsid w:val="007F36E5"/>
    <w:rsid w:val="00952324"/>
    <w:rsid w:val="00A419DC"/>
    <w:rsid w:val="00A470D6"/>
    <w:rsid w:val="00BA7833"/>
    <w:rsid w:val="00BD006D"/>
    <w:rsid w:val="00BD6A7C"/>
    <w:rsid w:val="00C756BE"/>
    <w:rsid w:val="00CF5F78"/>
    <w:rsid w:val="00D54087"/>
    <w:rsid w:val="00D670E6"/>
    <w:rsid w:val="00D94418"/>
    <w:rsid w:val="00DF79C6"/>
    <w:rsid w:val="00E52EB6"/>
    <w:rsid w:val="00E74EEA"/>
    <w:rsid w:val="00ED1F6A"/>
    <w:rsid w:val="00EF2009"/>
    <w:rsid w:val="00FA6807"/>
    <w:rsid w:val="43AC87D9"/>
    <w:rsid w:val="4585FB80"/>
    <w:rsid w:val="50BCE75B"/>
    <w:rsid w:val="5CA34B45"/>
    <w:rsid w:val="5FADC787"/>
    <w:rsid w:val="6F1A10AE"/>
    <w:rsid w:val="7C86DF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06FE7B"/>
  <w15:chartTrackingRefBased/>
  <w15:docId w15:val="{E39A9A54-4578-4540-812C-E0C30224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hAnsi="Calibri" w:eastAsiaTheme="minorHAnsi" w:cs="Calibr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2009"/>
    <w:pPr>
      <w:widowControl w:val="0"/>
    </w:pPr>
    <w:rPr>
      <w:rFonts w:ascii="Courier" w:eastAsia="Times New Roman" w:hAnsi="Courier" w:cs="Times New Roman"/>
      <w:snapToGrid w:val="0"/>
      <w:kern w:val="0"/>
      <w:sz w:val="24"/>
      <w:szCs w:val="20"/>
      <w14:ligatures w14:val="none"/>
    </w:rPr>
  </w:style>
  <w:style w:type="paragraph" w:styleId="Heading1">
    <w:name w:val="heading 1"/>
    <w:basedOn w:val="Normal"/>
    <w:next w:val="Normal"/>
    <w:link w:val="Heading1Char"/>
    <w:uiPriority w:val="9"/>
    <w:qFormat/>
    <w:rsid w:val="00EF20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20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200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200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F200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F200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F200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F200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F200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0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20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200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200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F200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F200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F200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F200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F2009"/>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EF20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20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200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200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F20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2009"/>
    <w:rPr>
      <w:i/>
      <w:iCs/>
      <w:color w:val="404040" w:themeColor="text1" w:themeTint="BF"/>
    </w:rPr>
  </w:style>
  <w:style w:type="paragraph" w:styleId="ListParagraph">
    <w:name w:val="List Paragraph"/>
    <w:basedOn w:val="Normal"/>
    <w:uiPriority w:val="34"/>
    <w:qFormat/>
    <w:rsid w:val="00EF2009"/>
    <w:pPr>
      <w:ind w:left="720"/>
      <w:contextualSpacing/>
    </w:pPr>
  </w:style>
  <w:style w:type="character" w:styleId="IntenseEmphasis">
    <w:name w:val="Intense Emphasis"/>
    <w:basedOn w:val="DefaultParagraphFont"/>
    <w:uiPriority w:val="21"/>
    <w:qFormat/>
    <w:rsid w:val="00EF2009"/>
    <w:rPr>
      <w:i/>
      <w:iCs/>
      <w:color w:val="0F4761" w:themeColor="accent1" w:themeShade="BF"/>
    </w:rPr>
  </w:style>
  <w:style w:type="paragraph" w:styleId="IntenseQuote">
    <w:name w:val="Intense Quote"/>
    <w:basedOn w:val="Normal"/>
    <w:next w:val="Normal"/>
    <w:link w:val="IntenseQuoteChar"/>
    <w:uiPriority w:val="30"/>
    <w:qFormat/>
    <w:rsid w:val="00EF20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2009"/>
    <w:rPr>
      <w:i/>
      <w:iCs/>
      <w:color w:val="0F4761" w:themeColor="accent1" w:themeShade="BF"/>
    </w:rPr>
  </w:style>
  <w:style w:type="character" w:styleId="IntenseReference">
    <w:name w:val="Intense Reference"/>
    <w:basedOn w:val="DefaultParagraphFont"/>
    <w:uiPriority w:val="32"/>
    <w:qFormat/>
    <w:rsid w:val="00EF2009"/>
    <w:rPr>
      <w:b/>
      <w:bCs/>
      <w:smallCaps/>
      <w:color w:val="0F4761" w:themeColor="accent1" w:themeShade="BF"/>
      <w:spacing w:val="5"/>
    </w:rPr>
  </w:style>
  <w:style w:type="character" w:styleId="Hyperlink">
    <w:name w:val="Hyperlink"/>
    <w:rsid w:val="00EF2009"/>
    <w:rPr>
      <w:color w:val="0000FF"/>
      <w:u w:val="single"/>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Courier" w:eastAsia="Times New Roman" w:hAnsi="Courier" w:cs="Times New Roman"/>
      <w:snapToGrid w:val="0"/>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6827D1"/>
    <w:rPr>
      <w:color w:val="605E5C"/>
      <w:shd w:val="clear" w:color="auto" w:fill="E1DFDD"/>
    </w:rPr>
  </w:style>
  <w:style w:type="paragraph" w:styleId="NormalWeb">
    <w:name w:val="Normal (Web)"/>
    <w:basedOn w:val="Normal"/>
    <w:uiPriority w:val="99"/>
    <w:semiHidden/>
    <w:unhideWhenUsed/>
    <w:rsid w:val="00746131"/>
    <w:pPr>
      <w:widowControl/>
      <w:spacing w:before="100" w:beforeAutospacing="1" w:after="100" w:afterAutospacing="1"/>
    </w:pPr>
    <w:rPr>
      <w:rFonts w:ascii="Times New Roman" w:hAnsi="Times New Roman"/>
      <w:snapToGrid/>
      <w:szCs w:val="24"/>
    </w:rPr>
  </w:style>
  <w:style w:type="character" w:styleId="Strong">
    <w:name w:val="Strong"/>
    <w:basedOn w:val="DefaultParagraphFont"/>
    <w:uiPriority w:val="22"/>
    <w:qFormat/>
    <w:rsid w:val="00746131"/>
    <w:rPr>
      <w:b/>
      <w:bCs/>
    </w:rPr>
  </w:style>
  <w:style w:type="paragraph" w:styleId="Revision">
    <w:name w:val="Revision"/>
    <w:hidden/>
    <w:uiPriority w:val="99"/>
    <w:semiHidden/>
    <w:rsid w:val="00A470D6"/>
    <w:rPr>
      <w:rFonts w:ascii="Courier" w:eastAsia="Times New Roman" w:hAnsi="Courier" w:cs="Times New Roman"/>
      <w:snapToGrid w:val="0"/>
      <w:kern w:val="0"/>
      <w:sz w:val="24"/>
      <w:szCs w:val="20"/>
      <w14:ligatures w14:val="none"/>
    </w:rPr>
  </w:style>
  <w:style w:type="character" w:styleId="FollowedHyperlink">
    <w:name w:val="FollowedHyperlink"/>
    <w:basedOn w:val="DefaultParagraphFont"/>
    <w:uiPriority w:val="99"/>
    <w:semiHidden/>
    <w:unhideWhenUsed/>
    <w:rsid w:val="000A5F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kelcey.curtis@vml.com" TargetMode="External" /><Relationship Id="rId11" Type="http://schemas.openxmlformats.org/officeDocument/2006/relationships/hyperlink" Target="mailto:xia-kanru@norc.org" TargetMode="External" /><Relationship Id="rId12" Type="http://schemas.openxmlformats.org/officeDocument/2006/relationships/hyperlink" Target="mailto:torres-jessica@norc.org" TargetMode="External" /><Relationship Id="rId13" Type="http://schemas.openxmlformats.org/officeDocument/2006/relationships/hyperlink" Target="mailto:watts-mark@norc.org"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amerispeak.norc.org/content/dam/amerispeak/supporting-documents/response-rate-transparency-in-panels.pdf" TargetMode="External" /><Relationship Id="rId8" Type="http://schemas.openxmlformats.org/officeDocument/2006/relationships/image" Target="media/image1.png" /><Relationship Id="rId9" Type="http://schemas.openxmlformats.org/officeDocument/2006/relationships/hyperlink" Target="mailto:janel.c.kasper-wolfe@na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2CB9528B27984F8E6019AC1DB6850D" ma:contentTypeVersion="13" ma:contentTypeDescription="Create a new document." ma:contentTypeScope="" ma:versionID="0037cc854057042eb71fafe987d3ba82">
  <xsd:schema xmlns:xsd="http://www.w3.org/2001/XMLSchema" xmlns:xs="http://www.w3.org/2001/XMLSchema" xmlns:p="http://schemas.microsoft.com/office/2006/metadata/properties" xmlns:ns2="b21d7c55-a42f-4630-af4e-029feb707175" xmlns:ns3="e19d760e-e608-421f-87f0-068a299bab6e" targetNamespace="http://schemas.microsoft.com/office/2006/metadata/properties" ma:root="true" ma:fieldsID="a70097613437ab2f0ecfe06d1594140f" ns2:_="" ns3:_="">
    <xsd:import namespace="b21d7c55-a42f-4630-af4e-029feb707175"/>
    <xsd:import namespace="e19d760e-e608-421f-87f0-068a299bab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d7c55-a42f-4630-af4e-029feb7071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d760e-e608-421f-87f0-068a299bab6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21d7c55-a42f-4630-af4e-029feb7071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E9A8FE-44ED-4265-A025-0F8830C81DF2}">
  <ds:schemaRefs>
    <ds:schemaRef ds:uri="http://schemas.microsoft.com/sharepoint/v3/contenttype/forms"/>
  </ds:schemaRefs>
</ds:datastoreItem>
</file>

<file path=customXml/itemProps2.xml><?xml version="1.0" encoding="utf-8"?>
<ds:datastoreItem xmlns:ds="http://schemas.openxmlformats.org/officeDocument/2006/customXml" ds:itemID="{11D38917-06E5-47C9-96AF-22423EBC8E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d7c55-a42f-4630-af4e-029feb707175"/>
    <ds:schemaRef ds:uri="e19d760e-e608-421f-87f0-068a299bab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90187F-219A-4E27-95C9-22AAB8C485FE}">
  <ds:schemaRefs>
    <ds:schemaRef ds:uri="http://schemas.microsoft.com/office/2006/metadata/properties"/>
    <ds:schemaRef ds:uri="http://schemas.microsoft.com/office/infopath/2007/PartnerControls"/>
    <ds:schemaRef ds:uri="b21d7c55-a42f-4630-af4e-029feb707175"/>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131</TotalTime>
  <Pages>6</Pages>
  <Words>2472</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Reiff, Scott (LARC-B713)[eMITS]</dc:creator>
  <cp:lastModifiedBy>Reiff, Scott (LARC-B713)[eMITS]</cp:lastModifiedBy>
  <cp:revision>16</cp:revision>
  <dcterms:created xsi:type="dcterms:W3CDTF">2024-11-06T16:12:00Z</dcterms:created>
  <dcterms:modified xsi:type="dcterms:W3CDTF">2024-12-05T23:14:00Z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0x010100772CB9528B27984F8E6019AC1DB6850D</vt:lpwstr>
  </property>
  <property fmtid="{D5CDD505-2E9C-101B-9397-08002B2CF9AE}" pid="3" name="MediaServiceImageTags">
    <vt:lpwstr/>
  </property>
</Properties>
</file>