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1A6" w:rsidRPr="001B3B7A" w:rsidP="001461F3" w14:paraId="6A61481A" w14:textId="4D30618B">
      <w:pPr>
        <w:suppressAutoHyphens/>
        <w:jc w:val="center"/>
        <w:rPr>
          <w:rFonts w:ascii="Times New Roman" w:hAnsi="Times New Roman"/>
          <w:b/>
          <w:bCs/>
        </w:rPr>
      </w:pPr>
      <w:r w:rsidRPr="001B3B7A">
        <w:rPr>
          <w:rFonts w:ascii="Times New Roman" w:hAnsi="Times New Roman"/>
          <w:b/>
          <w:bCs/>
        </w:rPr>
        <w:t>SUPPORTING STATEMENT FOR</w:t>
      </w:r>
    </w:p>
    <w:p w:rsidR="002D133A" w:rsidRPr="001B3B7A" w:rsidP="001461F3" w14:paraId="31180C13" w14:textId="28DCC73E">
      <w:pPr>
        <w:suppressAutoHyphens/>
        <w:spacing w:after="240"/>
        <w:jc w:val="center"/>
        <w:rPr>
          <w:rFonts w:ascii="Times New Roman" w:hAnsi="Times New Roman"/>
          <w:b/>
          <w:bCs/>
        </w:rPr>
      </w:pPr>
      <w:r w:rsidRPr="001B3B7A">
        <w:rPr>
          <w:rFonts w:ascii="Times New Roman" w:hAnsi="Times New Roman"/>
          <w:b/>
          <w:bCs/>
        </w:rPr>
        <w:t>REVISED INFORMATION COLLECTION</w:t>
      </w:r>
    </w:p>
    <w:p w:rsidR="00B21470" w:rsidRPr="001B3B7A" w:rsidP="003D527D" w14:paraId="58DE9B96" w14:textId="3E868B36">
      <w:pPr>
        <w:tabs>
          <w:tab w:val="center" w:pos="4680"/>
        </w:tabs>
        <w:suppressAutoHyphens/>
        <w:spacing w:after="240"/>
        <w:jc w:val="center"/>
        <w:rPr>
          <w:rFonts w:ascii="Times New Roman" w:hAnsi="Times New Roman"/>
          <w:b/>
          <w:bCs/>
        </w:rPr>
      </w:pPr>
      <w:r w:rsidRPr="001B3B7A">
        <w:rPr>
          <w:rFonts w:ascii="Times New Roman" w:hAnsi="Times New Roman"/>
          <w:b/>
          <w:bCs/>
        </w:rPr>
        <w:t>SWAP CONFIRMATION REQUIREMENTS FOR SWAP EXECUTION FACILITIES</w:t>
      </w:r>
    </w:p>
    <w:p w:rsidR="002D133A" w:rsidRPr="001B3B7A" w:rsidP="001461F3" w14:paraId="6F03A977" w14:textId="3194951A">
      <w:pPr>
        <w:tabs>
          <w:tab w:val="center" w:pos="4680"/>
        </w:tabs>
        <w:suppressAutoHyphens/>
        <w:spacing w:after="240"/>
        <w:jc w:val="center"/>
        <w:rPr>
          <w:rFonts w:ascii="Times New Roman" w:hAnsi="Times New Roman"/>
          <w:b/>
          <w:bCs/>
        </w:rPr>
      </w:pPr>
      <w:r w:rsidRPr="001B3B7A">
        <w:rPr>
          <w:rFonts w:ascii="Times New Roman" w:hAnsi="Times New Roman"/>
          <w:b/>
          <w:bCs/>
        </w:rPr>
        <w:t>OMB CONTROL NUMBER 3038-</w:t>
      </w:r>
      <w:r w:rsidRPr="001B3B7A" w:rsidR="00223BB2">
        <w:rPr>
          <w:rFonts w:ascii="Times New Roman" w:hAnsi="Times New Roman"/>
          <w:b/>
          <w:bCs/>
        </w:rPr>
        <w:t>0074</w:t>
      </w:r>
    </w:p>
    <w:p w:rsidR="002D133A" w:rsidRPr="001B3B7A" w:rsidP="001461F3" w14:paraId="79749575" w14:textId="77777777">
      <w:pPr>
        <w:tabs>
          <w:tab w:val="left" w:pos="-720"/>
        </w:tabs>
        <w:suppressAutoHyphens/>
        <w:spacing w:after="240"/>
        <w:rPr>
          <w:rFonts w:ascii="Times New Roman" w:hAnsi="Times New Roman"/>
          <w:b/>
          <w:bCs/>
        </w:rPr>
      </w:pPr>
      <w:r w:rsidRPr="001B3B7A">
        <w:rPr>
          <w:rFonts w:ascii="Times New Roman" w:hAnsi="Times New Roman"/>
          <w:b/>
          <w:bCs/>
        </w:rPr>
        <w:t>Justification</w:t>
      </w:r>
    </w:p>
    <w:p w:rsidR="002D133A" w:rsidRPr="001B3B7A" w:rsidP="001461F3" w14:paraId="139AFD4D" w14:textId="77777777">
      <w:pPr>
        <w:tabs>
          <w:tab w:val="left" w:pos="-720"/>
          <w:tab w:val="left" w:pos="0"/>
        </w:tabs>
        <w:suppressAutoHyphens/>
        <w:spacing w:after="240"/>
        <w:ind w:left="720" w:hanging="720"/>
        <w:rPr>
          <w:rFonts w:ascii="Times New Roman" w:hAnsi="Times New Roman"/>
          <w:b/>
          <w:bCs/>
        </w:rPr>
      </w:pPr>
      <w:r w:rsidRPr="001B3B7A">
        <w:rPr>
          <w:rFonts w:ascii="Times New Roman" w:hAnsi="Times New Roman"/>
          <w:b/>
          <w:bCs/>
        </w:rPr>
        <w:t>1.</w:t>
      </w:r>
      <w:r w:rsidRPr="001B3B7A">
        <w:rPr>
          <w:rFonts w:ascii="Times New Roman" w:hAnsi="Times New Roman"/>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650D5" w:rsidP="004650D5" w14:paraId="1797DFC1" w14:textId="6DAA5BE8">
      <w:pPr>
        <w:tabs>
          <w:tab w:val="left" w:pos="-720"/>
        </w:tabs>
        <w:suppressAutoHyphens/>
        <w:spacing w:after="240"/>
        <w:ind w:left="720"/>
        <w:rPr>
          <w:rFonts w:ascii="Times New Roman" w:hAnsi="Times New Roman"/>
          <w:szCs w:val="24"/>
        </w:rPr>
      </w:pPr>
      <w:r>
        <w:rPr>
          <w:rFonts w:ascii="Times New Roman" w:hAnsi="Times New Roman"/>
          <w:szCs w:val="24"/>
        </w:rPr>
        <w:t>Commodity Exchange Act (“</w:t>
      </w:r>
      <w:r w:rsidR="008768B0">
        <w:rPr>
          <w:rFonts w:ascii="Times New Roman" w:hAnsi="Times New Roman"/>
          <w:szCs w:val="24"/>
        </w:rPr>
        <w:t>CEA</w:t>
      </w:r>
      <w:r>
        <w:rPr>
          <w:rFonts w:ascii="Times New Roman" w:hAnsi="Times New Roman"/>
          <w:szCs w:val="24"/>
        </w:rPr>
        <w:t>”)</w:t>
      </w:r>
      <w:r w:rsidR="008768B0">
        <w:rPr>
          <w:rFonts w:ascii="Times New Roman" w:hAnsi="Times New Roman"/>
          <w:szCs w:val="24"/>
        </w:rPr>
        <w:t xml:space="preserve"> section </w:t>
      </w:r>
      <w:r w:rsidRPr="002451D0">
        <w:rPr>
          <w:rFonts w:ascii="Times New Roman" w:hAnsi="Times New Roman"/>
          <w:szCs w:val="24"/>
        </w:rPr>
        <w:t xml:space="preserve">5h </w:t>
      </w:r>
      <w:r w:rsidR="006014C0">
        <w:rPr>
          <w:rFonts w:ascii="Times New Roman" w:hAnsi="Times New Roman"/>
          <w:szCs w:val="24"/>
        </w:rPr>
        <w:t xml:space="preserve">sets forth the </w:t>
      </w:r>
      <w:r w:rsidRPr="002451D0">
        <w:rPr>
          <w:rFonts w:ascii="Times New Roman" w:hAnsi="Times New Roman"/>
          <w:szCs w:val="24"/>
        </w:rPr>
        <w:t xml:space="preserve">requirements concerning the registration and operation of swap execution facilities (SEFs), which the Commission has </w:t>
      </w:r>
      <w:r w:rsidR="00193C06">
        <w:rPr>
          <w:rFonts w:ascii="Times New Roman" w:hAnsi="Times New Roman"/>
          <w:szCs w:val="24"/>
        </w:rPr>
        <w:t>implemented</w:t>
      </w:r>
      <w:r w:rsidRPr="002451D0" w:rsidR="00193C06">
        <w:rPr>
          <w:rFonts w:ascii="Times New Roman" w:hAnsi="Times New Roman"/>
          <w:szCs w:val="24"/>
        </w:rPr>
        <w:t xml:space="preserve"> </w:t>
      </w:r>
      <w:r w:rsidRPr="002451D0">
        <w:rPr>
          <w:rFonts w:ascii="Times New Roman" w:hAnsi="Times New Roman"/>
          <w:szCs w:val="24"/>
        </w:rPr>
        <w:t>in part 37 of its regulations.</w:t>
      </w:r>
      <w:bookmarkStart w:id="0" w:name="_Ref458433695"/>
      <w:r>
        <w:rPr>
          <w:rFonts w:ascii="Times New Roman" w:hAnsi="Times New Roman"/>
          <w:szCs w:val="24"/>
          <w:vertAlign w:val="superscript"/>
        </w:rPr>
        <w:footnoteReference w:id="2"/>
      </w:r>
      <w:bookmarkEnd w:id="0"/>
      <w:r w:rsidRPr="002451D0">
        <w:rPr>
          <w:rFonts w:ascii="Times New Roman" w:hAnsi="Times New Roman"/>
          <w:szCs w:val="24"/>
        </w:rPr>
        <w:t xml:space="preserve">  The information collections under this Control Number are necessary for the Commission to evaluate whether SEFs, or entities applying to become SEFs, comply with the part 37 regulatory requirements.</w:t>
      </w:r>
      <w:r>
        <w:rPr>
          <w:rStyle w:val="FootnoteReference"/>
          <w:rFonts w:ascii="Times New Roman" w:hAnsi="Times New Roman"/>
          <w:szCs w:val="24"/>
        </w:rPr>
        <w:footnoteReference w:id="3"/>
      </w:r>
    </w:p>
    <w:p w:rsidR="008A5F85" w:rsidRPr="00371E13" w:rsidP="00371E13" w14:paraId="7C3A0584" w14:textId="1EA0AA74">
      <w:pPr>
        <w:tabs>
          <w:tab w:val="left" w:pos="-720"/>
        </w:tabs>
        <w:suppressAutoHyphens/>
        <w:spacing w:after="240"/>
        <w:ind w:left="720"/>
        <w:rPr>
          <w:rFonts w:ascii="Times New Roman" w:hAnsi="Times New Roman"/>
          <w:szCs w:val="24"/>
        </w:rPr>
      </w:pPr>
      <w:r>
        <w:rPr>
          <w:rFonts w:ascii="Times New Roman" w:hAnsi="Times New Roman"/>
          <w:szCs w:val="24"/>
        </w:rPr>
        <w:t xml:space="preserve">CFTC regulations require a Swap Execution Facilities (SEF) </w:t>
      </w:r>
      <w:r w:rsidRPr="00371E13">
        <w:rPr>
          <w:rFonts w:ascii="Times New Roman" w:hAnsi="Times New Roman"/>
          <w:szCs w:val="24"/>
        </w:rPr>
        <w:t xml:space="preserve">to provide each counterparty to a swap transaction, whether cleared or uncleared, that is entered into on or pursuant to the rules of the SEF, with a written “confirmation” that contains all of the terms of the transaction. </w:t>
      </w:r>
      <w:r w:rsidR="00923E44">
        <w:rPr>
          <w:rFonts w:ascii="Times New Roman" w:hAnsi="Times New Roman"/>
          <w:szCs w:val="24"/>
        </w:rPr>
        <w:t>1</w:t>
      </w:r>
      <w:r>
        <w:rPr>
          <w:rFonts w:ascii="Times New Roman" w:hAnsi="Times New Roman"/>
          <w:szCs w:val="24"/>
        </w:rPr>
        <w:t xml:space="preserve">7 CFR 37.6(b).  </w:t>
      </w:r>
      <w:r w:rsidRPr="00371E13">
        <w:rPr>
          <w:rFonts w:ascii="Times New Roman" w:hAnsi="Times New Roman"/>
          <w:szCs w:val="24"/>
        </w:rPr>
        <w:t>With respect to an uncleared swap transaction, a SEF may comply with the requirement to include in the confirmation all of the terms of the transaction, by incorporating by reference relevant terms set forth in underlying, previously-negotiated agreements between the counterparties, as long as the SEF has obtained these agreements prior to execution of the transaction.</w:t>
      </w:r>
    </w:p>
    <w:p w:rsidR="00C33A9E" w:rsidRPr="00562F56" w:rsidP="001461F3" w14:paraId="5F8ABF7D" w14:textId="5AA2722E">
      <w:pPr>
        <w:tabs>
          <w:tab w:val="left" w:pos="-720"/>
        </w:tabs>
        <w:suppressAutoHyphens/>
        <w:spacing w:after="240"/>
        <w:ind w:left="720" w:hanging="720"/>
        <w:rPr>
          <w:rFonts w:ascii="Times New Roman" w:hAnsi="Times New Roman"/>
          <w:b/>
          <w:bCs/>
        </w:rPr>
      </w:pPr>
      <w:r w:rsidRPr="00562F56">
        <w:rPr>
          <w:rFonts w:ascii="Times New Roman" w:hAnsi="Times New Roman"/>
          <w:b/>
          <w:bCs/>
        </w:rPr>
        <w:t>2.</w:t>
      </w:r>
      <w:r w:rsidRPr="00562F56">
        <w:rPr>
          <w:rFonts w:ascii="Times New Roman" w:hAnsi="Times New Roman"/>
          <w:b/>
          <w:bCs/>
        </w:rPr>
        <w:tab/>
        <w:t>Indicate how, by whom, and for what purpose the data would be used.  Except for a new collection, indicate the actual use the agency has made of the information received from the current collection.</w:t>
      </w:r>
    </w:p>
    <w:p w:rsidR="00A62644" w:rsidP="001F5255" w14:paraId="2D33770B" w14:textId="77777777">
      <w:pPr>
        <w:tabs>
          <w:tab w:val="left" w:pos="-720"/>
        </w:tabs>
        <w:suppressAutoHyphens/>
        <w:spacing w:after="240"/>
        <w:ind w:left="720"/>
        <w:rPr>
          <w:rFonts w:ascii="Times New Roman" w:hAnsi="Times New Roman"/>
        </w:rPr>
      </w:pPr>
      <w:r w:rsidRPr="002451D0">
        <w:rPr>
          <w:rFonts w:ascii="Times New Roman" w:hAnsi="Times New Roman"/>
        </w:rPr>
        <w:t xml:space="preserve">The information </w:t>
      </w:r>
      <w:r>
        <w:rPr>
          <w:rFonts w:ascii="Times New Roman" w:hAnsi="Times New Roman"/>
        </w:rPr>
        <w:t>is</w:t>
      </w:r>
      <w:r w:rsidRPr="002451D0">
        <w:rPr>
          <w:rFonts w:ascii="Times New Roman" w:hAnsi="Times New Roman"/>
        </w:rPr>
        <w:t xml:space="preserve"> used by the Commission to determine whether SEFs, and applicants seeking registration as a SEF with the Commission, are in compliance with applicable core principles and all other part 37 requirements.  </w:t>
      </w:r>
    </w:p>
    <w:p w:rsidR="00E80CB2" w:rsidRPr="001F5255" w:rsidP="001F5255" w14:paraId="1D215893" w14:textId="0544E339">
      <w:pPr>
        <w:tabs>
          <w:tab w:val="left" w:pos="-720"/>
        </w:tabs>
        <w:suppressAutoHyphens/>
        <w:spacing w:after="240"/>
        <w:ind w:left="720"/>
        <w:rPr>
          <w:rFonts w:ascii="Times New Roman" w:hAnsi="Times New Roman"/>
          <w:szCs w:val="24"/>
        </w:rPr>
      </w:pPr>
      <w:r>
        <w:rPr>
          <w:rFonts w:ascii="Times New Roman" w:hAnsi="Times New Roman"/>
        </w:rPr>
        <w:t>The information</w:t>
      </w:r>
      <w:r w:rsidRPr="00371E13" w:rsidR="00D82361">
        <w:rPr>
          <w:rFonts w:ascii="Times New Roman" w:hAnsi="Times New Roman"/>
          <w:szCs w:val="24"/>
        </w:rPr>
        <w:t xml:space="preserve"> collection for swap confirmations under § 37.6(b)</w:t>
      </w:r>
      <w:r>
        <w:rPr>
          <w:rFonts w:ascii="Times New Roman" w:hAnsi="Times New Roman"/>
        </w:rPr>
        <w:t xml:space="preserve"> ensure </w:t>
      </w:r>
      <w:r w:rsidRPr="001F5255" w:rsidR="00DD7E3B">
        <w:rPr>
          <w:rFonts w:ascii="Times New Roman" w:hAnsi="Times New Roman"/>
          <w:szCs w:val="24"/>
        </w:rPr>
        <w:t xml:space="preserve">legal certainty of transactions </w:t>
      </w:r>
      <w:r w:rsidRPr="001F5255" w:rsidR="004363B2">
        <w:rPr>
          <w:rFonts w:ascii="Times New Roman" w:hAnsi="Times New Roman"/>
          <w:szCs w:val="24"/>
        </w:rPr>
        <w:t xml:space="preserve">by </w:t>
      </w:r>
      <w:r>
        <w:rPr>
          <w:rFonts w:ascii="Times New Roman" w:hAnsi="Times New Roman"/>
          <w:szCs w:val="24"/>
        </w:rPr>
        <w:t>requiring SEFs to provide</w:t>
      </w:r>
      <w:r w:rsidRPr="001F5255">
        <w:rPr>
          <w:rFonts w:ascii="Times New Roman" w:hAnsi="Times New Roman"/>
          <w:szCs w:val="24"/>
        </w:rPr>
        <w:t xml:space="preserve"> </w:t>
      </w:r>
      <w:r w:rsidRPr="001F5255" w:rsidR="004363B2">
        <w:rPr>
          <w:rFonts w:ascii="Times New Roman" w:hAnsi="Times New Roman"/>
          <w:szCs w:val="24"/>
        </w:rPr>
        <w:t>each counterparty to a transaction that is executed on or pursuant to the rules of the SEF with a written record of all of the terms of the transaction which shall legally supersede any conflicting terms of a previous agreement and serve as a confirmation of the transaction.</w:t>
      </w:r>
    </w:p>
    <w:p w:rsidR="00AD00FE" w:rsidRPr="00562F56" w:rsidP="001461F3" w14:paraId="4645D41D" w14:textId="59DA4296">
      <w:pPr>
        <w:tabs>
          <w:tab w:val="left" w:pos="-720"/>
          <w:tab w:val="left" w:pos="0"/>
        </w:tabs>
        <w:suppressAutoHyphens/>
        <w:spacing w:after="240"/>
        <w:ind w:left="720" w:hanging="720"/>
        <w:rPr>
          <w:rFonts w:ascii="Times New Roman" w:hAnsi="Times New Roman"/>
          <w:b/>
          <w:bCs/>
        </w:rPr>
      </w:pPr>
      <w:r w:rsidRPr="00562F56">
        <w:rPr>
          <w:rFonts w:ascii="Times New Roman" w:hAnsi="Times New Roman"/>
          <w:b/>
          <w:bCs/>
        </w:rPr>
        <w:t>3.</w:t>
      </w:r>
      <w:r w:rsidRPr="00562F56">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82361" w:rsidP="00371E13" w14:paraId="35D097A6" w14:textId="77777777">
      <w:pPr>
        <w:tabs>
          <w:tab w:val="left" w:pos="-720"/>
        </w:tabs>
        <w:suppressAutoHyphens/>
        <w:spacing w:after="240"/>
        <w:ind w:left="720"/>
        <w:rPr>
          <w:rFonts w:ascii="Times New Roman" w:hAnsi="Times New Roman"/>
        </w:rPr>
      </w:pPr>
      <w:r w:rsidRPr="002451D0">
        <w:rPr>
          <w:rFonts w:ascii="Times New Roman" w:hAnsi="Times New Roman"/>
        </w:rPr>
        <w:t>All required submissions by SEFs to the Commission must be submitted electronically, including the access and disciplinary notice information.  All required information to be provided to the public may be posted on the SEF’s website</w:t>
      </w:r>
      <w:r>
        <w:rPr>
          <w:rFonts w:ascii="Times New Roman" w:hAnsi="Times New Roman"/>
        </w:rPr>
        <w:t xml:space="preserve">.  </w:t>
      </w:r>
    </w:p>
    <w:p w:rsidR="002D133A" w:rsidRPr="00371E13" w:rsidP="00371E13" w14:paraId="64125310" w14:textId="03465972">
      <w:pPr>
        <w:tabs>
          <w:tab w:val="left" w:pos="-720"/>
        </w:tabs>
        <w:suppressAutoHyphens/>
        <w:spacing w:after="240"/>
        <w:ind w:left="720"/>
        <w:rPr>
          <w:rFonts w:ascii="Times New Roman" w:hAnsi="Times New Roman"/>
          <w:szCs w:val="24"/>
        </w:rPr>
      </w:pPr>
      <w:r w:rsidRPr="00371E13">
        <w:rPr>
          <w:rFonts w:ascii="Times New Roman" w:hAnsi="Times New Roman"/>
          <w:szCs w:val="24"/>
        </w:rPr>
        <w:t xml:space="preserve">The information collection for </w:t>
      </w:r>
      <w:r w:rsidRPr="00371E13" w:rsidR="000817B3">
        <w:rPr>
          <w:rFonts w:ascii="Times New Roman" w:hAnsi="Times New Roman"/>
          <w:szCs w:val="24"/>
        </w:rPr>
        <w:t>swap confirmations under</w:t>
      </w:r>
      <w:r w:rsidRPr="00371E13" w:rsidR="00F94467">
        <w:rPr>
          <w:rFonts w:ascii="Times New Roman" w:hAnsi="Times New Roman"/>
          <w:szCs w:val="24"/>
        </w:rPr>
        <w:t xml:space="preserve"> </w:t>
      </w:r>
      <w:r w:rsidRPr="00371E13" w:rsidR="000817B3">
        <w:rPr>
          <w:rFonts w:ascii="Times New Roman" w:hAnsi="Times New Roman"/>
          <w:szCs w:val="24"/>
        </w:rPr>
        <w:t>§</w:t>
      </w:r>
      <w:r w:rsidRPr="00371E13" w:rsidR="00F94467">
        <w:rPr>
          <w:rFonts w:ascii="Times New Roman" w:hAnsi="Times New Roman"/>
          <w:szCs w:val="24"/>
        </w:rPr>
        <w:t xml:space="preserve"> 37.6(b) is technology neutral allowing the SEF to choose the most efficient and effective method by which to provide a swap confirmation.</w:t>
      </w:r>
    </w:p>
    <w:p w:rsidR="00AD00FE" w:rsidRPr="00AA058A" w:rsidP="001461F3" w14:paraId="3C20CA68" w14:textId="36C33DE5">
      <w:pPr>
        <w:tabs>
          <w:tab w:val="left" w:pos="-720"/>
          <w:tab w:val="left" w:pos="0"/>
        </w:tabs>
        <w:suppressAutoHyphens/>
        <w:spacing w:after="240"/>
        <w:ind w:left="720" w:hanging="720"/>
        <w:rPr>
          <w:rFonts w:ascii="Times New Roman" w:hAnsi="Times New Roman"/>
          <w:b/>
          <w:bCs/>
        </w:rPr>
      </w:pPr>
      <w:r w:rsidRPr="00AA058A">
        <w:rPr>
          <w:rFonts w:ascii="Times New Roman" w:hAnsi="Times New Roman"/>
          <w:b/>
          <w:bCs/>
        </w:rPr>
        <w:t>4.</w:t>
      </w:r>
      <w:r w:rsidRPr="00AA058A">
        <w:rPr>
          <w:rFonts w:ascii="Times New Roman" w:hAnsi="Times New Roman"/>
          <w:b/>
          <w:bCs/>
        </w:rPr>
        <w:tab/>
        <w:t>Describe efforts to identify duplication.  Show specifically why any similar information already available cannot be used or modified for use for the purposes described in Item 2 above.</w:t>
      </w:r>
    </w:p>
    <w:p w:rsidR="002D133A" w:rsidP="00D84584" w14:paraId="4C9760A9" w14:textId="09B342DF">
      <w:pPr>
        <w:tabs>
          <w:tab w:val="left" w:pos="-720"/>
        </w:tabs>
        <w:suppressAutoHyphens/>
        <w:spacing w:after="240"/>
        <w:ind w:left="720"/>
        <w:rPr>
          <w:rFonts w:ascii="Times New Roman" w:hAnsi="Times New Roman"/>
        </w:rPr>
      </w:pPr>
      <w:r w:rsidRPr="002451D0">
        <w:rPr>
          <w:rFonts w:ascii="Times New Roman" w:hAnsi="Times New Roman"/>
        </w:rPr>
        <w:t xml:space="preserve">Information collected under this </w:t>
      </w:r>
      <w:r>
        <w:rPr>
          <w:rFonts w:ascii="Times New Roman" w:hAnsi="Times New Roman"/>
        </w:rPr>
        <w:t>collection</w:t>
      </w:r>
      <w:r w:rsidRPr="002451D0">
        <w:rPr>
          <w:rFonts w:ascii="Times New Roman" w:hAnsi="Times New Roman"/>
        </w:rPr>
        <w:t xml:space="preserve"> is not already collected by the Commission for any other purpose, nor is it collected by any other agency, nor is the information available from any other source.</w:t>
      </w:r>
    </w:p>
    <w:p w:rsidR="00F02448" w:rsidRPr="00D84584" w:rsidP="00D84584" w14:paraId="0266D490" w14:textId="163F518E">
      <w:pPr>
        <w:tabs>
          <w:tab w:val="left" w:pos="-720"/>
        </w:tabs>
        <w:suppressAutoHyphens/>
        <w:spacing w:after="240"/>
        <w:ind w:left="720"/>
        <w:rPr>
          <w:rFonts w:ascii="Times New Roman" w:hAnsi="Times New Roman"/>
          <w:szCs w:val="24"/>
        </w:rPr>
      </w:pPr>
      <w:r w:rsidRPr="00D84584">
        <w:rPr>
          <w:rFonts w:ascii="Times New Roman" w:hAnsi="Times New Roman"/>
          <w:szCs w:val="24"/>
        </w:rPr>
        <w:t xml:space="preserve">Information collected </w:t>
      </w:r>
      <w:r w:rsidR="001F11C0">
        <w:rPr>
          <w:rFonts w:ascii="Times New Roman" w:hAnsi="Times New Roman"/>
          <w:szCs w:val="24"/>
        </w:rPr>
        <w:t>pursuant to</w:t>
      </w:r>
      <w:r w:rsidR="007E6A9E">
        <w:rPr>
          <w:rFonts w:ascii="Times New Roman" w:hAnsi="Times New Roman"/>
          <w:szCs w:val="24"/>
        </w:rPr>
        <w:t xml:space="preserve"> the confirmation requirement under §</w:t>
      </w:r>
      <w:r>
        <w:rPr>
          <w:rFonts w:ascii="Times New Roman" w:hAnsi="Times New Roman"/>
          <w:szCs w:val="24"/>
        </w:rPr>
        <w:t xml:space="preserve"> 37.6(b)</w:t>
      </w:r>
      <w:r w:rsidRPr="00D84584">
        <w:rPr>
          <w:rFonts w:ascii="Times New Roman" w:hAnsi="Times New Roman"/>
          <w:szCs w:val="24"/>
        </w:rPr>
        <w:t xml:space="preserve"> is not available from any other source than the SEF where the transaction is executed.</w:t>
      </w:r>
    </w:p>
    <w:p w:rsidR="002D271D" w:rsidRPr="00AA058A" w:rsidP="001461F3" w14:paraId="263D1567" w14:textId="5C23C5F1">
      <w:pPr>
        <w:tabs>
          <w:tab w:val="left" w:pos="-720"/>
          <w:tab w:val="left" w:pos="0"/>
        </w:tabs>
        <w:suppressAutoHyphens/>
        <w:spacing w:after="240"/>
        <w:ind w:left="720" w:hanging="720"/>
        <w:rPr>
          <w:rFonts w:ascii="Times New Roman" w:hAnsi="Times New Roman"/>
          <w:b/>
          <w:bCs/>
        </w:rPr>
      </w:pPr>
      <w:r w:rsidRPr="00AA058A">
        <w:rPr>
          <w:rFonts w:ascii="Times New Roman" w:hAnsi="Times New Roman"/>
          <w:b/>
          <w:bCs/>
        </w:rPr>
        <w:t>5.</w:t>
      </w:r>
      <w:r w:rsidRPr="00AA058A">
        <w:rPr>
          <w:rFonts w:ascii="Times New Roman" w:hAnsi="Times New Roman"/>
          <w:b/>
          <w:bCs/>
        </w:rPr>
        <w:tab/>
        <w:t>If the collection of information involves small business or other small entities (Item 5 of OMB F</w:t>
      </w:r>
      <w:r w:rsidRPr="00AA058A" w:rsidR="00D84584">
        <w:rPr>
          <w:rFonts w:ascii="Times New Roman" w:hAnsi="Times New Roman"/>
          <w:b/>
          <w:bCs/>
        </w:rPr>
        <w:t>o</w:t>
      </w:r>
      <w:r w:rsidRPr="00AA058A">
        <w:rPr>
          <w:rFonts w:ascii="Times New Roman" w:hAnsi="Times New Roman"/>
          <w:b/>
          <w:bCs/>
        </w:rPr>
        <w:t>rm 83-I), describe the methods used to minimize burden.</w:t>
      </w:r>
    </w:p>
    <w:p w:rsidR="002D133A" w:rsidRPr="00D84584" w:rsidP="00D84584" w14:paraId="6F1D097E" w14:textId="735689F5">
      <w:pPr>
        <w:tabs>
          <w:tab w:val="left" w:pos="-720"/>
        </w:tabs>
        <w:suppressAutoHyphens/>
        <w:spacing w:after="240"/>
        <w:ind w:left="720"/>
        <w:rPr>
          <w:rFonts w:ascii="Times New Roman" w:hAnsi="Times New Roman"/>
          <w:szCs w:val="24"/>
        </w:rPr>
      </w:pPr>
      <w:r w:rsidRPr="00D84584">
        <w:rPr>
          <w:rFonts w:ascii="Times New Roman" w:hAnsi="Times New Roman"/>
          <w:szCs w:val="24"/>
        </w:rPr>
        <w:t xml:space="preserve">The required information collected under this OMB Control </w:t>
      </w:r>
      <w:r w:rsidRPr="00D84584" w:rsidR="00194B79">
        <w:rPr>
          <w:rFonts w:ascii="Times New Roman" w:hAnsi="Times New Roman"/>
          <w:szCs w:val="24"/>
        </w:rPr>
        <w:t>N</w:t>
      </w:r>
      <w:r w:rsidRPr="00D84584">
        <w:rPr>
          <w:rFonts w:ascii="Times New Roman" w:hAnsi="Times New Roman"/>
          <w:szCs w:val="24"/>
        </w:rPr>
        <w:t xml:space="preserve">umber </w:t>
      </w:r>
      <w:r w:rsidRPr="00D84584" w:rsidR="00A275E8">
        <w:rPr>
          <w:rFonts w:ascii="Times New Roman" w:hAnsi="Times New Roman"/>
          <w:szCs w:val="24"/>
        </w:rPr>
        <w:t>does</w:t>
      </w:r>
      <w:r w:rsidRPr="00D84584">
        <w:rPr>
          <w:rFonts w:ascii="Times New Roman" w:hAnsi="Times New Roman"/>
          <w:szCs w:val="24"/>
        </w:rPr>
        <w:t xml:space="preserve"> not involve any small businesses or other small entities.</w:t>
      </w:r>
    </w:p>
    <w:p w:rsidR="006441D4" w:rsidRPr="00AA058A" w:rsidP="001461F3" w14:paraId="148A22FC" w14:textId="2A9B1B24">
      <w:pPr>
        <w:tabs>
          <w:tab w:val="left" w:pos="-720"/>
          <w:tab w:val="left" w:pos="0"/>
        </w:tabs>
        <w:suppressAutoHyphens/>
        <w:spacing w:after="240"/>
        <w:ind w:left="720" w:hanging="720"/>
        <w:rPr>
          <w:rFonts w:ascii="Times New Roman" w:hAnsi="Times New Roman"/>
          <w:b/>
          <w:bCs/>
        </w:rPr>
      </w:pPr>
      <w:r w:rsidRPr="00AA058A">
        <w:rPr>
          <w:rFonts w:ascii="Times New Roman" w:hAnsi="Times New Roman"/>
          <w:b/>
          <w:bCs/>
        </w:rPr>
        <w:t>6.</w:t>
      </w:r>
      <w:r w:rsidRPr="00AA058A">
        <w:rPr>
          <w:rFonts w:ascii="Times New Roman" w:hAnsi="Times New Roman"/>
          <w:b/>
          <w:bCs/>
        </w:rPr>
        <w:tab/>
        <w:t>Describe the consequence to the Federal Program or policy activities if the collection were conducted less frequently as well as any technical or legal obstacles to reducing burden.</w:t>
      </w:r>
    </w:p>
    <w:p w:rsidR="00196DC6" w:rsidRPr="00196DC6" w:rsidP="00196DC6" w14:paraId="5EF22658" w14:textId="22A856C6">
      <w:pPr>
        <w:tabs>
          <w:tab w:val="left" w:pos="-720"/>
        </w:tabs>
        <w:suppressAutoHyphens/>
        <w:spacing w:after="240"/>
        <w:ind w:left="720"/>
        <w:rPr>
          <w:rFonts w:ascii="Times New Roman" w:hAnsi="Times New Roman"/>
          <w:szCs w:val="24"/>
        </w:rPr>
      </w:pPr>
      <w:r w:rsidRPr="00196DC6">
        <w:rPr>
          <w:rFonts w:ascii="Times New Roman" w:hAnsi="Times New Roman"/>
          <w:szCs w:val="24"/>
        </w:rPr>
        <w:t>Less frequent information collections would impair the Commission’s oversight ability and harm the Commission’s stated mission to foster open, transparent, competitive, and financially sound markets.</w:t>
      </w:r>
    </w:p>
    <w:p w:rsidR="002D133A" w:rsidRPr="00D84584" w:rsidP="00D84584" w14:paraId="7661A4E8" w14:textId="29AC21B8">
      <w:pPr>
        <w:tabs>
          <w:tab w:val="left" w:pos="-720"/>
        </w:tabs>
        <w:suppressAutoHyphens/>
        <w:spacing w:after="240"/>
        <w:ind w:left="720"/>
        <w:rPr>
          <w:rFonts w:ascii="Times New Roman" w:hAnsi="Times New Roman"/>
          <w:szCs w:val="24"/>
        </w:rPr>
      </w:pPr>
      <w:r>
        <w:rPr>
          <w:rFonts w:ascii="Times New Roman" w:hAnsi="Times New Roman"/>
          <w:szCs w:val="24"/>
        </w:rPr>
        <w:t xml:space="preserve">For </w:t>
      </w:r>
      <w:r w:rsidR="00FD0828">
        <w:rPr>
          <w:rFonts w:ascii="Times New Roman" w:hAnsi="Times New Roman"/>
          <w:szCs w:val="24"/>
        </w:rPr>
        <w:t>t</w:t>
      </w:r>
      <w:r w:rsidRPr="00FD0828" w:rsidR="00FD0828">
        <w:rPr>
          <w:rFonts w:ascii="Times New Roman" w:hAnsi="Times New Roman"/>
          <w:szCs w:val="24"/>
        </w:rPr>
        <w:t>he information collection for swap confirmations under § 37.6(b)</w:t>
      </w:r>
      <w:r w:rsidR="00FD0828">
        <w:rPr>
          <w:rFonts w:ascii="Times New Roman" w:hAnsi="Times New Roman"/>
          <w:szCs w:val="24"/>
        </w:rPr>
        <w:t xml:space="preserve">, </w:t>
      </w:r>
      <w:r w:rsidR="00F27401">
        <w:rPr>
          <w:rFonts w:ascii="Times New Roman" w:hAnsi="Times New Roman"/>
          <w:szCs w:val="24"/>
        </w:rPr>
        <w:t>l</w:t>
      </w:r>
      <w:r w:rsidRPr="00D84584" w:rsidR="00D84584">
        <w:rPr>
          <w:rFonts w:ascii="Times New Roman" w:hAnsi="Times New Roman"/>
          <w:szCs w:val="24"/>
        </w:rPr>
        <w:t xml:space="preserve">ess frequent information collections </w:t>
      </w:r>
      <w:r w:rsidR="0059503F">
        <w:rPr>
          <w:rFonts w:ascii="Times New Roman" w:hAnsi="Times New Roman"/>
          <w:szCs w:val="24"/>
        </w:rPr>
        <w:t>c</w:t>
      </w:r>
      <w:r w:rsidRPr="00D84584" w:rsidR="00D84584">
        <w:rPr>
          <w:rFonts w:ascii="Times New Roman" w:hAnsi="Times New Roman"/>
          <w:szCs w:val="24"/>
        </w:rPr>
        <w:t>ould impair the</w:t>
      </w:r>
      <w:r w:rsidR="0059503F">
        <w:rPr>
          <w:rFonts w:ascii="Times New Roman" w:hAnsi="Times New Roman"/>
          <w:szCs w:val="24"/>
        </w:rPr>
        <w:t xml:space="preserve"> </w:t>
      </w:r>
      <w:r w:rsidRPr="0059503F" w:rsidR="0059503F">
        <w:rPr>
          <w:rFonts w:ascii="Times New Roman" w:hAnsi="Times New Roman"/>
          <w:szCs w:val="24"/>
        </w:rPr>
        <w:t xml:space="preserve">legal certainty </w:t>
      </w:r>
      <w:r w:rsidR="0059503F">
        <w:rPr>
          <w:rFonts w:ascii="Times New Roman" w:hAnsi="Times New Roman"/>
          <w:szCs w:val="24"/>
        </w:rPr>
        <w:t xml:space="preserve">of transactions for </w:t>
      </w:r>
      <w:r w:rsidRPr="0059503F" w:rsidR="0059503F">
        <w:rPr>
          <w:rFonts w:ascii="Times New Roman" w:hAnsi="Times New Roman"/>
          <w:szCs w:val="24"/>
        </w:rPr>
        <w:t>market participants</w:t>
      </w:r>
      <w:r w:rsidR="0059503F">
        <w:rPr>
          <w:rFonts w:ascii="Times New Roman" w:hAnsi="Times New Roman"/>
          <w:szCs w:val="24"/>
        </w:rPr>
        <w:t xml:space="preserve"> as well as diminish the accuracy </w:t>
      </w:r>
      <w:r w:rsidRPr="0059503F" w:rsidR="0059503F">
        <w:rPr>
          <w:rFonts w:ascii="Times New Roman" w:hAnsi="Times New Roman"/>
          <w:szCs w:val="24"/>
        </w:rPr>
        <w:t>for counterparties regarding exposure levels with other counterparties</w:t>
      </w:r>
      <w:r w:rsidR="0059503F">
        <w:rPr>
          <w:rFonts w:ascii="Times New Roman" w:hAnsi="Times New Roman"/>
          <w:szCs w:val="24"/>
        </w:rPr>
        <w:t xml:space="preserve"> which c</w:t>
      </w:r>
      <w:r w:rsidRPr="00D84584" w:rsidR="0059503F">
        <w:rPr>
          <w:rFonts w:ascii="Times New Roman" w:hAnsi="Times New Roman"/>
          <w:szCs w:val="24"/>
        </w:rPr>
        <w:t xml:space="preserve">ould </w:t>
      </w:r>
      <w:r w:rsidRPr="00D84584" w:rsidR="00D84584">
        <w:rPr>
          <w:rFonts w:ascii="Times New Roman" w:hAnsi="Times New Roman"/>
          <w:szCs w:val="24"/>
        </w:rPr>
        <w:t>harm the Commission’s stated mission to foster open, transparent, competitive, and financially sound markets.</w:t>
      </w:r>
    </w:p>
    <w:p w:rsidR="002D133A" w:rsidRPr="00AA058A" w:rsidP="001461F3" w14:paraId="742D62CC" w14:textId="24E22AA6">
      <w:pPr>
        <w:tabs>
          <w:tab w:val="left" w:pos="-720"/>
        </w:tabs>
        <w:suppressAutoHyphens/>
        <w:spacing w:after="240"/>
        <w:rPr>
          <w:rFonts w:ascii="Times New Roman" w:hAnsi="Times New Roman"/>
          <w:b/>
          <w:bCs/>
        </w:rPr>
      </w:pPr>
      <w:r w:rsidRPr="00AA058A">
        <w:rPr>
          <w:rFonts w:ascii="Times New Roman" w:hAnsi="Times New Roman"/>
          <w:b/>
          <w:bCs/>
        </w:rPr>
        <w:t>7.</w:t>
      </w:r>
      <w:r w:rsidRPr="00AA058A">
        <w:rPr>
          <w:rFonts w:ascii="Times New Roman" w:hAnsi="Times New Roman"/>
          <w:b/>
          <w:bCs/>
        </w:rPr>
        <w:tab/>
        <w:t>Explain any special circumstances that require the collection to be conducted in a manner:</w:t>
      </w:r>
    </w:p>
    <w:p w:rsidR="00141085" w:rsidRPr="00AA058A" w:rsidP="001461F3" w14:paraId="48586D9A" w14:textId="368A03A1">
      <w:pPr>
        <w:tabs>
          <w:tab w:val="left" w:pos="-720"/>
          <w:tab w:val="left" w:pos="0"/>
          <w:tab w:val="left" w:pos="720"/>
        </w:tabs>
        <w:suppressAutoHyphens/>
        <w:spacing w:after="240"/>
        <w:ind w:left="1440" w:hanging="1440"/>
        <w:rPr>
          <w:rFonts w:ascii="Times New Roman" w:hAnsi="Times New Roman"/>
          <w:b/>
          <w:bCs/>
        </w:rPr>
      </w:pPr>
      <w:r w:rsidRPr="00AA058A">
        <w:rPr>
          <w:rFonts w:ascii="Times New Roman" w:hAnsi="Times New Roman"/>
          <w:b/>
          <w:bCs/>
        </w:rPr>
        <w:tab/>
        <w:t>-</w:t>
      </w:r>
      <w:r w:rsidRPr="00AA058A">
        <w:rPr>
          <w:rFonts w:ascii="Times New Roman" w:hAnsi="Times New Roman"/>
          <w:b/>
          <w:bCs/>
        </w:rPr>
        <w:tab/>
        <w:t>requiring respondents to report information to the agency more often than quarterly;</w:t>
      </w:r>
    </w:p>
    <w:p w:rsidR="006441D4" w:rsidRPr="002451D0" w:rsidP="001461F3" w14:paraId="330AD8B0" w14:textId="1CFE983F">
      <w:pPr>
        <w:tabs>
          <w:tab w:val="left" w:pos="-720"/>
        </w:tabs>
        <w:suppressAutoHyphens/>
        <w:spacing w:after="240"/>
        <w:ind w:left="1440"/>
        <w:rPr>
          <w:rFonts w:ascii="Times New Roman" w:hAnsi="Times New Roman"/>
        </w:rPr>
      </w:pPr>
      <w:r>
        <w:rPr>
          <w:rFonts w:ascii="Times New Roman" w:hAnsi="Times New Roman"/>
        </w:rPr>
        <w:t>This information</w:t>
      </w:r>
      <w:r w:rsidR="00767A97">
        <w:rPr>
          <w:rFonts w:ascii="Times New Roman" w:hAnsi="Times New Roman"/>
        </w:rPr>
        <w:t xml:space="preserve"> collection </w:t>
      </w:r>
      <w:r w:rsidR="00C77515">
        <w:rPr>
          <w:rFonts w:ascii="Times New Roman" w:hAnsi="Times New Roman"/>
        </w:rPr>
        <w:t xml:space="preserve">allows the Commission to request information from respondents on occasional basis, but </w:t>
      </w:r>
      <w:r w:rsidR="00767A97">
        <w:rPr>
          <w:rFonts w:ascii="Times New Roman" w:hAnsi="Times New Roman"/>
        </w:rPr>
        <w:t xml:space="preserve">does not require respondents </w:t>
      </w:r>
      <w:r w:rsidRPr="00767A97" w:rsidR="00767A97">
        <w:rPr>
          <w:rFonts w:ascii="Times New Roman" w:hAnsi="Times New Roman"/>
        </w:rPr>
        <w:t>to report information to the agency more often than quarterly</w:t>
      </w:r>
      <w:r w:rsidR="00767A97">
        <w:rPr>
          <w:rFonts w:ascii="Times New Roman" w:hAnsi="Times New Roman"/>
        </w:rPr>
        <w:t>.</w:t>
      </w:r>
    </w:p>
    <w:p w:rsidR="006441D4" w:rsidRPr="002451D0" w:rsidP="001461F3" w14:paraId="0571ECC6" w14:textId="127606FC">
      <w:pPr>
        <w:tabs>
          <w:tab w:val="left" w:pos="-720"/>
          <w:tab w:val="left" w:pos="0"/>
          <w:tab w:val="left" w:pos="720"/>
        </w:tabs>
        <w:suppressAutoHyphens/>
        <w:spacing w:after="240"/>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AA058A">
        <w:rPr>
          <w:rFonts w:ascii="Times New Roman" w:hAnsi="Times New Roman"/>
          <w:b/>
          <w:bCs/>
        </w:rPr>
        <w:t>requiring respondents to prepare a written response to a collection of information in fewer than 30 days after receipt of it:</w:t>
      </w:r>
    </w:p>
    <w:p w:rsidR="002D133A" w:rsidRPr="002451D0" w:rsidP="001461F3" w14:paraId="39C4D0E5" w14:textId="7C3C0FC3">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r>
      <w:r w:rsidRPr="002451D0">
        <w:rPr>
          <w:rFonts w:ascii="Times New Roman" w:hAnsi="Times New Roman"/>
        </w:rPr>
        <w:tab/>
      </w:r>
      <w:r w:rsidR="0085584A">
        <w:rPr>
          <w:rFonts w:ascii="Times New Roman" w:hAnsi="Times New Roman"/>
        </w:rPr>
        <w:t>This information collection does</w:t>
      </w:r>
      <w:r w:rsidR="00767A97">
        <w:rPr>
          <w:rFonts w:ascii="Times New Roman" w:hAnsi="Times New Roman"/>
        </w:rPr>
        <w:t xml:space="preserve"> not </w:t>
      </w:r>
      <w:r w:rsidRPr="00767A97" w:rsidR="00767A97">
        <w:rPr>
          <w:rFonts w:ascii="Times New Roman" w:hAnsi="Times New Roman"/>
        </w:rPr>
        <w:t>requir</w:t>
      </w:r>
      <w:r w:rsidR="00767A97">
        <w:rPr>
          <w:rFonts w:ascii="Times New Roman" w:hAnsi="Times New Roman"/>
        </w:rPr>
        <w:t>e</w:t>
      </w:r>
      <w:r w:rsidRPr="00767A97" w:rsidR="00767A97">
        <w:rPr>
          <w:rFonts w:ascii="Times New Roman" w:hAnsi="Times New Roman"/>
        </w:rPr>
        <w:t xml:space="preserve"> respondents to prepare a written response to a collection of information in fewer than 30 days after receipt of it</w:t>
      </w:r>
      <w:r w:rsidR="00767A97">
        <w:rPr>
          <w:rFonts w:ascii="Times New Roman" w:hAnsi="Times New Roman"/>
        </w:rPr>
        <w:t>.</w:t>
      </w:r>
    </w:p>
    <w:p w:rsidR="00A51412" w:rsidRPr="002451D0" w:rsidP="001461F3" w14:paraId="510C5D38" w14:textId="4FD5B68D">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AA058A">
        <w:rPr>
          <w:rFonts w:ascii="Times New Roman" w:hAnsi="Times New Roman"/>
          <w:b/>
          <w:bCs/>
        </w:rPr>
        <w:t>requiring respondents to submit more that an original and two copies of any document;</w:t>
      </w:r>
    </w:p>
    <w:p w:rsidR="002D133A" w:rsidRPr="002451D0" w:rsidP="001461F3" w14:paraId="42B04177" w14:textId="2155B583">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r>
      <w:r w:rsidRPr="002451D0">
        <w:rPr>
          <w:rFonts w:ascii="Times New Roman" w:hAnsi="Times New Roman"/>
        </w:rPr>
        <w:tab/>
        <w:t>Respondents are not required to submit more than an original and two copies of any documents.</w:t>
      </w:r>
    </w:p>
    <w:p w:rsidR="005705D1" w:rsidRPr="00AA058A" w:rsidP="001461F3" w14:paraId="7FA8D389" w14:textId="29A83796">
      <w:pPr>
        <w:tabs>
          <w:tab w:val="left" w:pos="-720"/>
          <w:tab w:val="left" w:pos="0"/>
          <w:tab w:val="left" w:pos="720"/>
        </w:tabs>
        <w:suppressAutoHyphens/>
        <w:spacing w:after="240"/>
        <w:ind w:left="1440" w:hanging="1440"/>
        <w:rPr>
          <w:rFonts w:ascii="Times New Roman" w:hAnsi="Times New Roman"/>
          <w:b/>
          <w:bCs/>
        </w:rPr>
      </w:pPr>
      <w:r w:rsidRPr="002451D0">
        <w:rPr>
          <w:rFonts w:ascii="Times New Roman" w:hAnsi="Times New Roman"/>
        </w:rPr>
        <w:tab/>
        <w:t>-</w:t>
      </w:r>
      <w:r w:rsidRPr="002451D0">
        <w:rPr>
          <w:rFonts w:ascii="Times New Roman" w:hAnsi="Times New Roman"/>
        </w:rPr>
        <w:tab/>
      </w:r>
      <w:r w:rsidRPr="00AA058A">
        <w:rPr>
          <w:rFonts w:ascii="Times New Roman" w:hAnsi="Times New Roman"/>
          <w:b/>
          <w:bCs/>
        </w:rPr>
        <w:t>requiring respondents to retain records other than health, medical, government contract, grant-in-aid, or tax records, for more than three years;</w:t>
      </w:r>
    </w:p>
    <w:p w:rsidR="002D133A" w:rsidRPr="002451D0" w:rsidP="001461F3" w14:paraId="39A57BE6" w14:textId="1C89D106">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r>
      <w:r w:rsidRPr="002451D0">
        <w:rPr>
          <w:rFonts w:ascii="Times New Roman" w:hAnsi="Times New Roman"/>
        </w:rPr>
        <w:tab/>
      </w:r>
      <w:r w:rsidR="0002563A">
        <w:rPr>
          <w:rFonts w:ascii="Times New Roman" w:hAnsi="Times New Roman"/>
        </w:rPr>
        <w:t>Commission Regulation 1.31 and Core Principle 10 (Recordkeeping) require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p>
    <w:p w:rsidR="00DB1D30" w:rsidRPr="002451D0" w:rsidP="001461F3" w14:paraId="3403A064" w14:textId="4585B804">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AA058A">
        <w:rPr>
          <w:rFonts w:ascii="Times New Roman" w:hAnsi="Times New Roman"/>
          <w:b/>
          <w:bCs/>
        </w:rPr>
        <w:t>in connection with a statistical survey, that is not designed to produce valid and reliable results that can be generalized to the universe of study;</w:t>
      </w:r>
    </w:p>
    <w:p w:rsidR="002D133A" w:rsidRPr="002451D0" w:rsidP="001461F3" w14:paraId="79CD02B6" w14:textId="6F111CA7">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r>
      <w:r w:rsidRPr="002451D0">
        <w:rPr>
          <w:rFonts w:ascii="Times New Roman" w:hAnsi="Times New Roman"/>
        </w:rPr>
        <w:tab/>
      </w:r>
      <w:r w:rsidR="005D1ABA">
        <w:rPr>
          <w:rFonts w:ascii="Times New Roman" w:hAnsi="Times New Roman"/>
        </w:rPr>
        <w:t>This information collection</w:t>
      </w:r>
      <w:r w:rsidRPr="002451D0">
        <w:rPr>
          <w:rFonts w:ascii="Times New Roman" w:hAnsi="Times New Roman"/>
        </w:rPr>
        <w:t xml:space="preserve"> does not involve a statistical survey.</w:t>
      </w:r>
    </w:p>
    <w:p w:rsidR="00DB1D30" w:rsidRPr="002451D0" w:rsidP="001461F3" w14:paraId="6E89305B" w14:textId="6646ECEC">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AA058A">
        <w:rPr>
          <w:rFonts w:ascii="Times New Roman" w:hAnsi="Times New Roman"/>
          <w:b/>
          <w:bCs/>
        </w:rPr>
        <w:t>requiring the use of a statistical data classification that has not been reviewed and approved by OMB;</w:t>
      </w:r>
    </w:p>
    <w:p w:rsidR="002D133A" w:rsidRPr="002451D0" w:rsidP="001461F3" w14:paraId="4A2562C6" w14:textId="084651C1">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r>
      <w:r w:rsidRPr="002451D0">
        <w:rPr>
          <w:rFonts w:ascii="Times New Roman" w:hAnsi="Times New Roman"/>
        </w:rPr>
        <w:tab/>
      </w:r>
      <w:r w:rsidR="005D1ABA">
        <w:rPr>
          <w:rFonts w:ascii="Times New Roman" w:hAnsi="Times New Roman"/>
        </w:rPr>
        <w:t>This information collection</w:t>
      </w:r>
      <w:r w:rsidRPr="002451D0">
        <w:rPr>
          <w:rFonts w:ascii="Times New Roman" w:hAnsi="Times New Roman"/>
        </w:rPr>
        <w:t xml:space="preserve"> does not involve </w:t>
      </w:r>
      <w:r w:rsidRPr="002451D0" w:rsidR="00BD732F">
        <w:rPr>
          <w:rFonts w:ascii="Times New Roman" w:hAnsi="Times New Roman"/>
        </w:rPr>
        <w:t>the use of any statistical data.</w:t>
      </w:r>
    </w:p>
    <w:p w:rsidR="00DB1D30" w:rsidRPr="002451D0" w:rsidP="001461F3" w14:paraId="3839B84D" w14:textId="1AF50DB5">
      <w:pPr>
        <w:tabs>
          <w:tab w:val="left" w:pos="-720"/>
          <w:tab w:val="left" w:pos="0"/>
          <w:tab w:val="left" w:pos="720"/>
        </w:tabs>
        <w:suppressAutoHyphens/>
        <w:spacing w:after="240"/>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AA058A">
        <w:rPr>
          <w:rFonts w:ascii="Times New Roman" w:hAnsi="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Pr="002451D0" w:rsidP="001461F3" w14:paraId="184E757E" w14:textId="7DDEFA09">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r>
      <w:r w:rsidRPr="002451D0">
        <w:rPr>
          <w:rFonts w:ascii="Times New Roman" w:hAnsi="Times New Roman"/>
        </w:rPr>
        <w:tab/>
      </w:r>
      <w:r w:rsidR="005D1ABA">
        <w:rPr>
          <w:rFonts w:ascii="Times New Roman" w:hAnsi="Times New Roman"/>
        </w:rPr>
        <w:t xml:space="preserve">This information </w:t>
      </w:r>
      <w:r w:rsidRPr="002451D0">
        <w:rPr>
          <w:rFonts w:ascii="Times New Roman" w:hAnsi="Times New Roman"/>
        </w:rPr>
        <w:t>collection does not involve any pledge of confidentiality.</w:t>
      </w:r>
    </w:p>
    <w:p w:rsidR="00DB1D30" w:rsidRPr="002451D0" w:rsidP="001461F3" w14:paraId="7420F5FA" w14:textId="03C19B50">
      <w:pPr>
        <w:tabs>
          <w:tab w:val="left" w:pos="-720"/>
          <w:tab w:val="left" w:pos="0"/>
          <w:tab w:val="left" w:pos="720"/>
        </w:tabs>
        <w:suppressAutoHyphens/>
        <w:spacing w:after="240"/>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CD0437">
        <w:rPr>
          <w:rFonts w:ascii="Times New Roman" w:hAnsi="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00F95BE1" w:rsidRPr="002451D0" w:rsidP="001461F3" w14:paraId="4752B56A" w14:textId="6E2B1A29">
      <w:pPr>
        <w:tabs>
          <w:tab w:val="left" w:pos="-720"/>
        </w:tabs>
        <w:suppressAutoHyphens/>
        <w:spacing w:after="240"/>
        <w:ind w:left="1440"/>
        <w:rPr>
          <w:rFonts w:ascii="Times New Roman" w:hAnsi="Times New Roman"/>
        </w:rPr>
      </w:pPr>
      <w:r>
        <w:rPr>
          <w:rFonts w:ascii="Times New Roman" w:hAnsi="Times New Roman"/>
        </w:rPr>
        <w:t>This information</w:t>
      </w:r>
      <w:r w:rsidR="00C35F5E">
        <w:rPr>
          <w:rFonts w:ascii="Times New Roman" w:hAnsi="Times New Roman"/>
        </w:rPr>
        <w:t xml:space="preserve"> collection does not require respondents to submit proprietary trade secrets, or other confidential information to the Commission.</w:t>
      </w:r>
    </w:p>
    <w:p w:rsidR="002D133A" w:rsidRPr="00CD0437" w:rsidP="001461F3" w14:paraId="50C1CAFF" w14:textId="53C03660">
      <w:pPr>
        <w:tabs>
          <w:tab w:val="left" w:pos="-720"/>
          <w:tab w:val="left" w:pos="0"/>
        </w:tabs>
        <w:suppressAutoHyphens/>
        <w:spacing w:after="240"/>
        <w:ind w:left="720" w:hanging="720"/>
        <w:rPr>
          <w:rFonts w:ascii="Times New Roman" w:hAnsi="Times New Roman"/>
          <w:b/>
          <w:bCs/>
        </w:rPr>
      </w:pPr>
      <w:r w:rsidRPr="00CD0437">
        <w:rPr>
          <w:rFonts w:ascii="Times New Roman" w:hAnsi="Times New Roman"/>
          <w:b/>
          <w:bCs/>
        </w:rPr>
        <w:t>8.</w:t>
      </w:r>
      <w:r w:rsidRPr="00CD0437">
        <w:rPr>
          <w:rFonts w:ascii="Times New Roman" w:hAnsi="Times New Roman"/>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95BE1" w:rsidRPr="00CD0437" w:rsidP="001461F3" w14:paraId="099ED435" w14:textId="4C497DF9">
      <w:pPr>
        <w:tabs>
          <w:tab w:val="left" w:pos="-720"/>
          <w:tab w:val="left" w:pos="0"/>
        </w:tabs>
        <w:suppressAutoHyphens/>
        <w:spacing w:after="240"/>
        <w:ind w:left="720" w:hanging="720"/>
        <w:rPr>
          <w:rFonts w:ascii="Times New Roman" w:hAnsi="Times New Roman"/>
          <w:b/>
          <w:bCs/>
        </w:rPr>
      </w:pPr>
      <w:r w:rsidRPr="00CD0437">
        <w:rPr>
          <w:rFonts w:ascii="Times New Roman" w:hAnsi="Times New Roman"/>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133A" w:rsidRPr="00CD0437" w:rsidP="001E5DFB" w14:paraId="005B070A" w14:textId="7C5C1353">
      <w:pPr>
        <w:tabs>
          <w:tab w:val="left" w:pos="-720"/>
          <w:tab w:val="left" w:pos="0"/>
        </w:tabs>
        <w:suppressAutoHyphens/>
        <w:spacing w:after="240"/>
        <w:ind w:left="720" w:hanging="720"/>
        <w:rPr>
          <w:rFonts w:ascii="Times New Roman" w:hAnsi="Times New Roman"/>
          <w:b/>
          <w:bCs/>
        </w:rPr>
      </w:pPr>
      <w:r w:rsidRPr="00CD0437">
        <w:rPr>
          <w:rFonts w:ascii="Times New Roman" w:hAnsi="Times New Roman"/>
          <w:b/>
          <w:bCs/>
        </w:rPr>
        <w:tab/>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794D70" w:rsidRPr="00780CED" w:rsidP="001616DA" w14:paraId="3D0225C8" w14:textId="390C5897">
      <w:pPr>
        <w:tabs>
          <w:tab w:val="left" w:pos="-720"/>
        </w:tabs>
        <w:suppressAutoHyphens/>
        <w:spacing w:after="240"/>
        <w:ind w:left="720"/>
        <w:rPr>
          <w:rFonts w:ascii="Times New Roman" w:hAnsi="Times New Roman"/>
          <w:szCs w:val="24"/>
        </w:rPr>
      </w:pPr>
      <w:r w:rsidRPr="001616DA">
        <w:rPr>
          <w:rFonts w:ascii="Times New Roman" w:hAnsi="Times New Roman"/>
          <w:szCs w:val="24"/>
        </w:rPr>
        <w:t xml:space="preserve">On December 26, 2024, the Commission published in the Federal Register notice of the proposed extension of this information collection and provided 60 days for public </w:t>
      </w:r>
      <w:r w:rsidRPr="001616DA">
        <w:rPr>
          <w:rFonts w:ascii="Times New Roman" w:hAnsi="Times New Roman"/>
          <w:szCs w:val="24"/>
        </w:rPr>
        <w:t xml:space="preserve">comment on the proposed extension, 89 FR 105012 (“60-Day Notice”).  The Commission did not receive any relevant comments on the 60-Day Notice. </w:t>
      </w:r>
    </w:p>
    <w:p w:rsidR="00794D70" w:rsidRPr="00CD0437" w:rsidP="001461F3" w14:paraId="695C0D84" w14:textId="76ED70B7">
      <w:pPr>
        <w:tabs>
          <w:tab w:val="left" w:pos="-720"/>
          <w:tab w:val="left" w:pos="0"/>
        </w:tabs>
        <w:suppressAutoHyphens/>
        <w:spacing w:after="240"/>
        <w:ind w:left="720" w:hanging="720"/>
        <w:rPr>
          <w:rFonts w:ascii="Times New Roman" w:hAnsi="Times New Roman"/>
          <w:b/>
          <w:bCs/>
        </w:rPr>
      </w:pPr>
      <w:r w:rsidRPr="00CD0437">
        <w:rPr>
          <w:rFonts w:ascii="Times New Roman" w:hAnsi="Times New Roman"/>
          <w:b/>
          <w:bCs/>
        </w:rPr>
        <w:t>9.</w:t>
      </w:r>
      <w:r w:rsidRPr="00CD0437">
        <w:rPr>
          <w:rFonts w:ascii="Times New Roman" w:hAnsi="Times New Roman"/>
          <w:b/>
          <w:bCs/>
        </w:rPr>
        <w:tab/>
        <w:t>Explain any decision to provide any payment or gift to respondents, other than remuneration of contractors or grantees.</w:t>
      </w:r>
    </w:p>
    <w:p w:rsidR="002D133A" w:rsidRPr="009C3091" w:rsidP="009C3091" w14:paraId="34993811" w14:textId="5EA34509">
      <w:pPr>
        <w:tabs>
          <w:tab w:val="left" w:pos="-720"/>
        </w:tabs>
        <w:suppressAutoHyphens/>
        <w:spacing w:after="240"/>
        <w:ind w:left="720"/>
        <w:rPr>
          <w:rFonts w:ascii="Times New Roman" w:hAnsi="Times New Roman"/>
          <w:szCs w:val="24"/>
        </w:rPr>
      </w:pPr>
      <w:r w:rsidRPr="009C3091">
        <w:rPr>
          <w:rFonts w:ascii="Times New Roman" w:hAnsi="Times New Roman"/>
          <w:szCs w:val="24"/>
        </w:rPr>
        <w:t>The question is not applicable.</w:t>
      </w:r>
    </w:p>
    <w:p w:rsidR="00794D70" w:rsidRPr="00705824" w:rsidP="001461F3" w14:paraId="6B7FB059" w14:textId="2AF7DB7B">
      <w:pPr>
        <w:tabs>
          <w:tab w:val="left" w:pos="-720"/>
          <w:tab w:val="left" w:pos="0"/>
        </w:tabs>
        <w:suppressAutoHyphens/>
        <w:spacing w:after="240"/>
        <w:ind w:left="720" w:hanging="720"/>
        <w:rPr>
          <w:rFonts w:ascii="Times New Roman" w:hAnsi="Times New Roman"/>
          <w:b/>
          <w:bCs/>
        </w:rPr>
      </w:pPr>
      <w:r w:rsidRPr="00705824">
        <w:rPr>
          <w:rFonts w:ascii="Times New Roman" w:hAnsi="Times New Roman"/>
          <w:b/>
          <w:bCs/>
        </w:rPr>
        <w:t>10.</w:t>
      </w:r>
      <w:r w:rsidRPr="00705824">
        <w:rPr>
          <w:rFonts w:ascii="Times New Roman" w:hAnsi="Times New Roman"/>
          <w:b/>
          <w:bCs/>
        </w:rPr>
        <w:tab/>
        <w:t>Describe any assurance of confidentiality provided to respondents and the basis for the assurance in statute, regulations, or agency policy.</w:t>
      </w:r>
    </w:p>
    <w:p w:rsidR="002D133A" w:rsidRPr="009C3091" w:rsidP="009C3091" w14:paraId="54E1F2F8" w14:textId="71EF69C7">
      <w:pPr>
        <w:tabs>
          <w:tab w:val="left" w:pos="-720"/>
        </w:tabs>
        <w:suppressAutoHyphens/>
        <w:spacing w:after="240"/>
        <w:ind w:left="720"/>
        <w:rPr>
          <w:rFonts w:ascii="Times New Roman" w:hAnsi="Times New Roman"/>
          <w:szCs w:val="24"/>
        </w:rPr>
      </w:pPr>
      <w:r w:rsidRPr="009C3091">
        <w:rPr>
          <w:rFonts w:ascii="Times New Roman" w:hAnsi="Times New Roman"/>
          <w:szCs w:val="24"/>
        </w:rPr>
        <w:t xml:space="preserve">The Commission does not provide respondents with an assurance of confidentiality beyond that provided by applicable law.  The Commission </w:t>
      </w:r>
      <w:r w:rsidR="0009487C">
        <w:rPr>
          <w:rFonts w:ascii="Times New Roman" w:hAnsi="Times New Roman"/>
          <w:szCs w:val="24"/>
        </w:rPr>
        <w:t>is subject to</w:t>
      </w:r>
      <w:r w:rsidRPr="009C3091">
        <w:rPr>
          <w:rFonts w:ascii="Times New Roman" w:hAnsi="Times New Roman"/>
          <w:szCs w:val="24"/>
        </w:rPr>
        <w:t xml:space="preserve">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2D133A" w:rsidRPr="00705824" w:rsidP="001461F3" w14:paraId="6D62CA09" w14:textId="587DD519">
      <w:pPr>
        <w:tabs>
          <w:tab w:val="left" w:pos="-720"/>
        </w:tabs>
        <w:suppressAutoHyphens/>
        <w:spacing w:after="240"/>
        <w:ind w:left="720" w:hanging="720"/>
        <w:rPr>
          <w:rFonts w:ascii="Times New Roman" w:hAnsi="Times New Roman"/>
          <w:b/>
          <w:bCs/>
        </w:rPr>
      </w:pPr>
      <w:r w:rsidRPr="00705824">
        <w:rPr>
          <w:rFonts w:ascii="Times New Roman" w:hAnsi="Times New Roman"/>
          <w:b/>
          <w:bCs/>
        </w:rPr>
        <w:t>11.</w:t>
      </w:r>
      <w:r w:rsidRPr="00705824">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774D" w:rsidRPr="002451D0" w:rsidP="001461F3" w14:paraId="154CC497" w14:textId="08B9E78A">
      <w:pPr>
        <w:tabs>
          <w:tab w:val="left" w:pos="-720"/>
        </w:tabs>
        <w:suppressAutoHyphens/>
        <w:spacing w:after="240"/>
        <w:ind w:left="720"/>
        <w:rPr>
          <w:rFonts w:ascii="Times New Roman" w:hAnsi="Times New Roman"/>
        </w:rPr>
      </w:pPr>
      <w:r w:rsidRPr="002451D0">
        <w:rPr>
          <w:rFonts w:ascii="Times New Roman" w:hAnsi="Times New Roman"/>
        </w:rPr>
        <w:t xml:space="preserve">The regulations covered by this collection do not require the </w:t>
      </w:r>
      <w:r w:rsidR="007D47E4">
        <w:rPr>
          <w:rFonts w:ascii="Times New Roman" w:hAnsi="Times New Roman"/>
        </w:rPr>
        <w:t>provision</w:t>
      </w:r>
      <w:r w:rsidRPr="002451D0" w:rsidR="007D47E4">
        <w:rPr>
          <w:rFonts w:ascii="Times New Roman" w:hAnsi="Times New Roman"/>
        </w:rPr>
        <w:t xml:space="preserve"> </w:t>
      </w:r>
      <w:r w:rsidRPr="002451D0">
        <w:rPr>
          <w:rFonts w:ascii="Times New Roman" w:hAnsi="Times New Roman"/>
        </w:rPr>
        <w:t>of sensitive information, as that term is used in Question 11.</w:t>
      </w:r>
    </w:p>
    <w:p w:rsidR="002D133A" w:rsidRPr="00705824" w:rsidP="001461F3" w14:paraId="592FD8BB" w14:textId="5B1736BD">
      <w:pPr>
        <w:tabs>
          <w:tab w:val="left" w:pos="-720"/>
          <w:tab w:val="left" w:pos="0"/>
        </w:tabs>
        <w:suppressAutoHyphens/>
        <w:spacing w:after="240"/>
        <w:ind w:left="720" w:hanging="720"/>
        <w:rPr>
          <w:rFonts w:ascii="Times New Roman" w:hAnsi="Times New Roman"/>
          <w:b/>
          <w:bCs/>
        </w:rPr>
      </w:pPr>
      <w:r w:rsidRPr="00705824">
        <w:rPr>
          <w:rFonts w:ascii="Times New Roman" w:hAnsi="Times New Roman"/>
          <w:b/>
          <w:bCs/>
        </w:rPr>
        <w:t>12.</w:t>
      </w:r>
      <w:r w:rsidRPr="00705824">
        <w:rPr>
          <w:rFonts w:ascii="Times New Roman" w:hAnsi="Times New Roman"/>
          <w:b/>
          <w:bCs/>
        </w:rPr>
        <w:tab/>
        <w:t>Provide estimates of the hour burden of the collection of information.  The Statement should:</w:t>
      </w:r>
    </w:p>
    <w:p w:rsidR="002D133A" w:rsidRPr="00705824" w:rsidP="001461F3" w14:paraId="0DC6BA58" w14:textId="1BF100D7">
      <w:pPr>
        <w:tabs>
          <w:tab w:val="left" w:pos="-720"/>
          <w:tab w:val="left" w:pos="0"/>
          <w:tab w:val="left" w:pos="720"/>
        </w:tabs>
        <w:suppressAutoHyphens/>
        <w:spacing w:after="240"/>
        <w:ind w:left="1440" w:hanging="1440"/>
        <w:rPr>
          <w:rFonts w:ascii="Times New Roman" w:hAnsi="Times New Roman"/>
          <w:b/>
          <w:bCs/>
        </w:rPr>
      </w:pPr>
      <w:r w:rsidRPr="00705824">
        <w:rPr>
          <w:rFonts w:ascii="Times New Roman" w:hAnsi="Times New Roman"/>
          <w:b/>
          <w:bCs/>
        </w:rPr>
        <w:tab/>
        <w:t>-</w:t>
      </w:r>
      <w:r w:rsidRPr="00705824">
        <w:rPr>
          <w:rFonts w:ascii="Times New Roman" w:hAnsi="Times New Roman"/>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Pr="00705824" w:rsidP="001461F3" w14:paraId="18B6F1EB" w14:textId="1D8EA417">
      <w:pPr>
        <w:tabs>
          <w:tab w:val="left" w:pos="-720"/>
          <w:tab w:val="left" w:pos="0"/>
          <w:tab w:val="left" w:pos="720"/>
        </w:tabs>
        <w:suppressAutoHyphens/>
        <w:spacing w:after="240"/>
        <w:ind w:left="1440" w:hanging="1440"/>
        <w:rPr>
          <w:rFonts w:ascii="Times New Roman" w:hAnsi="Times New Roman"/>
          <w:b/>
          <w:bCs/>
        </w:rPr>
      </w:pPr>
      <w:r w:rsidRPr="00705824">
        <w:rPr>
          <w:rFonts w:ascii="Times New Roman" w:hAnsi="Times New Roman"/>
          <w:b/>
          <w:bCs/>
        </w:rPr>
        <w:tab/>
        <w:t>-</w:t>
      </w:r>
      <w:r w:rsidRPr="00705824">
        <w:rPr>
          <w:rFonts w:ascii="Times New Roman" w:hAnsi="Times New Roman"/>
          <w:b/>
          <w:bCs/>
        </w:rPr>
        <w:tab/>
        <w:t>If the request for approval covers more than one form, provide separate hour burden estimates for each form and aggregate the hour burdens in Item 13 of OMB Form 83-I.</w:t>
      </w:r>
    </w:p>
    <w:p w:rsidR="006330FF" w:rsidRPr="00705824" w:rsidP="001461F3" w14:paraId="74038AA7" w14:textId="24176829">
      <w:pPr>
        <w:tabs>
          <w:tab w:val="left" w:pos="-720"/>
          <w:tab w:val="left" w:pos="0"/>
          <w:tab w:val="left" w:pos="720"/>
        </w:tabs>
        <w:suppressAutoHyphens/>
        <w:spacing w:after="240"/>
        <w:ind w:left="1440" w:hanging="1440"/>
        <w:rPr>
          <w:rFonts w:ascii="Times New Roman" w:hAnsi="Times New Roman"/>
          <w:b/>
          <w:bCs/>
          <w:szCs w:val="24"/>
        </w:rPr>
      </w:pPr>
      <w:r w:rsidRPr="00705824">
        <w:rPr>
          <w:rFonts w:ascii="Times New Roman" w:hAnsi="Times New Roman"/>
          <w:b/>
          <w:bCs/>
        </w:rPr>
        <w:tab/>
        <w:t>-</w:t>
      </w:r>
      <w:r w:rsidRPr="00705824">
        <w:rPr>
          <w:rFonts w:ascii="Times New Roman" w:hAnsi="Times New Roman"/>
          <w:b/>
          <w:bCs/>
        </w:rPr>
        <w:tab/>
        <w:t xml:space="preserve">Provide estimates of annualized cost to respondents for the hours burdens for collections of information, identifying and using appropriate wage rate categories.  The cost of contracting </w:t>
      </w:r>
      <w:r w:rsidRPr="00705824" w:rsidR="002451D0">
        <w:rPr>
          <w:rFonts w:ascii="Times New Roman" w:hAnsi="Times New Roman"/>
          <w:b/>
          <w:bCs/>
        </w:rPr>
        <w:t xml:space="preserve">out </w:t>
      </w:r>
      <w:r w:rsidRPr="00705824">
        <w:rPr>
          <w:rFonts w:ascii="Times New Roman" w:hAnsi="Times New Roman"/>
          <w:b/>
          <w:bCs/>
        </w:rPr>
        <w:t>or paying outside parties for information collection activities should not be included here.  Instead, this cost should be included in Item 13.</w:t>
      </w:r>
    </w:p>
    <w:p w:rsidR="006E37DE" w:rsidRPr="00AB3C56" w:rsidP="00AB3C56" w14:paraId="55DE641B" w14:textId="07BE6E48">
      <w:pPr>
        <w:pStyle w:val="FootnoteText"/>
        <w:spacing w:after="240"/>
        <w:ind w:left="720"/>
        <w:rPr>
          <w:rFonts w:ascii="Times New Roman" w:hAnsi="Times New Roman"/>
          <w:szCs w:val="24"/>
        </w:rPr>
      </w:pPr>
      <w:r w:rsidRPr="00661A70">
        <w:rPr>
          <w:rFonts w:ascii="Times New Roman" w:hAnsi="Times New Roman"/>
          <w:i/>
          <w:szCs w:val="24"/>
        </w:rPr>
        <w:t>See</w:t>
      </w:r>
      <w:r w:rsidRPr="00661A70">
        <w:rPr>
          <w:rFonts w:ascii="Times New Roman" w:hAnsi="Times New Roman"/>
          <w:szCs w:val="24"/>
        </w:rPr>
        <w:t xml:space="preserve"> Attachment A.</w:t>
      </w:r>
    </w:p>
    <w:p w:rsidR="002D133A" w:rsidRPr="0038367A" w:rsidP="001461F3" w14:paraId="084A131A" w14:textId="6EC0095A">
      <w:pPr>
        <w:tabs>
          <w:tab w:val="left" w:pos="-720"/>
          <w:tab w:val="left" w:pos="0"/>
        </w:tabs>
        <w:suppressAutoHyphens/>
        <w:spacing w:after="240"/>
        <w:ind w:left="720" w:hanging="720"/>
        <w:rPr>
          <w:rFonts w:ascii="Times New Roman" w:hAnsi="Times New Roman"/>
          <w:b/>
          <w:bCs/>
        </w:rPr>
      </w:pPr>
      <w:r w:rsidRPr="0038367A">
        <w:rPr>
          <w:rFonts w:ascii="Times New Roman" w:hAnsi="Times New Roman"/>
          <w:b/>
          <w:bCs/>
        </w:rPr>
        <w:t>13.</w:t>
      </w:r>
      <w:r w:rsidRPr="0038367A">
        <w:rPr>
          <w:rFonts w:ascii="Times New Roman" w:hAnsi="Times New Roman"/>
          <w:b/>
          <w:bCs/>
        </w:rPr>
        <w:tab/>
        <w:t>Provide an estimate of the total annual cost burden to respondents or recordkeepers resulting f</w:t>
      </w:r>
      <w:r w:rsidRPr="0038367A" w:rsidR="00F30B08">
        <w:rPr>
          <w:rFonts w:ascii="Times New Roman" w:hAnsi="Times New Roman"/>
          <w:b/>
          <w:bCs/>
        </w:rPr>
        <w:t>r</w:t>
      </w:r>
      <w:r w:rsidRPr="0038367A">
        <w:rPr>
          <w:rFonts w:ascii="Times New Roman" w:hAnsi="Times New Roman"/>
          <w:b/>
          <w:bCs/>
        </w:rPr>
        <w:t>om the collection of information.  (Do not include the cost of any hour burden shown in Items 12 and 14).</w:t>
      </w:r>
    </w:p>
    <w:p w:rsidR="002D133A" w:rsidRPr="0038367A" w:rsidP="001461F3" w14:paraId="486CD615" w14:textId="397A704E">
      <w:pPr>
        <w:tabs>
          <w:tab w:val="left" w:pos="-720"/>
          <w:tab w:val="left" w:pos="0"/>
          <w:tab w:val="left" w:pos="720"/>
        </w:tabs>
        <w:suppressAutoHyphens/>
        <w:spacing w:after="240"/>
        <w:ind w:left="1440" w:hanging="1440"/>
        <w:rPr>
          <w:rFonts w:ascii="Times New Roman" w:hAnsi="Times New Roman"/>
          <w:b/>
          <w:bCs/>
        </w:rPr>
      </w:pPr>
      <w:r w:rsidRPr="0038367A">
        <w:rPr>
          <w:rFonts w:ascii="Times New Roman" w:hAnsi="Times New Roman"/>
          <w:b/>
          <w:bCs/>
        </w:rPr>
        <w:tab/>
        <w:t>-</w:t>
      </w:r>
      <w:r w:rsidRPr="0038367A">
        <w:rPr>
          <w:rFonts w:ascii="Times New Roman" w:hAnsi="Times New Roman"/>
          <w:b/>
          <w:bCs/>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38367A" w:rsidP="007D47E4" w14:paraId="33E3B79E" w14:textId="41024031">
      <w:pPr>
        <w:tabs>
          <w:tab w:val="left" w:pos="-720"/>
          <w:tab w:val="left" w:pos="0"/>
          <w:tab w:val="left" w:pos="720"/>
        </w:tabs>
        <w:suppressAutoHyphens/>
        <w:spacing w:after="240"/>
        <w:ind w:left="1440" w:hanging="1440"/>
        <w:rPr>
          <w:rFonts w:ascii="Times New Roman" w:hAnsi="Times New Roman"/>
          <w:b/>
          <w:bCs/>
        </w:rPr>
      </w:pPr>
      <w:r w:rsidRPr="0038367A">
        <w:rPr>
          <w:rFonts w:ascii="Times New Roman" w:hAnsi="Times New Roman"/>
          <w:b/>
          <w:bCs/>
        </w:rPr>
        <w:tab/>
        <w:t>-</w:t>
      </w:r>
      <w:r w:rsidRPr="0038367A">
        <w:rPr>
          <w:rFonts w:ascii="Times New Roman" w:hAnsi="Times New Roman"/>
          <w:b/>
          <w:bCs/>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409B1" w:rsidRPr="0038367A" w:rsidP="001461F3" w14:paraId="4595EF00" w14:textId="17181392">
      <w:pPr>
        <w:tabs>
          <w:tab w:val="left" w:pos="-720"/>
          <w:tab w:val="left" w:pos="0"/>
          <w:tab w:val="left" w:pos="720"/>
        </w:tabs>
        <w:suppressAutoHyphens/>
        <w:spacing w:after="240"/>
        <w:ind w:left="1440" w:hanging="1440"/>
        <w:rPr>
          <w:rFonts w:ascii="Times New Roman" w:hAnsi="Times New Roman"/>
          <w:b/>
          <w:bCs/>
        </w:rPr>
      </w:pPr>
      <w:r w:rsidRPr="0038367A">
        <w:rPr>
          <w:rFonts w:ascii="Times New Roman" w:hAnsi="Times New Roman"/>
          <w:b/>
          <w:bCs/>
        </w:rPr>
        <w:tab/>
        <w:t>-</w:t>
      </w:r>
      <w:r w:rsidRPr="0038367A">
        <w:rPr>
          <w:rFonts w:ascii="Times New Roman" w:hAnsi="Times New Roman"/>
          <w:b/>
          <w:bCs/>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38367A" w:rsidR="00403637">
        <w:rPr>
          <w:rFonts w:ascii="Times New Roman" w:hAnsi="Times New Roman"/>
          <w:b/>
          <w:bCs/>
        </w:rPr>
        <w:t>government</w:t>
      </w:r>
      <w:r w:rsidRPr="0038367A">
        <w:rPr>
          <w:rFonts w:ascii="Times New Roman" w:hAnsi="Times New Roman"/>
          <w:b/>
          <w:bCs/>
        </w:rPr>
        <w:t xml:space="preserve"> or (4) as part of customary and usual business or private practices.</w:t>
      </w:r>
    </w:p>
    <w:p w:rsidR="00673FBC" w:rsidRPr="002451D0" w:rsidP="00761859" w14:paraId="324419AD" w14:textId="68B2EDAE">
      <w:pPr>
        <w:tabs>
          <w:tab w:val="left" w:pos="-720"/>
        </w:tabs>
        <w:suppressAutoHyphens/>
        <w:spacing w:after="240"/>
        <w:ind w:left="720"/>
        <w:rPr>
          <w:rFonts w:ascii="Times New Roman" w:hAnsi="Times New Roman"/>
        </w:rPr>
      </w:pPr>
      <w:r w:rsidRPr="002451D0">
        <w:rPr>
          <w:rFonts w:ascii="Times New Roman" w:hAnsi="Times New Roman"/>
        </w:rPr>
        <w:t>It is expected that SEFs utilize existing software, information technology, and systems</w:t>
      </w:r>
      <w:r w:rsidR="00982E6F">
        <w:rPr>
          <w:rFonts w:ascii="Times New Roman" w:hAnsi="Times New Roman"/>
        </w:rPr>
        <w:t xml:space="preserve"> to comply with the information collection requirements included in this collection</w:t>
      </w:r>
      <w:r w:rsidRPr="002451D0">
        <w:rPr>
          <w:rFonts w:ascii="Times New Roman" w:hAnsi="Times New Roman"/>
        </w:rPr>
        <w:t xml:space="preserve">.  Thus, the Commission believes that </w:t>
      </w:r>
      <w:r w:rsidR="009070FB">
        <w:rPr>
          <w:rFonts w:ascii="Times New Roman" w:hAnsi="Times New Roman"/>
        </w:rPr>
        <w:t>there no additional</w:t>
      </w:r>
      <w:r w:rsidRPr="002451D0">
        <w:rPr>
          <w:rFonts w:ascii="Times New Roman" w:hAnsi="Times New Roman"/>
        </w:rPr>
        <w:t xml:space="preserve"> capital/startup costs or operational/maintenance costs </w:t>
      </w:r>
      <w:r w:rsidR="009070FB">
        <w:rPr>
          <w:rFonts w:ascii="Times New Roman" w:hAnsi="Times New Roman"/>
        </w:rPr>
        <w:t xml:space="preserve">entailed in complying with </w:t>
      </w:r>
      <w:r w:rsidRPr="002451D0">
        <w:rPr>
          <w:rFonts w:ascii="Times New Roman" w:hAnsi="Times New Roman"/>
        </w:rPr>
        <w:t xml:space="preserve">report the information </w:t>
      </w:r>
      <w:r w:rsidR="009070FB">
        <w:rPr>
          <w:rFonts w:ascii="Times New Roman" w:hAnsi="Times New Roman"/>
        </w:rPr>
        <w:t>collection requirements</w:t>
      </w:r>
      <w:r>
        <w:rPr>
          <w:rFonts w:ascii="Times New Roman" w:hAnsi="Times New Roman"/>
        </w:rPr>
        <w:t>.</w:t>
      </w:r>
    </w:p>
    <w:p w:rsidR="002D133A" w:rsidRPr="002451D0" w:rsidP="001461F3" w14:paraId="3A9BD72D" w14:textId="42633471">
      <w:pPr>
        <w:tabs>
          <w:tab w:val="left" w:pos="-720"/>
        </w:tabs>
        <w:suppressAutoHyphens/>
        <w:spacing w:after="240"/>
        <w:ind w:left="720" w:hanging="720"/>
        <w:rPr>
          <w:rFonts w:ascii="Times New Roman" w:hAnsi="Times New Roman"/>
        </w:rPr>
      </w:pPr>
      <w:r w:rsidRPr="0015712F">
        <w:rPr>
          <w:rFonts w:ascii="Times New Roman" w:hAnsi="Times New Roman"/>
          <w:b/>
          <w:bCs/>
        </w:rPr>
        <w:t>14.</w:t>
      </w:r>
      <w:r w:rsidRPr="0015712F">
        <w:rPr>
          <w:rFonts w:ascii="Times New Roman" w:hAnsi="Times New Roman"/>
          <w:b/>
          <w:bCs/>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2451D0">
        <w:rPr>
          <w:rFonts w:ascii="Times New Roman" w:hAnsi="Times New Roman"/>
          <w:u w:val="single"/>
        </w:rPr>
        <w:t>.</w:t>
      </w:r>
    </w:p>
    <w:p w:rsidR="008E6932" w:rsidRPr="002451D0" w:rsidP="00661A70" w14:paraId="539438B9" w14:textId="617F5F41">
      <w:pPr>
        <w:tabs>
          <w:tab w:val="left" w:pos="-720"/>
        </w:tabs>
        <w:suppressAutoHyphens/>
        <w:spacing w:after="240"/>
        <w:ind w:left="720"/>
        <w:rPr>
          <w:rFonts w:ascii="Times New Roman" w:hAnsi="Times New Roman"/>
        </w:rPr>
      </w:pPr>
      <w:r>
        <w:rPr>
          <w:rFonts w:ascii="Times New Roman" w:hAnsi="Times New Roman"/>
        </w:rPr>
        <w:t>T</w:t>
      </w:r>
      <w:r w:rsidRPr="002451D0" w:rsidR="005519AF">
        <w:rPr>
          <w:rFonts w:ascii="Times New Roman" w:hAnsi="Times New Roman"/>
        </w:rPr>
        <w:t xml:space="preserve">he </w:t>
      </w:r>
      <w:r w:rsidR="00623275">
        <w:rPr>
          <w:rFonts w:ascii="Times New Roman" w:hAnsi="Times New Roman"/>
        </w:rPr>
        <w:t>information collections</w:t>
      </w:r>
      <w:r w:rsidRPr="002451D0" w:rsidR="005519AF">
        <w:rPr>
          <w:rFonts w:ascii="Times New Roman" w:hAnsi="Times New Roman"/>
        </w:rPr>
        <w:t xml:space="preserve"> </w:t>
      </w:r>
      <w:r>
        <w:rPr>
          <w:rFonts w:ascii="Times New Roman" w:hAnsi="Times New Roman"/>
        </w:rPr>
        <w:t xml:space="preserve">do not </w:t>
      </w:r>
      <w:r w:rsidRPr="002451D0" w:rsidR="005519AF">
        <w:rPr>
          <w:rFonts w:ascii="Times New Roman" w:hAnsi="Times New Roman"/>
        </w:rPr>
        <w:t>impose any additional costs to the Federal Government.</w:t>
      </w:r>
    </w:p>
    <w:p w:rsidR="00D377B0" w:rsidP="001461F3" w14:paraId="5410D4A0" w14:textId="1DBB48A3">
      <w:pPr>
        <w:tabs>
          <w:tab w:val="left" w:pos="-720"/>
          <w:tab w:val="left" w:pos="0"/>
        </w:tabs>
        <w:suppressAutoHyphens/>
        <w:spacing w:after="240"/>
        <w:ind w:left="720" w:hanging="720"/>
        <w:rPr>
          <w:rFonts w:ascii="Times New Roman" w:hAnsi="Times New Roman"/>
          <w:b/>
          <w:bCs/>
        </w:rPr>
      </w:pPr>
      <w:r w:rsidRPr="005F0653">
        <w:rPr>
          <w:rFonts w:ascii="Times New Roman" w:hAnsi="Times New Roman"/>
          <w:b/>
          <w:bCs/>
        </w:rPr>
        <w:t>15.</w:t>
      </w:r>
      <w:r w:rsidRPr="005F0653">
        <w:rPr>
          <w:rFonts w:ascii="Times New Roman" w:hAnsi="Times New Roman"/>
          <w:b/>
          <w:bCs/>
        </w:rPr>
        <w:tab/>
        <w:t>Explain the reasons for any program changes or adjustments reported in Items 13 or 14 of the OMB Form 83-I.</w:t>
      </w:r>
    </w:p>
    <w:p w:rsidR="00420616" w:rsidP="001F11C0" w14:paraId="4C458895" w14:textId="3FE02511">
      <w:pPr>
        <w:tabs>
          <w:tab w:val="left" w:pos="-720"/>
        </w:tabs>
        <w:spacing w:after="240"/>
        <w:ind w:left="720"/>
        <w:rPr>
          <w:rFonts w:ascii="Times New Roman" w:hAnsi="Times New Roman"/>
        </w:rPr>
      </w:pPr>
      <w:r>
        <w:rPr>
          <w:rFonts w:ascii="Times New Roman" w:hAnsi="Times New Roman"/>
        </w:rPr>
        <w:t xml:space="preserve">There are no program changes.  </w:t>
      </w:r>
      <w:r w:rsidR="00655503">
        <w:rPr>
          <w:rFonts w:ascii="Times New Roman" w:hAnsi="Times New Roman"/>
        </w:rPr>
        <w:t>The Commission</w:t>
      </w:r>
      <w:r w:rsidR="00846F9B">
        <w:rPr>
          <w:rFonts w:ascii="Times New Roman" w:hAnsi="Times New Roman"/>
        </w:rPr>
        <w:t xml:space="preserve"> </w:t>
      </w:r>
      <w:r w:rsidR="004D31EB">
        <w:rPr>
          <w:rFonts w:ascii="Times New Roman" w:hAnsi="Times New Roman"/>
        </w:rPr>
        <w:t>has</w:t>
      </w:r>
      <w:r w:rsidR="00846F9B">
        <w:rPr>
          <w:rFonts w:ascii="Times New Roman" w:hAnsi="Times New Roman"/>
        </w:rPr>
        <w:t xml:space="preserve"> updated </w:t>
      </w:r>
      <w:r w:rsidR="00053A0B">
        <w:rPr>
          <w:rFonts w:ascii="Times New Roman" w:hAnsi="Times New Roman"/>
        </w:rPr>
        <w:t xml:space="preserve">its </w:t>
      </w:r>
      <w:r w:rsidR="00730621">
        <w:rPr>
          <w:rFonts w:ascii="Times New Roman" w:hAnsi="Times New Roman"/>
        </w:rPr>
        <w:t xml:space="preserve">burden </w:t>
      </w:r>
      <w:r w:rsidR="00053A0B">
        <w:rPr>
          <w:rFonts w:ascii="Times New Roman" w:hAnsi="Times New Roman"/>
        </w:rPr>
        <w:t xml:space="preserve">estimates </w:t>
      </w:r>
      <w:r w:rsidR="00730621">
        <w:rPr>
          <w:rFonts w:ascii="Times New Roman" w:hAnsi="Times New Roman"/>
        </w:rPr>
        <w:t>for</w:t>
      </w:r>
      <w:r w:rsidR="004D31EB">
        <w:rPr>
          <w:rFonts w:ascii="Times New Roman" w:hAnsi="Times New Roman"/>
        </w:rPr>
        <w:t xml:space="preserve"> this collection.  </w:t>
      </w:r>
      <w:r w:rsidR="00DE47E7">
        <w:rPr>
          <w:rFonts w:ascii="Times New Roman" w:hAnsi="Times New Roman"/>
        </w:rPr>
        <w:t>T</w:t>
      </w:r>
      <w:r w:rsidR="00F55456">
        <w:rPr>
          <w:rFonts w:ascii="Times New Roman" w:hAnsi="Times New Roman"/>
        </w:rPr>
        <w:t xml:space="preserve">he total number of </w:t>
      </w:r>
      <w:r w:rsidR="00DE47E7">
        <w:rPr>
          <w:rFonts w:ascii="Times New Roman" w:hAnsi="Times New Roman"/>
        </w:rPr>
        <w:t xml:space="preserve">estimated </w:t>
      </w:r>
      <w:r w:rsidR="00192913">
        <w:rPr>
          <w:rFonts w:ascii="Times New Roman" w:hAnsi="Times New Roman"/>
        </w:rPr>
        <w:t xml:space="preserve">responses has increased </w:t>
      </w:r>
      <w:r w:rsidR="00373C01">
        <w:rPr>
          <w:rFonts w:ascii="Times New Roman" w:hAnsi="Times New Roman"/>
        </w:rPr>
        <w:t xml:space="preserve">to </w:t>
      </w:r>
      <w:r w:rsidRPr="00373C01" w:rsidR="00373C01">
        <w:rPr>
          <w:rFonts w:ascii="Times New Roman" w:hAnsi="Times New Roman"/>
        </w:rPr>
        <w:t>7,829,1</w:t>
      </w:r>
      <w:r w:rsidR="00084003">
        <w:rPr>
          <w:rFonts w:ascii="Times New Roman" w:hAnsi="Times New Roman"/>
        </w:rPr>
        <w:t>47</w:t>
      </w:r>
      <w:r w:rsidR="00B1255A">
        <w:rPr>
          <w:rFonts w:ascii="Times New Roman" w:hAnsi="Times New Roman"/>
        </w:rPr>
        <w:t>, b</w:t>
      </w:r>
      <w:r w:rsidR="00DE47E7">
        <w:rPr>
          <w:rFonts w:ascii="Times New Roman" w:hAnsi="Times New Roman"/>
        </w:rPr>
        <w:t>ased on updated reporting data</w:t>
      </w:r>
      <w:r w:rsidR="00373C01">
        <w:rPr>
          <w:rFonts w:ascii="Times New Roman" w:hAnsi="Times New Roman"/>
        </w:rPr>
        <w:t xml:space="preserve">.  </w:t>
      </w:r>
      <w:r w:rsidR="00B1255A">
        <w:rPr>
          <w:rFonts w:ascii="Times New Roman" w:hAnsi="Times New Roman"/>
        </w:rPr>
        <w:t xml:space="preserve">Based on consultations with industry participants, the Commission understands that </w:t>
      </w:r>
      <w:r w:rsidR="008242DF">
        <w:rPr>
          <w:rFonts w:ascii="Times New Roman" w:hAnsi="Times New Roman"/>
        </w:rPr>
        <w:t xml:space="preserve">the </w:t>
      </w:r>
      <w:r w:rsidR="004B027C">
        <w:rPr>
          <w:rFonts w:ascii="Times New Roman" w:hAnsi="Times New Roman"/>
        </w:rPr>
        <w:t xml:space="preserve">large majority of </w:t>
      </w:r>
      <w:r w:rsidR="00947D2E">
        <w:rPr>
          <w:rFonts w:ascii="Times New Roman" w:hAnsi="Times New Roman"/>
        </w:rPr>
        <w:t>swap confirmation</w:t>
      </w:r>
      <w:r w:rsidR="004B09A4">
        <w:rPr>
          <w:rFonts w:ascii="Times New Roman" w:hAnsi="Times New Roman"/>
        </w:rPr>
        <w:t>s</w:t>
      </w:r>
      <w:r w:rsidR="00947D2E">
        <w:rPr>
          <w:rFonts w:ascii="Times New Roman" w:hAnsi="Times New Roman"/>
        </w:rPr>
        <w:t xml:space="preserve"> (which makes up the bulk of responses in this collection)</w:t>
      </w:r>
      <w:r w:rsidR="006A0BC1">
        <w:rPr>
          <w:rFonts w:ascii="Times New Roman" w:hAnsi="Times New Roman"/>
        </w:rPr>
        <w:t xml:space="preserve"> are </w:t>
      </w:r>
      <w:r w:rsidR="00CF0276">
        <w:rPr>
          <w:rFonts w:ascii="Times New Roman" w:hAnsi="Times New Roman"/>
        </w:rPr>
        <w:t>provid</w:t>
      </w:r>
      <w:r w:rsidR="003D6321">
        <w:rPr>
          <w:rFonts w:ascii="Times New Roman" w:hAnsi="Times New Roman"/>
        </w:rPr>
        <w:t xml:space="preserve">ed via highly automated reporting systems.  Accordingly, </w:t>
      </w:r>
      <w:r w:rsidR="00D53016">
        <w:rPr>
          <w:rFonts w:ascii="Times New Roman" w:hAnsi="Times New Roman"/>
        </w:rPr>
        <w:t xml:space="preserve">the total burden associated with </w:t>
      </w:r>
      <w:r w:rsidR="007245D6">
        <w:rPr>
          <w:rFonts w:ascii="Times New Roman" w:hAnsi="Times New Roman"/>
        </w:rPr>
        <w:t>the</w:t>
      </w:r>
      <w:r w:rsidR="00D53016">
        <w:rPr>
          <w:rFonts w:ascii="Times New Roman" w:hAnsi="Times New Roman"/>
        </w:rPr>
        <w:t xml:space="preserve"> collection </w:t>
      </w:r>
      <w:r w:rsidR="00376599">
        <w:rPr>
          <w:rFonts w:ascii="Times New Roman" w:hAnsi="Times New Roman"/>
        </w:rPr>
        <w:t>remains largely consistent with prior estimates</w:t>
      </w:r>
      <w:r w:rsidR="00D53016">
        <w:rPr>
          <w:rFonts w:ascii="Times New Roman" w:hAnsi="Times New Roman"/>
        </w:rPr>
        <w:t xml:space="preserve">.  </w:t>
      </w:r>
      <w:r w:rsidR="007245D6">
        <w:rPr>
          <w:rFonts w:ascii="Times New Roman" w:hAnsi="Times New Roman"/>
        </w:rPr>
        <w:t xml:space="preserve">The Commission’s </w:t>
      </w:r>
      <w:r w:rsidR="00655503">
        <w:rPr>
          <w:rFonts w:ascii="Times New Roman" w:hAnsi="Times New Roman"/>
        </w:rPr>
        <w:t xml:space="preserve">estimate of </w:t>
      </w:r>
      <w:r w:rsidR="005F0A1C">
        <w:rPr>
          <w:rFonts w:ascii="Times New Roman" w:hAnsi="Times New Roman"/>
        </w:rPr>
        <w:t xml:space="preserve">burden associated with this collection has decreased </w:t>
      </w:r>
      <w:r w:rsidR="0021591E">
        <w:rPr>
          <w:rFonts w:ascii="Times New Roman" w:hAnsi="Times New Roman"/>
        </w:rPr>
        <w:t xml:space="preserve">from 15,615 to </w:t>
      </w:r>
      <w:r w:rsidR="00885978">
        <w:rPr>
          <w:rFonts w:ascii="Times New Roman" w:hAnsi="Times New Roman"/>
        </w:rPr>
        <w:t>15,</w:t>
      </w:r>
      <w:r w:rsidR="00274421">
        <w:rPr>
          <w:rFonts w:ascii="Times New Roman" w:hAnsi="Times New Roman"/>
        </w:rPr>
        <w:t>499</w:t>
      </w:r>
      <w:r w:rsidR="00885978">
        <w:rPr>
          <w:rFonts w:ascii="Times New Roman" w:hAnsi="Times New Roman"/>
        </w:rPr>
        <w:t>.</w:t>
      </w:r>
    </w:p>
    <w:p w:rsidR="00352A0D" w:rsidRPr="00B93B39" w:rsidP="00B955C3" w14:paraId="7249E27B" w14:textId="79201445">
      <w:pPr>
        <w:tabs>
          <w:tab w:val="left" w:pos="-720"/>
        </w:tabs>
        <w:spacing w:after="240"/>
        <w:ind w:left="720"/>
        <w:rPr>
          <w:rFonts w:ascii="Times New Roman" w:hAnsi="Times New Roman"/>
        </w:rPr>
      </w:pPr>
      <w:r w:rsidRPr="00B955C3">
        <w:rPr>
          <w:rFonts w:ascii="Times New Roman" w:hAnsi="Times New Roman"/>
          <w:color w:val="000000" w:themeColor="text1"/>
        </w:rPr>
        <w:t>In addition, the Commission is conso</w:t>
      </w:r>
      <w:r w:rsidRPr="00B955C3" w:rsidR="008F353C">
        <w:rPr>
          <w:rFonts w:ascii="Times New Roman" w:hAnsi="Times New Roman"/>
          <w:color w:val="000000" w:themeColor="text1"/>
        </w:rPr>
        <w:t xml:space="preserve">lidating the Information Collections </w:t>
      </w:r>
      <w:r w:rsidRPr="00B955C3" w:rsidR="00EE4124">
        <w:rPr>
          <w:rFonts w:ascii="Times New Roman" w:hAnsi="Times New Roman"/>
          <w:color w:val="000000" w:themeColor="text1"/>
        </w:rPr>
        <w:t xml:space="preserve">in </w:t>
      </w:r>
      <w:r w:rsidRPr="00B955C3" w:rsidR="008F353C">
        <w:rPr>
          <w:rFonts w:ascii="Times New Roman" w:hAnsi="Times New Roman"/>
          <w:color w:val="000000" w:themeColor="text1"/>
        </w:rPr>
        <w:t>this collection</w:t>
      </w:r>
      <w:r w:rsidRPr="00B955C3" w:rsidR="00B62A08">
        <w:rPr>
          <w:rFonts w:ascii="Times New Roman" w:hAnsi="Times New Roman"/>
          <w:color w:val="000000" w:themeColor="text1"/>
        </w:rPr>
        <w:t xml:space="preserve"> </w:t>
      </w:r>
      <w:r w:rsidRPr="00B955C3" w:rsidR="00EE4124">
        <w:rPr>
          <w:rFonts w:ascii="Times New Roman" w:hAnsi="Times New Roman"/>
          <w:color w:val="000000" w:themeColor="text1"/>
        </w:rPr>
        <w:t>under the main IC titled “</w:t>
      </w:r>
      <w:r w:rsidRPr="00B955C3" w:rsidR="00CD5A49">
        <w:rPr>
          <w:rFonts w:ascii="Times New Roman" w:hAnsi="Times New Roman"/>
          <w:color w:val="000000" w:themeColor="text1"/>
        </w:rPr>
        <w:t xml:space="preserve">Core Principles and Other Requirements for Swap Execution Facilities” </w:t>
      </w:r>
      <w:r w:rsidRPr="00B955C3" w:rsidR="00B62A08">
        <w:rPr>
          <w:rFonts w:ascii="Times New Roman" w:hAnsi="Times New Roman"/>
          <w:color w:val="000000" w:themeColor="text1"/>
        </w:rPr>
        <w:t xml:space="preserve">and </w:t>
      </w:r>
      <w:r w:rsidRPr="00B955C3" w:rsidR="00EC686F">
        <w:rPr>
          <w:rFonts w:ascii="Times New Roman" w:hAnsi="Times New Roman"/>
          <w:color w:val="000000" w:themeColor="text1"/>
        </w:rPr>
        <w:t>remov</w:t>
      </w:r>
      <w:r w:rsidRPr="00B955C3" w:rsidR="00CD5A49">
        <w:rPr>
          <w:rFonts w:ascii="Times New Roman" w:hAnsi="Times New Roman"/>
          <w:color w:val="000000" w:themeColor="text1"/>
        </w:rPr>
        <w:t>ing</w:t>
      </w:r>
      <w:r w:rsidRPr="00B955C3" w:rsidR="00EC686F">
        <w:rPr>
          <w:rFonts w:ascii="Times New Roman" w:hAnsi="Times New Roman"/>
          <w:color w:val="000000" w:themeColor="text1"/>
        </w:rPr>
        <w:t xml:space="preserve"> the second </w:t>
      </w:r>
      <w:r w:rsidRPr="00B955C3" w:rsidR="00CD5A49">
        <w:rPr>
          <w:rFonts w:ascii="Times New Roman" w:hAnsi="Times New Roman"/>
          <w:color w:val="000000" w:themeColor="text1"/>
        </w:rPr>
        <w:t>IC titled “</w:t>
      </w:r>
      <w:hyperlink r:id="rId10" w:tooltip="click to view this IC" w:history="1">
        <w:r w:rsidRPr="00B955C3" w:rsidR="00AF4D48">
          <w:rPr>
            <w:rStyle w:val="Hyperlink"/>
            <w:rFonts w:ascii="Times New Roman" w:hAnsi="Times New Roman"/>
            <w:color w:val="000000" w:themeColor="text1"/>
            <w:bdr w:val="none" w:sz="0" w:space="0" w:color="auto"/>
          </w:rPr>
          <w:t>37.6(b) - Confirmation Requirement for registered SEFs</w:t>
        </w:r>
      </w:hyperlink>
      <w:r w:rsidRPr="00B955C3" w:rsidR="00AF4D48">
        <w:rPr>
          <w:rFonts w:ascii="Times New Roman" w:hAnsi="Times New Roman"/>
          <w:color w:val="000000" w:themeColor="text1"/>
        </w:rPr>
        <w:t xml:space="preserve">.”  </w:t>
      </w:r>
      <w:r w:rsidRPr="00B955C3" w:rsidR="00894415">
        <w:rPr>
          <w:rFonts w:ascii="Times New Roman" w:hAnsi="Times New Roman"/>
          <w:color w:val="000000" w:themeColor="text1"/>
        </w:rPr>
        <w:t>Accordingly, t</w:t>
      </w:r>
      <w:r w:rsidRPr="00B955C3" w:rsidR="00AF4D48">
        <w:rPr>
          <w:rFonts w:ascii="Times New Roman" w:hAnsi="Times New Roman"/>
          <w:color w:val="000000" w:themeColor="text1"/>
        </w:rPr>
        <w:t xml:space="preserve">he total burden for this collection is now reflected under </w:t>
      </w:r>
      <w:r w:rsidRPr="00B955C3" w:rsidR="00894415">
        <w:rPr>
          <w:rFonts w:ascii="Times New Roman" w:hAnsi="Times New Roman"/>
          <w:color w:val="000000" w:themeColor="text1"/>
        </w:rPr>
        <w:t>the IC titled “Core Principles and Other Requirements for Swap Execution Facilities.”</w:t>
      </w:r>
    </w:p>
    <w:p w:rsidR="002D133A" w:rsidRPr="005F0653" w:rsidP="001461F3" w14:paraId="604DAC3C" w14:textId="000F5047">
      <w:pPr>
        <w:tabs>
          <w:tab w:val="left" w:pos="-720"/>
          <w:tab w:val="left" w:pos="0"/>
        </w:tabs>
        <w:suppressAutoHyphens/>
        <w:spacing w:after="240"/>
        <w:ind w:left="720" w:hanging="720"/>
        <w:rPr>
          <w:rFonts w:ascii="Times New Roman" w:hAnsi="Times New Roman"/>
          <w:b/>
          <w:bCs/>
        </w:rPr>
      </w:pPr>
      <w:r w:rsidRPr="005F0653">
        <w:rPr>
          <w:rFonts w:ascii="Times New Roman" w:hAnsi="Times New Roman"/>
          <w:b/>
          <w:bCs/>
        </w:rPr>
        <w:t>16.</w:t>
      </w:r>
      <w:r w:rsidRPr="005F0653">
        <w:rPr>
          <w:rFonts w:ascii="Times New Roman" w:hAnsi="Times New Roman"/>
          <w:b/>
          <w:bCs/>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E6932" w:rsidRPr="002451D0" w:rsidP="0007790E" w14:paraId="7A7D544C" w14:textId="7C9E1D6B">
      <w:pPr>
        <w:tabs>
          <w:tab w:val="left" w:pos="-720"/>
        </w:tabs>
        <w:suppressAutoHyphens/>
        <w:spacing w:after="240"/>
        <w:ind w:left="720"/>
        <w:rPr>
          <w:rFonts w:ascii="Times New Roman" w:hAnsi="Times New Roman"/>
        </w:rPr>
      </w:pPr>
      <w:r w:rsidRPr="002451D0">
        <w:rPr>
          <w:rFonts w:ascii="Times New Roman" w:hAnsi="Times New Roman"/>
        </w:rPr>
        <w:t>This question does not apply.</w:t>
      </w:r>
    </w:p>
    <w:p w:rsidR="008E6932" w:rsidRPr="005F0653" w:rsidP="001461F3" w14:paraId="6D92D16F" w14:textId="7177CE33">
      <w:pPr>
        <w:tabs>
          <w:tab w:val="left" w:pos="-720"/>
          <w:tab w:val="left" w:pos="0"/>
        </w:tabs>
        <w:suppressAutoHyphens/>
        <w:spacing w:after="240"/>
        <w:ind w:left="720" w:hanging="720"/>
        <w:rPr>
          <w:rFonts w:ascii="Times New Roman" w:hAnsi="Times New Roman"/>
          <w:b/>
          <w:bCs/>
        </w:rPr>
      </w:pPr>
      <w:r w:rsidRPr="005F0653">
        <w:rPr>
          <w:rFonts w:ascii="Times New Roman" w:hAnsi="Times New Roman"/>
          <w:b/>
          <w:bCs/>
        </w:rPr>
        <w:t>17.</w:t>
      </w:r>
      <w:r w:rsidRPr="005F0653">
        <w:rPr>
          <w:rFonts w:ascii="Times New Roman" w:hAnsi="Times New Roman"/>
          <w:b/>
          <w:bCs/>
        </w:rPr>
        <w:tab/>
        <w:t>If seeking approval to not display the expiration date for OMB approval of the information collection, explain the reasons that display would be inappropriate.</w:t>
      </w:r>
    </w:p>
    <w:p w:rsidR="002D133A" w:rsidRPr="002451D0" w:rsidP="0007790E" w14:paraId="32AA0C13" w14:textId="3A02AEBD">
      <w:pPr>
        <w:tabs>
          <w:tab w:val="left" w:pos="-720"/>
        </w:tabs>
        <w:suppressAutoHyphens/>
        <w:spacing w:after="240"/>
        <w:ind w:left="720"/>
        <w:rPr>
          <w:rFonts w:ascii="Times New Roman" w:hAnsi="Times New Roman"/>
        </w:rPr>
      </w:pPr>
      <w:r w:rsidRPr="002451D0">
        <w:rPr>
          <w:rFonts w:ascii="Times New Roman" w:hAnsi="Times New Roman"/>
        </w:rPr>
        <w:t>This question does not apply.</w:t>
      </w:r>
    </w:p>
    <w:p w:rsidR="008E6932" w:rsidRPr="005F0653" w:rsidP="001461F3" w14:paraId="09B40BB1" w14:textId="5B6F78E5">
      <w:pPr>
        <w:tabs>
          <w:tab w:val="left" w:pos="-720"/>
          <w:tab w:val="left" w:pos="0"/>
        </w:tabs>
        <w:suppressAutoHyphens/>
        <w:spacing w:after="240"/>
        <w:ind w:left="720" w:hanging="720"/>
        <w:rPr>
          <w:rFonts w:ascii="Times New Roman" w:hAnsi="Times New Roman"/>
          <w:b/>
          <w:bCs/>
        </w:rPr>
      </w:pPr>
      <w:r w:rsidRPr="005F0653">
        <w:rPr>
          <w:rFonts w:ascii="Times New Roman" w:hAnsi="Times New Roman"/>
          <w:b/>
          <w:bCs/>
        </w:rPr>
        <w:t>18.</w:t>
      </w:r>
      <w:r w:rsidRPr="005F0653">
        <w:rPr>
          <w:rFonts w:ascii="Times New Roman" w:hAnsi="Times New Roman"/>
          <w:b/>
          <w:bCs/>
        </w:rPr>
        <w:tab/>
        <w:t xml:space="preserve">Explain each exception to the certification statement identified in Item 19, </w:t>
      </w:r>
      <w:r w:rsidR="0046795E">
        <w:rPr>
          <w:rFonts w:ascii="Times New Roman" w:hAnsi="Times New Roman"/>
          <w:b/>
          <w:bCs/>
        </w:rPr>
        <w:t>“</w:t>
      </w:r>
      <w:r w:rsidRPr="005F0653">
        <w:rPr>
          <w:rFonts w:ascii="Times New Roman" w:hAnsi="Times New Roman"/>
          <w:b/>
          <w:bCs/>
        </w:rPr>
        <w:t>Certification for Paperwork Reduction Act Submissions,</w:t>
      </w:r>
      <w:r w:rsidR="0046795E">
        <w:rPr>
          <w:rFonts w:ascii="Times New Roman" w:hAnsi="Times New Roman"/>
          <w:b/>
          <w:bCs/>
        </w:rPr>
        <w:t>”</w:t>
      </w:r>
      <w:r w:rsidRPr="005F0653">
        <w:rPr>
          <w:rFonts w:ascii="Times New Roman" w:hAnsi="Times New Roman"/>
          <w:b/>
          <w:bCs/>
        </w:rPr>
        <w:t xml:space="preserve"> of OMB Form 83-I.</w:t>
      </w:r>
    </w:p>
    <w:p w:rsidR="00DC1F75" w:rsidRPr="002451D0" w:rsidP="0007790E" w14:paraId="5B313D59" w14:textId="5162A66A">
      <w:pPr>
        <w:tabs>
          <w:tab w:val="left" w:pos="-720"/>
        </w:tabs>
        <w:suppressAutoHyphens/>
        <w:spacing w:after="240"/>
        <w:ind w:left="720"/>
        <w:rPr>
          <w:rFonts w:ascii="Times New Roman" w:hAnsi="Times New Roman"/>
        </w:rPr>
        <w:sectPr w:rsidSect="00A37A5F">
          <w:footerReference w:type="default" r:id="rId11"/>
          <w:endnotePr>
            <w:numFmt w:val="decimal"/>
          </w:endnotePr>
          <w:type w:val="continuous"/>
          <w:pgSz w:w="12240" w:h="15840"/>
          <w:pgMar w:top="1440" w:right="1440" w:bottom="1440" w:left="1440" w:header="1350" w:footer="1440" w:gutter="0"/>
          <w:pgNumType w:start="1"/>
          <w:cols w:space="720"/>
          <w:noEndnote/>
        </w:sectPr>
      </w:pPr>
      <w:r w:rsidRPr="002451D0">
        <w:rPr>
          <w:rFonts w:ascii="Times New Roman" w:hAnsi="Times New Roman"/>
        </w:rPr>
        <w:t>No exceptions exist.</w:t>
      </w:r>
    </w:p>
    <w:p w:rsidR="008C4773" w:rsidRPr="00F57806" w:rsidP="00F57806" w14:paraId="24DF69F7" w14:textId="08D074AD">
      <w:pPr>
        <w:tabs>
          <w:tab w:val="left" w:pos="-720"/>
        </w:tabs>
        <w:suppressAutoHyphens/>
        <w:spacing w:after="240"/>
        <w:jc w:val="center"/>
        <w:rPr>
          <w:rFonts w:ascii="Times New Roman" w:hAnsi="Times New Roman"/>
          <w:b/>
          <w:bCs/>
          <w:u w:val="single"/>
        </w:rPr>
      </w:pPr>
      <w:r w:rsidRPr="00F57806">
        <w:rPr>
          <w:rFonts w:ascii="Times New Roman" w:hAnsi="Times New Roman"/>
          <w:b/>
          <w:bCs/>
          <w:u w:val="single"/>
        </w:rPr>
        <w:t>OMB Control Number 3038-0074</w:t>
      </w:r>
    </w:p>
    <w:p w:rsidR="008C4773" w:rsidRPr="001E097F" w:rsidP="00F57806" w14:paraId="29F0E74C" w14:textId="2A26EF51">
      <w:pPr>
        <w:tabs>
          <w:tab w:val="left" w:pos="-720"/>
        </w:tabs>
        <w:suppressAutoHyphens/>
        <w:spacing w:after="240"/>
        <w:ind w:firstLine="720"/>
        <w:rPr>
          <w:rFonts w:ascii="Times New Roman" w:hAnsi="Times New Roman"/>
        </w:rPr>
      </w:pPr>
      <w:r>
        <w:rPr>
          <w:rFonts w:ascii="Times New Roman" w:hAnsi="Times New Roman"/>
        </w:rPr>
        <w:t>Attachment A includes both (1) a discussion of the Commission’s assumption</w:t>
      </w:r>
      <w:r w:rsidR="00C56DCD">
        <w:rPr>
          <w:rFonts w:ascii="Times New Roman" w:hAnsi="Times New Roman"/>
        </w:rPr>
        <w:t>s</w:t>
      </w:r>
      <w:r>
        <w:rPr>
          <w:rFonts w:ascii="Times New Roman" w:hAnsi="Times New Roman"/>
        </w:rPr>
        <w:t xml:space="preserve"> and methodology in determining its </w:t>
      </w:r>
      <w:r w:rsidR="00C56DCD">
        <w:rPr>
          <w:rFonts w:ascii="Times New Roman" w:hAnsi="Times New Roman"/>
        </w:rPr>
        <w:t>burden</w:t>
      </w:r>
      <w:r>
        <w:rPr>
          <w:rFonts w:ascii="Times New Roman" w:hAnsi="Times New Roman"/>
        </w:rPr>
        <w:t xml:space="preserve"> estimates and (2) tables listing the individual information collection estimates and related burdens for both respondent SEFs and applicants for SEF registration.</w:t>
      </w:r>
    </w:p>
    <w:p w:rsidR="008C4773" w:rsidRPr="001E097F" w:rsidP="00F57806" w14:paraId="2BC4CB4F" w14:textId="51EB058B">
      <w:pPr>
        <w:spacing w:after="240"/>
        <w:rPr>
          <w:rFonts w:ascii="Times New Roman" w:hAnsi="Times New Roman"/>
        </w:rPr>
      </w:pPr>
      <w:r w:rsidRPr="001E097F">
        <w:rPr>
          <w:rFonts w:ascii="Times New Roman" w:hAnsi="Times New Roman"/>
          <w:b/>
        </w:rPr>
        <w:t>Scope and Applicability of Information Collections</w:t>
      </w:r>
    </w:p>
    <w:p w:rsidR="008C4773" w:rsidRPr="009C6C5C" w:rsidP="00F57806" w14:paraId="37B84EA5" w14:textId="12AB799B">
      <w:pPr>
        <w:spacing w:after="240"/>
        <w:rPr>
          <w:rFonts w:ascii="Times New Roman" w:hAnsi="Times New Roman"/>
          <w:color w:val="000000" w:themeColor="text1"/>
          <w:szCs w:val="24"/>
        </w:rPr>
      </w:pPr>
      <w:r w:rsidRPr="009C6C5C">
        <w:rPr>
          <w:rFonts w:ascii="Times New Roman" w:hAnsi="Times New Roman"/>
          <w:color w:val="000000" w:themeColor="text1"/>
          <w:szCs w:val="24"/>
        </w:rPr>
        <w:t>OMB Control Number 3038-0074 covers all information collections in part 37, including Subpart A and the SEF core principles (</w:t>
      </w:r>
      <w:r w:rsidRPr="009C6C5C">
        <w:rPr>
          <w:rFonts w:ascii="Times New Roman" w:hAnsi="Times New Roman"/>
          <w:i/>
          <w:color w:val="000000" w:themeColor="text1"/>
          <w:szCs w:val="24"/>
        </w:rPr>
        <w:t>i.e.</w:t>
      </w:r>
      <w:r w:rsidRPr="009C6C5C">
        <w:rPr>
          <w:rFonts w:ascii="Times New Roman" w:hAnsi="Times New Roman"/>
          <w:color w:val="000000" w:themeColor="text1"/>
          <w:szCs w:val="24"/>
        </w:rPr>
        <w:t>, Subparts B through P) as well as the related appendices thereto (</w:t>
      </w:r>
      <w:r w:rsidRPr="009C6C5C">
        <w:rPr>
          <w:rFonts w:ascii="Times New Roman" w:hAnsi="Times New Roman"/>
          <w:i/>
          <w:color w:val="000000" w:themeColor="text1"/>
          <w:szCs w:val="24"/>
        </w:rPr>
        <w:t>i.e.</w:t>
      </w:r>
      <w:r w:rsidRPr="009C6C5C">
        <w:rPr>
          <w:rFonts w:ascii="Times New Roman" w:hAnsi="Times New Roman"/>
          <w:color w:val="000000" w:themeColor="text1"/>
          <w:szCs w:val="24"/>
        </w:rPr>
        <w:t>, Appendix A—Form SEF, Appendix B—</w:t>
      </w:r>
      <w:r w:rsidRPr="009C6C5C" w:rsidR="00C634E1">
        <w:rPr>
          <w:rFonts w:ascii="Times New Roman" w:hAnsi="Times New Roman"/>
          <w:color w:val="000000" w:themeColor="text1"/>
          <w:szCs w:val="24"/>
        </w:rPr>
        <w:t xml:space="preserve"> </w:t>
      </w:r>
      <w:hyperlink r:id="rId12" w:history="1">
        <w:r w:rsidRPr="009C6C5C" w:rsidR="00C634E1">
          <w:rPr>
            <w:rStyle w:val="Hyperlink"/>
            <w:rFonts w:ascii="Times New Roman" w:hAnsi="Times New Roman"/>
            <w:color w:val="000000" w:themeColor="text1"/>
            <w:szCs w:val="24"/>
            <w:bdr w:val="none" w:sz="0" w:space="0" w:color="auto"/>
          </w:rPr>
          <w:t>Guidance on, and Acceptable Practices in, Compliance with Core Principles</w:t>
        </w:r>
      </w:hyperlink>
      <w:r w:rsidRPr="009C6C5C">
        <w:rPr>
          <w:rFonts w:ascii="Times New Roman" w:hAnsi="Times New Roman"/>
          <w:color w:val="000000" w:themeColor="text1"/>
          <w:szCs w:val="24"/>
        </w:rPr>
        <w:t>,).</w:t>
      </w:r>
    </w:p>
    <w:p w:rsidR="008C4773" w:rsidRPr="001E097F" w:rsidP="00F57806" w14:paraId="34ADEB94" w14:textId="41C1D871">
      <w:pPr>
        <w:spacing w:after="240"/>
        <w:rPr>
          <w:rFonts w:ascii="Times New Roman" w:hAnsi="Times New Roman"/>
        </w:rPr>
      </w:pPr>
      <w:r w:rsidRPr="001E097F">
        <w:rPr>
          <w:rFonts w:ascii="Times New Roman" w:hAnsi="Times New Roman"/>
          <w:b/>
        </w:rPr>
        <w:t>Estimated Number of Respondents</w:t>
      </w:r>
    </w:p>
    <w:p w:rsidR="008C4773" w:rsidRPr="001E097F" w:rsidP="008C3AEC" w14:paraId="0F336C3A" w14:textId="5764FB6F">
      <w:pPr>
        <w:spacing w:after="120"/>
        <w:ind w:firstLine="720"/>
        <w:rPr>
          <w:rFonts w:ascii="Times New Roman" w:hAnsi="Times New Roman"/>
        </w:rPr>
      </w:pPr>
      <w:r w:rsidRPr="001E097F">
        <w:rPr>
          <w:rFonts w:ascii="Times New Roman" w:hAnsi="Times New Roman"/>
        </w:rPr>
        <w:t xml:space="preserve">1.  </w:t>
      </w:r>
      <w:r w:rsidRPr="001E097F">
        <w:rPr>
          <w:rFonts w:ascii="Times New Roman" w:hAnsi="Times New Roman"/>
          <w:u w:val="single"/>
        </w:rPr>
        <w:t>SEF registration</w:t>
      </w:r>
      <w:r>
        <w:rPr>
          <w:rFonts w:ascii="Times New Roman" w:hAnsi="Times New Roman"/>
          <w:u w:val="single"/>
        </w:rPr>
        <w:t xml:space="preserve"> process</w:t>
      </w:r>
      <w:r w:rsidRPr="001E097F">
        <w:rPr>
          <w:rFonts w:ascii="Times New Roman" w:hAnsi="Times New Roman"/>
        </w:rPr>
        <w:t xml:space="preserve">: The Commission estimates that </w:t>
      </w:r>
      <w:r>
        <w:rPr>
          <w:rFonts w:ascii="Times New Roman" w:hAnsi="Times New Roman"/>
        </w:rPr>
        <w:t>it will receive</w:t>
      </w:r>
      <w:r w:rsidRPr="001E097F">
        <w:rPr>
          <w:rFonts w:ascii="Times New Roman" w:hAnsi="Times New Roman"/>
        </w:rPr>
        <w:t xml:space="preserve"> </w:t>
      </w:r>
      <w:r w:rsidR="00B12262">
        <w:rPr>
          <w:rFonts w:ascii="Times New Roman" w:hAnsi="Times New Roman"/>
        </w:rPr>
        <w:t>1</w:t>
      </w:r>
      <w:r w:rsidRPr="001E097F">
        <w:rPr>
          <w:rFonts w:ascii="Times New Roman" w:hAnsi="Times New Roman"/>
        </w:rPr>
        <w:t xml:space="preserve"> applica</w:t>
      </w:r>
      <w:r w:rsidR="009E1E8B">
        <w:rPr>
          <w:rFonts w:ascii="Times New Roman" w:hAnsi="Times New Roman"/>
        </w:rPr>
        <w:t>tio</w:t>
      </w:r>
      <w:r w:rsidRPr="001E097F">
        <w:rPr>
          <w:rFonts w:ascii="Times New Roman" w:hAnsi="Times New Roman"/>
        </w:rPr>
        <w:t>n per year</w:t>
      </w:r>
      <w:r>
        <w:rPr>
          <w:rFonts w:ascii="Times New Roman" w:hAnsi="Times New Roman"/>
        </w:rPr>
        <w:t xml:space="preserve"> for SEF registration.</w:t>
      </w:r>
    </w:p>
    <w:p w:rsidR="008C4773" w:rsidRPr="001E097F" w:rsidP="00F57806" w14:paraId="42CBB048" w14:textId="01276F89">
      <w:pPr>
        <w:spacing w:after="240"/>
        <w:ind w:firstLine="720"/>
        <w:rPr>
          <w:rFonts w:ascii="Times New Roman" w:hAnsi="Times New Roman"/>
        </w:rPr>
      </w:pPr>
      <w:r w:rsidRPr="001E097F">
        <w:rPr>
          <w:rFonts w:ascii="Times New Roman" w:hAnsi="Times New Roman"/>
        </w:rPr>
        <w:t xml:space="preserve">2.  </w:t>
      </w:r>
      <w:r w:rsidRPr="008F1248" w:rsidR="00CD7026">
        <w:rPr>
          <w:rFonts w:ascii="Times New Roman" w:hAnsi="Times New Roman"/>
          <w:u w:val="single"/>
        </w:rPr>
        <w:t>Ongoing Reporting</w:t>
      </w:r>
      <w:r w:rsidR="00DD507D">
        <w:rPr>
          <w:rFonts w:ascii="Times New Roman" w:hAnsi="Times New Roman"/>
          <w:u w:val="single"/>
        </w:rPr>
        <w:t xml:space="preserve">, </w:t>
      </w:r>
      <w:r w:rsidRPr="008F1248" w:rsidR="00CD7026">
        <w:rPr>
          <w:rFonts w:ascii="Times New Roman" w:hAnsi="Times New Roman"/>
          <w:u w:val="single"/>
        </w:rPr>
        <w:t>Recordkeeping</w:t>
      </w:r>
      <w:r w:rsidR="00DD507D">
        <w:rPr>
          <w:rFonts w:ascii="Times New Roman" w:hAnsi="Times New Roman"/>
          <w:u w:val="single"/>
        </w:rPr>
        <w:t>, and</w:t>
      </w:r>
      <w:r w:rsidR="00862C20">
        <w:rPr>
          <w:rFonts w:ascii="Times New Roman" w:hAnsi="Times New Roman"/>
          <w:u w:val="single"/>
        </w:rPr>
        <w:t xml:space="preserve"> Third-Party Disclosure</w:t>
      </w:r>
      <w:r w:rsidRPr="008F1248" w:rsidR="00CD7026">
        <w:rPr>
          <w:rFonts w:ascii="Times New Roman" w:hAnsi="Times New Roman"/>
          <w:u w:val="single"/>
        </w:rPr>
        <w:t xml:space="preserve"> for </w:t>
      </w:r>
      <w:r w:rsidRPr="008F1248">
        <w:rPr>
          <w:rFonts w:ascii="Times New Roman" w:hAnsi="Times New Roman"/>
          <w:u w:val="single"/>
        </w:rPr>
        <w:t>Registered</w:t>
      </w:r>
      <w:r w:rsidRPr="001E097F">
        <w:rPr>
          <w:rFonts w:ascii="Times New Roman" w:hAnsi="Times New Roman"/>
          <w:u w:val="single"/>
        </w:rPr>
        <w:t xml:space="preserve"> SEFs</w:t>
      </w:r>
      <w:r w:rsidRPr="001E097F">
        <w:rPr>
          <w:rFonts w:ascii="Times New Roman" w:hAnsi="Times New Roman"/>
        </w:rPr>
        <w:t>: The Commission notes that there are currently 2</w:t>
      </w:r>
      <w:r>
        <w:rPr>
          <w:rFonts w:ascii="Times New Roman" w:hAnsi="Times New Roman"/>
        </w:rPr>
        <w:t>0</w:t>
      </w:r>
      <w:r w:rsidRPr="001E097F">
        <w:rPr>
          <w:rFonts w:ascii="Times New Roman" w:hAnsi="Times New Roman"/>
        </w:rPr>
        <w:t xml:space="preserve"> registered SEFs.</w:t>
      </w:r>
      <w:r>
        <w:rPr>
          <w:rFonts w:ascii="Times New Roman" w:hAnsi="Times New Roman"/>
        </w:rPr>
        <w:t xml:space="preserve"> </w:t>
      </w:r>
    </w:p>
    <w:p w:rsidR="008C4773" w:rsidRPr="009C6C5C" w:rsidP="00F57806" w14:paraId="1B369160" w14:textId="77777777">
      <w:pPr>
        <w:spacing w:after="240"/>
        <w:rPr>
          <w:rFonts w:ascii="Times New Roman" w:hAnsi="Times New Roman"/>
          <w:b/>
        </w:rPr>
      </w:pPr>
      <w:r w:rsidRPr="009C6C5C">
        <w:rPr>
          <w:rFonts w:ascii="Times New Roman" w:hAnsi="Times New Roman"/>
          <w:b/>
        </w:rPr>
        <w:t>Average Burden Hour Cost</w:t>
      </w:r>
    </w:p>
    <w:p w:rsidR="008C4773" w:rsidRPr="009C6C5C" w:rsidP="00F57806" w14:paraId="1773D3D6" w14:textId="41849370">
      <w:pPr>
        <w:spacing w:after="240"/>
        <w:rPr>
          <w:rFonts w:ascii="Times New Roman" w:hAnsi="Times New Roman"/>
        </w:rPr>
      </w:pPr>
      <w:r w:rsidRPr="009C6C5C">
        <w:rPr>
          <w:rFonts w:ascii="Times New Roman" w:hAnsi="Times New Roman"/>
        </w:rPr>
        <w:t xml:space="preserve">For </w:t>
      </w:r>
      <w:r w:rsidRPr="009C6C5C" w:rsidR="00D35901">
        <w:rPr>
          <w:rFonts w:ascii="Times New Roman" w:hAnsi="Times New Roman"/>
        </w:rPr>
        <w:t>the information collections unrelated to</w:t>
      </w:r>
      <w:r w:rsidR="009A066E">
        <w:rPr>
          <w:rFonts w:ascii="Times New Roman" w:hAnsi="Times New Roman"/>
        </w:rPr>
        <w:t xml:space="preserve"> § 37.5</w:t>
      </w:r>
      <w:r w:rsidR="00854E6F">
        <w:rPr>
          <w:rFonts w:ascii="Times New Roman" w:hAnsi="Times New Roman"/>
        </w:rPr>
        <w:t>,</w:t>
      </w:r>
      <w:r w:rsidRPr="009C6C5C" w:rsidR="00D35901">
        <w:rPr>
          <w:rFonts w:ascii="Times New Roman" w:hAnsi="Times New Roman"/>
        </w:rPr>
        <w:t xml:space="preserve"> §</w:t>
      </w:r>
      <w:r w:rsidRPr="009C6C5C" w:rsidR="00B750D8">
        <w:rPr>
          <w:rFonts w:ascii="Times New Roman" w:hAnsi="Times New Roman"/>
        </w:rPr>
        <w:t xml:space="preserve"> </w:t>
      </w:r>
      <w:r w:rsidRPr="009C6C5C" w:rsidR="00D35901">
        <w:rPr>
          <w:rFonts w:ascii="Times New Roman" w:hAnsi="Times New Roman"/>
        </w:rPr>
        <w:t>37.6(b),</w:t>
      </w:r>
      <w:r w:rsidR="00A025B4">
        <w:rPr>
          <w:rFonts w:ascii="Times New Roman" w:hAnsi="Times New Roman"/>
        </w:rPr>
        <w:t xml:space="preserve"> and § 37.1401(e),</w:t>
      </w:r>
      <w:r w:rsidRPr="009C6C5C" w:rsidR="00D35901">
        <w:rPr>
          <w:rFonts w:ascii="Times New Roman" w:hAnsi="Times New Roman"/>
        </w:rPr>
        <w:t xml:space="preserve"> t</w:t>
      </w:r>
      <w:r w:rsidRPr="009C6C5C">
        <w:rPr>
          <w:rFonts w:ascii="Times New Roman" w:hAnsi="Times New Roman"/>
        </w:rPr>
        <w:t>he Commission calculates the average burden hour cost based on a blended hourly rate of $</w:t>
      </w:r>
      <w:r w:rsidRPr="009C6C5C" w:rsidR="00982498">
        <w:rPr>
          <w:rFonts w:ascii="Times New Roman" w:hAnsi="Times New Roman"/>
        </w:rPr>
        <w:t xml:space="preserve">74 </w:t>
      </w:r>
      <w:r w:rsidRPr="009C6C5C">
        <w:rPr>
          <w:rFonts w:ascii="Times New Roman" w:hAnsi="Times New Roman"/>
        </w:rPr>
        <w:t>(rounded) that consists of ¼ Financial Specialist’s wage</w:t>
      </w:r>
      <w:r w:rsidRPr="009C6C5C" w:rsidR="005B57B1">
        <w:rPr>
          <w:rFonts w:ascii="Times New Roman" w:hAnsi="Times New Roman"/>
        </w:rPr>
        <w:t xml:space="preserve"> (</w:t>
      </w:r>
      <w:r w:rsidRPr="009C6C5C" w:rsidR="00BF2D03">
        <w:rPr>
          <w:rFonts w:ascii="Times New Roman" w:hAnsi="Times New Roman"/>
        </w:rPr>
        <w:t>$64.11)</w:t>
      </w:r>
      <w:r w:rsidRPr="009C6C5C">
        <w:rPr>
          <w:rFonts w:ascii="Times New Roman" w:hAnsi="Times New Roman"/>
        </w:rPr>
        <w:t>, ¼</w:t>
      </w:r>
      <w:r w:rsidRPr="009C6C5C" w:rsidR="00B750D8">
        <w:rPr>
          <w:rFonts w:ascii="Times New Roman" w:hAnsi="Times New Roman"/>
        </w:rPr>
        <w:t xml:space="preserve"> </w:t>
      </w:r>
      <w:r w:rsidRPr="009C6C5C">
        <w:rPr>
          <w:rFonts w:ascii="Times New Roman" w:hAnsi="Times New Roman"/>
        </w:rPr>
        <w:t>Lawyer’s wage</w:t>
      </w:r>
      <w:r w:rsidRPr="009C6C5C" w:rsidR="00BF2D03">
        <w:rPr>
          <w:rFonts w:ascii="Times New Roman" w:hAnsi="Times New Roman"/>
        </w:rPr>
        <w:t xml:space="preserve"> </w:t>
      </w:r>
      <w:r w:rsidRPr="009C6C5C" w:rsidR="007231AB">
        <w:rPr>
          <w:rFonts w:ascii="Times New Roman" w:hAnsi="Times New Roman"/>
        </w:rPr>
        <w:t>($126.97)</w:t>
      </w:r>
      <w:r w:rsidRPr="009C6C5C">
        <w:rPr>
          <w:rFonts w:ascii="Times New Roman" w:hAnsi="Times New Roman"/>
        </w:rPr>
        <w:t>, ¼ Paralegal’s wage</w:t>
      </w:r>
      <w:r w:rsidRPr="009C6C5C" w:rsidR="005B7C0C">
        <w:rPr>
          <w:rFonts w:ascii="Times New Roman" w:hAnsi="Times New Roman"/>
        </w:rPr>
        <w:t xml:space="preserve"> ($47.74)</w:t>
      </w:r>
      <w:r w:rsidRPr="009C6C5C">
        <w:rPr>
          <w:rFonts w:ascii="Times New Roman" w:hAnsi="Times New Roman"/>
        </w:rPr>
        <w:t xml:space="preserve">, and ¼ Accountant’s wage </w:t>
      </w:r>
      <w:r w:rsidRPr="009C6C5C" w:rsidR="005B7C0C">
        <w:rPr>
          <w:rFonts w:ascii="Times New Roman" w:hAnsi="Times New Roman"/>
        </w:rPr>
        <w:t>(</w:t>
      </w:r>
      <w:r w:rsidRPr="009C6C5C" w:rsidR="00073511">
        <w:rPr>
          <w:rFonts w:ascii="Times New Roman" w:hAnsi="Times New Roman"/>
        </w:rPr>
        <w:t xml:space="preserve">$56.03) </w:t>
      </w:r>
      <w:r w:rsidRPr="009C6C5C">
        <w:rPr>
          <w:rFonts w:ascii="Times New Roman" w:hAnsi="Times New Roman"/>
        </w:rPr>
        <w:t>provided by the Department of Labor’s Bureau of Labor Statistics</w:t>
      </w:r>
      <w:r w:rsidR="003065F6">
        <w:rPr>
          <w:rFonts w:ascii="Times New Roman" w:hAnsi="Times New Roman"/>
        </w:rPr>
        <w:t>’</w:t>
      </w:r>
      <w:r w:rsidR="000E2274">
        <w:rPr>
          <w:rFonts w:ascii="Times New Roman" w:hAnsi="Times New Roman"/>
        </w:rPr>
        <w:t xml:space="preserve"> </w:t>
      </w:r>
      <w:r w:rsidRPr="009C6C5C" w:rsidR="000E2274">
        <w:rPr>
          <w:rFonts w:ascii="Times New Roman" w:hAnsi="Times New Roman"/>
        </w:rPr>
        <w:t>May 2023 National Occupational Employment and Wage Estimates, United States</w:t>
      </w:r>
      <w:r w:rsidRPr="009C6C5C">
        <w:rPr>
          <w:rFonts w:ascii="Times New Roman" w:hAnsi="Times New Roman"/>
        </w:rPr>
        <w:t xml:space="preserve">, </w:t>
      </w:r>
      <w:r w:rsidRPr="009C6C5C">
        <w:rPr>
          <w:rFonts w:ascii="Times New Roman" w:hAnsi="Times New Roman"/>
          <w:i/>
        </w:rPr>
        <w:t>available at</w:t>
      </w:r>
      <w:r w:rsidRPr="009C6C5C">
        <w:rPr>
          <w:rFonts w:ascii="Times New Roman" w:hAnsi="Times New Roman"/>
        </w:rPr>
        <w:t xml:space="preserve"> </w:t>
      </w:r>
      <w:hyperlink r:id="rId13" w:history="1">
        <w:r w:rsidRPr="009C6C5C">
          <w:rPr>
            <w:rStyle w:val="Hyperlink"/>
            <w:rFonts w:ascii="Times New Roman" w:hAnsi="Times New Roman"/>
          </w:rPr>
          <w:t>https://www.bls.gov/oes/current/naics4_523000.htm</w:t>
        </w:r>
      </w:hyperlink>
      <w:r w:rsidRPr="009C6C5C">
        <w:rPr>
          <w:rFonts w:ascii="Times New Roman" w:hAnsi="Times New Roman"/>
        </w:rPr>
        <w:t>.</w:t>
      </w:r>
    </w:p>
    <w:p w:rsidR="004F1F9F" w:rsidP="00F57806" w14:paraId="2123718C" w14:textId="64CA0889">
      <w:pPr>
        <w:spacing w:after="240"/>
        <w:rPr>
          <w:rFonts w:ascii="Times New Roman" w:hAnsi="Times New Roman"/>
        </w:rPr>
      </w:pPr>
      <w:r w:rsidRPr="009C6C5C">
        <w:rPr>
          <w:rFonts w:ascii="Times New Roman" w:hAnsi="Times New Roman"/>
        </w:rPr>
        <w:t>F</w:t>
      </w:r>
      <w:r w:rsidRPr="009C6C5C" w:rsidR="000C306C">
        <w:rPr>
          <w:rFonts w:ascii="Times New Roman" w:hAnsi="Times New Roman"/>
        </w:rPr>
        <w:t>or the information collection</w:t>
      </w:r>
      <w:r w:rsidR="002F7DA8">
        <w:rPr>
          <w:rFonts w:ascii="Times New Roman" w:hAnsi="Times New Roman"/>
        </w:rPr>
        <w:t>s</w:t>
      </w:r>
      <w:r w:rsidRPr="009C6C5C" w:rsidR="000C306C">
        <w:rPr>
          <w:rFonts w:ascii="Times New Roman" w:hAnsi="Times New Roman"/>
        </w:rPr>
        <w:t xml:space="preserve"> related to </w:t>
      </w:r>
      <w:r w:rsidRPr="009C6C5C" w:rsidR="00B750D8">
        <w:rPr>
          <w:rFonts w:ascii="Times New Roman" w:hAnsi="Times New Roman"/>
        </w:rPr>
        <w:t xml:space="preserve">the confirmation requirements under </w:t>
      </w:r>
      <w:r w:rsidRPr="009C6C5C" w:rsidR="000C306C">
        <w:rPr>
          <w:rFonts w:ascii="Times New Roman" w:hAnsi="Times New Roman"/>
        </w:rPr>
        <w:t>§</w:t>
      </w:r>
      <w:r w:rsidRPr="009C6C5C" w:rsidR="00B750D8">
        <w:rPr>
          <w:rFonts w:ascii="Times New Roman" w:hAnsi="Times New Roman"/>
        </w:rPr>
        <w:t xml:space="preserve"> </w:t>
      </w:r>
      <w:r w:rsidRPr="009C6C5C" w:rsidR="000C306C">
        <w:rPr>
          <w:rFonts w:ascii="Times New Roman" w:hAnsi="Times New Roman"/>
        </w:rPr>
        <w:t>37.6(b)</w:t>
      </w:r>
      <w:r w:rsidR="009A066E">
        <w:rPr>
          <w:rFonts w:ascii="Times New Roman" w:hAnsi="Times New Roman"/>
        </w:rPr>
        <w:t xml:space="preserve"> and </w:t>
      </w:r>
      <w:r w:rsidR="00E425DD">
        <w:rPr>
          <w:rFonts w:ascii="Times New Roman" w:hAnsi="Times New Roman"/>
        </w:rPr>
        <w:t>requests for i</w:t>
      </w:r>
      <w:r w:rsidRPr="00E425DD" w:rsidR="00E425DD">
        <w:rPr>
          <w:rFonts w:ascii="Times New Roman" w:hAnsi="Times New Roman"/>
        </w:rPr>
        <w:t>nformation relating to swap execution facility compliance</w:t>
      </w:r>
      <w:r w:rsidR="00E425DD">
        <w:rPr>
          <w:rFonts w:ascii="Times New Roman" w:hAnsi="Times New Roman"/>
        </w:rPr>
        <w:t xml:space="preserve"> under § 37.5</w:t>
      </w:r>
      <w:r w:rsidRPr="009C6C5C" w:rsidR="000C306C">
        <w:rPr>
          <w:rFonts w:ascii="Times New Roman" w:hAnsi="Times New Roman"/>
        </w:rPr>
        <w:t>,</w:t>
      </w:r>
      <w:r w:rsidRPr="009C6C5C" w:rsidR="005153B3">
        <w:rPr>
          <w:rFonts w:ascii="Times New Roman" w:hAnsi="Times New Roman"/>
        </w:rPr>
        <w:t xml:space="preserve"> </w:t>
      </w:r>
      <w:r w:rsidRPr="009C6C5C" w:rsidR="00D35901">
        <w:rPr>
          <w:rFonts w:ascii="Times New Roman" w:hAnsi="Times New Roman"/>
        </w:rPr>
        <w:t xml:space="preserve">the salary estimate </w:t>
      </w:r>
      <w:r w:rsidRPr="009C6C5C" w:rsidR="009C0AD5">
        <w:rPr>
          <w:rFonts w:ascii="Times New Roman" w:hAnsi="Times New Roman"/>
        </w:rPr>
        <w:t>of $</w:t>
      </w:r>
      <w:r w:rsidRPr="009C6C5C" w:rsidR="00F62C9E">
        <w:rPr>
          <w:rFonts w:ascii="Times New Roman" w:hAnsi="Times New Roman"/>
        </w:rPr>
        <w:t xml:space="preserve">90 </w:t>
      </w:r>
      <w:r w:rsidRPr="009C6C5C" w:rsidR="00D35901">
        <w:rPr>
          <w:rFonts w:ascii="Times New Roman" w:hAnsi="Times New Roman"/>
        </w:rPr>
        <w:t xml:space="preserve">is based upon May </w:t>
      </w:r>
      <w:r w:rsidRPr="009C6C5C" w:rsidR="00516E18">
        <w:rPr>
          <w:rFonts w:ascii="Times New Roman" w:hAnsi="Times New Roman"/>
        </w:rPr>
        <w:t>2023</w:t>
      </w:r>
      <w:r w:rsidRPr="009C6C5C" w:rsidR="00D35901">
        <w:rPr>
          <w:rFonts w:ascii="Times New Roman" w:hAnsi="Times New Roman"/>
        </w:rPr>
        <w:t xml:space="preserve"> National Occupational Employment and Wage Estimates, United States, including the mean hourly wage of an employee under occupation code 23-1011, “Lawyers,” that is employed by the “Securities, Commodity Contracts, and Other Financial Investments and Related Activities Industry,” which is $</w:t>
      </w:r>
      <w:r w:rsidRPr="009C6C5C" w:rsidR="00C44894">
        <w:rPr>
          <w:rFonts w:ascii="Times New Roman" w:hAnsi="Times New Roman"/>
        </w:rPr>
        <w:t>126</w:t>
      </w:r>
      <w:r w:rsidRPr="009C6C5C" w:rsidR="00D35901">
        <w:rPr>
          <w:rFonts w:ascii="Times New Roman" w:hAnsi="Times New Roman"/>
        </w:rPr>
        <w:t>.</w:t>
      </w:r>
      <w:r w:rsidRPr="009C6C5C" w:rsidR="00C44894">
        <w:rPr>
          <w:rFonts w:ascii="Times New Roman" w:hAnsi="Times New Roman"/>
        </w:rPr>
        <w:t>97</w:t>
      </w:r>
      <w:r w:rsidRPr="009C6C5C" w:rsidR="00D35901">
        <w:rPr>
          <w:rFonts w:ascii="Times New Roman" w:hAnsi="Times New Roman"/>
        </w:rPr>
        <w:t>; the mean hourly wage of an employee under occupation code 11-3031, “Financial Managers,” in the same industry, which is $</w:t>
      </w:r>
      <w:r w:rsidRPr="009C6C5C" w:rsidR="00546640">
        <w:rPr>
          <w:rFonts w:ascii="Times New Roman" w:hAnsi="Times New Roman"/>
        </w:rPr>
        <w:t>119</w:t>
      </w:r>
      <w:r w:rsidRPr="009C6C5C" w:rsidR="00BE2118">
        <w:rPr>
          <w:rFonts w:ascii="Times New Roman" w:hAnsi="Times New Roman"/>
        </w:rPr>
        <w:t>.84</w:t>
      </w:r>
      <w:r w:rsidRPr="009C6C5C" w:rsidR="00D35901">
        <w:rPr>
          <w:rFonts w:ascii="Times New Roman" w:hAnsi="Times New Roman"/>
        </w:rPr>
        <w:t>; and the mean hourly wage of an employee under occupation code-13-1041, “Compliance Officers” in the same industry, which is $</w:t>
      </w:r>
      <w:r w:rsidRPr="009C6C5C" w:rsidR="00BE2118">
        <w:rPr>
          <w:rFonts w:ascii="Times New Roman" w:hAnsi="Times New Roman"/>
        </w:rPr>
        <w:t>45.47</w:t>
      </w:r>
      <w:r w:rsidRPr="009C6C5C" w:rsidR="00D35901">
        <w:rPr>
          <w:rFonts w:ascii="Times New Roman" w:hAnsi="Times New Roman"/>
        </w:rPr>
        <w:t>.  The Commission also notes that it took the foregoing data and then increased its hourly wage estimate in recognition of the fact that some respondents may be large financial institutions whose employees’ salaries may exceed the mean wage.</w:t>
      </w:r>
    </w:p>
    <w:p w:rsidR="00A025B4" w:rsidRPr="009C6C5C" w:rsidP="00F57806" w14:paraId="7C4BD96D" w14:textId="6738CD3F">
      <w:pPr>
        <w:spacing w:after="240"/>
        <w:rPr>
          <w:rFonts w:ascii="Times New Roman" w:hAnsi="Times New Roman"/>
        </w:rPr>
      </w:pPr>
      <w:r>
        <w:rPr>
          <w:rFonts w:ascii="Times New Roman" w:hAnsi="Times New Roman"/>
        </w:rPr>
        <w:t xml:space="preserve">For the information collection </w:t>
      </w:r>
      <w:r w:rsidR="008A0B4C">
        <w:rPr>
          <w:rFonts w:ascii="Times New Roman" w:hAnsi="Times New Roman"/>
        </w:rPr>
        <w:t xml:space="preserve">related to </w:t>
      </w:r>
      <w:r w:rsidRPr="008A0B4C" w:rsidR="008A0B4C">
        <w:rPr>
          <w:rFonts w:ascii="Times New Roman" w:hAnsi="Times New Roman"/>
        </w:rPr>
        <w:t xml:space="preserve">Commission </w:t>
      </w:r>
      <w:r w:rsidR="008A0B4C">
        <w:rPr>
          <w:rFonts w:ascii="Times New Roman" w:hAnsi="Times New Roman"/>
        </w:rPr>
        <w:t>n</w:t>
      </w:r>
      <w:r w:rsidRPr="008A0B4C" w:rsidR="008A0B4C">
        <w:rPr>
          <w:rFonts w:ascii="Times New Roman" w:hAnsi="Times New Roman"/>
        </w:rPr>
        <w:t>otification of system malfunctions, cybersecurity incidents, and activations of Business Continuity-Disaster Recovery plans</w:t>
      </w:r>
      <w:r w:rsidR="008A0B4C">
        <w:rPr>
          <w:rFonts w:ascii="Times New Roman" w:hAnsi="Times New Roman"/>
        </w:rPr>
        <w:t xml:space="preserve"> by SEFs under </w:t>
      </w:r>
      <w:r w:rsidR="00D64A22">
        <w:rPr>
          <w:rFonts w:ascii="Times New Roman" w:hAnsi="Times New Roman"/>
        </w:rPr>
        <w:t xml:space="preserve">§ 37.1401(e), the salary estimate of </w:t>
      </w:r>
      <w:r w:rsidRPr="00D67D5F" w:rsidR="00D64A22">
        <w:rPr>
          <w:rFonts w:ascii="Times New Roman" w:hAnsi="Times New Roman"/>
        </w:rPr>
        <w:t>$</w:t>
      </w:r>
      <w:r w:rsidR="00C93F67">
        <w:rPr>
          <w:rFonts w:ascii="Times New Roman" w:hAnsi="Times New Roman"/>
        </w:rPr>
        <w:t>86</w:t>
      </w:r>
      <w:r w:rsidR="00D64A22">
        <w:rPr>
          <w:rFonts w:ascii="Times New Roman" w:hAnsi="Times New Roman"/>
        </w:rPr>
        <w:t xml:space="preserve"> </w:t>
      </w:r>
      <w:r w:rsidRPr="009C6C5C" w:rsidR="00D64A22">
        <w:rPr>
          <w:rFonts w:ascii="Times New Roman" w:hAnsi="Times New Roman"/>
        </w:rPr>
        <w:t xml:space="preserve">is based upon May 2023 National Occupational </w:t>
      </w:r>
      <w:r w:rsidRPr="009C6C5C" w:rsidR="00D64A22">
        <w:rPr>
          <w:rFonts w:ascii="Times New Roman" w:hAnsi="Times New Roman"/>
        </w:rPr>
        <w:t xml:space="preserve">Employment and Wage Estimates, United States, including the mean hourly wage of an employee under occupation code </w:t>
      </w:r>
      <w:r w:rsidRPr="007A51B2" w:rsidR="007A51B2">
        <w:rPr>
          <w:rFonts w:ascii="Times New Roman" w:hAnsi="Times New Roman"/>
        </w:rPr>
        <w:t>11-3021</w:t>
      </w:r>
      <w:r w:rsidRPr="009C6C5C" w:rsidR="00D64A22">
        <w:rPr>
          <w:rFonts w:ascii="Times New Roman" w:hAnsi="Times New Roman"/>
        </w:rPr>
        <w:t>, “</w:t>
      </w:r>
      <w:r w:rsidRPr="00110CEC" w:rsidR="00110CEC">
        <w:rPr>
          <w:rFonts w:ascii="Times New Roman" w:hAnsi="Times New Roman"/>
        </w:rPr>
        <w:t>Computer and Information Systems Managers</w:t>
      </w:r>
      <w:r w:rsidRPr="009C6C5C" w:rsidR="00D64A22">
        <w:rPr>
          <w:rFonts w:ascii="Times New Roman" w:hAnsi="Times New Roman"/>
        </w:rPr>
        <w:t xml:space="preserve">,” that is employed by the “Securities, Commodity Contracts, and Other Financial Investments and Related Activities Industry,” which is </w:t>
      </w:r>
      <w:r w:rsidRPr="00110CEC" w:rsidR="00110CEC">
        <w:rPr>
          <w:rFonts w:ascii="Times New Roman" w:hAnsi="Times New Roman"/>
        </w:rPr>
        <w:t>$ 86.88</w:t>
      </w:r>
      <w:r w:rsidRPr="009C6C5C" w:rsidR="00D64A22">
        <w:rPr>
          <w:rFonts w:ascii="Times New Roman" w:hAnsi="Times New Roman"/>
        </w:rPr>
        <w:t>; and the mean hourly wage of an employee under occupation code-13-1041, “Compliance Officers” in the same industry, which is $45.47.  The Commission also notes that it took the foregoing data and then increased its hourly wage estimate in recognition of the fact that some respondents may be large financial institutions whose employees’ salaries may exceed the mean wage.</w:t>
      </w:r>
    </w:p>
    <w:p w:rsidR="009B7DAD" w:rsidRPr="009C6C5C" w:rsidP="008B3B6D" w14:paraId="0E46F920" w14:textId="114E7AE1">
      <w:pPr>
        <w:spacing w:after="240"/>
        <w:rPr>
          <w:rFonts w:ascii="Times New Roman" w:hAnsi="Times New Roman"/>
          <w:b/>
          <w:sz w:val="16"/>
          <w:szCs w:val="16"/>
          <w:u w:val="single"/>
        </w:rPr>
      </w:pPr>
      <w:r w:rsidRPr="009C6C5C">
        <w:rPr>
          <w:rFonts w:ascii="Times New Roman" w:hAnsi="Times New Roman"/>
        </w:rPr>
        <w:t xml:space="preserve">In addition, the Commission recognizes that some respondents may hire outside counsel with expertise in the various regulatory areas covered by the </w:t>
      </w:r>
      <w:r w:rsidRPr="009C6C5C" w:rsidR="00222864">
        <w:rPr>
          <w:rFonts w:ascii="Times New Roman" w:hAnsi="Times New Roman"/>
        </w:rPr>
        <w:t xml:space="preserve">Part 37 </w:t>
      </w:r>
      <w:r w:rsidRPr="009C6C5C">
        <w:rPr>
          <w:rFonts w:ascii="Times New Roman" w:hAnsi="Times New Roman"/>
        </w:rPr>
        <w:t>regulation</w:t>
      </w:r>
      <w:r w:rsidRPr="009C6C5C" w:rsidR="00222864">
        <w:rPr>
          <w:rFonts w:ascii="Times New Roman" w:hAnsi="Times New Roman"/>
        </w:rPr>
        <w:t>s</w:t>
      </w:r>
      <w:r w:rsidRPr="009C6C5C">
        <w:rPr>
          <w:rFonts w:ascii="Times New Roman" w:hAnsi="Times New Roman"/>
        </w:rPr>
        <w:t xml:space="preserve">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r w:rsidRPr="009C6C5C">
        <w:rPr>
          <w:rFonts w:ascii="Times New Roman" w:hAnsi="Times New Roman"/>
          <w:b/>
          <w:sz w:val="16"/>
          <w:szCs w:val="16"/>
          <w:u w:val="single"/>
        </w:rPr>
        <w:br w:type="page"/>
      </w:r>
    </w:p>
    <w:p w:rsidR="008C4773" w:rsidRPr="009A7BD4" w:rsidP="008C4773" w14:paraId="7D9B607B" w14:textId="028EE991">
      <w:pPr>
        <w:keepNext/>
        <w:keepLines/>
        <w:jc w:val="center"/>
        <w:rPr>
          <w:rFonts w:ascii="Arial" w:hAnsi="Arial" w:cs="Arial"/>
          <w:b/>
          <w:sz w:val="16"/>
          <w:szCs w:val="16"/>
          <w:u w:val="single"/>
        </w:rPr>
      </w:pPr>
      <w:r w:rsidRPr="009A7BD4">
        <w:rPr>
          <w:rFonts w:ascii="Arial" w:hAnsi="Arial" w:cs="Arial"/>
          <w:b/>
          <w:sz w:val="16"/>
          <w:szCs w:val="16"/>
          <w:u w:val="single"/>
        </w:rPr>
        <w:t xml:space="preserve">Burdens: </w:t>
      </w:r>
      <w:r w:rsidR="00CD7026">
        <w:rPr>
          <w:rFonts w:ascii="Arial" w:hAnsi="Arial" w:cs="Arial"/>
          <w:b/>
          <w:sz w:val="16"/>
          <w:szCs w:val="16"/>
          <w:u w:val="single"/>
        </w:rPr>
        <w:t xml:space="preserve">Ongoing Reporting and Recordkeeping for </w:t>
      </w:r>
      <w:r w:rsidRPr="009A7BD4">
        <w:rPr>
          <w:rFonts w:ascii="Arial" w:hAnsi="Arial" w:cs="Arial"/>
          <w:b/>
          <w:sz w:val="16"/>
          <w:szCs w:val="16"/>
          <w:u w:val="single"/>
        </w:rPr>
        <w:t>Registered SEFs</w:t>
      </w:r>
    </w:p>
    <w:p w:rsidR="00F57806" w:rsidRPr="009A7BD4" w:rsidP="008C4773" w14:paraId="77F87207" w14:textId="77777777">
      <w:pPr>
        <w:keepNext/>
        <w:keepLines/>
        <w:jc w:val="center"/>
        <w:rPr>
          <w:rFonts w:ascii="Arial" w:hAnsi="Arial" w:cs="Arial"/>
          <w:b/>
          <w:sz w:val="16"/>
          <w:szCs w:val="16"/>
          <w:u w:val="single"/>
        </w:rPr>
      </w:pPr>
    </w:p>
    <w:p w:rsidR="008C4773" w:rsidRPr="009A7BD4" w:rsidP="009A7BD4" w14:paraId="4CD148F7" w14:textId="40408D59">
      <w:pPr>
        <w:keepNext/>
        <w:keepLines/>
        <w:spacing w:after="240"/>
        <w:jc w:val="center"/>
        <w:rPr>
          <w:rFonts w:ascii="Arial" w:hAnsi="Arial" w:cs="Arial"/>
          <w:b/>
          <w:sz w:val="16"/>
          <w:szCs w:val="16"/>
        </w:rPr>
      </w:pPr>
      <w:r w:rsidRPr="009A7BD4">
        <w:rPr>
          <w:rFonts w:ascii="Arial" w:hAnsi="Arial" w:cs="Arial"/>
          <w:b/>
          <w:sz w:val="16"/>
          <w:szCs w:val="16"/>
        </w:rPr>
        <w:t>Recordkeeping Burden Hours and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5"/>
        <w:gridCol w:w="1440"/>
        <w:gridCol w:w="1530"/>
        <w:gridCol w:w="1350"/>
        <w:gridCol w:w="1440"/>
        <w:gridCol w:w="1170"/>
        <w:gridCol w:w="1530"/>
        <w:gridCol w:w="1080"/>
        <w:gridCol w:w="1080"/>
        <w:gridCol w:w="1345"/>
      </w:tblGrid>
      <w:tr w14:paraId="3E49BA8F" w14:textId="77777777" w:rsidTr="002669B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13E9165B"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1.</w:t>
            </w:r>
          </w:p>
          <w:p w:rsidR="008C4773" w:rsidRPr="009A7BD4" w:rsidP="00462157" w14:paraId="700B66BD"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Regulation(s)</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C4773" w:rsidRPr="009A7BD4" w:rsidP="00462157" w14:paraId="00715E05"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2.</w:t>
            </w:r>
          </w:p>
          <w:p w:rsidR="008C4773" w:rsidRPr="009A7BD4" w:rsidP="00462157" w14:paraId="183094F3"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Estimated Number of Respondents </w:t>
            </w:r>
          </w:p>
          <w:p w:rsidR="008C4773" w:rsidRPr="009A7BD4" w:rsidP="00462157" w14:paraId="1ACEEB6C" w14:textId="77777777">
            <w:pPr>
              <w:tabs>
                <w:tab w:val="left" w:pos="-720"/>
                <w:tab w:val="left" w:pos="0"/>
              </w:tabs>
              <w:suppressAutoHyphens/>
              <w:jc w:val="center"/>
              <w:rPr>
                <w:rFonts w:ascii="Arial" w:hAnsi="Arial" w:cs="Arial"/>
                <w:b/>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0F2A559B"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3.</w:t>
            </w:r>
          </w:p>
          <w:p w:rsidR="008C4773" w:rsidRPr="009A7BD4" w:rsidP="00462157" w14:paraId="6622E273"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Number of Responses</w:t>
            </w:r>
          </w:p>
          <w:p w:rsidR="008C4773" w:rsidRPr="009A7BD4" w:rsidP="00462157" w14:paraId="635654BE"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by Each Respondent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01FDE208"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4.</w:t>
            </w:r>
          </w:p>
          <w:p w:rsidR="008C4773" w:rsidRPr="009A7BD4" w:rsidP="00462157" w14:paraId="03D4FAB1"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Number of Burden Hours per Response</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1CA20B1B"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5.</w:t>
            </w:r>
          </w:p>
          <w:p w:rsidR="008C4773" w:rsidRPr="009A7BD4" w:rsidP="00462157" w14:paraId="0F90DB20" w14:textId="3280B8FE">
            <w:pPr>
              <w:tabs>
                <w:tab w:val="left" w:pos="-720"/>
                <w:tab w:val="left" w:pos="0"/>
              </w:tabs>
              <w:suppressAutoHyphens/>
              <w:jc w:val="center"/>
              <w:rPr>
                <w:rFonts w:ascii="Arial" w:hAnsi="Arial" w:cs="Arial"/>
                <w:b/>
                <w:sz w:val="16"/>
                <w:szCs w:val="16"/>
              </w:rPr>
            </w:pPr>
            <w:r w:rsidRPr="009A7BD4">
              <w:rPr>
                <w:rFonts w:ascii="Arial" w:hAnsi="Arial" w:cs="Arial"/>
                <w:b/>
                <w:sz w:val="16"/>
                <w:szCs w:val="16"/>
              </w:rPr>
              <w:t>Annual Number of Burden Hours per Respondent</w:t>
            </w:r>
          </w:p>
          <w:p w:rsidR="008C4773" w:rsidRPr="009A7BD4" w:rsidP="00462157" w14:paraId="43331A6D" w14:textId="77777777">
            <w:pPr>
              <w:tabs>
                <w:tab w:val="left" w:pos="-720"/>
                <w:tab w:val="left" w:pos="0"/>
              </w:tabs>
              <w:suppressAutoHyphens/>
              <w:jc w:val="center"/>
              <w:rPr>
                <w:rFonts w:ascii="Arial" w:hAnsi="Arial" w:cs="Arial"/>
                <w:b/>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C4773" w:rsidRPr="009A7BD4" w:rsidP="00462157" w14:paraId="1A89A7D8"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6. </w:t>
            </w:r>
          </w:p>
          <w:p w:rsidR="008C4773" w:rsidRPr="009A7BD4" w:rsidP="00462157" w14:paraId="2DF8DC57"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Burden Hour Cost</w:t>
            </w:r>
          </w:p>
          <w:p w:rsidR="008C4773" w:rsidRPr="009A7BD4" w:rsidP="00462157" w14:paraId="3F29CB66" w14:textId="77777777">
            <w:pPr>
              <w:tabs>
                <w:tab w:val="left" w:pos="-720"/>
                <w:tab w:val="left" w:pos="0"/>
              </w:tabs>
              <w:suppressAutoHyphens/>
              <w:jc w:val="center"/>
              <w:rPr>
                <w:rFonts w:ascii="Arial" w:hAnsi="Arial" w:cs="Arial"/>
                <w:b/>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416CE112" w14:textId="77777777">
            <w:pPr>
              <w:jc w:val="center"/>
              <w:rPr>
                <w:rFonts w:ascii="Arial" w:hAnsi="Arial" w:cs="Arial"/>
                <w:b/>
                <w:sz w:val="16"/>
                <w:szCs w:val="16"/>
              </w:rPr>
            </w:pPr>
            <w:r w:rsidRPr="009A7BD4">
              <w:rPr>
                <w:rFonts w:ascii="Arial" w:hAnsi="Arial" w:cs="Arial"/>
                <w:b/>
                <w:sz w:val="16"/>
                <w:szCs w:val="16"/>
              </w:rPr>
              <w:t>7.</w:t>
            </w:r>
          </w:p>
          <w:p w:rsidR="008C4773" w:rsidRPr="009A7BD4" w:rsidP="00462157" w14:paraId="0903414A" w14:textId="77777777">
            <w:pPr>
              <w:jc w:val="center"/>
              <w:rPr>
                <w:rFonts w:ascii="Arial" w:hAnsi="Arial" w:cs="Arial"/>
                <w:b/>
                <w:sz w:val="16"/>
                <w:szCs w:val="16"/>
              </w:rPr>
            </w:pPr>
            <w:r w:rsidRPr="009A7BD4">
              <w:rPr>
                <w:rFonts w:ascii="Arial" w:hAnsi="Arial" w:cs="Arial"/>
                <w:b/>
                <w:sz w:val="16"/>
                <w:szCs w:val="16"/>
              </w:rPr>
              <w:t>Total Average Hour Burden Cost Per Respondent</w:t>
            </w:r>
          </w:p>
          <w:p w:rsidR="008C4773" w:rsidRPr="009A7BD4" w:rsidP="00462157" w14:paraId="5CEC6DE0" w14:textId="77777777">
            <w:pPr>
              <w:jc w:val="center"/>
              <w:rPr>
                <w:rFonts w:ascii="Arial" w:hAnsi="Arial" w:cs="Arial"/>
                <w:b/>
                <w:sz w:val="16"/>
                <w:szCs w:val="16"/>
              </w:rPr>
            </w:pPr>
            <w:r w:rsidRPr="009A7BD4">
              <w:rPr>
                <w:rFonts w:ascii="Arial" w:hAnsi="Arial" w:cs="Arial"/>
                <w:b/>
                <w:sz w:val="16"/>
                <w:szCs w:val="16"/>
              </w:rPr>
              <w:t>(5 x 6)</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75401AD7"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8.</w:t>
            </w:r>
          </w:p>
          <w:p w:rsidR="008C4773" w:rsidRPr="009A7BD4" w:rsidP="00462157" w14:paraId="37529C99"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w:t>
            </w:r>
          </w:p>
          <w:p w:rsidR="008C4773" w:rsidRPr="009A7BD4" w:rsidP="00462157" w14:paraId="774E6209"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Responses</w:t>
            </w:r>
          </w:p>
          <w:p w:rsidR="008C4773" w:rsidRPr="009A7BD4" w:rsidP="00462157" w14:paraId="1513E5EA"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(2 x 3)</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3767F230"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9.</w:t>
            </w:r>
          </w:p>
          <w:p w:rsidR="008C4773" w:rsidRPr="009A7BD4" w:rsidP="00462157" w14:paraId="29C2ED69" w14:textId="2F15D460">
            <w:pPr>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Number of Burden Hours</w:t>
            </w:r>
          </w:p>
          <w:p w:rsidR="008C4773" w:rsidRPr="009A7BD4" w:rsidP="00462157" w14:paraId="361AA40C"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(2 x 5)</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37141E1A"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10.</w:t>
            </w:r>
          </w:p>
          <w:p w:rsidR="008C4773" w:rsidRPr="009A7BD4" w:rsidP="00462157" w14:paraId="19D398B3"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Burden Hour Cost of All Responses</w:t>
            </w:r>
          </w:p>
          <w:p w:rsidR="008C4773" w:rsidP="00462157" w14:paraId="7E12D3CC"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(2 x 7)</w:t>
            </w:r>
          </w:p>
          <w:p w:rsidR="009A7BD4" w:rsidRPr="009A7BD4" w:rsidP="00462157" w14:paraId="6595C8EB" w14:textId="77777777">
            <w:pPr>
              <w:tabs>
                <w:tab w:val="left" w:pos="-720"/>
                <w:tab w:val="left" w:pos="0"/>
              </w:tabs>
              <w:suppressAutoHyphens/>
              <w:jc w:val="center"/>
              <w:rPr>
                <w:rFonts w:ascii="Arial" w:hAnsi="Arial" w:cs="Arial"/>
                <w:b/>
                <w:sz w:val="16"/>
                <w:szCs w:val="16"/>
              </w:rPr>
            </w:pPr>
          </w:p>
        </w:tc>
      </w:tr>
      <w:tr w14:paraId="6CCDF2E8" w14:textId="77777777" w:rsidTr="002669B8">
        <w:tblPrEx>
          <w:tblW w:w="0" w:type="auto"/>
          <w:tblLook w:val="04A0"/>
        </w:tblPrEx>
        <w:tc>
          <w:tcPr>
            <w:tcW w:w="2425"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2D86DBF6" w14:textId="77777777">
            <w:pPr>
              <w:tabs>
                <w:tab w:val="left" w:pos="-720"/>
              </w:tabs>
              <w:suppressAutoHyphens/>
              <w:rPr>
                <w:rFonts w:ascii="Arial" w:hAnsi="Arial" w:cs="Arial"/>
                <w:b/>
                <w:sz w:val="16"/>
                <w:szCs w:val="16"/>
              </w:rPr>
            </w:pPr>
            <w:r w:rsidRPr="009A7BD4">
              <w:rPr>
                <w:rFonts w:ascii="Arial" w:hAnsi="Arial" w:cs="Arial"/>
                <w:b/>
                <w:sz w:val="16"/>
                <w:szCs w:val="16"/>
              </w:rPr>
              <w:t>Regulatory &amp; Core Principle Compliance</w:t>
            </w:r>
          </w:p>
          <w:p w:rsidR="008C4773" w:rsidRPr="009A7BD4" w:rsidP="00A251B5" w14:paraId="29B1484E" w14:textId="6583067B">
            <w:pPr>
              <w:tabs>
                <w:tab w:val="left" w:pos="-720"/>
                <w:tab w:val="left" w:pos="0"/>
              </w:tabs>
              <w:suppressAutoHyphens/>
              <w:rPr>
                <w:rFonts w:ascii="Arial" w:hAnsi="Arial" w:cs="Arial"/>
                <w:b/>
                <w:sz w:val="16"/>
                <w:szCs w:val="16"/>
              </w:rPr>
            </w:pPr>
            <w:r w:rsidRPr="009A7BD4">
              <w:rPr>
                <w:rFonts w:ascii="Arial" w:hAnsi="Arial" w:cs="Arial"/>
                <w:b/>
                <w:sz w:val="16"/>
                <w:szCs w:val="16"/>
              </w:rPr>
              <w:t>Part 37 (Subparts A-P) and related Appendices</w:t>
            </w:r>
          </w:p>
        </w:tc>
        <w:tc>
          <w:tcPr>
            <w:tcW w:w="144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6D18626C" w14:textId="77777777">
            <w:pPr>
              <w:tabs>
                <w:tab w:val="left" w:pos="-720"/>
                <w:tab w:val="left" w:pos="0"/>
              </w:tabs>
              <w:suppressAutoHyphens/>
              <w:spacing w:before="240"/>
              <w:jc w:val="center"/>
              <w:rPr>
                <w:rFonts w:ascii="Arial" w:hAnsi="Arial" w:cs="Arial"/>
                <w:b/>
                <w:sz w:val="16"/>
                <w:szCs w:val="16"/>
              </w:rPr>
            </w:pPr>
            <w:r w:rsidRPr="009A7BD4">
              <w:rPr>
                <w:rFonts w:ascii="Arial" w:hAnsi="Arial" w:cs="Arial"/>
                <w:b/>
                <w:sz w:val="16"/>
                <w:szCs w:val="16"/>
              </w:rPr>
              <w:t>20</w:t>
            </w:r>
          </w:p>
        </w:tc>
        <w:tc>
          <w:tcPr>
            <w:tcW w:w="153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1005814D" w14:textId="6876405B">
            <w:pPr>
              <w:tabs>
                <w:tab w:val="left" w:pos="-720"/>
              </w:tabs>
              <w:suppressAutoHyphens/>
              <w:spacing w:before="240"/>
              <w:jc w:val="center"/>
              <w:rPr>
                <w:rFonts w:ascii="Arial" w:hAnsi="Arial" w:cs="Arial"/>
                <w:b/>
                <w:sz w:val="16"/>
                <w:szCs w:val="16"/>
              </w:rPr>
            </w:pPr>
            <w:r w:rsidRPr="009A7BD4">
              <w:rPr>
                <w:rFonts w:ascii="Arial" w:hAnsi="Arial" w:cs="Arial"/>
                <w:b/>
                <w:sz w:val="16"/>
                <w:szCs w:val="16"/>
              </w:rPr>
              <w:t>25</w:t>
            </w:r>
            <w:r w:rsidR="000D1677">
              <w:rPr>
                <w:rFonts w:ascii="Arial" w:hAnsi="Arial" w:cs="Arial"/>
                <w:b/>
                <w:sz w:val="16"/>
                <w:szCs w:val="16"/>
              </w:rPr>
              <w:t>0</w:t>
            </w:r>
            <w:r w:rsidRPr="009A7BD4">
              <w:rPr>
                <w:rFonts w:ascii="Arial" w:hAnsi="Arial" w:cs="Arial"/>
                <w:b/>
                <w:sz w:val="16"/>
                <w:szCs w:val="16"/>
              </w:rPr>
              <w:t xml:space="preserve"> (</w:t>
            </w:r>
            <w:r w:rsidRPr="009A7BD4">
              <w:rPr>
                <w:rFonts w:ascii="Arial" w:hAnsi="Arial" w:cs="Arial"/>
                <w:b/>
                <w:i/>
                <w:sz w:val="16"/>
                <w:szCs w:val="16"/>
              </w:rPr>
              <w:t>i.e.</w:t>
            </w:r>
            <w:r w:rsidRPr="009A7BD4">
              <w:rPr>
                <w:rFonts w:ascii="Arial" w:hAnsi="Arial" w:cs="Arial"/>
                <w:b/>
                <w:sz w:val="16"/>
                <w:szCs w:val="16"/>
              </w:rPr>
              <w:t>, each trade day)</w:t>
            </w:r>
            <w:r>
              <w:rPr>
                <w:rStyle w:val="FootnoteReference"/>
                <w:rFonts w:ascii="Arial" w:hAnsi="Arial" w:cs="Arial"/>
                <w:b/>
                <w:sz w:val="16"/>
                <w:szCs w:val="16"/>
              </w:rPr>
              <w:footnoteReference w:id="4"/>
            </w:r>
          </w:p>
        </w:tc>
        <w:tc>
          <w:tcPr>
            <w:tcW w:w="135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72FBF7BE" w14:textId="1B8FD6AD">
            <w:pPr>
              <w:tabs>
                <w:tab w:val="left" w:pos="-720"/>
                <w:tab w:val="left" w:pos="0"/>
              </w:tabs>
              <w:suppressAutoHyphens/>
              <w:spacing w:before="240"/>
              <w:jc w:val="center"/>
              <w:rPr>
                <w:rFonts w:ascii="Arial" w:hAnsi="Arial" w:cs="Arial"/>
                <w:b/>
                <w:sz w:val="16"/>
                <w:szCs w:val="16"/>
              </w:rPr>
            </w:pPr>
            <w:r w:rsidRPr="009A7BD4">
              <w:rPr>
                <w:rFonts w:ascii="Arial" w:hAnsi="Arial" w:cs="Arial"/>
                <w:b/>
                <w:sz w:val="16"/>
                <w:szCs w:val="16"/>
              </w:rPr>
              <w:t>1.14</w:t>
            </w:r>
            <w:r w:rsidR="0099399E">
              <w:rPr>
                <w:rFonts w:ascii="Arial" w:hAnsi="Arial" w:cs="Arial"/>
                <w:b/>
                <w:sz w:val="16"/>
                <w:szCs w:val="16"/>
              </w:rPr>
              <w:t>8</w:t>
            </w:r>
            <w:r>
              <w:rPr>
                <w:rStyle w:val="FootnoteReference"/>
                <w:rFonts w:ascii="Arial" w:hAnsi="Arial" w:cs="Arial"/>
                <w:b/>
                <w:sz w:val="16"/>
                <w:szCs w:val="16"/>
              </w:rPr>
              <w:footnoteReference w:id="5"/>
            </w:r>
          </w:p>
        </w:tc>
        <w:tc>
          <w:tcPr>
            <w:tcW w:w="144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375AC619" w14:textId="71F94821">
            <w:pPr>
              <w:tabs>
                <w:tab w:val="left" w:pos="-720"/>
                <w:tab w:val="left" w:pos="0"/>
              </w:tabs>
              <w:suppressAutoHyphens/>
              <w:spacing w:before="240"/>
              <w:jc w:val="center"/>
              <w:rPr>
                <w:rFonts w:ascii="Arial" w:hAnsi="Arial" w:cs="Arial"/>
                <w:b/>
                <w:sz w:val="16"/>
                <w:szCs w:val="16"/>
              </w:rPr>
            </w:pPr>
            <w:r w:rsidRPr="009A7BD4">
              <w:rPr>
                <w:rFonts w:ascii="Arial" w:hAnsi="Arial" w:cs="Arial"/>
                <w:b/>
                <w:sz w:val="16"/>
                <w:szCs w:val="16"/>
              </w:rPr>
              <w:t>287</w:t>
            </w:r>
          </w:p>
        </w:tc>
        <w:tc>
          <w:tcPr>
            <w:tcW w:w="117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181321C0" w14:textId="035150C4">
            <w:pPr>
              <w:tabs>
                <w:tab w:val="left" w:pos="-720"/>
                <w:tab w:val="left" w:pos="0"/>
              </w:tabs>
              <w:suppressAutoHyphens/>
              <w:spacing w:before="240"/>
              <w:jc w:val="center"/>
              <w:rPr>
                <w:rFonts w:ascii="Arial" w:hAnsi="Arial" w:cs="Arial"/>
                <w:b/>
                <w:sz w:val="16"/>
                <w:szCs w:val="16"/>
              </w:rPr>
            </w:pPr>
            <w:r w:rsidRPr="009A7BD4">
              <w:rPr>
                <w:rFonts w:ascii="Arial" w:hAnsi="Arial" w:cs="Arial"/>
                <w:b/>
                <w:sz w:val="16"/>
                <w:szCs w:val="16"/>
              </w:rPr>
              <w:t>$</w:t>
            </w:r>
            <w:r w:rsidR="00982498">
              <w:rPr>
                <w:rFonts w:ascii="Arial" w:hAnsi="Arial" w:cs="Arial"/>
                <w:b/>
                <w:sz w:val="16"/>
                <w:szCs w:val="16"/>
              </w:rPr>
              <w:t>74</w:t>
            </w:r>
          </w:p>
        </w:tc>
        <w:tc>
          <w:tcPr>
            <w:tcW w:w="153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477E353B" w14:textId="1DDA43C7">
            <w:pPr>
              <w:spacing w:before="240"/>
              <w:jc w:val="center"/>
              <w:rPr>
                <w:rFonts w:ascii="Arial" w:hAnsi="Arial" w:cs="Arial"/>
                <w:b/>
                <w:sz w:val="16"/>
                <w:szCs w:val="16"/>
              </w:rPr>
            </w:pPr>
            <w:r w:rsidRPr="009A7BD4">
              <w:rPr>
                <w:rFonts w:ascii="Arial" w:hAnsi="Arial" w:cs="Arial"/>
                <w:b/>
                <w:sz w:val="16"/>
                <w:szCs w:val="16"/>
              </w:rPr>
              <w:t>$</w:t>
            </w:r>
            <w:r w:rsidRPr="005548EA" w:rsidR="005548EA">
              <w:rPr>
                <w:rFonts w:ascii="Arial" w:hAnsi="Arial" w:cs="Arial"/>
                <w:b/>
                <w:sz w:val="16"/>
                <w:szCs w:val="16"/>
              </w:rPr>
              <w:t>21</w:t>
            </w:r>
            <w:r w:rsidR="005548EA">
              <w:rPr>
                <w:rFonts w:ascii="Arial" w:hAnsi="Arial" w:cs="Arial"/>
                <w:b/>
                <w:sz w:val="16"/>
                <w:szCs w:val="16"/>
              </w:rPr>
              <w:t>,</w:t>
            </w:r>
            <w:r w:rsidRPr="005548EA" w:rsidR="005548EA">
              <w:rPr>
                <w:rFonts w:ascii="Arial" w:hAnsi="Arial" w:cs="Arial"/>
                <w:b/>
                <w:sz w:val="16"/>
                <w:szCs w:val="16"/>
              </w:rPr>
              <w:t>238</w:t>
            </w:r>
          </w:p>
        </w:tc>
        <w:tc>
          <w:tcPr>
            <w:tcW w:w="108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06ECBCC8" w14:textId="782B68BC">
            <w:pPr>
              <w:tabs>
                <w:tab w:val="left" w:pos="-720"/>
                <w:tab w:val="left" w:pos="0"/>
              </w:tabs>
              <w:suppressAutoHyphens/>
              <w:spacing w:before="240"/>
              <w:jc w:val="center"/>
              <w:rPr>
                <w:rFonts w:ascii="Arial" w:hAnsi="Arial" w:cs="Arial"/>
                <w:b/>
                <w:sz w:val="16"/>
                <w:szCs w:val="16"/>
              </w:rPr>
            </w:pPr>
            <w:r w:rsidRPr="009A7BD4">
              <w:rPr>
                <w:rFonts w:ascii="Arial" w:hAnsi="Arial" w:cs="Arial"/>
                <w:b/>
                <w:sz w:val="16"/>
                <w:szCs w:val="16"/>
              </w:rPr>
              <w:t>5,0</w:t>
            </w:r>
            <w:r w:rsidR="00BF2E26">
              <w:rPr>
                <w:rFonts w:ascii="Arial" w:hAnsi="Arial" w:cs="Arial"/>
                <w:b/>
                <w:sz w:val="16"/>
                <w:szCs w:val="16"/>
              </w:rPr>
              <w:t>0</w:t>
            </w:r>
            <w:r w:rsidRPr="009A7BD4">
              <w:rPr>
                <w:rFonts w:ascii="Arial" w:hAnsi="Arial" w:cs="Arial"/>
                <w:b/>
                <w:sz w:val="16"/>
                <w:szCs w:val="16"/>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4C6F435F" w14:textId="77777777">
            <w:pPr>
              <w:tabs>
                <w:tab w:val="left" w:pos="-720"/>
                <w:tab w:val="left" w:pos="0"/>
              </w:tabs>
              <w:suppressAutoHyphens/>
              <w:spacing w:before="240"/>
              <w:jc w:val="center"/>
              <w:rPr>
                <w:rFonts w:ascii="Arial" w:hAnsi="Arial" w:cs="Arial"/>
                <w:b/>
                <w:sz w:val="16"/>
                <w:szCs w:val="16"/>
              </w:rPr>
            </w:pPr>
            <w:r w:rsidRPr="009A7BD4">
              <w:rPr>
                <w:rFonts w:ascii="Arial" w:hAnsi="Arial" w:cs="Arial"/>
                <w:b/>
                <w:sz w:val="16"/>
                <w:szCs w:val="16"/>
              </w:rPr>
              <w:t>5,740</w:t>
            </w:r>
          </w:p>
        </w:tc>
        <w:tc>
          <w:tcPr>
            <w:tcW w:w="1345" w:type="dxa"/>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2112E452" w14:textId="625773B9">
            <w:pPr>
              <w:tabs>
                <w:tab w:val="left" w:pos="-720"/>
                <w:tab w:val="left" w:pos="0"/>
              </w:tabs>
              <w:suppressAutoHyphens/>
              <w:spacing w:before="240"/>
              <w:jc w:val="center"/>
              <w:rPr>
                <w:rFonts w:ascii="Arial" w:hAnsi="Arial" w:cs="Arial"/>
                <w:b/>
                <w:sz w:val="16"/>
                <w:szCs w:val="16"/>
              </w:rPr>
            </w:pPr>
            <w:r w:rsidRPr="009A7BD4">
              <w:rPr>
                <w:rFonts w:ascii="Arial" w:hAnsi="Arial" w:cs="Arial"/>
                <w:b/>
                <w:sz w:val="16"/>
                <w:szCs w:val="16"/>
              </w:rPr>
              <w:t>$</w:t>
            </w:r>
            <w:r w:rsidR="0056424C">
              <w:rPr>
                <w:rFonts w:ascii="Arial" w:hAnsi="Arial" w:cs="Arial"/>
                <w:b/>
                <w:sz w:val="16"/>
                <w:szCs w:val="16"/>
              </w:rPr>
              <w:t>424,760</w:t>
            </w:r>
          </w:p>
        </w:tc>
      </w:tr>
    </w:tbl>
    <w:p w:rsidR="008C4773" w:rsidRPr="009A7BD4" w:rsidP="00CE2637" w14:paraId="1628C840" w14:textId="77777777">
      <w:pPr>
        <w:keepNext/>
        <w:keepLines/>
        <w:spacing w:before="240" w:after="240"/>
        <w:jc w:val="center"/>
        <w:rPr>
          <w:rFonts w:ascii="Arial" w:hAnsi="Arial" w:cs="Arial"/>
          <w:b/>
          <w:sz w:val="16"/>
          <w:szCs w:val="16"/>
        </w:rPr>
      </w:pPr>
      <w:r w:rsidRPr="009A7BD4">
        <w:rPr>
          <w:rFonts w:ascii="Arial" w:hAnsi="Arial" w:cs="Arial"/>
          <w:b/>
          <w:sz w:val="16"/>
          <w:szCs w:val="16"/>
        </w:rPr>
        <w:t>Reporting Burden Hours and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4"/>
        <w:gridCol w:w="1411"/>
        <w:gridCol w:w="1492"/>
        <w:gridCol w:w="1389"/>
        <w:gridCol w:w="1451"/>
        <w:gridCol w:w="1210"/>
        <w:gridCol w:w="1450"/>
        <w:gridCol w:w="1083"/>
        <w:gridCol w:w="1075"/>
        <w:gridCol w:w="1385"/>
      </w:tblGrid>
      <w:tr w14:paraId="73EB0B6A" w14:textId="77777777" w:rsidTr="009A7BD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3596FCD8"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1.</w:t>
            </w:r>
          </w:p>
          <w:p w:rsidR="008C4773" w:rsidRPr="009A7BD4" w:rsidP="00462157" w14:paraId="7C6EA9C8"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Regulation(s)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C4773" w:rsidRPr="009A7BD4" w:rsidP="00462157" w14:paraId="3C744A27"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w:t>
            </w:r>
          </w:p>
          <w:p w:rsidR="008C4773" w:rsidRPr="009A7BD4" w:rsidP="00462157" w14:paraId="544D949B"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Estimated Number of Respondents </w:t>
            </w:r>
          </w:p>
          <w:p w:rsidR="008C4773" w:rsidRPr="009A7BD4" w:rsidP="00462157" w14:paraId="3F4AE15D" w14:textId="77777777">
            <w:pPr>
              <w:keepNext/>
              <w:keepLines/>
              <w:tabs>
                <w:tab w:val="left" w:pos="-720"/>
                <w:tab w:val="left" w:pos="0"/>
              </w:tabs>
              <w:suppressAutoHyphens/>
              <w:jc w:val="center"/>
              <w:rPr>
                <w:rFonts w:ascii="Arial" w:hAnsi="Arial" w:cs="Arial"/>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36B48B92"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3.</w:t>
            </w:r>
          </w:p>
          <w:p w:rsidR="008C4773" w:rsidRPr="009A7BD4" w:rsidP="00462157" w14:paraId="475B3143"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Number of Responses by Each Respondent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107DAD49"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4.</w:t>
            </w:r>
          </w:p>
          <w:p w:rsidR="008C4773" w:rsidRPr="009A7BD4" w:rsidP="00462157" w14:paraId="406D8A1C"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Number of Burden Hours per Response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45581DAD"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5.</w:t>
            </w:r>
          </w:p>
          <w:p w:rsidR="008C4773" w:rsidRPr="009A7BD4" w:rsidP="00462157" w14:paraId="607756F4" w14:textId="1A901530">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Annual Number of Burden Hours per Respondent</w:t>
            </w:r>
          </w:p>
          <w:p w:rsidR="008C4773" w:rsidRPr="009A7BD4" w:rsidP="00462157" w14:paraId="5D4FB810"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(3 x 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C4773" w:rsidRPr="009A7BD4" w:rsidP="00462157" w14:paraId="56552D74"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6. </w:t>
            </w:r>
          </w:p>
          <w:p w:rsidR="008C4773" w:rsidRPr="009A7BD4" w:rsidP="00462157" w14:paraId="1CBDADB5"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Burden Hour Cost</w:t>
            </w:r>
          </w:p>
          <w:p w:rsidR="008C4773" w:rsidRPr="009A7BD4" w:rsidP="00462157" w14:paraId="33BDC82E" w14:textId="77777777">
            <w:pPr>
              <w:keepNext/>
              <w:keepLines/>
              <w:tabs>
                <w:tab w:val="left" w:pos="-720"/>
                <w:tab w:val="left" w:pos="0"/>
              </w:tabs>
              <w:suppressAutoHyphens/>
              <w:jc w:val="center"/>
              <w:rPr>
                <w:rFonts w:ascii="Arial" w:hAnsi="Arial" w:cs="Arial"/>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12B554DF" w14:textId="77777777">
            <w:pPr>
              <w:keepNext/>
              <w:keepLines/>
              <w:jc w:val="center"/>
              <w:rPr>
                <w:rFonts w:ascii="Arial" w:hAnsi="Arial" w:cs="Arial"/>
                <w:b/>
                <w:sz w:val="16"/>
                <w:szCs w:val="16"/>
              </w:rPr>
            </w:pPr>
            <w:r w:rsidRPr="009A7BD4">
              <w:rPr>
                <w:rFonts w:ascii="Arial" w:hAnsi="Arial" w:cs="Arial"/>
                <w:b/>
                <w:sz w:val="16"/>
                <w:szCs w:val="16"/>
              </w:rPr>
              <w:t>7.</w:t>
            </w:r>
          </w:p>
          <w:p w:rsidR="008C4773" w:rsidRPr="009A7BD4" w:rsidP="00462157" w14:paraId="51859F6A" w14:textId="77777777">
            <w:pPr>
              <w:keepNext/>
              <w:keepLines/>
              <w:jc w:val="center"/>
              <w:rPr>
                <w:rFonts w:ascii="Arial" w:hAnsi="Arial" w:cs="Arial"/>
                <w:b/>
                <w:sz w:val="16"/>
                <w:szCs w:val="16"/>
              </w:rPr>
            </w:pPr>
            <w:r w:rsidRPr="009A7BD4">
              <w:rPr>
                <w:rFonts w:ascii="Arial" w:hAnsi="Arial" w:cs="Arial"/>
                <w:b/>
                <w:sz w:val="16"/>
                <w:szCs w:val="16"/>
              </w:rPr>
              <w:t>Total Average Hour Burden Cost Per Respondent</w:t>
            </w:r>
          </w:p>
          <w:p w:rsidR="008C4773" w:rsidRPr="009A7BD4" w:rsidP="00462157" w14:paraId="0E418C63" w14:textId="77777777">
            <w:pPr>
              <w:keepNext/>
              <w:keepLines/>
              <w:jc w:val="center"/>
              <w:rPr>
                <w:rFonts w:ascii="Arial" w:hAnsi="Arial" w:cs="Arial"/>
                <w:b/>
                <w:sz w:val="16"/>
                <w:szCs w:val="16"/>
              </w:rPr>
            </w:pPr>
            <w:r w:rsidRPr="009A7BD4">
              <w:rPr>
                <w:rFonts w:ascii="Arial" w:hAnsi="Arial" w:cs="Arial"/>
                <w:b/>
                <w:sz w:val="16"/>
                <w:szCs w:val="16"/>
              </w:rPr>
              <w:t>(5 x 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03B37481"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8.</w:t>
            </w:r>
          </w:p>
          <w:p w:rsidR="008C4773" w:rsidRPr="009A7BD4" w:rsidP="00462157" w14:paraId="168937BB"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w:t>
            </w:r>
          </w:p>
          <w:p w:rsidR="008C4773" w:rsidRPr="009A7BD4" w:rsidP="00462157" w14:paraId="292BC39F"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Responses</w:t>
            </w:r>
          </w:p>
          <w:p w:rsidR="008C4773" w:rsidRPr="009A7BD4" w:rsidP="00462157" w14:paraId="0EFC7791"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 x 3)</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0683B020"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9.</w:t>
            </w:r>
          </w:p>
          <w:p w:rsidR="008C4773" w:rsidRPr="009A7BD4" w:rsidP="00462157" w14:paraId="050862D1" w14:textId="7A5BFD6E">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Number of Burden Hours</w:t>
            </w:r>
          </w:p>
          <w:p w:rsidR="008C4773" w:rsidP="00462157" w14:paraId="4F4FC0BA"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 x 5)</w:t>
            </w:r>
          </w:p>
          <w:p w:rsidR="009A7BD4" w:rsidRPr="009A7BD4" w:rsidP="00462157" w14:paraId="2DC39F54" w14:textId="77777777">
            <w:pPr>
              <w:keepNext/>
              <w:keepLines/>
              <w:tabs>
                <w:tab w:val="left" w:pos="-720"/>
                <w:tab w:val="left" w:pos="0"/>
              </w:tabs>
              <w:suppressAutoHyphens/>
              <w:jc w:val="center"/>
              <w:rPr>
                <w:rFonts w:ascii="Arial" w:hAnsi="Arial" w:cs="Arial"/>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44C42438"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10.</w:t>
            </w:r>
          </w:p>
          <w:p w:rsidR="008C4773" w:rsidRPr="009A7BD4" w:rsidP="00462157" w14:paraId="33AE55DB"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Burden Hour Cost of All Responses</w:t>
            </w:r>
          </w:p>
          <w:p w:rsidR="008C4773" w:rsidRPr="009A7BD4" w:rsidP="00462157" w14:paraId="42208069"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 x 7)</w:t>
            </w:r>
          </w:p>
        </w:tc>
      </w:tr>
      <w:tr w14:paraId="58F974B0" w14:textId="77777777" w:rsidTr="00A251B5">
        <w:tblPrEx>
          <w:tblW w:w="0" w:type="auto"/>
          <w:tblLook w:val="04A0"/>
        </w:tblPrEx>
        <w:trPr>
          <w:trHeight w:val="620"/>
        </w:trPr>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2212A1BD" w14:textId="2F12F449">
            <w:pPr>
              <w:tabs>
                <w:tab w:val="left" w:pos="-720"/>
              </w:tabs>
              <w:suppressAutoHyphens/>
              <w:rPr>
                <w:rFonts w:ascii="Arial" w:hAnsi="Arial" w:cs="Arial"/>
                <w:b/>
                <w:sz w:val="16"/>
                <w:szCs w:val="16"/>
              </w:rPr>
            </w:pPr>
            <w:r w:rsidRPr="008756EE">
              <w:rPr>
                <w:rFonts w:ascii="Arial" w:hAnsi="Arial" w:cs="Arial"/>
                <w:b/>
                <w:sz w:val="16"/>
                <w:szCs w:val="16"/>
              </w:rPr>
              <w:t>§ 37.5</w:t>
            </w:r>
            <w:r w:rsidR="003C078A">
              <w:rPr>
                <w:rFonts w:ascii="Arial" w:hAnsi="Arial" w:cs="Arial"/>
                <w:b/>
                <w:sz w:val="16"/>
                <w:szCs w:val="16"/>
              </w:rPr>
              <w:t xml:space="preserve"> </w:t>
            </w:r>
            <w:r w:rsidR="00917891">
              <w:rPr>
                <w:rFonts w:ascii="Arial" w:hAnsi="Arial" w:cs="Arial"/>
                <w:b/>
                <w:sz w:val="16"/>
                <w:szCs w:val="16"/>
              </w:rPr>
              <w:t>(</w:t>
            </w:r>
            <w:r w:rsidR="00000F39">
              <w:rPr>
                <w:rFonts w:ascii="Arial" w:hAnsi="Arial" w:cs="Arial"/>
                <w:b/>
                <w:sz w:val="16"/>
                <w:szCs w:val="16"/>
              </w:rPr>
              <w:t>I</w:t>
            </w:r>
            <w:r w:rsidRPr="008756EE" w:rsidR="00210E71">
              <w:rPr>
                <w:rFonts w:ascii="Arial" w:hAnsi="Arial" w:cs="Arial"/>
                <w:b/>
                <w:sz w:val="16"/>
                <w:szCs w:val="16"/>
              </w:rPr>
              <w:t xml:space="preserve">nformation </w:t>
            </w:r>
            <w:r w:rsidR="00E76FCC">
              <w:rPr>
                <w:rFonts w:ascii="Arial" w:hAnsi="Arial" w:cs="Arial"/>
                <w:b/>
                <w:sz w:val="16"/>
                <w:szCs w:val="16"/>
              </w:rPr>
              <w:t>R</w:t>
            </w:r>
            <w:r w:rsidRPr="008756EE" w:rsidR="00210E71">
              <w:rPr>
                <w:rFonts w:ascii="Arial" w:hAnsi="Arial" w:cs="Arial"/>
                <w:b/>
                <w:sz w:val="16"/>
                <w:szCs w:val="16"/>
              </w:rPr>
              <w:t xml:space="preserve">elating to </w:t>
            </w:r>
            <w:r w:rsidR="00E76FCC">
              <w:rPr>
                <w:rFonts w:ascii="Arial" w:hAnsi="Arial" w:cs="Arial"/>
                <w:b/>
                <w:sz w:val="16"/>
                <w:szCs w:val="16"/>
              </w:rPr>
              <w:t>S</w:t>
            </w:r>
            <w:r w:rsidR="00B5774E">
              <w:rPr>
                <w:rFonts w:ascii="Arial" w:hAnsi="Arial" w:cs="Arial"/>
                <w:b/>
                <w:sz w:val="16"/>
                <w:szCs w:val="16"/>
              </w:rPr>
              <w:t>EF</w:t>
            </w:r>
            <w:r w:rsidRPr="008756EE" w:rsidR="00210E71">
              <w:rPr>
                <w:rFonts w:ascii="Arial" w:hAnsi="Arial" w:cs="Arial"/>
                <w:b/>
                <w:sz w:val="16"/>
                <w:szCs w:val="16"/>
              </w:rPr>
              <w:t xml:space="preserve"> </w:t>
            </w:r>
            <w:r w:rsidR="00E76FCC">
              <w:rPr>
                <w:rFonts w:ascii="Arial" w:hAnsi="Arial" w:cs="Arial"/>
                <w:b/>
                <w:sz w:val="16"/>
                <w:szCs w:val="16"/>
              </w:rPr>
              <w:t>C</w:t>
            </w:r>
            <w:r w:rsidRPr="008756EE" w:rsidR="00210E71">
              <w:rPr>
                <w:rFonts w:ascii="Arial" w:hAnsi="Arial" w:cs="Arial"/>
                <w:b/>
                <w:sz w:val="16"/>
                <w:szCs w:val="16"/>
              </w:rPr>
              <w:t>ompliance</w:t>
            </w:r>
            <w:r w:rsidR="00000F39">
              <w:rPr>
                <w:rFonts w:ascii="Arial" w:hAnsi="Arial" w:cs="Arial"/>
                <w:b/>
                <w:sz w:val="16"/>
                <w:szCs w:val="16"/>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3FD38921" w14:textId="4EC5E49A">
            <w:pPr>
              <w:tabs>
                <w:tab w:val="left" w:pos="-720"/>
                <w:tab w:val="left" w:pos="0"/>
              </w:tabs>
              <w:suppressAutoHyphens/>
              <w:jc w:val="center"/>
              <w:rPr>
                <w:rFonts w:ascii="Arial" w:hAnsi="Arial" w:cs="Arial"/>
                <w:b/>
                <w:sz w:val="16"/>
                <w:szCs w:val="16"/>
              </w:rPr>
            </w:pPr>
            <w:r w:rsidRPr="008756EE">
              <w:rPr>
                <w:rFonts w:ascii="Arial" w:hAnsi="Arial" w:cs="Arial"/>
                <w:b/>
                <w:sz w:val="16"/>
                <w:szCs w:val="16"/>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31409D0B" w14:textId="351117D8">
            <w:pPr>
              <w:tabs>
                <w:tab w:val="left" w:pos="-720"/>
                <w:tab w:val="left" w:pos="0"/>
              </w:tabs>
              <w:suppressAutoHyphens/>
              <w:jc w:val="center"/>
              <w:rPr>
                <w:rFonts w:ascii="Arial" w:hAnsi="Arial" w:cs="Arial"/>
                <w:b/>
                <w:sz w:val="16"/>
                <w:szCs w:val="16"/>
              </w:rPr>
            </w:pPr>
            <w:r w:rsidRPr="008756EE">
              <w:rPr>
                <w:rFonts w:ascii="Arial" w:hAnsi="Arial" w:cs="Arial"/>
                <w:b/>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16D5719C" w14:textId="11671A63">
            <w:pPr>
              <w:tabs>
                <w:tab w:val="left" w:pos="-720"/>
                <w:tab w:val="left" w:pos="0"/>
              </w:tabs>
              <w:suppressAutoHyphens/>
              <w:jc w:val="center"/>
              <w:rPr>
                <w:rFonts w:ascii="Arial" w:hAnsi="Arial" w:cs="Arial"/>
                <w:b/>
                <w:sz w:val="16"/>
                <w:szCs w:val="16"/>
              </w:rPr>
            </w:pPr>
            <w:r w:rsidRPr="008756EE">
              <w:rPr>
                <w:rFonts w:ascii="Arial" w:hAnsi="Arial" w:cs="Arial"/>
                <w:b/>
                <w:sz w:val="16"/>
                <w:szCs w:val="16"/>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15743382" w14:textId="36D02A0B">
            <w:pPr>
              <w:tabs>
                <w:tab w:val="left" w:pos="-720"/>
                <w:tab w:val="left" w:pos="0"/>
              </w:tabs>
              <w:suppressAutoHyphens/>
              <w:jc w:val="center"/>
              <w:rPr>
                <w:rFonts w:ascii="Arial" w:hAnsi="Arial" w:cs="Arial"/>
                <w:b/>
                <w:sz w:val="16"/>
                <w:szCs w:val="16"/>
              </w:rPr>
            </w:pPr>
            <w:r w:rsidRPr="008756EE">
              <w:rPr>
                <w:rFonts w:ascii="Arial" w:hAnsi="Arial" w:cs="Arial"/>
                <w:b/>
                <w:sz w:val="16"/>
                <w:szCs w:val="16"/>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25E8C0CB" w14:textId="4ECAF369">
            <w:pPr>
              <w:tabs>
                <w:tab w:val="left" w:pos="-720"/>
                <w:tab w:val="left" w:pos="0"/>
              </w:tabs>
              <w:suppressAutoHyphens/>
              <w:jc w:val="center"/>
              <w:rPr>
                <w:rFonts w:ascii="Arial" w:hAnsi="Arial" w:cs="Arial"/>
                <w:b/>
                <w:sz w:val="16"/>
                <w:szCs w:val="16"/>
              </w:rPr>
            </w:pPr>
            <w:r>
              <w:rPr>
                <w:rFonts w:ascii="Arial" w:hAnsi="Arial" w:cs="Arial"/>
                <w:b/>
                <w:sz w:val="16"/>
                <w:szCs w:val="16"/>
              </w:rPr>
              <w:t>$90</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6D38F8EB" w14:textId="094308F5">
            <w:pPr>
              <w:jc w:val="center"/>
              <w:rPr>
                <w:rFonts w:ascii="Arial" w:hAnsi="Arial" w:cs="Arial"/>
                <w:b/>
                <w:sz w:val="16"/>
                <w:szCs w:val="16"/>
              </w:rPr>
            </w:pPr>
            <w:r>
              <w:rPr>
                <w:rFonts w:ascii="Arial" w:hAnsi="Arial" w:cs="Arial"/>
                <w:b/>
                <w:sz w:val="16"/>
                <w:szCs w:val="16"/>
              </w:rPr>
              <w:t>$720</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3DB25305" w14:textId="3CE7155D">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7D27C632" w14:textId="58CA2C82">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9B778F" w:rsidRPr="008756EE" w:rsidP="00A251B5" w14:paraId="79EB7521" w14:textId="40E8804C">
            <w:pPr>
              <w:tabs>
                <w:tab w:val="left" w:pos="-720"/>
                <w:tab w:val="left" w:pos="0"/>
              </w:tabs>
              <w:suppressAutoHyphens/>
              <w:jc w:val="center"/>
              <w:rPr>
                <w:rFonts w:ascii="Arial" w:hAnsi="Arial" w:cs="Arial"/>
                <w:b/>
                <w:sz w:val="16"/>
                <w:szCs w:val="16"/>
              </w:rPr>
            </w:pPr>
            <w:r>
              <w:rPr>
                <w:rFonts w:ascii="Arial" w:hAnsi="Arial" w:cs="Arial"/>
                <w:b/>
                <w:sz w:val="16"/>
                <w:szCs w:val="16"/>
              </w:rPr>
              <w:t>$1,440</w:t>
            </w:r>
          </w:p>
        </w:tc>
      </w:tr>
      <w:tr w14:paraId="493FF11E" w14:textId="77777777" w:rsidTr="00A251B5">
        <w:tblPrEx>
          <w:tblW w:w="0" w:type="auto"/>
          <w:tblLook w:val="04A0"/>
        </w:tblPrEx>
        <w:trPr>
          <w:trHeight w:val="620"/>
        </w:trPr>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1B21E875" w14:textId="77777777">
            <w:pPr>
              <w:tabs>
                <w:tab w:val="left" w:pos="-720"/>
              </w:tabs>
              <w:suppressAutoHyphens/>
              <w:rPr>
                <w:rFonts w:ascii="Arial" w:hAnsi="Arial" w:cs="Arial"/>
                <w:b/>
                <w:sz w:val="16"/>
                <w:szCs w:val="16"/>
              </w:rPr>
            </w:pPr>
            <w:r w:rsidRPr="009A7BD4">
              <w:rPr>
                <w:rFonts w:ascii="Arial" w:hAnsi="Arial" w:cs="Arial"/>
                <w:b/>
                <w:sz w:val="16"/>
                <w:szCs w:val="16"/>
              </w:rPr>
              <w:t>§§37.1300 et al (Quarterly Financial Statements)</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60A03CCD"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6265D5B2" w14:textId="77777777">
            <w:pPr>
              <w:tabs>
                <w:tab w:val="left" w:pos="-720"/>
                <w:tab w:val="left" w:pos="0"/>
              </w:tabs>
              <w:suppressAutoHyphens/>
              <w:jc w:val="center"/>
              <w:rPr>
                <w:rFonts w:ascii="Arial" w:hAnsi="Arial" w:cs="Arial"/>
                <w:b/>
                <w:sz w:val="16"/>
                <w:szCs w:val="16"/>
              </w:rPr>
            </w:pPr>
            <w:r w:rsidRPr="009A7BD4">
              <w:rPr>
                <w:rFonts w:ascii="Arial" w:hAnsi="Arial" w:cs="Arial"/>
                <w:b/>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32CB8392" w14:textId="3EF87649">
            <w:pPr>
              <w:tabs>
                <w:tab w:val="left" w:pos="-720"/>
                <w:tab w:val="left" w:pos="0"/>
              </w:tabs>
              <w:suppressAutoHyphens/>
              <w:jc w:val="center"/>
              <w:rPr>
                <w:rFonts w:ascii="Arial" w:hAnsi="Arial" w:cs="Arial"/>
                <w:b/>
                <w:sz w:val="16"/>
                <w:szCs w:val="16"/>
              </w:rPr>
            </w:pPr>
            <w:r>
              <w:rPr>
                <w:rFonts w:ascii="Arial" w:hAnsi="Arial" w:cs="Arial"/>
                <w:b/>
                <w:sz w:val="16"/>
                <w:szCs w:val="16"/>
              </w:rPr>
              <w:t>8.75</w:t>
            </w:r>
            <w:r>
              <w:rPr>
                <w:rStyle w:val="FootnoteReference"/>
                <w:rFonts w:ascii="Arial" w:hAnsi="Arial" w:cs="Arial"/>
                <w:b/>
                <w:sz w:val="16"/>
                <w:szCs w:val="16"/>
              </w:rPr>
              <w:footnoteReference w:id="6"/>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79681EC2" w14:textId="6ADE2262">
            <w:pPr>
              <w:tabs>
                <w:tab w:val="left" w:pos="-720"/>
                <w:tab w:val="left" w:pos="0"/>
              </w:tabs>
              <w:suppressAutoHyphens/>
              <w:jc w:val="center"/>
              <w:rPr>
                <w:rFonts w:ascii="Arial" w:hAnsi="Arial" w:cs="Arial"/>
                <w:b/>
                <w:sz w:val="16"/>
                <w:szCs w:val="16"/>
              </w:rPr>
            </w:pPr>
            <w:r>
              <w:rPr>
                <w:rFonts w:ascii="Arial" w:hAnsi="Arial" w:cs="Arial"/>
                <w:b/>
                <w:sz w:val="16"/>
                <w:szCs w:val="16"/>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4826DDCE" w14:textId="66D9F38C">
            <w:pPr>
              <w:tabs>
                <w:tab w:val="left" w:pos="-720"/>
                <w:tab w:val="left" w:pos="0"/>
              </w:tabs>
              <w:suppressAutoHyphens/>
              <w:jc w:val="center"/>
              <w:rPr>
                <w:rFonts w:ascii="Arial" w:hAnsi="Arial" w:cs="Arial"/>
                <w:b/>
                <w:sz w:val="16"/>
                <w:szCs w:val="16"/>
              </w:rPr>
            </w:pPr>
            <w:r w:rsidRPr="009A7BD4">
              <w:rPr>
                <w:rFonts w:ascii="Arial" w:hAnsi="Arial" w:cs="Arial"/>
                <w:b/>
                <w:sz w:val="16"/>
                <w:szCs w:val="16"/>
              </w:rPr>
              <w:t>$</w:t>
            </w:r>
            <w:r w:rsidR="006D04C9">
              <w:rPr>
                <w:rFonts w:ascii="Arial" w:hAnsi="Arial" w:cs="Arial"/>
                <w:b/>
                <w:sz w:val="16"/>
                <w:szCs w:val="16"/>
              </w:rPr>
              <w:t>74</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65249E" w:rsidP="00A251B5" w14:paraId="34A2DD63" w14:textId="311C0AE0">
            <w:pPr>
              <w:jc w:val="center"/>
              <w:rPr>
                <w:rFonts w:ascii="Arial" w:hAnsi="Arial" w:cs="Arial"/>
                <w:b/>
                <w:sz w:val="16"/>
                <w:szCs w:val="16"/>
                <w:highlight w:val="yellow"/>
              </w:rPr>
            </w:pPr>
            <w:r w:rsidRPr="00B90E36">
              <w:rPr>
                <w:rFonts w:ascii="Arial" w:hAnsi="Arial" w:cs="Arial"/>
                <w:b/>
                <w:sz w:val="16"/>
                <w:szCs w:val="16"/>
              </w:rPr>
              <w:t>$2,</w:t>
            </w:r>
            <w:r w:rsidRPr="00B90E36" w:rsidR="00006201">
              <w:rPr>
                <w:rFonts w:ascii="Arial" w:hAnsi="Arial" w:cs="Arial"/>
                <w:b/>
                <w:sz w:val="16"/>
                <w:szCs w:val="16"/>
              </w:rPr>
              <w:t>590</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65249E" w:rsidP="00A251B5" w14:paraId="04006B3A" w14:textId="77777777">
            <w:pPr>
              <w:tabs>
                <w:tab w:val="left" w:pos="-720"/>
                <w:tab w:val="left" w:pos="0"/>
              </w:tabs>
              <w:suppressAutoHyphens/>
              <w:jc w:val="center"/>
              <w:rPr>
                <w:rFonts w:ascii="Arial" w:hAnsi="Arial" w:cs="Arial"/>
                <w:b/>
                <w:sz w:val="16"/>
                <w:szCs w:val="16"/>
                <w:highlight w:val="yellow"/>
              </w:rPr>
            </w:pPr>
            <w:r w:rsidRPr="00B90E36">
              <w:rPr>
                <w:rFonts w:ascii="Arial" w:hAnsi="Arial" w:cs="Arial"/>
                <w:b/>
                <w:sz w:val="16"/>
                <w:szCs w:val="16"/>
              </w:rPr>
              <w:t>80</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65249E" w:rsidP="00A251B5" w14:paraId="6879735D" w14:textId="7CE6F283">
            <w:pPr>
              <w:tabs>
                <w:tab w:val="left" w:pos="-720"/>
                <w:tab w:val="left" w:pos="0"/>
              </w:tabs>
              <w:suppressAutoHyphens/>
              <w:jc w:val="center"/>
              <w:rPr>
                <w:rFonts w:ascii="Arial" w:hAnsi="Arial" w:cs="Arial"/>
                <w:b/>
                <w:sz w:val="16"/>
                <w:szCs w:val="16"/>
                <w:highlight w:val="yellow"/>
              </w:rPr>
            </w:pPr>
            <w:r w:rsidRPr="007C75A1">
              <w:rPr>
                <w:rFonts w:ascii="Arial" w:hAnsi="Arial" w:cs="Arial"/>
                <w:b/>
                <w:sz w:val="16"/>
                <w:szCs w:val="16"/>
              </w:rPr>
              <w:t>7</w:t>
            </w:r>
            <w:r w:rsidRPr="007C75A1">
              <w:rPr>
                <w:rFonts w:ascii="Arial" w:hAnsi="Arial" w:cs="Arial"/>
                <w:b/>
                <w:sz w:val="16"/>
                <w:szCs w:val="16"/>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65249E" w:rsidP="00A251B5" w14:paraId="6F3116AE" w14:textId="0784B2B2">
            <w:pPr>
              <w:tabs>
                <w:tab w:val="left" w:pos="-720"/>
                <w:tab w:val="left" w:pos="0"/>
              </w:tabs>
              <w:suppressAutoHyphens/>
              <w:jc w:val="center"/>
              <w:rPr>
                <w:rFonts w:ascii="Arial" w:hAnsi="Arial" w:cs="Arial"/>
                <w:b/>
                <w:sz w:val="16"/>
                <w:szCs w:val="16"/>
                <w:highlight w:val="yellow"/>
              </w:rPr>
            </w:pPr>
            <w:r w:rsidRPr="007C75A1">
              <w:rPr>
                <w:rFonts w:ascii="Arial" w:hAnsi="Arial" w:cs="Arial"/>
                <w:b/>
                <w:sz w:val="16"/>
                <w:szCs w:val="16"/>
              </w:rPr>
              <w:t>$</w:t>
            </w:r>
            <w:r w:rsidRPr="007C75A1" w:rsidR="000717C7">
              <w:rPr>
                <w:rFonts w:ascii="Arial" w:hAnsi="Arial" w:cs="Arial"/>
                <w:b/>
                <w:sz w:val="16"/>
                <w:szCs w:val="16"/>
              </w:rPr>
              <w:t>51,800</w:t>
            </w:r>
          </w:p>
        </w:tc>
      </w:tr>
      <w:tr w14:paraId="4918E397" w14:textId="77777777" w:rsidTr="00A251B5">
        <w:tblPrEx>
          <w:tblW w:w="0" w:type="auto"/>
          <w:tblLook w:val="04A0"/>
        </w:tblPrEx>
        <w:trPr>
          <w:trHeight w:val="620"/>
        </w:trPr>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0C21F5AA" w14:textId="473B9884">
            <w:pPr>
              <w:tabs>
                <w:tab w:val="left" w:pos="-720"/>
              </w:tabs>
              <w:suppressAutoHyphens/>
              <w:rPr>
                <w:rFonts w:ascii="Arial" w:hAnsi="Arial" w:cs="Arial"/>
                <w:b/>
                <w:sz w:val="16"/>
                <w:szCs w:val="16"/>
              </w:rPr>
            </w:pPr>
            <w:r>
              <w:rPr>
                <w:rFonts w:ascii="Arial" w:hAnsi="Arial" w:cs="Arial"/>
                <w:b/>
                <w:sz w:val="16"/>
                <w:szCs w:val="16"/>
              </w:rPr>
              <w:t>§ 37.1401(e)</w:t>
            </w:r>
            <w:r w:rsidR="00000F39">
              <w:rPr>
                <w:rFonts w:ascii="Arial" w:hAnsi="Arial" w:cs="Arial"/>
                <w:b/>
                <w:sz w:val="16"/>
                <w:szCs w:val="16"/>
              </w:rPr>
              <w:t xml:space="preserve"> (</w:t>
            </w:r>
            <w:r w:rsidR="00E76FCC">
              <w:rPr>
                <w:rFonts w:ascii="Arial" w:hAnsi="Arial" w:cs="Arial"/>
                <w:b/>
                <w:sz w:val="16"/>
                <w:szCs w:val="16"/>
              </w:rPr>
              <w:t xml:space="preserve">Commission Notification of </w:t>
            </w:r>
            <w:r w:rsidR="00000F39">
              <w:rPr>
                <w:rFonts w:ascii="Arial" w:hAnsi="Arial" w:cs="Arial"/>
                <w:b/>
                <w:sz w:val="16"/>
                <w:szCs w:val="16"/>
              </w:rPr>
              <w:t xml:space="preserve">System Malfunctions, Cybersecurity Incidents, and </w:t>
            </w:r>
            <w:r w:rsidR="009C7E6F">
              <w:rPr>
                <w:rFonts w:ascii="Arial" w:hAnsi="Arial" w:cs="Arial"/>
                <w:b/>
                <w:sz w:val="16"/>
                <w:szCs w:val="16"/>
              </w:rPr>
              <w:t>A</w:t>
            </w:r>
            <w:r w:rsidR="00000F39">
              <w:rPr>
                <w:rFonts w:ascii="Arial" w:hAnsi="Arial" w:cs="Arial"/>
                <w:b/>
                <w:sz w:val="16"/>
                <w:szCs w:val="16"/>
              </w:rPr>
              <w:t xml:space="preserve">ctivations of </w:t>
            </w:r>
            <w:r w:rsidR="009C7E6F">
              <w:rPr>
                <w:rFonts w:ascii="Arial" w:hAnsi="Arial" w:cs="Arial"/>
                <w:b/>
                <w:sz w:val="16"/>
                <w:szCs w:val="16"/>
              </w:rPr>
              <w:t>B</w:t>
            </w:r>
            <w:r w:rsidRPr="009C7E6F" w:rsidR="009C7E6F">
              <w:rPr>
                <w:rFonts w:ascii="Arial" w:hAnsi="Arial" w:cs="Arial"/>
                <w:b/>
                <w:sz w:val="16"/>
                <w:szCs w:val="16"/>
              </w:rPr>
              <w:t xml:space="preserve">usiness </w:t>
            </w:r>
            <w:r w:rsidR="009C7E6F">
              <w:rPr>
                <w:rFonts w:ascii="Arial" w:hAnsi="Arial" w:cs="Arial"/>
                <w:b/>
                <w:sz w:val="16"/>
                <w:szCs w:val="16"/>
              </w:rPr>
              <w:t>C</w:t>
            </w:r>
            <w:r w:rsidRPr="009C7E6F" w:rsidR="009C7E6F">
              <w:rPr>
                <w:rFonts w:ascii="Arial" w:hAnsi="Arial" w:cs="Arial"/>
                <w:b/>
                <w:sz w:val="16"/>
                <w:szCs w:val="16"/>
              </w:rPr>
              <w:t>ontinuity-</w:t>
            </w:r>
            <w:r w:rsidR="009C7E6F">
              <w:rPr>
                <w:rFonts w:ascii="Arial" w:hAnsi="Arial" w:cs="Arial"/>
                <w:b/>
                <w:sz w:val="16"/>
                <w:szCs w:val="16"/>
              </w:rPr>
              <w:t>D</w:t>
            </w:r>
            <w:r w:rsidRPr="009C7E6F" w:rsidR="009C7E6F">
              <w:rPr>
                <w:rFonts w:ascii="Arial" w:hAnsi="Arial" w:cs="Arial"/>
                <w:b/>
                <w:sz w:val="16"/>
                <w:szCs w:val="16"/>
              </w:rPr>
              <w:t xml:space="preserve">isaster </w:t>
            </w:r>
            <w:r w:rsidR="009C7E6F">
              <w:rPr>
                <w:rFonts w:ascii="Arial" w:hAnsi="Arial" w:cs="Arial"/>
                <w:b/>
                <w:sz w:val="16"/>
                <w:szCs w:val="16"/>
              </w:rPr>
              <w:t>R</w:t>
            </w:r>
            <w:r w:rsidRPr="009C7E6F" w:rsidR="009C7E6F">
              <w:rPr>
                <w:rFonts w:ascii="Arial" w:hAnsi="Arial" w:cs="Arial"/>
                <w:b/>
                <w:sz w:val="16"/>
                <w:szCs w:val="16"/>
              </w:rPr>
              <w:t>ecovery plan</w:t>
            </w:r>
            <w:r w:rsidR="009C7E6F">
              <w:rPr>
                <w:rFonts w:ascii="Arial" w:hAnsi="Arial" w:cs="Arial"/>
                <w:b/>
                <w:sz w:val="16"/>
                <w:szCs w:val="16"/>
              </w:rPr>
              <w:t>s)</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0DDA37FA" w14:textId="059346E0">
            <w:pPr>
              <w:tabs>
                <w:tab w:val="left" w:pos="-720"/>
                <w:tab w:val="left" w:pos="0"/>
              </w:tabs>
              <w:suppressAutoHyphens/>
              <w:jc w:val="center"/>
              <w:rPr>
                <w:rFonts w:ascii="Arial" w:hAnsi="Arial" w:cs="Arial"/>
                <w:b/>
                <w:sz w:val="16"/>
                <w:szCs w:val="16"/>
              </w:rPr>
            </w:pPr>
            <w:r>
              <w:rPr>
                <w:rFonts w:ascii="Arial" w:hAnsi="Arial" w:cs="Arial"/>
                <w:b/>
                <w:sz w:val="16"/>
                <w:szCs w:val="16"/>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07A234A9" w14:textId="0129A93A">
            <w:pPr>
              <w:tabs>
                <w:tab w:val="left" w:pos="-720"/>
                <w:tab w:val="left" w:pos="0"/>
              </w:tabs>
              <w:suppressAutoHyphens/>
              <w:jc w:val="center"/>
              <w:rPr>
                <w:rFonts w:ascii="Arial" w:hAnsi="Arial" w:cs="Arial"/>
                <w:b/>
                <w:sz w:val="16"/>
                <w:szCs w:val="16"/>
              </w:rPr>
            </w:pPr>
            <w:r>
              <w:rPr>
                <w:rFonts w:ascii="Arial" w:hAnsi="Arial" w:cs="Arial"/>
                <w:b/>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74CAEBC4" w14:textId="11DF422A">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27C3BD22" w14:textId="08D11F31">
            <w:pPr>
              <w:tabs>
                <w:tab w:val="left" w:pos="-720"/>
                <w:tab w:val="left" w:pos="0"/>
              </w:tabs>
              <w:suppressAutoHyphens/>
              <w:jc w:val="center"/>
              <w:rPr>
                <w:rFonts w:ascii="Arial" w:hAnsi="Arial" w:cs="Arial"/>
                <w:b/>
                <w:sz w:val="16"/>
                <w:szCs w:val="16"/>
              </w:rPr>
            </w:pPr>
            <w:r>
              <w:rPr>
                <w:rFonts w:ascii="Arial" w:hAnsi="Arial" w:cs="Arial"/>
                <w:b/>
                <w:sz w:val="16"/>
                <w:szCs w:val="16"/>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1B3B8FCE" w14:textId="70A58766">
            <w:pPr>
              <w:jc w:val="center"/>
              <w:rPr>
                <w:rFonts w:ascii="Arial" w:hAnsi="Arial" w:cs="Arial"/>
                <w:b/>
                <w:sz w:val="16"/>
                <w:szCs w:val="16"/>
              </w:rPr>
            </w:pPr>
            <w:r>
              <w:rPr>
                <w:rFonts w:ascii="Arial" w:hAnsi="Arial" w:cs="Arial"/>
                <w:b/>
                <w:sz w:val="16"/>
                <w:szCs w:val="16"/>
              </w:rPr>
              <w:t>$86</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57088C21" w14:textId="1CB5B092">
            <w:pPr>
              <w:jc w:val="center"/>
              <w:rPr>
                <w:rFonts w:ascii="Arial" w:hAnsi="Arial" w:cs="Arial"/>
                <w:b/>
                <w:sz w:val="16"/>
                <w:szCs w:val="16"/>
              </w:rPr>
            </w:pPr>
            <w:r>
              <w:rPr>
                <w:rFonts w:ascii="Arial" w:hAnsi="Arial" w:cs="Arial"/>
                <w:b/>
                <w:sz w:val="16"/>
                <w:szCs w:val="16"/>
              </w:rPr>
              <w:t>$516</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7DF4B3F6" w14:textId="6F347835">
            <w:pPr>
              <w:tabs>
                <w:tab w:val="left" w:pos="-720"/>
                <w:tab w:val="left" w:pos="0"/>
              </w:tabs>
              <w:suppressAutoHyphens/>
              <w:jc w:val="center"/>
              <w:rPr>
                <w:rFonts w:ascii="Arial" w:hAnsi="Arial" w:cs="Arial"/>
                <w:b/>
                <w:sz w:val="16"/>
                <w:szCs w:val="16"/>
              </w:rPr>
            </w:pPr>
            <w:r>
              <w:rPr>
                <w:rFonts w:ascii="Arial" w:hAnsi="Arial" w:cs="Arial"/>
                <w:b/>
                <w:sz w:val="16"/>
                <w:szCs w:val="16"/>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2FA8ECBD" w14:textId="038F0849">
            <w:pPr>
              <w:tabs>
                <w:tab w:val="left" w:pos="-720"/>
                <w:tab w:val="left" w:pos="0"/>
              </w:tabs>
              <w:suppressAutoHyphens/>
              <w:jc w:val="center"/>
              <w:rPr>
                <w:rFonts w:ascii="Arial" w:hAnsi="Arial" w:cs="Arial"/>
                <w:b/>
                <w:sz w:val="16"/>
                <w:szCs w:val="16"/>
              </w:rPr>
            </w:pPr>
            <w:r>
              <w:rPr>
                <w:rFonts w:ascii="Arial" w:hAnsi="Arial" w:cs="Arial"/>
                <w:b/>
                <w:sz w:val="16"/>
                <w:szCs w:val="16"/>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7E8ED89C" w14:textId="3F6654F9">
            <w:pPr>
              <w:tabs>
                <w:tab w:val="left" w:pos="-720"/>
                <w:tab w:val="left" w:pos="0"/>
              </w:tabs>
              <w:suppressAutoHyphens/>
              <w:jc w:val="center"/>
              <w:rPr>
                <w:rFonts w:ascii="Arial" w:hAnsi="Arial" w:cs="Arial"/>
                <w:b/>
                <w:sz w:val="16"/>
                <w:szCs w:val="16"/>
              </w:rPr>
            </w:pPr>
            <w:r>
              <w:rPr>
                <w:rFonts w:ascii="Arial" w:hAnsi="Arial" w:cs="Arial"/>
                <w:b/>
                <w:sz w:val="16"/>
                <w:szCs w:val="16"/>
              </w:rPr>
              <w:t>$4,128</w:t>
            </w:r>
          </w:p>
        </w:tc>
      </w:tr>
      <w:tr w14:paraId="3F51A4F6" w14:textId="77777777" w:rsidTr="00A251B5">
        <w:tblPrEx>
          <w:tblW w:w="0" w:type="auto"/>
          <w:tblLook w:val="04A0"/>
        </w:tblPrEx>
        <w:trPr>
          <w:trHeight w:val="620"/>
        </w:trPr>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6516A9FC" w14:textId="168DAC32">
            <w:pPr>
              <w:tabs>
                <w:tab w:val="left" w:pos="-720"/>
              </w:tabs>
              <w:suppressAutoHyphens/>
              <w:rPr>
                <w:rFonts w:ascii="Arial" w:hAnsi="Arial" w:cs="Arial"/>
                <w:b/>
                <w:sz w:val="16"/>
                <w:szCs w:val="16"/>
              </w:rPr>
            </w:pPr>
            <w:r w:rsidRPr="008756EE">
              <w:rPr>
                <w:rFonts w:ascii="Arial" w:hAnsi="Arial" w:cs="Arial"/>
                <w:b/>
                <w:sz w:val="16"/>
                <w:szCs w:val="16"/>
              </w:rPr>
              <w:t>§ 37.1401(g)</w:t>
            </w:r>
            <w:r w:rsidR="00B5774E">
              <w:rPr>
                <w:rFonts w:ascii="Arial" w:hAnsi="Arial" w:cs="Arial"/>
                <w:b/>
                <w:sz w:val="16"/>
                <w:szCs w:val="16"/>
              </w:rPr>
              <w:t xml:space="preserve"> (Information relating to SEF </w:t>
            </w:r>
            <w:r w:rsidRPr="00020821" w:rsidR="00020821">
              <w:rPr>
                <w:rFonts w:ascii="Arial" w:hAnsi="Arial" w:cs="Arial"/>
                <w:b/>
                <w:sz w:val="16"/>
                <w:szCs w:val="16"/>
              </w:rPr>
              <w:t xml:space="preserve">provide to the Commission the following </w:t>
            </w:r>
            <w:r w:rsidR="00713999">
              <w:rPr>
                <w:rFonts w:ascii="Arial" w:hAnsi="Arial" w:cs="Arial"/>
                <w:b/>
                <w:sz w:val="16"/>
                <w:szCs w:val="16"/>
              </w:rPr>
              <w:t>S</w:t>
            </w:r>
            <w:r w:rsidRPr="00020821" w:rsidR="00020821">
              <w:rPr>
                <w:rFonts w:ascii="Arial" w:hAnsi="Arial" w:cs="Arial"/>
                <w:b/>
                <w:sz w:val="16"/>
                <w:szCs w:val="16"/>
              </w:rPr>
              <w:t xml:space="preserve">ystem </w:t>
            </w:r>
            <w:r w:rsidR="00713999">
              <w:rPr>
                <w:rFonts w:ascii="Arial" w:hAnsi="Arial" w:cs="Arial"/>
                <w:b/>
                <w:sz w:val="16"/>
                <w:szCs w:val="16"/>
              </w:rPr>
              <w:t>S</w:t>
            </w:r>
            <w:r w:rsidRPr="00020821" w:rsidR="00020821">
              <w:rPr>
                <w:rFonts w:ascii="Arial" w:hAnsi="Arial" w:cs="Arial"/>
                <w:b/>
                <w:sz w:val="16"/>
                <w:szCs w:val="16"/>
              </w:rPr>
              <w:t xml:space="preserve">afeguards-related </w:t>
            </w:r>
            <w:r w:rsidR="00713999">
              <w:rPr>
                <w:rFonts w:ascii="Arial" w:hAnsi="Arial" w:cs="Arial"/>
                <w:b/>
                <w:sz w:val="16"/>
                <w:szCs w:val="16"/>
              </w:rPr>
              <w:t>B</w:t>
            </w:r>
            <w:r w:rsidRPr="00020821" w:rsidR="00020821">
              <w:rPr>
                <w:rFonts w:ascii="Arial" w:hAnsi="Arial" w:cs="Arial"/>
                <w:b/>
                <w:sz w:val="16"/>
                <w:szCs w:val="16"/>
              </w:rPr>
              <w:t xml:space="preserve">ooks and </w:t>
            </w:r>
            <w:r w:rsidR="00713999">
              <w:rPr>
                <w:rFonts w:ascii="Arial" w:hAnsi="Arial" w:cs="Arial"/>
                <w:b/>
                <w:sz w:val="16"/>
                <w:szCs w:val="16"/>
              </w:rPr>
              <w:t>R</w:t>
            </w:r>
            <w:r w:rsidRPr="00020821" w:rsidR="00020821">
              <w:rPr>
                <w:rFonts w:ascii="Arial" w:hAnsi="Arial" w:cs="Arial"/>
                <w:b/>
                <w:sz w:val="16"/>
                <w:szCs w:val="16"/>
              </w:rPr>
              <w:t>ecords</w:t>
            </w:r>
            <w:r w:rsidR="00713999">
              <w:rPr>
                <w:rFonts w:ascii="Arial" w:hAnsi="Arial" w:cs="Arial"/>
                <w:b/>
                <w:sz w:val="16"/>
                <w:szCs w:val="16"/>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318409CE" w14:textId="21C90ECA">
            <w:pPr>
              <w:tabs>
                <w:tab w:val="left" w:pos="-720"/>
                <w:tab w:val="left" w:pos="0"/>
              </w:tabs>
              <w:suppressAutoHyphens/>
              <w:jc w:val="center"/>
              <w:rPr>
                <w:rFonts w:ascii="Arial" w:hAnsi="Arial" w:cs="Arial"/>
                <w:b/>
                <w:sz w:val="16"/>
                <w:szCs w:val="16"/>
              </w:rPr>
            </w:pPr>
            <w:r w:rsidRPr="008756EE">
              <w:rPr>
                <w:rFonts w:ascii="Arial" w:hAnsi="Arial" w:cs="Arial"/>
                <w:b/>
                <w:sz w:val="16"/>
                <w:szCs w:val="16"/>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3178F4D6" w14:textId="44754C74">
            <w:pPr>
              <w:tabs>
                <w:tab w:val="left" w:pos="-720"/>
                <w:tab w:val="left" w:pos="0"/>
              </w:tabs>
              <w:suppressAutoHyphens/>
              <w:jc w:val="center"/>
              <w:rPr>
                <w:rFonts w:ascii="Arial" w:hAnsi="Arial" w:cs="Arial"/>
                <w:b/>
                <w:sz w:val="16"/>
                <w:szCs w:val="16"/>
              </w:rPr>
            </w:pPr>
            <w:r w:rsidRPr="008756EE">
              <w:rPr>
                <w:rFonts w:ascii="Arial" w:hAnsi="Arial" w:cs="Arial"/>
                <w:b/>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085576C9" w14:textId="7FA8C3E7">
            <w:pPr>
              <w:tabs>
                <w:tab w:val="left" w:pos="-720"/>
                <w:tab w:val="left" w:pos="0"/>
              </w:tabs>
              <w:suppressAutoHyphens/>
              <w:jc w:val="center"/>
              <w:rPr>
                <w:rFonts w:ascii="Arial" w:hAnsi="Arial" w:cs="Arial"/>
                <w:b/>
                <w:sz w:val="16"/>
                <w:szCs w:val="16"/>
              </w:rPr>
            </w:pPr>
            <w:r w:rsidRPr="008756EE">
              <w:rPr>
                <w:rFonts w:ascii="Arial" w:hAnsi="Arial" w:cs="Arial"/>
                <w:b/>
                <w:sz w:val="16"/>
                <w:szCs w:val="16"/>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51BAA39B" w14:textId="5D8EF4E7">
            <w:pPr>
              <w:tabs>
                <w:tab w:val="left" w:pos="-720"/>
                <w:tab w:val="left" w:pos="0"/>
              </w:tabs>
              <w:suppressAutoHyphens/>
              <w:jc w:val="center"/>
              <w:rPr>
                <w:rFonts w:ascii="Arial" w:hAnsi="Arial" w:cs="Arial"/>
                <w:b/>
                <w:sz w:val="16"/>
                <w:szCs w:val="16"/>
              </w:rPr>
            </w:pPr>
            <w:r w:rsidRPr="008756EE">
              <w:rPr>
                <w:rFonts w:ascii="Arial" w:hAnsi="Arial" w:cs="Arial"/>
                <w:b/>
                <w:sz w:val="16"/>
                <w:szCs w:val="16"/>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0023600F" w14:textId="35937E48">
            <w:pPr>
              <w:tabs>
                <w:tab w:val="left" w:pos="-720"/>
                <w:tab w:val="left" w:pos="0"/>
              </w:tabs>
              <w:suppressAutoHyphens/>
              <w:jc w:val="center"/>
              <w:rPr>
                <w:rFonts w:ascii="Arial" w:hAnsi="Arial" w:cs="Arial"/>
                <w:b/>
                <w:sz w:val="16"/>
                <w:szCs w:val="16"/>
              </w:rPr>
            </w:pPr>
            <w:r w:rsidRPr="008756EE">
              <w:rPr>
                <w:rFonts w:ascii="Arial" w:hAnsi="Arial" w:cs="Arial"/>
                <w:b/>
                <w:sz w:val="16"/>
                <w:szCs w:val="16"/>
              </w:rPr>
              <w:t>$74</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6828BE64" w14:textId="4F6F5146">
            <w:pPr>
              <w:jc w:val="center"/>
              <w:rPr>
                <w:rFonts w:ascii="Arial" w:hAnsi="Arial" w:cs="Arial"/>
                <w:b/>
                <w:sz w:val="16"/>
                <w:szCs w:val="16"/>
              </w:rPr>
            </w:pPr>
            <w:r w:rsidRPr="008756EE">
              <w:rPr>
                <w:rFonts w:ascii="Arial" w:hAnsi="Arial" w:cs="Arial"/>
                <w:b/>
                <w:sz w:val="16"/>
                <w:szCs w:val="16"/>
              </w:rPr>
              <w:t>$592</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7E1D0334" w14:textId="4A5B5BC2">
            <w:pPr>
              <w:tabs>
                <w:tab w:val="left" w:pos="-720"/>
                <w:tab w:val="left" w:pos="0"/>
              </w:tabs>
              <w:suppressAutoHyphens/>
              <w:jc w:val="center"/>
              <w:rPr>
                <w:rFonts w:ascii="Arial" w:hAnsi="Arial" w:cs="Arial"/>
                <w:b/>
                <w:sz w:val="16"/>
                <w:szCs w:val="16"/>
              </w:rPr>
            </w:pPr>
            <w:r w:rsidRPr="008756EE">
              <w:rPr>
                <w:rFonts w:ascii="Arial" w:hAnsi="Arial" w:cs="Arial"/>
                <w:b/>
                <w:sz w:val="16"/>
                <w:szCs w:val="16"/>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3A10DA4D" w14:textId="6D58EC2B">
            <w:pPr>
              <w:tabs>
                <w:tab w:val="left" w:pos="-720"/>
                <w:tab w:val="left" w:pos="0"/>
              </w:tabs>
              <w:suppressAutoHyphens/>
              <w:jc w:val="center"/>
              <w:rPr>
                <w:rFonts w:ascii="Arial" w:hAnsi="Arial" w:cs="Arial"/>
                <w:b/>
                <w:sz w:val="16"/>
                <w:szCs w:val="16"/>
              </w:rPr>
            </w:pPr>
            <w:r w:rsidRPr="008756EE">
              <w:rPr>
                <w:rFonts w:ascii="Arial" w:hAnsi="Arial" w:cs="Arial"/>
                <w:b/>
                <w:sz w:val="16"/>
                <w:szCs w:val="16"/>
              </w:rPr>
              <w:t>160</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8756EE" w:rsidP="00A251B5" w14:paraId="339391EB" w14:textId="7E6D1B8B">
            <w:pPr>
              <w:tabs>
                <w:tab w:val="left" w:pos="-720"/>
                <w:tab w:val="left" w:pos="0"/>
              </w:tabs>
              <w:suppressAutoHyphens/>
              <w:jc w:val="center"/>
              <w:rPr>
                <w:rFonts w:ascii="Arial" w:hAnsi="Arial" w:cs="Arial"/>
                <w:b/>
                <w:sz w:val="16"/>
                <w:szCs w:val="16"/>
              </w:rPr>
            </w:pPr>
            <w:r w:rsidRPr="008756EE">
              <w:rPr>
                <w:rFonts w:ascii="Arial" w:hAnsi="Arial" w:cs="Arial"/>
                <w:b/>
                <w:sz w:val="16"/>
                <w:szCs w:val="16"/>
              </w:rPr>
              <w:t>$11,840</w:t>
            </w:r>
          </w:p>
        </w:tc>
      </w:tr>
      <w:tr w14:paraId="47A992E8" w14:textId="77777777" w:rsidTr="00A251B5">
        <w:tblPrEx>
          <w:tblW w:w="0" w:type="auto"/>
          <w:tblLook w:val="04A0"/>
        </w:tblPrEx>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18DC96DC" w14:textId="22B9A09F">
            <w:pPr>
              <w:tabs>
                <w:tab w:val="left" w:pos="-720"/>
              </w:tabs>
              <w:suppressAutoHyphens/>
              <w:rPr>
                <w:rFonts w:ascii="Arial" w:hAnsi="Arial" w:cs="Arial"/>
                <w:b/>
                <w:sz w:val="16"/>
                <w:szCs w:val="16"/>
              </w:rPr>
            </w:pPr>
            <w:r w:rsidRPr="00EE2403">
              <w:rPr>
                <w:rFonts w:ascii="Arial" w:hAnsi="Arial" w:cs="Arial"/>
                <w:b/>
                <w:sz w:val="16"/>
                <w:szCs w:val="16"/>
              </w:rPr>
              <w:t>§ 37.1501(d) (Annual Compliance Report)</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1C0C30" w14:paraId="100171D2" w14:textId="77777777">
            <w:pPr>
              <w:tabs>
                <w:tab w:val="left" w:pos="-720"/>
                <w:tab w:val="left" w:pos="0"/>
              </w:tabs>
              <w:suppressAutoHyphens/>
              <w:spacing w:before="120" w:after="120"/>
              <w:jc w:val="center"/>
              <w:rPr>
                <w:rFonts w:ascii="Arial" w:hAnsi="Arial" w:cs="Arial"/>
                <w:b/>
                <w:sz w:val="16"/>
                <w:szCs w:val="16"/>
              </w:rPr>
            </w:pPr>
            <w:r w:rsidRPr="00EE2403">
              <w:rPr>
                <w:rFonts w:ascii="Arial" w:hAnsi="Arial" w:cs="Arial"/>
                <w:b/>
                <w:sz w:val="16"/>
                <w:szCs w:val="16"/>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784EF292" w14:textId="77777777">
            <w:pPr>
              <w:tabs>
                <w:tab w:val="left" w:pos="-720"/>
                <w:tab w:val="left" w:pos="0"/>
              </w:tabs>
              <w:suppressAutoHyphens/>
              <w:jc w:val="center"/>
              <w:rPr>
                <w:rFonts w:ascii="Arial" w:hAnsi="Arial" w:cs="Arial"/>
                <w:b/>
                <w:sz w:val="16"/>
                <w:szCs w:val="16"/>
              </w:rPr>
            </w:pPr>
            <w:r w:rsidRPr="00EE2403">
              <w:rPr>
                <w:rFonts w:ascii="Arial" w:hAnsi="Arial" w:cs="Arial"/>
                <w:b/>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710FF85E" w14:textId="77777777">
            <w:pPr>
              <w:tabs>
                <w:tab w:val="left" w:pos="-720"/>
                <w:tab w:val="left" w:pos="0"/>
              </w:tabs>
              <w:suppressAutoHyphens/>
              <w:jc w:val="center"/>
              <w:rPr>
                <w:rFonts w:ascii="Arial" w:hAnsi="Arial" w:cs="Arial"/>
                <w:b/>
                <w:sz w:val="16"/>
                <w:szCs w:val="16"/>
              </w:rPr>
            </w:pPr>
            <w:r w:rsidRPr="00EE2403">
              <w:rPr>
                <w:rFonts w:ascii="Arial" w:hAnsi="Arial" w:cs="Arial"/>
                <w:b/>
                <w:sz w:val="16"/>
                <w:szCs w:val="16"/>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1027AC69" w14:textId="77777777">
            <w:pPr>
              <w:tabs>
                <w:tab w:val="left" w:pos="-720"/>
                <w:tab w:val="left" w:pos="0"/>
              </w:tabs>
              <w:suppressAutoHyphens/>
              <w:jc w:val="center"/>
              <w:rPr>
                <w:rFonts w:ascii="Arial" w:hAnsi="Arial" w:cs="Arial"/>
                <w:b/>
                <w:sz w:val="16"/>
                <w:szCs w:val="16"/>
              </w:rPr>
            </w:pPr>
            <w:r w:rsidRPr="00EE2403">
              <w:rPr>
                <w:rFonts w:ascii="Arial" w:hAnsi="Arial" w:cs="Arial"/>
                <w:b/>
                <w:sz w:val="16"/>
                <w:szCs w:val="16"/>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79882AC4" w14:textId="785E8D72">
            <w:pPr>
              <w:jc w:val="center"/>
              <w:rPr>
                <w:rFonts w:ascii="Arial" w:hAnsi="Arial" w:cs="Arial"/>
                <w:sz w:val="16"/>
                <w:szCs w:val="16"/>
              </w:rPr>
            </w:pPr>
            <w:r w:rsidRPr="00EE2403">
              <w:rPr>
                <w:rFonts w:ascii="Arial" w:hAnsi="Arial" w:cs="Arial"/>
                <w:b/>
                <w:sz w:val="16"/>
                <w:szCs w:val="16"/>
              </w:rPr>
              <w:t>$74</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0DF8B3C6" w14:textId="6DB8BE3D">
            <w:pPr>
              <w:jc w:val="center"/>
              <w:rPr>
                <w:rFonts w:ascii="Arial" w:hAnsi="Arial" w:cs="Arial"/>
                <w:b/>
                <w:sz w:val="16"/>
                <w:szCs w:val="16"/>
              </w:rPr>
            </w:pPr>
            <w:r w:rsidRPr="00EE2403">
              <w:rPr>
                <w:rFonts w:ascii="Arial" w:hAnsi="Arial" w:cs="Arial"/>
                <w:b/>
                <w:sz w:val="16"/>
                <w:szCs w:val="16"/>
              </w:rPr>
              <w:t>$3,848</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65C9ECA8" w14:textId="77777777">
            <w:pPr>
              <w:tabs>
                <w:tab w:val="left" w:pos="-720"/>
                <w:tab w:val="left" w:pos="0"/>
              </w:tabs>
              <w:suppressAutoHyphens/>
              <w:jc w:val="center"/>
              <w:rPr>
                <w:rFonts w:ascii="Arial" w:hAnsi="Arial" w:cs="Arial"/>
                <w:b/>
                <w:sz w:val="16"/>
                <w:szCs w:val="16"/>
              </w:rPr>
            </w:pPr>
            <w:r w:rsidRPr="00EE2403">
              <w:rPr>
                <w:rFonts w:ascii="Arial" w:hAnsi="Arial" w:cs="Arial"/>
                <w:b/>
                <w:sz w:val="16"/>
                <w:szCs w:val="16"/>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3396C96C" w14:textId="77777777">
            <w:pPr>
              <w:tabs>
                <w:tab w:val="left" w:pos="-720"/>
                <w:tab w:val="left" w:pos="0"/>
              </w:tabs>
              <w:suppressAutoHyphens/>
              <w:jc w:val="center"/>
              <w:rPr>
                <w:rFonts w:ascii="Arial" w:hAnsi="Arial" w:cs="Arial"/>
                <w:b/>
                <w:sz w:val="16"/>
                <w:szCs w:val="16"/>
              </w:rPr>
            </w:pPr>
            <w:r w:rsidRPr="00EE2403">
              <w:rPr>
                <w:rFonts w:ascii="Arial" w:hAnsi="Arial" w:cs="Arial"/>
                <w:b/>
                <w:sz w:val="16"/>
                <w:szCs w:val="16"/>
              </w:rPr>
              <w:t>1,040</w:t>
            </w:r>
          </w:p>
        </w:tc>
        <w:tc>
          <w:tcPr>
            <w:tcW w:w="0" w:type="auto"/>
            <w:tcBorders>
              <w:top w:val="single" w:sz="4" w:space="0" w:color="000000"/>
              <w:left w:val="single" w:sz="4" w:space="0" w:color="000000"/>
              <w:bottom w:val="single" w:sz="4" w:space="0" w:color="000000"/>
              <w:right w:val="single" w:sz="4" w:space="0" w:color="000000"/>
            </w:tcBorders>
            <w:vAlign w:val="center"/>
          </w:tcPr>
          <w:p w:rsidR="0036016A" w:rsidRPr="00EE2403" w:rsidP="00A251B5" w14:paraId="0B39E8ED" w14:textId="11A8991B">
            <w:pPr>
              <w:tabs>
                <w:tab w:val="left" w:pos="-720"/>
                <w:tab w:val="left" w:pos="0"/>
              </w:tabs>
              <w:suppressAutoHyphens/>
              <w:jc w:val="center"/>
              <w:rPr>
                <w:rFonts w:ascii="Arial" w:hAnsi="Arial" w:cs="Arial"/>
                <w:b/>
                <w:sz w:val="16"/>
                <w:szCs w:val="16"/>
              </w:rPr>
            </w:pPr>
            <w:r w:rsidRPr="00EE2403">
              <w:rPr>
                <w:rFonts w:ascii="Arial" w:hAnsi="Arial" w:cs="Arial"/>
                <w:b/>
                <w:sz w:val="16"/>
                <w:szCs w:val="16"/>
              </w:rPr>
              <w:t>$76,960</w:t>
            </w:r>
          </w:p>
        </w:tc>
      </w:tr>
    </w:tbl>
    <w:p w:rsidR="00F00131" w:rsidRPr="00094132" w:rsidP="00834E68" w14:paraId="29D9EB80" w14:textId="627C53BF">
      <w:pPr>
        <w:keepNext/>
        <w:spacing w:before="240" w:after="240"/>
        <w:jc w:val="center"/>
        <w:rPr>
          <w:rFonts w:ascii="Arial" w:hAnsi="Arial" w:cs="Arial"/>
          <w:b/>
          <w:sz w:val="16"/>
          <w:szCs w:val="16"/>
        </w:rPr>
      </w:pPr>
      <w:r w:rsidRPr="00094132">
        <w:rPr>
          <w:rFonts w:ascii="Arial" w:hAnsi="Arial" w:cs="Arial"/>
          <w:b/>
          <w:sz w:val="16"/>
          <w:szCs w:val="16"/>
        </w:rPr>
        <w:t xml:space="preserve">Third-Party </w:t>
      </w:r>
      <w:r w:rsidRPr="00094132" w:rsidR="00094132">
        <w:rPr>
          <w:rFonts w:ascii="Arial" w:hAnsi="Arial" w:cs="Arial"/>
          <w:b/>
          <w:sz w:val="16"/>
          <w:szCs w:val="16"/>
        </w:rPr>
        <w:t>Disclosure Burden Hours and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4"/>
        <w:gridCol w:w="1441"/>
        <w:gridCol w:w="1530"/>
        <w:gridCol w:w="1350"/>
        <w:gridCol w:w="1440"/>
        <w:gridCol w:w="1260"/>
        <w:gridCol w:w="1299"/>
        <w:gridCol w:w="1152"/>
        <w:gridCol w:w="1090"/>
        <w:gridCol w:w="1404"/>
      </w:tblGrid>
      <w:tr w14:paraId="0B5EC901" w14:textId="77777777" w:rsidTr="002669B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4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16D192E5"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1.</w:t>
            </w:r>
          </w:p>
          <w:p w:rsidR="00094132" w:rsidRPr="009A7BD4" w:rsidP="0087295E" w14:paraId="00FD0F58"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Regulation(s)</w:t>
            </w:r>
          </w:p>
        </w:tc>
        <w:tc>
          <w:tcPr>
            <w:tcW w:w="14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4132" w:rsidRPr="009A7BD4" w:rsidP="0087295E" w14:paraId="074266A2"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w:t>
            </w:r>
          </w:p>
          <w:p w:rsidR="00094132" w:rsidRPr="009A7BD4" w:rsidP="0087295E" w14:paraId="19680928"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Estimated Number of Respondents </w:t>
            </w:r>
          </w:p>
          <w:p w:rsidR="00094132" w:rsidRPr="009A7BD4" w:rsidP="0087295E" w14:paraId="4733FA44" w14:textId="77777777">
            <w:pPr>
              <w:keepNext/>
              <w:keepLines/>
              <w:tabs>
                <w:tab w:val="left" w:pos="-720"/>
                <w:tab w:val="left" w:pos="0"/>
              </w:tabs>
              <w:suppressAutoHyphens/>
              <w:jc w:val="center"/>
              <w:rPr>
                <w:rFonts w:ascii="Arial" w:hAnsi="Arial" w:cs="Arial"/>
                <w:b/>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3014E3C6"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3.</w:t>
            </w:r>
          </w:p>
          <w:p w:rsidR="00094132" w:rsidRPr="009A7BD4" w:rsidP="0087295E" w14:paraId="2C72F5A7"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Number of Responses by Each Respondent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5146CF86"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4.</w:t>
            </w:r>
          </w:p>
          <w:p w:rsidR="00094132" w:rsidRPr="009A7BD4" w:rsidP="0087295E" w14:paraId="249428F0"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Number of Burden Hours per Response</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62F3502F"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5.</w:t>
            </w:r>
          </w:p>
          <w:p w:rsidR="00094132" w:rsidRPr="009A7BD4" w:rsidP="0087295E" w14:paraId="2B58027A"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Annual Number of Burden Hours per Respondent</w:t>
            </w:r>
          </w:p>
          <w:p w:rsidR="00094132" w:rsidRPr="009A7BD4" w:rsidP="0087295E" w14:paraId="6A63CF45"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(3 x 4)</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4132" w:rsidRPr="009A7BD4" w:rsidP="0087295E" w14:paraId="121378D0"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6. </w:t>
            </w:r>
          </w:p>
          <w:p w:rsidR="00094132" w:rsidRPr="009A7BD4" w:rsidP="0087295E" w14:paraId="100E88E0"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Burden Hour Cost</w:t>
            </w:r>
          </w:p>
          <w:p w:rsidR="00094132" w:rsidRPr="009A7BD4" w:rsidP="0087295E" w14:paraId="18A5AD87" w14:textId="77777777">
            <w:pPr>
              <w:keepNext/>
              <w:keepLines/>
              <w:tabs>
                <w:tab w:val="left" w:pos="-720"/>
                <w:tab w:val="left" w:pos="0"/>
              </w:tabs>
              <w:suppressAutoHyphens/>
              <w:jc w:val="center"/>
              <w:rPr>
                <w:rFonts w:ascii="Arial" w:hAnsi="Arial" w:cs="Arial"/>
                <w:b/>
                <w:sz w:val="16"/>
                <w:szCs w:val="16"/>
              </w:rPr>
            </w:pPr>
          </w:p>
        </w:tc>
        <w:tc>
          <w:tcPr>
            <w:tcW w:w="12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26FED7B4" w14:textId="77777777">
            <w:pPr>
              <w:keepNext/>
              <w:keepLines/>
              <w:jc w:val="center"/>
              <w:rPr>
                <w:rFonts w:ascii="Arial" w:hAnsi="Arial" w:cs="Arial"/>
                <w:b/>
                <w:sz w:val="16"/>
                <w:szCs w:val="16"/>
              </w:rPr>
            </w:pPr>
            <w:r w:rsidRPr="009A7BD4">
              <w:rPr>
                <w:rFonts w:ascii="Arial" w:hAnsi="Arial" w:cs="Arial"/>
                <w:b/>
                <w:sz w:val="16"/>
                <w:szCs w:val="16"/>
              </w:rPr>
              <w:t>7.</w:t>
            </w:r>
          </w:p>
          <w:p w:rsidR="00094132" w:rsidRPr="009A7BD4" w:rsidP="0087295E" w14:paraId="19A5EF0E" w14:textId="77777777">
            <w:pPr>
              <w:keepNext/>
              <w:keepLines/>
              <w:jc w:val="center"/>
              <w:rPr>
                <w:rFonts w:ascii="Arial" w:hAnsi="Arial" w:cs="Arial"/>
                <w:b/>
                <w:sz w:val="16"/>
                <w:szCs w:val="16"/>
              </w:rPr>
            </w:pPr>
            <w:r w:rsidRPr="009A7BD4">
              <w:rPr>
                <w:rFonts w:ascii="Arial" w:hAnsi="Arial" w:cs="Arial"/>
                <w:b/>
                <w:sz w:val="16"/>
                <w:szCs w:val="16"/>
              </w:rPr>
              <w:t>Total Average Hour Burden Cost Per Respondent</w:t>
            </w:r>
          </w:p>
          <w:p w:rsidR="00094132" w:rsidRPr="009A7BD4" w:rsidP="0087295E" w14:paraId="0DD0BDB0" w14:textId="77777777">
            <w:pPr>
              <w:keepNext/>
              <w:keepLines/>
              <w:jc w:val="center"/>
              <w:rPr>
                <w:rFonts w:ascii="Arial" w:hAnsi="Arial" w:cs="Arial"/>
                <w:b/>
                <w:sz w:val="16"/>
                <w:szCs w:val="16"/>
              </w:rPr>
            </w:pPr>
            <w:r w:rsidRPr="009A7BD4">
              <w:rPr>
                <w:rFonts w:ascii="Arial" w:hAnsi="Arial" w:cs="Arial"/>
                <w:b/>
                <w:sz w:val="16"/>
                <w:szCs w:val="16"/>
              </w:rPr>
              <w:t>(5 x 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1C09B4FF"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8.</w:t>
            </w:r>
          </w:p>
          <w:p w:rsidR="00094132" w:rsidRPr="009A7BD4" w:rsidP="0087295E" w14:paraId="3B716CFC"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w:t>
            </w:r>
          </w:p>
          <w:p w:rsidR="00094132" w:rsidRPr="009A7BD4" w:rsidP="0087295E" w14:paraId="096ECAEE"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Responses</w:t>
            </w:r>
          </w:p>
          <w:p w:rsidR="00094132" w:rsidRPr="009A7BD4" w:rsidP="0087295E" w14:paraId="7A6BB598"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 x 3)</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11227DB6"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9.</w:t>
            </w:r>
          </w:p>
          <w:p w:rsidR="00094132" w:rsidRPr="009A7BD4" w:rsidP="0087295E" w14:paraId="733D5B66"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Number of Burden Hours</w:t>
            </w:r>
          </w:p>
          <w:p w:rsidR="00094132" w:rsidP="0087295E" w14:paraId="13E83F4F"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 x 5)</w:t>
            </w:r>
          </w:p>
          <w:p w:rsidR="00094132" w:rsidRPr="009A7BD4" w:rsidP="0087295E" w14:paraId="4FD178DD" w14:textId="77777777">
            <w:pPr>
              <w:keepNext/>
              <w:keepLines/>
              <w:tabs>
                <w:tab w:val="left" w:pos="-720"/>
                <w:tab w:val="left" w:pos="0"/>
              </w:tabs>
              <w:suppressAutoHyphens/>
              <w:jc w:val="center"/>
              <w:rPr>
                <w:rFonts w:ascii="Arial" w:hAnsi="Arial" w:cs="Arial"/>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94132" w:rsidRPr="009A7BD4" w:rsidP="0087295E" w14:paraId="321694D9"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10.</w:t>
            </w:r>
          </w:p>
          <w:p w:rsidR="00094132" w:rsidRPr="009A7BD4" w:rsidP="0087295E" w14:paraId="27590527"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Burden Hour Cost of All Responses</w:t>
            </w:r>
          </w:p>
          <w:p w:rsidR="00094132" w:rsidRPr="009A7BD4" w:rsidP="0087295E" w14:paraId="1D27651D" w14:textId="77777777">
            <w:pPr>
              <w:keepNext/>
              <w:keepLines/>
              <w:tabs>
                <w:tab w:val="left" w:pos="-720"/>
                <w:tab w:val="left" w:pos="0"/>
              </w:tabs>
              <w:suppressAutoHyphens/>
              <w:jc w:val="center"/>
              <w:rPr>
                <w:rFonts w:ascii="Arial" w:hAnsi="Arial" w:cs="Arial"/>
                <w:b/>
                <w:sz w:val="16"/>
                <w:szCs w:val="16"/>
              </w:rPr>
            </w:pPr>
            <w:r w:rsidRPr="009A7BD4">
              <w:rPr>
                <w:rFonts w:ascii="Arial" w:hAnsi="Arial" w:cs="Arial"/>
                <w:b/>
                <w:sz w:val="16"/>
                <w:szCs w:val="16"/>
              </w:rPr>
              <w:t>(2 x 7)</w:t>
            </w:r>
          </w:p>
        </w:tc>
      </w:tr>
      <w:tr w14:paraId="6F94D7EA" w14:textId="77777777" w:rsidTr="002669B8">
        <w:tblPrEx>
          <w:tblW w:w="0" w:type="auto"/>
          <w:tblLook w:val="04A0"/>
        </w:tblPrEx>
        <w:trPr>
          <w:trHeight w:val="620"/>
        </w:trPr>
        <w:tc>
          <w:tcPr>
            <w:tcW w:w="2424" w:type="dxa"/>
            <w:tcBorders>
              <w:top w:val="single" w:sz="4" w:space="0" w:color="000000"/>
              <w:left w:val="single" w:sz="4" w:space="0" w:color="000000"/>
              <w:bottom w:val="single" w:sz="4" w:space="0" w:color="000000"/>
              <w:right w:val="single" w:sz="4" w:space="0" w:color="000000"/>
            </w:tcBorders>
            <w:vAlign w:val="center"/>
          </w:tcPr>
          <w:p w:rsidR="00094132" w:rsidRPr="009A7BD4" w:rsidP="00A251B5" w14:paraId="4E51D912" w14:textId="77777777">
            <w:pPr>
              <w:tabs>
                <w:tab w:val="left" w:pos="-720"/>
              </w:tabs>
              <w:suppressAutoHyphens/>
              <w:rPr>
                <w:rFonts w:ascii="Arial" w:hAnsi="Arial" w:cs="Arial"/>
                <w:b/>
                <w:sz w:val="16"/>
                <w:szCs w:val="16"/>
              </w:rPr>
            </w:pPr>
            <w:r w:rsidRPr="007546B7">
              <w:rPr>
                <w:rFonts w:ascii="Arial" w:hAnsi="Arial" w:cs="Arial"/>
                <w:b/>
                <w:sz w:val="16"/>
                <w:szCs w:val="16"/>
              </w:rPr>
              <w:t>§ 37.6(b) Confirmation Requirement)</w:t>
            </w:r>
          </w:p>
        </w:tc>
        <w:tc>
          <w:tcPr>
            <w:tcW w:w="1441" w:type="dxa"/>
            <w:tcBorders>
              <w:top w:val="single" w:sz="4" w:space="0" w:color="000000"/>
              <w:left w:val="single" w:sz="4" w:space="0" w:color="000000"/>
              <w:bottom w:val="single" w:sz="4" w:space="0" w:color="000000"/>
              <w:right w:val="single" w:sz="4" w:space="0" w:color="000000"/>
            </w:tcBorders>
            <w:vAlign w:val="center"/>
          </w:tcPr>
          <w:p w:rsidR="00094132" w:rsidRPr="009A7BD4" w:rsidP="00A251B5" w14:paraId="350159BD" w14:textId="77777777">
            <w:pPr>
              <w:tabs>
                <w:tab w:val="left" w:pos="-720"/>
                <w:tab w:val="left" w:pos="0"/>
              </w:tabs>
              <w:suppressAutoHyphens/>
              <w:spacing w:before="240"/>
              <w:jc w:val="center"/>
              <w:rPr>
                <w:rFonts w:ascii="Arial" w:hAnsi="Arial" w:cs="Arial"/>
                <w:b/>
                <w:sz w:val="16"/>
                <w:szCs w:val="16"/>
              </w:rPr>
            </w:pPr>
            <w:r w:rsidRPr="007546B7">
              <w:rPr>
                <w:rFonts w:ascii="Arial" w:hAnsi="Arial" w:cs="Arial"/>
                <w:b/>
                <w:sz w:val="16"/>
                <w:szCs w:val="16"/>
              </w:rPr>
              <w:t>20</w:t>
            </w:r>
          </w:p>
        </w:tc>
        <w:tc>
          <w:tcPr>
            <w:tcW w:w="1530" w:type="dxa"/>
            <w:tcBorders>
              <w:top w:val="single" w:sz="4" w:space="0" w:color="000000"/>
              <w:left w:val="single" w:sz="4" w:space="0" w:color="000000"/>
              <w:bottom w:val="single" w:sz="4" w:space="0" w:color="000000"/>
              <w:right w:val="single" w:sz="4" w:space="0" w:color="000000"/>
            </w:tcBorders>
            <w:vAlign w:val="center"/>
          </w:tcPr>
          <w:p w:rsidR="00094132" w:rsidRPr="009A7BD4" w:rsidP="00A251B5" w14:paraId="0FDC651B" w14:textId="77777777">
            <w:pPr>
              <w:tabs>
                <w:tab w:val="left" w:pos="-720"/>
                <w:tab w:val="left" w:pos="0"/>
              </w:tabs>
              <w:suppressAutoHyphens/>
              <w:spacing w:before="240"/>
              <w:jc w:val="center"/>
              <w:rPr>
                <w:rFonts w:ascii="Arial" w:hAnsi="Arial" w:cs="Arial"/>
                <w:b/>
                <w:sz w:val="16"/>
                <w:szCs w:val="16"/>
              </w:rPr>
            </w:pPr>
            <w:r w:rsidRPr="00A87DE7">
              <w:rPr>
                <w:rFonts w:ascii="Arial" w:hAnsi="Arial" w:cs="Arial"/>
                <w:b/>
                <w:sz w:val="16"/>
                <w:szCs w:val="16"/>
              </w:rPr>
              <w:t>391,200</w:t>
            </w:r>
            <w:r>
              <w:rPr>
                <w:rStyle w:val="FootnoteReference"/>
                <w:rFonts w:ascii="Arial" w:hAnsi="Arial" w:cs="Arial"/>
                <w:b/>
                <w:sz w:val="16"/>
                <w:szCs w:val="16"/>
              </w:rPr>
              <w:footnoteReference w:id="7"/>
            </w:r>
          </w:p>
        </w:tc>
        <w:tc>
          <w:tcPr>
            <w:tcW w:w="1350" w:type="dxa"/>
            <w:tcBorders>
              <w:top w:val="single" w:sz="4" w:space="0" w:color="000000"/>
              <w:left w:val="single" w:sz="4" w:space="0" w:color="000000"/>
              <w:bottom w:val="single" w:sz="4" w:space="0" w:color="000000"/>
              <w:right w:val="single" w:sz="4" w:space="0" w:color="000000"/>
            </w:tcBorders>
            <w:vAlign w:val="center"/>
          </w:tcPr>
          <w:p w:rsidR="00094132" w:rsidP="00A251B5" w14:paraId="151F6E30" w14:textId="77777777">
            <w:pPr>
              <w:tabs>
                <w:tab w:val="left" w:pos="-720"/>
                <w:tab w:val="left" w:pos="0"/>
              </w:tabs>
              <w:suppressAutoHyphens/>
              <w:spacing w:before="240"/>
              <w:jc w:val="center"/>
              <w:rPr>
                <w:rFonts w:ascii="Arial" w:hAnsi="Arial" w:cs="Arial"/>
                <w:b/>
                <w:sz w:val="16"/>
                <w:szCs w:val="16"/>
              </w:rPr>
            </w:pPr>
            <w:r>
              <w:rPr>
                <w:rFonts w:ascii="Arial" w:hAnsi="Arial" w:cs="Arial"/>
                <w:b/>
                <w:sz w:val="16"/>
                <w:szCs w:val="16"/>
              </w:rPr>
              <w:t>3.45 secs</w:t>
            </w:r>
          </w:p>
        </w:tc>
        <w:tc>
          <w:tcPr>
            <w:tcW w:w="1440" w:type="dxa"/>
            <w:tcBorders>
              <w:top w:val="single" w:sz="4" w:space="0" w:color="000000"/>
              <w:left w:val="single" w:sz="4" w:space="0" w:color="000000"/>
              <w:bottom w:val="single" w:sz="4" w:space="0" w:color="000000"/>
              <w:right w:val="single" w:sz="4" w:space="0" w:color="000000"/>
            </w:tcBorders>
            <w:vAlign w:val="center"/>
          </w:tcPr>
          <w:p w:rsidR="00094132" w:rsidP="00A251B5" w14:paraId="71D2F5CF" w14:textId="77777777">
            <w:pPr>
              <w:tabs>
                <w:tab w:val="left" w:pos="-720"/>
                <w:tab w:val="left" w:pos="0"/>
              </w:tabs>
              <w:suppressAutoHyphens/>
              <w:spacing w:before="240"/>
              <w:jc w:val="center"/>
              <w:rPr>
                <w:rFonts w:ascii="Arial" w:hAnsi="Arial" w:cs="Arial"/>
                <w:b/>
                <w:sz w:val="16"/>
                <w:szCs w:val="16"/>
              </w:rPr>
            </w:pPr>
            <w:r>
              <w:rPr>
                <w:rFonts w:ascii="Arial" w:hAnsi="Arial" w:cs="Arial"/>
                <w:b/>
                <w:sz w:val="16"/>
                <w:szCs w:val="16"/>
              </w:rPr>
              <w:t>375 (rounded)</w:t>
            </w:r>
          </w:p>
        </w:tc>
        <w:tc>
          <w:tcPr>
            <w:tcW w:w="1260" w:type="dxa"/>
            <w:tcBorders>
              <w:top w:val="single" w:sz="4" w:space="0" w:color="000000"/>
              <w:left w:val="single" w:sz="4" w:space="0" w:color="000000"/>
              <w:bottom w:val="single" w:sz="4" w:space="0" w:color="000000"/>
              <w:right w:val="single" w:sz="4" w:space="0" w:color="000000"/>
            </w:tcBorders>
            <w:vAlign w:val="center"/>
          </w:tcPr>
          <w:p w:rsidR="00094132" w:rsidRPr="009A7BD4" w:rsidP="00A251B5" w14:paraId="452D0640" w14:textId="77777777">
            <w:pPr>
              <w:tabs>
                <w:tab w:val="left" w:pos="-720"/>
                <w:tab w:val="left" w:pos="0"/>
              </w:tabs>
              <w:suppressAutoHyphens/>
              <w:spacing w:before="240"/>
              <w:jc w:val="center"/>
              <w:rPr>
                <w:rFonts w:ascii="Arial" w:hAnsi="Arial" w:cs="Arial"/>
                <w:b/>
                <w:sz w:val="16"/>
                <w:szCs w:val="16"/>
              </w:rPr>
            </w:pPr>
            <w:r>
              <w:rPr>
                <w:rFonts w:ascii="Arial" w:hAnsi="Arial" w:cs="Arial"/>
                <w:b/>
                <w:sz w:val="16"/>
                <w:szCs w:val="16"/>
              </w:rPr>
              <w:t>$90</w:t>
            </w:r>
          </w:p>
        </w:tc>
        <w:tc>
          <w:tcPr>
            <w:tcW w:w="1299" w:type="dxa"/>
            <w:tcBorders>
              <w:top w:val="single" w:sz="4" w:space="0" w:color="000000"/>
              <w:left w:val="single" w:sz="4" w:space="0" w:color="000000"/>
              <w:bottom w:val="single" w:sz="4" w:space="0" w:color="000000"/>
              <w:right w:val="single" w:sz="4" w:space="0" w:color="000000"/>
            </w:tcBorders>
            <w:vAlign w:val="center"/>
          </w:tcPr>
          <w:p w:rsidR="00094132" w:rsidRPr="00B90E36" w:rsidP="00A251B5" w14:paraId="6B55AF6C" w14:textId="77777777">
            <w:pPr>
              <w:spacing w:before="240"/>
              <w:jc w:val="center"/>
              <w:rPr>
                <w:rFonts w:ascii="Arial" w:hAnsi="Arial" w:cs="Arial"/>
                <w:b/>
                <w:sz w:val="16"/>
                <w:szCs w:val="16"/>
              </w:rPr>
            </w:pPr>
            <w:r w:rsidRPr="00D329A5">
              <w:rPr>
                <w:rFonts w:ascii="Arial" w:hAnsi="Arial" w:cs="Arial"/>
                <w:b/>
                <w:sz w:val="16"/>
                <w:szCs w:val="16"/>
              </w:rPr>
              <w:t>$33,750</w:t>
            </w:r>
          </w:p>
        </w:tc>
        <w:tc>
          <w:tcPr>
            <w:tcW w:w="0" w:type="auto"/>
            <w:tcBorders>
              <w:top w:val="single" w:sz="4" w:space="0" w:color="000000"/>
              <w:left w:val="single" w:sz="4" w:space="0" w:color="000000"/>
              <w:bottom w:val="single" w:sz="4" w:space="0" w:color="000000"/>
              <w:right w:val="single" w:sz="4" w:space="0" w:color="000000"/>
            </w:tcBorders>
            <w:vAlign w:val="center"/>
          </w:tcPr>
          <w:p w:rsidR="00094132" w:rsidRPr="00B90E36" w:rsidP="00A251B5" w14:paraId="5137AAD5" w14:textId="77777777">
            <w:pPr>
              <w:tabs>
                <w:tab w:val="left" w:pos="-720"/>
                <w:tab w:val="left" w:pos="0"/>
              </w:tabs>
              <w:suppressAutoHyphens/>
              <w:spacing w:before="240"/>
              <w:jc w:val="center"/>
              <w:rPr>
                <w:rFonts w:ascii="Arial" w:hAnsi="Arial" w:cs="Arial"/>
                <w:b/>
                <w:sz w:val="16"/>
                <w:szCs w:val="16"/>
              </w:rPr>
            </w:pPr>
            <w:r>
              <w:rPr>
                <w:rFonts w:ascii="Arial" w:hAnsi="Arial" w:cs="Arial"/>
                <w:b/>
                <w:sz w:val="16"/>
                <w:szCs w:val="16"/>
              </w:rPr>
              <w:t>7,</w:t>
            </w:r>
            <w:r w:rsidRPr="007546B7">
              <w:rPr>
                <w:rFonts w:ascii="Arial" w:hAnsi="Arial" w:cs="Arial"/>
                <w:b/>
                <w:sz w:val="16"/>
                <w:szCs w:val="16"/>
              </w:rPr>
              <w:t>8</w:t>
            </w:r>
            <w:r>
              <w:rPr>
                <w:rFonts w:ascii="Arial" w:hAnsi="Arial" w:cs="Arial"/>
                <w:b/>
                <w:sz w:val="16"/>
                <w:szCs w:val="16"/>
              </w:rPr>
              <w:t>24</w:t>
            </w:r>
            <w:r w:rsidRPr="007546B7">
              <w:rPr>
                <w:rFonts w:ascii="Arial" w:hAnsi="Arial" w:cs="Arial"/>
                <w:b/>
                <w:sz w:val="16"/>
                <w:szCs w:val="16"/>
              </w:rPr>
              <w:t>,000</w:t>
            </w:r>
            <w:r>
              <w:rPr>
                <w:rStyle w:val="FootnoteReference"/>
                <w:rFonts w:ascii="Arial" w:hAnsi="Arial" w:cs="Arial"/>
                <w:b/>
                <w:sz w:val="16"/>
                <w:szCs w:val="16"/>
              </w:rPr>
              <w:footnoteReference w:id="8"/>
            </w:r>
            <w:r w:rsidRPr="007546B7">
              <w:rPr>
                <w:rFonts w:ascii="Arial" w:hAnsi="Arial" w:cs="Arial"/>
                <w:b/>
                <w:sz w:val="16"/>
                <w:szCs w:val="16"/>
              </w:rPr>
              <w:t xml:space="preserve"> (rounded)</w:t>
            </w:r>
          </w:p>
        </w:tc>
        <w:tc>
          <w:tcPr>
            <w:tcW w:w="0" w:type="auto"/>
            <w:tcBorders>
              <w:top w:val="single" w:sz="4" w:space="0" w:color="000000"/>
              <w:left w:val="single" w:sz="4" w:space="0" w:color="000000"/>
              <w:bottom w:val="single" w:sz="4" w:space="0" w:color="000000"/>
              <w:right w:val="single" w:sz="4" w:space="0" w:color="000000"/>
            </w:tcBorders>
            <w:vAlign w:val="center"/>
          </w:tcPr>
          <w:p w:rsidR="00094132" w:rsidRPr="007C75A1" w:rsidP="00A251B5" w14:paraId="5FA19D18" w14:textId="77777777">
            <w:pPr>
              <w:tabs>
                <w:tab w:val="left" w:pos="-720"/>
                <w:tab w:val="left" w:pos="0"/>
              </w:tabs>
              <w:suppressAutoHyphens/>
              <w:spacing w:before="240"/>
              <w:jc w:val="center"/>
              <w:rPr>
                <w:rFonts w:ascii="Arial" w:hAnsi="Arial" w:cs="Arial"/>
                <w:b/>
                <w:sz w:val="16"/>
                <w:szCs w:val="16"/>
              </w:rPr>
            </w:pPr>
            <w:r w:rsidRPr="007546B7">
              <w:rPr>
                <w:rFonts w:ascii="Arial" w:hAnsi="Arial" w:cs="Arial"/>
                <w:b/>
                <w:sz w:val="16"/>
                <w:szCs w:val="16"/>
              </w:rPr>
              <w:t>7,</w:t>
            </w:r>
            <w:r>
              <w:rPr>
                <w:rFonts w:ascii="Arial" w:hAnsi="Arial" w:cs="Arial"/>
                <w:b/>
                <w:sz w:val="16"/>
                <w:szCs w:val="16"/>
              </w:rPr>
              <w:t>500</w:t>
            </w:r>
          </w:p>
        </w:tc>
        <w:tc>
          <w:tcPr>
            <w:tcW w:w="0" w:type="auto"/>
            <w:tcBorders>
              <w:top w:val="single" w:sz="4" w:space="0" w:color="000000"/>
              <w:left w:val="single" w:sz="4" w:space="0" w:color="000000"/>
              <w:bottom w:val="single" w:sz="4" w:space="0" w:color="000000"/>
              <w:right w:val="single" w:sz="4" w:space="0" w:color="000000"/>
            </w:tcBorders>
            <w:vAlign w:val="center"/>
          </w:tcPr>
          <w:p w:rsidR="00094132" w:rsidRPr="007C75A1" w:rsidP="00A251B5" w14:paraId="56149B40" w14:textId="77777777">
            <w:pPr>
              <w:tabs>
                <w:tab w:val="left" w:pos="-720"/>
                <w:tab w:val="left" w:pos="0"/>
              </w:tabs>
              <w:suppressAutoHyphens/>
              <w:spacing w:before="240"/>
              <w:jc w:val="center"/>
              <w:rPr>
                <w:rFonts w:ascii="Arial" w:hAnsi="Arial" w:cs="Arial"/>
                <w:b/>
                <w:sz w:val="16"/>
                <w:szCs w:val="16"/>
              </w:rPr>
            </w:pPr>
            <w:r w:rsidRPr="007546B7">
              <w:rPr>
                <w:rFonts w:ascii="Arial" w:hAnsi="Arial" w:cs="Arial"/>
                <w:b/>
                <w:sz w:val="16"/>
                <w:szCs w:val="16"/>
              </w:rPr>
              <w:t>$6</w:t>
            </w:r>
            <w:r>
              <w:rPr>
                <w:rFonts w:ascii="Arial" w:hAnsi="Arial" w:cs="Arial"/>
                <w:b/>
                <w:sz w:val="16"/>
                <w:szCs w:val="16"/>
              </w:rPr>
              <w:t>75</w:t>
            </w:r>
            <w:r w:rsidRPr="007546B7">
              <w:rPr>
                <w:rFonts w:ascii="Arial" w:hAnsi="Arial" w:cs="Arial"/>
                <w:b/>
                <w:sz w:val="16"/>
                <w:szCs w:val="16"/>
              </w:rPr>
              <w:t>,000</w:t>
            </w:r>
            <w:r>
              <w:rPr>
                <w:rStyle w:val="FootnoteReference"/>
                <w:rFonts w:ascii="Arial" w:hAnsi="Arial" w:cs="Arial"/>
                <w:b/>
                <w:sz w:val="16"/>
                <w:szCs w:val="16"/>
              </w:rPr>
              <w:footnoteReference w:id="9"/>
            </w:r>
          </w:p>
        </w:tc>
      </w:tr>
    </w:tbl>
    <w:p w:rsidR="00094132" w:rsidRPr="00094132" w:rsidP="00094132" w14:paraId="3C46F2DC" w14:textId="77777777">
      <w:pPr>
        <w:keepNext/>
        <w:spacing w:before="240" w:after="240"/>
        <w:rPr>
          <w:rFonts w:ascii="Arial" w:hAnsi="Arial" w:cs="Arial"/>
          <w:b/>
          <w:sz w:val="16"/>
          <w:szCs w:val="16"/>
        </w:rPr>
      </w:pPr>
    </w:p>
    <w:p w:rsidR="008C4773" w:rsidRPr="009A7BD4" w:rsidP="0013608A" w14:paraId="4F759AB5" w14:textId="1437558E">
      <w:pPr>
        <w:keepNext/>
        <w:spacing w:before="240" w:after="240"/>
        <w:jc w:val="center"/>
        <w:rPr>
          <w:rFonts w:ascii="Arial" w:hAnsi="Arial" w:cs="Arial"/>
          <w:b/>
          <w:sz w:val="16"/>
          <w:szCs w:val="16"/>
          <w:u w:val="single"/>
        </w:rPr>
      </w:pPr>
      <w:r w:rsidRPr="009A7BD4">
        <w:rPr>
          <w:rFonts w:ascii="Arial" w:hAnsi="Arial" w:cs="Arial"/>
          <w:b/>
          <w:sz w:val="16"/>
          <w:szCs w:val="16"/>
          <w:u w:val="single"/>
        </w:rPr>
        <w:t>Burdens: SEF Registration</w:t>
      </w:r>
      <w:r w:rsidR="004C417A">
        <w:rPr>
          <w:rFonts w:ascii="Arial" w:hAnsi="Arial" w:cs="Arial"/>
          <w:b/>
          <w:sz w:val="16"/>
          <w:szCs w:val="16"/>
          <w:u w:val="single"/>
        </w:rPr>
        <w:t xml:space="preserve"> Process</w:t>
      </w:r>
    </w:p>
    <w:p w:rsidR="008C4773" w:rsidRPr="009A7BD4" w:rsidP="009A7BD4" w14:paraId="6DBCF615" w14:textId="64EB2FD2">
      <w:pPr>
        <w:keepNext/>
        <w:spacing w:after="240"/>
        <w:jc w:val="center"/>
        <w:rPr>
          <w:rFonts w:ascii="Arial" w:hAnsi="Arial" w:cs="Arial"/>
          <w:b/>
          <w:sz w:val="16"/>
          <w:szCs w:val="16"/>
        </w:rPr>
      </w:pPr>
      <w:r w:rsidRPr="009A7BD4">
        <w:rPr>
          <w:rFonts w:ascii="Arial" w:hAnsi="Arial" w:cs="Arial"/>
          <w:b/>
          <w:sz w:val="16"/>
          <w:szCs w:val="16"/>
        </w:rPr>
        <w:t>Reporting Burden Hours and Costs</w:t>
      </w:r>
      <w:r>
        <w:rPr>
          <w:rStyle w:val="FootnoteReference"/>
          <w:rFonts w:ascii="Arial" w:hAnsi="Arial" w:cs="Arial"/>
          <w:b/>
          <w:sz w:val="16"/>
          <w:szCs w:val="16"/>
        </w:rPr>
        <w:footnoteReference w:id="1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7"/>
        <w:gridCol w:w="1484"/>
        <w:gridCol w:w="1384"/>
        <w:gridCol w:w="1554"/>
        <w:gridCol w:w="1576"/>
        <w:gridCol w:w="1303"/>
        <w:gridCol w:w="1575"/>
        <w:gridCol w:w="1088"/>
        <w:gridCol w:w="1177"/>
        <w:gridCol w:w="1512"/>
      </w:tblGrid>
      <w:tr w14:paraId="2AEF1572" w14:textId="77777777" w:rsidTr="009A7BD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053965CA"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1.</w:t>
            </w:r>
          </w:p>
          <w:p w:rsidR="008C4773" w:rsidRPr="009A7BD4" w:rsidP="00462157" w14:paraId="0602A810"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Regulation(s)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C4773" w:rsidRPr="009A7BD4" w:rsidP="00462157" w14:paraId="2EF631B3"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2.</w:t>
            </w:r>
          </w:p>
          <w:p w:rsidR="008C4773" w:rsidRPr="009A7BD4" w:rsidP="00462157" w14:paraId="35DD693C"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Estimated Number of Respondents </w:t>
            </w:r>
          </w:p>
          <w:p w:rsidR="008C4773" w:rsidRPr="009A7BD4" w:rsidP="00462157" w14:paraId="0A1AE809" w14:textId="77777777">
            <w:pPr>
              <w:keepNext/>
              <w:tabs>
                <w:tab w:val="left" w:pos="-720"/>
                <w:tab w:val="left" w:pos="0"/>
              </w:tabs>
              <w:suppressAutoHyphens/>
              <w:jc w:val="center"/>
              <w:rPr>
                <w:rFonts w:ascii="Arial" w:hAnsi="Arial" w:cs="Arial"/>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45444E74"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3.</w:t>
            </w:r>
          </w:p>
          <w:p w:rsidR="008C4773" w:rsidRPr="009A7BD4" w:rsidP="00462157" w14:paraId="68827FEB"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Number of Responses</w:t>
            </w:r>
          </w:p>
          <w:p w:rsidR="008C4773" w:rsidRPr="009A7BD4" w:rsidP="00462157" w14:paraId="71725B05"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by Each Respondent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4B1ACA4C"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4.</w:t>
            </w:r>
          </w:p>
          <w:p w:rsidR="008C4773" w:rsidRPr="009A7BD4" w:rsidP="00462157" w14:paraId="5DCFACA2"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Number of Burden Hours per Response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031EB9B1"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5.</w:t>
            </w:r>
          </w:p>
          <w:p w:rsidR="008C4773" w:rsidRPr="009A7BD4" w:rsidP="00462157" w14:paraId="4CC671EC" w14:textId="316A1A16">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Annual Number of Burden Hours per Respondent</w:t>
            </w:r>
          </w:p>
          <w:p w:rsidR="008C4773" w:rsidRPr="009A7BD4" w:rsidP="00462157" w14:paraId="740D5488"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(3 x 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C4773" w:rsidRPr="009A7BD4" w:rsidP="00462157" w14:paraId="3E70E888"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 xml:space="preserve">6. </w:t>
            </w:r>
          </w:p>
          <w:p w:rsidR="008C4773" w:rsidRPr="009A7BD4" w:rsidP="00462157" w14:paraId="0C957E74"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Estimated Average Burden Hour Cost</w:t>
            </w:r>
          </w:p>
          <w:p w:rsidR="008C4773" w:rsidRPr="009A7BD4" w:rsidP="00462157" w14:paraId="5E20E1D5" w14:textId="77777777">
            <w:pPr>
              <w:keepNext/>
              <w:tabs>
                <w:tab w:val="left" w:pos="-720"/>
                <w:tab w:val="left" w:pos="0"/>
              </w:tabs>
              <w:suppressAutoHyphens/>
              <w:jc w:val="center"/>
              <w:rPr>
                <w:rFonts w:ascii="Arial" w:hAnsi="Arial" w:cs="Arial"/>
                <w:b/>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2E84A356" w14:textId="77777777">
            <w:pPr>
              <w:keepNext/>
              <w:jc w:val="center"/>
              <w:rPr>
                <w:rFonts w:ascii="Arial" w:hAnsi="Arial" w:cs="Arial"/>
                <w:b/>
                <w:sz w:val="16"/>
                <w:szCs w:val="16"/>
              </w:rPr>
            </w:pPr>
            <w:r w:rsidRPr="009A7BD4">
              <w:rPr>
                <w:rFonts w:ascii="Arial" w:hAnsi="Arial" w:cs="Arial"/>
                <w:b/>
                <w:sz w:val="16"/>
                <w:szCs w:val="16"/>
              </w:rPr>
              <w:t>7.</w:t>
            </w:r>
          </w:p>
          <w:p w:rsidR="008C4773" w:rsidRPr="009A7BD4" w:rsidP="00462157" w14:paraId="317AF6DB" w14:textId="77777777">
            <w:pPr>
              <w:keepNext/>
              <w:jc w:val="center"/>
              <w:rPr>
                <w:rFonts w:ascii="Arial" w:hAnsi="Arial" w:cs="Arial"/>
                <w:b/>
                <w:sz w:val="16"/>
                <w:szCs w:val="16"/>
              </w:rPr>
            </w:pPr>
            <w:r w:rsidRPr="009A7BD4">
              <w:rPr>
                <w:rFonts w:ascii="Arial" w:hAnsi="Arial" w:cs="Arial"/>
                <w:b/>
                <w:sz w:val="16"/>
                <w:szCs w:val="16"/>
              </w:rPr>
              <w:t>Total Average Hour Burden Cost Per Respondent</w:t>
            </w:r>
          </w:p>
          <w:p w:rsidR="008C4773" w:rsidRPr="009A7BD4" w:rsidP="00462157" w14:paraId="555CF684" w14:textId="77777777">
            <w:pPr>
              <w:keepNext/>
              <w:jc w:val="center"/>
              <w:rPr>
                <w:rFonts w:ascii="Arial" w:hAnsi="Arial" w:cs="Arial"/>
                <w:b/>
                <w:sz w:val="16"/>
                <w:szCs w:val="16"/>
              </w:rPr>
            </w:pPr>
            <w:r w:rsidRPr="009A7BD4">
              <w:rPr>
                <w:rFonts w:ascii="Arial" w:hAnsi="Arial" w:cs="Arial"/>
                <w:b/>
                <w:sz w:val="16"/>
                <w:szCs w:val="16"/>
              </w:rPr>
              <w:t>(5 x 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6A6A0050"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8.</w:t>
            </w:r>
          </w:p>
          <w:p w:rsidR="008C4773" w:rsidRPr="009A7BD4" w:rsidP="00462157" w14:paraId="7F9AFF82"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w:t>
            </w:r>
          </w:p>
          <w:p w:rsidR="008C4773" w:rsidRPr="009A7BD4" w:rsidP="00462157" w14:paraId="7849277E"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Responses</w:t>
            </w:r>
          </w:p>
          <w:p w:rsidR="008C4773" w:rsidRPr="009A7BD4" w:rsidP="00462157" w14:paraId="297D03FC"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(2 x 3)</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3C0EB416"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9.</w:t>
            </w:r>
          </w:p>
          <w:p w:rsidR="008C4773" w:rsidRPr="009A7BD4" w:rsidP="00462157" w14:paraId="1B1F8C28" w14:textId="1F46F813">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Number of Burden Hours</w:t>
            </w:r>
          </w:p>
          <w:p w:rsidR="008C4773" w:rsidRPr="009A7BD4" w:rsidP="00462157" w14:paraId="24509E0B"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(2 x 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C4773" w:rsidRPr="009A7BD4" w:rsidP="00462157" w14:paraId="43CBD8B9"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10.</w:t>
            </w:r>
          </w:p>
          <w:p w:rsidR="008C4773" w:rsidRPr="009A7BD4" w:rsidP="00462157" w14:paraId="7E460B0B"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Total Annual Burden Hour Cost of All Responses</w:t>
            </w:r>
          </w:p>
          <w:p w:rsidR="008C4773" w:rsidP="00462157" w14:paraId="776937D6"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(2 x 7)</w:t>
            </w:r>
          </w:p>
          <w:p w:rsidR="009A7BD4" w:rsidRPr="009A7BD4" w:rsidP="00462157" w14:paraId="60229D08" w14:textId="77777777">
            <w:pPr>
              <w:keepNext/>
              <w:tabs>
                <w:tab w:val="left" w:pos="-720"/>
                <w:tab w:val="left" w:pos="0"/>
              </w:tabs>
              <w:suppressAutoHyphens/>
              <w:jc w:val="center"/>
              <w:rPr>
                <w:rFonts w:ascii="Arial" w:hAnsi="Arial" w:cs="Arial"/>
                <w:b/>
                <w:sz w:val="16"/>
                <w:szCs w:val="16"/>
              </w:rPr>
            </w:pPr>
          </w:p>
        </w:tc>
      </w:tr>
      <w:tr w14:paraId="15816982" w14:textId="77777777" w:rsidTr="00A251B5">
        <w:tblPrEx>
          <w:tblW w:w="0" w:type="auto"/>
          <w:tblLook w:val="04A0"/>
        </w:tblPrEx>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31169294" w14:textId="719BE60D">
            <w:pPr>
              <w:keepNext/>
              <w:tabs>
                <w:tab w:val="left" w:pos="-720"/>
                <w:tab w:val="left" w:pos="0"/>
              </w:tabs>
              <w:suppressAutoHyphens/>
              <w:rPr>
                <w:rFonts w:ascii="Arial" w:hAnsi="Arial" w:cs="Arial"/>
                <w:b/>
                <w:sz w:val="16"/>
                <w:szCs w:val="16"/>
              </w:rPr>
            </w:pPr>
            <w:r w:rsidRPr="009A7BD4">
              <w:rPr>
                <w:rFonts w:ascii="Arial" w:hAnsi="Arial" w:cs="Arial"/>
                <w:b/>
                <w:sz w:val="16"/>
                <w:szCs w:val="16"/>
              </w:rPr>
              <w:t>§ 37.3 and Form SEF</w:t>
            </w:r>
            <w:r w:rsidR="00790537">
              <w:rPr>
                <w:rFonts w:ascii="Arial" w:hAnsi="Arial" w:cs="Arial"/>
                <w:b/>
                <w:sz w:val="16"/>
                <w:szCs w:val="16"/>
              </w:rPr>
              <w:t xml:space="preserve"> and Technology Questionnaire</w:t>
            </w:r>
          </w:p>
          <w:p w:rsidR="008C4773" w:rsidRPr="009A7BD4" w:rsidP="00A251B5" w14:paraId="4A01FB47" w14:textId="77777777">
            <w:pPr>
              <w:keepNext/>
              <w:tabs>
                <w:tab w:val="left" w:pos="-720"/>
                <w:tab w:val="left" w:pos="0"/>
              </w:tabs>
              <w:suppressAutoHyphens/>
              <w:rPr>
                <w:rFonts w:ascii="Arial" w:hAnsi="Arial" w:cs="Arial"/>
                <w:b/>
                <w:sz w:val="16"/>
                <w:szCs w:val="16"/>
              </w:rPr>
            </w:pPr>
            <w:r w:rsidRPr="009A7BD4">
              <w:rPr>
                <w:rFonts w:ascii="Arial" w:hAnsi="Arial" w:cs="Arial"/>
                <w:b/>
                <w:sz w:val="16"/>
                <w:szCs w:val="16"/>
              </w:rPr>
              <w:t>(SEF Registration)</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44218B28" w14:textId="02161A20">
            <w:pPr>
              <w:keepNext/>
              <w:tabs>
                <w:tab w:val="left" w:pos="-720"/>
                <w:tab w:val="left" w:pos="0"/>
              </w:tabs>
              <w:suppressAutoHyphens/>
              <w:jc w:val="center"/>
              <w:rPr>
                <w:rFonts w:ascii="Arial" w:hAnsi="Arial" w:cs="Arial"/>
                <w:b/>
                <w:sz w:val="16"/>
                <w:szCs w:val="16"/>
              </w:rPr>
            </w:pPr>
            <w:r>
              <w:rPr>
                <w:rFonts w:ascii="Arial" w:hAnsi="Arial" w:cs="Arial"/>
                <w:b/>
                <w:sz w:val="16"/>
                <w:szCs w:val="16"/>
              </w:rPr>
              <w:t>1</w:t>
            </w:r>
            <w:r>
              <w:rPr>
                <w:rStyle w:val="FootnoteReference"/>
                <w:rFonts w:ascii="Arial" w:hAnsi="Arial" w:cs="Arial"/>
                <w:b/>
                <w:sz w:val="16"/>
                <w:szCs w:val="16"/>
              </w:rPr>
              <w:footnoteReference w:id="11"/>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32BF5748" w14:textId="0F4073C1">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1</w:t>
            </w:r>
            <w:r>
              <w:rPr>
                <w:rStyle w:val="FootnoteReference"/>
                <w:rFonts w:ascii="Arial" w:hAnsi="Arial" w:cs="Arial"/>
                <w:b/>
                <w:sz w:val="16"/>
                <w:szCs w:val="16"/>
              </w:rPr>
              <w:footnoteReference w:id="12"/>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77B4025A"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295</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3FF4FF19" w14:textId="77777777">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295</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3F07C2AD" w14:textId="61BA25DB">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w:t>
            </w:r>
            <w:r w:rsidR="006D04C9">
              <w:rPr>
                <w:rFonts w:ascii="Arial" w:hAnsi="Arial" w:cs="Arial"/>
                <w:b/>
                <w:sz w:val="16"/>
                <w:szCs w:val="16"/>
              </w:rPr>
              <w:t>74</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2C437085" w14:textId="79188DA9">
            <w:pPr>
              <w:keepNext/>
              <w:jc w:val="center"/>
              <w:rPr>
                <w:rFonts w:ascii="Arial" w:hAnsi="Arial" w:cs="Arial"/>
                <w:b/>
                <w:sz w:val="16"/>
                <w:szCs w:val="16"/>
              </w:rPr>
            </w:pPr>
            <w:r w:rsidRPr="009A7BD4">
              <w:rPr>
                <w:rFonts w:ascii="Arial" w:hAnsi="Arial" w:cs="Arial"/>
                <w:b/>
                <w:sz w:val="16"/>
                <w:szCs w:val="16"/>
              </w:rPr>
              <w:t>$</w:t>
            </w:r>
            <w:r w:rsidR="00556A9A">
              <w:rPr>
                <w:rFonts w:ascii="Arial" w:hAnsi="Arial" w:cs="Arial"/>
                <w:b/>
                <w:sz w:val="16"/>
                <w:szCs w:val="16"/>
              </w:rPr>
              <w:t>21</w:t>
            </w:r>
            <w:r w:rsidR="00EE051C">
              <w:rPr>
                <w:rFonts w:ascii="Arial" w:hAnsi="Arial" w:cs="Arial"/>
                <w:b/>
                <w:sz w:val="16"/>
                <w:szCs w:val="16"/>
              </w:rPr>
              <w:t>,830</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6C5D1E93" w14:textId="34549A24">
            <w:pPr>
              <w:keepNext/>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5DB4A14D" w14:textId="4D1AEC84">
            <w:pPr>
              <w:keepNext/>
              <w:tabs>
                <w:tab w:val="left" w:pos="-720"/>
                <w:tab w:val="left" w:pos="0"/>
              </w:tabs>
              <w:suppressAutoHyphens/>
              <w:jc w:val="center"/>
              <w:rPr>
                <w:rFonts w:ascii="Arial" w:hAnsi="Arial" w:cs="Arial"/>
                <w:b/>
                <w:sz w:val="16"/>
                <w:szCs w:val="16"/>
              </w:rPr>
            </w:pPr>
            <w:r>
              <w:rPr>
                <w:rFonts w:ascii="Arial" w:hAnsi="Arial" w:cs="Arial"/>
                <w:b/>
                <w:sz w:val="16"/>
                <w:szCs w:val="16"/>
              </w:rPr>
              <w:t>29</w:t>
            </w:r>
            <w:r w:rsidR="00781315">
              <w:rPr>
                <w:rFonts w:ascii="Arial" w:hAnsi="Arial" w:cs="Arial"/>
                <w:b/>
                <w:sz w:val="16"/>
                <w:szCs w:val="16"/>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8C4773" w:rsidRPr="009A7BD4" w:rsidP="00A251B5" w14:paraId="215D5B39" w14:textId="6EF05D81">
            <w:pPr>
              <w:keepNext/>
              <w:tabs>
                <w:tab w:val="left" w:pos="-720"/>
                <w:tab w:val="left" w:pos="0"/>
              </w:tabs>
              <w:suppressAutoHyphens/>
              <w:jc w:val="center"/>
              <w:rPr>
                <w:rFonts w:ascii="Arial" w:hAnsi="Arial" w:cs="Arial"/>
                <w:b/>
                <w:sz w:val="16"/>
                <w:szCs w:val="16"/>
              </w:rPr>
            </w:pPr>
            <w:r w:rsidRPr="009A7BD4">
              <w:rPr>
                <w:rFonts w:ascii="Arial" w:hAnsi="Arial" w:cs="Arial"/>
                <w:b/>
                <w:sz w:val="16"/>
                <w:szCs w:val="16"/>
              </w:rPr>
              <w:t>$</w:t>
            </w:r>
            <w:r w:rsidR="00781315">
              <w:rPr>
                <w:rFonts w:ascii="Arial" w:hAnsi="Arial" w:cs="Arial"/>
                <w:b/>
                <w:sz w:val="16"/>
                <w:szCs w:val="16"/>
              </w:rPr>
              <w:t>21,830</w:t>
            </w:r>
          </w:p>
        </w:tc>
      </w:tr>
    </w:tbl>
    <w:p w:rsidR="00644EA7" w:rsidP="00FA64DE" w14:paraId="3110E71B" w14:textId="77777777">
      <w:pPr>
        <w:tabs>
          <w:tab w:val="left" w:pos="-720"/>
        </w:tabs>
        <w:suppressAutoHyphens/>
        <w:jc w:val="center"/>
        <w:rPr>
          <w:rFonts w:ascii="Times New Roman" w:hAnsi="Times New Roman"/>
        </w:rPr>
      </w:pPr>
    </w:p>
    <w:p w:rsidR="000B2CDF" w:rsidRPr="006C6DDE" w:rsidP="000B2CDF" w14:paraId="29935DFA" w14:textId="78711B30">
      <w:pPr>
        <w:keepNext/>
        <w:keepLines/>
        <w:spacing w:after="120"/>
        <w:rPr>
          <w:rFonts w:ascii="Times New Roman" w:hAnsi="Times New Roman"/>
          <w:szCs w:val="24"/>
        </w:rPr>
      </w:pPr>
      <w:r w:rsidRPr="006C6DDE">
        <w:rPr>
          <w:rFonts w:ascii="Times New Roman" w:hAnsi="Times New Roman"/>
          <w:b/>
          <w:szCs w:val="24"/>
        </w:rPr>
        <w:t>Total Estimated Burden for Information Collection 3038-00</w:t>
      </w:r>
      <w:r>
        <w:rPr>
          <w:rFonts w:ascii="Times New Roman" w:hAnsi="Times New Roman"/>
          <w:b/>
          <w:szCs w:val="24"/>
        </w:rPr>
        <w:t>74</w:t>
      </w:r>
    </w:p>
    <w:p w:rsidR="000B2CDF" w:rsidRPr="006C6DDE" w:rsidP="000B2CDF" w14:paraId="1589194A" w14:textId="6C75D2F0">
      <w:pPr>
        <w:keepNext/>
        <w:keepLines/>
        <w:spacing w:after="120"/>
        <w:rPr>
          <w:rFonts w:ascii="Times New Roman" w:hAnsi="Times New Roman"/>
          <w:szCs w:val="24"/>
        </w:rPr>
      </w:pPr>
      <w:r w:rsidRPr="006C6DDE">
        <w:rPr>
          <w:rFonts w:ascii="Times New Roman" w:hAnsi="Times New Roman"/>
          <w:szCs w:val="24"/>
        </w:rPr>
        <w:t xml:space="preserve">Estimated number of respondents:  </w:t>
      </w:r>
      <w:r w:rsidR="007A4991">
        <w:rPr>
          <w:rFonts w:ascii="Times New Roman" w:hAnsi="Times New Roman"/>
          <w:szCs w:val="24"/>
        </w:rPr>
        <w:t>20.</w:t>
      </w:r>
    </w:p>
    <w:p w:rsidR="000B2CDF" w:rsidRPr="006C6DDE" w:rsidP="000B2CDF" w14:paraId="479BDAB6" w14:textId="7A28D8A2">
      <w:pPr>
        <w:keepNext/>
        <w:keepLines/>
        <w:spacing w:after="120"/>
        <w:rPr>
          <w:rFonts w:ascii="Times New Roman" w:hAnsi="Times New Roman"/>
          <w:szCs w:val="24"/>
        </w:rPr>
      </w:pPr>
      <w:r w:rsidRPr="006C6DDE">
        <w:rPr>
          <w:rFonts w:ascii="Times New Roman" w:hAnsi="Times New Roman"/>
          <w:szCs w:val="24"/>
        </w:rPr>
        <w:t xml:space="preserve">Estimated total annual number of responses:  </w:t>
      </w:r>
      <w:r w:rsidR="00941EAD">
        <w:rPr>
          <w:rFonts w:ascii="Times New Roman" w:hAnsi="Times New Roman"/>
          <w:szCs w:val="24"/>
        </w:rPr>
        <w:t>7,829,1</w:t>
      </w:r>
      <w:r w:rsidR="007A032E">
        <w:rPr>
          <w:rFonts w:ascii="Times New Roman" w:hAnsi="Times New Roman"/>
          <w:szCs w:val="24"/>
        </w:rPr>
        <w:t>4</w:t>
      </w:r>
      <w:r w:rsidR="00C551E0">
        <w:rPr>
          <w:rFonts w:ascii="Times New Roman" w:hAnsi="Times New Roman"/>
          <w:szCs w:val="24"/>
        </w:rPr>
        <w:t>7</w:t>
      </w:r>
      <w:r w:rsidR="00D87101">
        <w:rPr>
          <w:rFonts w:ascii="Times New Roman" w:hAnsi="Times New Roman"/>
          <w:szCs w:val="24"/>
        </w:rPr>
        <w:t>.</w:t>
      </w:r>
    </w:p>
    <w:p w:rsidR="000B2CDF" w:rsidRPr="006C6DDE" w:rsidP="000B2CDF" w14:paraId="4122661D" w14:textId="1DCBCB27">
      <w:pPr>
        <w:keepNext/>
        <w:keepLines/>
        <w:spacing w:after="120"/>
        <w:rPr>
          <w:rFonts w:ascii="Times New Roman" w:hAnsi="Times New Roman"/>
          <w:szCs w:val="24"/>
        </w:rPr>
      </w:pPr>
      <w:r w:rsidRPr="006C6DDE">
        <w:rPr>
          <w:rFonts w:ascii="Times New Roman" w:hAnsi="Times New Roman"/>
          <w:szCs w:val="24"/>
        </w:rPr>
        <w:t xml:space="preserve">Estimated total annual burden hours:  </w:t>
      </w:r>
      <w:r w:rsidR="00992624">
        <w:rPr>
          <w:rFonts w:ascii="Times New Roman" w:hAnsi="Times New Roman"/>
          <w:szCs w:val="24"/>
        </w:rPr>
        <w:t>15,</w:t>
      </w:r>
      <w:r w:rsidR="00F44C06">
        <w:rPr>
          <w:rFonts w:ascii="Times New Roman" w:hAnsi="Times New Roman"/>
          <w:szCs w:val="24"/>
        </w:rPr>
        <w:t>499</w:t>
      </w:r>
      <w:r w:rsidR="00992624">
        <w:rPr>
          <w:rFonts w:ascii="Times New Roman" w:hAnsi="Times New Roman"/>
          <w:szCs w:val="24"/>
        </w:rPr>
        <w:t>.</w:t>
      </w:r>
    </w:p>
    <w:p w:rsidR="000B2CDF" w:rsidRPr="006C6DDE" w:rsidP="000B2CDF" w14:paraId="5FB432E3" w14:textId="01749D32">
      <w:pPr>
        <w:keepNext/>
        <w:keepLines/>
        <w:spacing w:after="120"/>
        <w:rPr>
          <w:rFonts w:ascii="Times New Roman" w:hAnsi="Times New Roman"/>
          <w:szCs w:val="24"/>
        </w:rPr>
      </w:pPr>
      <w:r w:rsidRPr="006C6DDE">
        <w:rPr>
          <w:rFonts w:ascii="Times New Roman" w:hAnsi="Times New Roman"/>
          <w:szCs w:val="24"/>
        </w:rPr>
        <w:t xml:space="preserve">Estimated total annual burden cost:  </w:t>
      </w:r>
      <w:r w:rsidR="00687FCC">
        <w:rPr>
          <w:rFonts w:ascii="Times New Roman" w:hAnsi="Times New Roman"/>
          <w:szCs w:val="24"/>
        </w:rPr>
        <w:t>$1,2</w:t>
      </w:r>
      <w:r w:rsidR="00B91642">
        <w:rPr>
          <w:rFonts w:ascii="Times New Roman" w:hAnsi="Times New Roman"/>
          <w:szCs w:val="24"/>
        </w:rPr>
        <w:t>67</w:t>
      </w:r>
      <w:r w:rsidR="00687FCC">
        <w:rPr>
          <w:rFonts w:ascii="Times New Roman" w:hAnsi="Times New Roman"/>
          <w:szCs w:val="24"/>
        </w:rPr>
        <w:t>,</w:t>
      </w:r>
      <w:r w:rsidR="00B91642">
        <w:rPr>
          <w:rFonts w:ascii="Times New Roman" w:hAnsi="Times New Roman"/>
          <w:szCs w:val="24"/>
        </w:rPr>
        <w:t>758</w:t>
      </w:r>
      <w:r w:rsidR="00193AB0">
        <w:rPr>
          <w:rFonts w:ascii="Times New Roman" w:hAnsi="Times New Roman"/>
          <w:szCs w:val="24"/>
        </w:rPr>
        <w:t>.</w:t>
      </w:r>
    </w:p>
    <w:p w:rsidR="00F83E08" w:rsidRPr="002451D0" w:rsidP="000B2CDF" w14:paraId="67CCCD5D" w14:textId="77777777">
      <w:pPr>
        <w:tabs>
          <w:tab w:val="left" w:pos="-720"/>
        </w:tabs>
        <w:suppressAutoHyphens/>
        <w:rPr>
          <w:rFonts w:ascii="Times New Roman" w:hAnsi="Times New Roman"/>
        </w:rPr>
      </w:pPr>
    </w:p>
    <w:sectPr w:rsidSect="003222D2">
      <w:headerReference w:type="default" r:id="rId14"/>
      <w:footnotePr>
        <w:numRestart w:val="eachSect"/>
      </w:footnotePr>
      <w:endnotePr>
        <w:numFmt w:val="decimal"/>
      </w:endnotePr>
      <w:pgSz w:w="15840" w:h="12240" w:orient="landscape"/>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15814" w14:paraId="5422C8DC" w14:textId="77777777">
      <w:pPr>
        <w:spacing w:line="20" w:lineRule="exact"/>
      </w:pPr>
    </w:p>
  </w:endnote>
  <w:endnote w:type="continuationSeparator" w:id="1">
    <w:p w:rsidR="00815814" w14:paraId="3E476E71" w14:textId="77777777">
      <w:r>
        <w:t xml:space="preserve"> </w:t>
      </w:r>
    </w:p>
  </w:endnote>
  <w:endnote w:type="continuationNotice" w:id="2">
    <w:p w:rsidR="00815814" w14:paraId="13E24F2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3EF" w14:paraId="5D6A3674" w14:textId="77777777">
    <w:pPr>
      <w:pStyle w:val="Footer"/>
      <w:jc w:val="center"/>
    </w:pPr>
    <w:r>
      <w:fldChar w:fldCharType="begin"/>
    </w:r>
    <w:r>
      <w:instrText xml:space="preserve"> PAGE   \* MERGEFORMAT </w:instrText>
    </w:r>
    <w:r>
      <w:fldChar w:fldCharType="separate"/>
    </w:r>
    <w:r w:rsidR="00E33A9B">
      <w:rPr>
        <w:noProof/>
      </w:rPr>
      <w:t>1</w:t>
    </w:r>
    <w:r>
      <w:rPr>
        <w:noProof/>
      </w:rPr>
      <w:fldChar w:fldCharType="end"/>
    </w:r>
  </w:p>
  <w:p w:rsidR="003D63EF" w14:paraId="4EB7E6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5814" w14:paraId="31C7E89E" w14:textId="77777777">
      <w:r>
        <w:separator/>
      </w:r>
    </w:p>
  </w:footnote>
  <w:footnote w:type="continuationSeparator" w:id="1">
    <w:p w:rsidR="00815814" w14:paraId="257A41AA" w14:textId="77777777">
      <w:r>
        <w:t>(..continued)</w:t>
      </w:r>
    </w:p>
  </w:footnote>
  <w:footnote w:id="2">
    <w:p w:rsidR="004650D5" w:rsidRPr="00D00376" w:rsidP="00D00376" w14:paraId="5DBF0E4F" w14:textId="498404B0">
      <w:pPr>
        <w:pStyle w:val="FootnoteText"/>
        <w:spacing w:after="120"/>
        <w:rPr>
          <w:rFonts w:ascii="Times New Roman" w:hAnsi="Times New Roman"/>
          <w:b/>
          <w:sz w:val="20"/>
        </w:rPr>
      </w:pPr>
      <w:r w:rsidRPr="00D00376">
        <w:rPr>
          <w:rStyle w:val="FootnoteReference"/>
          <w:rFonts w:ascii="Times New Roman" w:hAnsi="Times New Roman"/>
          <w:sz w:val="20"/>
        </w:rPr>
        <w:footnoteRef/>
      </w:r>
      <w:r w:rsidRPr="00D00376">
        <w:rPr>
          <w:rFonts w:ascii="Times New Roman" w:hAnsi="Times New Roman"/>
          <w:sz w:val="20"/>
        </w:rPr>
        <w:t xml:space="preserve"> OMB Control Number </w:t>
      </w:r>
      <w:r w:rsidR="00D00376">
        <w:rPr>
          <w:rFonts w:ascii="Times New Roman" w:hAnsi="Times New Roman"/>
          <w:sz w:val="20"/>
        </w:rPr>
        <w:t xml:space="preserve">3038-0074 </w:t>
      </w:r>
      <w:r w:rsidRPr="00D00376">
        <w:rPr>
          <w:rFonts w:ascii="Times New Roman" w:hAnsi="Times New Roman"/>
          <w:sz w:val="20"/>
        </w:rPr>
        <w:t>covers all information collections in part 37 of the Commission’s regulations, including the information collections in Subpart A and the SEF core principles (</w:t>
      </w:r>
      <w:r w:rsidRPr="00D00376">
        <w:rPr>
          <w:rFonts w:ascii="Times New Roman" w:hAnsi="Times New Roman"/>
          <w:i/>
          <w:sz w:val="20"/>
        </w:rPr>
        <w:t>i.e.</w:t>
      </w:r>
      <w:r w:rsidRPr="00D00376">
        <w:rPr>
          <w:rFonts w:ascii="Times New Roman" w:hAnsi="Times New Roman"/>
          <w:sz w:val="20"/>
        </w:rPr>
        <w:t>, Subparts B and C).  However, any information collections related to § 37.10 of the Commission’s regulations are subject to a separate information collection with OMB control number 3038-0099 (Process for a Swap Execution Facility or Designated Contract Market to Make a Swap Available to Trade).</w:t>
      </w:r>
    </w:p>
  </w:footnote>
  <w:footnote w:id="3">
    <w:p w:rsidR="004650D5" w:rsidRPr="00D00376" w:rsidP="00D00376" w14:paraId="0594E137" w14:textId="7CFD3DAA">
      <w:pPr>
        <w:pStyle w:val="FootnoteText"/>
        <w:spacing w:after="120"/>
        <w:rPr>
          <w:rFonts w:ascii="Times New Roman" w:hAnsi="Times New Roman"/>
          <w:sz w:val="20"/>
        </w:rPr>
      </w:pPr>
      <w:r w:rsidRPr="00D00376">
        <w:rPr>
          <w:rStyle w:val="FootnoteReference"/>
          <w:rFonts w:ascii="Times New Roman" w:hAnsi="Times New Roman"/>
          <w:sz w:val="20"/>
        </w:rPr>
        <w:footnoteRef/>
      </w:r>
      <w:r w:rsidRPr="00D00376">
        <w:rPr>
          <w:rFonts w:ascii="Times New Roman" w:hAnsi="Times New Roman"/>
          <w:sz w:val="20"/>
        </w:rPr>
        <w:t xml:space="preserve"> Among other requirements, part 37 of the Commission’s regulations imposes SEF registration requirements for a trading platform or system, and requires SEFs to continually be in compliance with </w:t>
      </w:r>
      <w:r w:rsidR="00E64555">
        <w:rPr>
          <w:rFonts w:ascii="Times New Roman" w:hAnsi="Times New Roman"/>
          <w:sz w:val="20"/>
        </w:rPr>
        <w:t>fifteen</w:t>
      </w:r>
      <w:r w:rsidRPr="00D00376">
        <w:rPr>
          <w:rFonts w:ascii="Times New Roman" w:hAnsi="Times New Roman"/>
          <w:sz w:val="20"/>
        </w:rPr>
        <w:t xml:space="preserve"> enumerated core principles.  The </w:t>
      </w:r>
      <w:r w:rsidR="00E64555">
        <w:rPr>
          <w:rFonts w:ascii="Times New Roman" w:hAnsi="Times New Roman"/>
          <w:sz w:val="20"/>
        </w:rPr>
        <w:t>fifteen</w:t>
      </w:r>
      <w:r w:rsidRPr="00D00376">
        <w:rPr>
          <w:rFonts w:ascii="Times New Roman" w:hAnsi="Times New Roman"/>
          <w:sz w:val="20"/>
        </w:rPr>
        <w:t xml:space="preserve"> core principles establish standards with respect to SEFs: enforcing rules; listing contracts for trading that are not readily susceptible to manipulation; monitoring trading to prevent market manipulation; obtaining information; adopting position limits or position accountability levels; adopting rules to enforce financial integrity of swaps transactions entered on or through the SEF; adopting rules to provide for the exercise of emergency authority, in consultation with the Commission; making public information regarding prices and volume on a timely basis; maintaining records of all activities of the business of the contract market in a form and manner acceptable to the Commission for five years; avoiding rules that result in unreasonable restraints of trade or anticompetitive burden on trading; enforcing rules to minimize conflicts of interest in its decision-making process; maintaining adequate financial resources; establishing system safeguards; and designating a chief compliance officer.</w:t>
      </w:r>
    </w:p>
  </w:footnote>
  <w:footnote w:id="4">
    <w:p w:rsidR="0029151B" w:rsidRPr="00857B57" w:rsidP="00857B57" w14:paraId="750BBAFC" w14:textId="7341D31F">
      <w:pPr>
        <w:pStyle w:val="FootnoteText"/>
        <w:spacing w:after="120"/>
        <w:rPr>
          <w:rFonts w:ascii="Times New Roman" w:hAnsi="Times New Roman"/>
          <w:sz w:val="20"/>
        </w:rPr>
      </w:pPr>
      <w:r w:rsidRPr="004634AB">
        <w:rPr>
          <w:rStyle w:val="FootnoteReference"/>
          <w:rFonts w:ascii="Times New Roman" w:hAnsi="Times New Roman"/>
          <w:sz w:val="20"/>
        </w:rPr>
        <w:footnoteRef/>
      </w:r>
      <w:r w:rsidRPr="004634AB">
        <w:rPr>
          <w:rFonts w:ascii="Times New Roman" w:hAnsi="Times New Roman"/>
          <w:sz w:val="20"/>
        </w:rPr>
        <w:t xml:space="preserve"> The Commission reached an estimate of approximately 251 trading days by assuming a year of [365.25 days] x [5 weekdays] ÷ [7 days in a week] = 260.89 weekdays.  The Commission then subtracted 1</w:t>
      </w:r>
      <w:r w:rsidR="000D1677">
        <w:rPr>
          <w:rFonts w:ascii="Times New Roman" w:hAnsi="Times New Roman"/>
          <w:sz w:val="20"/>
        </w:rPr>
        <w:t>1</w:t>
      </w:r>
      <w:r w:rsidRPr="004634AB">
        <w:rPr>
          <w:rFonts w:ascii="Times New Roman" w:hAnsi="Times New Roman"/>
          <w:sz w:val="20"/>
        </w:rPr>
        <w:t xml:space="preserve"> public holidays (based on the Office of Personnel Management’s calendar of public holidays): 260.89 days – 1</w:t>
      </w:r>
      <w:r w:rsidR="000D1677">
        <w:rPr>
          <w:rFonts w:ascii="Times New Roman" w:hAnsi="Times New Roman"/>
          <w:sz w:val="20"/>
        </w:rPr>
        <w:t>1</w:t>
      </w:r>
      <w:r w:rsidRPr="004634AB">
        <w:rPr>
          <w:rFonts w:ascii="Times New Roman" w:hAnsi="Times New Roman"/>
          <w:sz w:val="20"/>
        </w:rPr>
        <w:t xml:space="preserve"> public holidays = 2</w:t>
      </w:r>
      <w:r w:rsidR="000D1677">
        <w:rPr>
          <w:rFonts w:ascii="Times New Roman" w:hAnsi="Times New Roman"/>
          <w:sz w:val="20"/>
        </w:rPr>
        <w:t>49</w:t>
      </w:r>
      <w:r w:rsidRPr="004634AB">
        <w:rPr>
          <w:rFonts w:ascii="Times New Roman" w:hAnsi="Times New Roman"/>
          <w:sz w:val="20"/>
        </w:rPr>
        <w:t>.89 trading days, which the Commission rounds to 25</w:t>
      </w:r>
      <w:r w:rsidR="000D1677">
        <w:rPr>
          <w:rFonts w:ascii="Times New Roman" w:hAnsi="Times New Roman"/>
          <w:sz w:val="20"/>
        </w:rPr>
        <w:t>0</w:t>
      </w:r>
      <w:r w:rsidRPr="004634AB">
        <w:rPr>
          <w:rFonts w:ascii="Times New Roman" w:hAnsi="Times New Roman"/>
          <w:sz w:val="20"/>
        </w:rPr>
        <w:t>.  The Commission notes that not all SEFs may take all public holidays (</w:t>
      </w:r>
      <w:r w:rsidRPr="004634AB">
        <w:rPr>
          <w:rFonts w:ascii="Times New Roman" w:hAnsi="Times New Roman"/>
          <w:i/>
          <w:sz w:val="20"/>
        </w:rPr>
        <w:t>e.g.</w:t>
      </w:r>
      <w:r w:rsidRPr="004634AB">
        <w:rPr>
          <w:rFonts w:ascii="Times New Roman" w:hAnsi="Times New Roman"/>
          <w:sz w:val="20"/>
        </w:rPr>
        <w:t xml:space="preserve">, Veteran’s Day), but a SEF may also offer a non-Federal </w:t>
      </w:r>
      <w:r w:rsidRPr="00857B57">
        <w:rPr>
          <w:rFonts w:ascii="Times New Roman" w:hAnsi="Times New Roman"/>
          <w:sz w:val="20"/>
        </w:rPr>
        <w:t>holiday (</w:t>
      </w:r>
      <w:r w:rsidRPr="00857B57">
        <w:rPr>
          <w:rFonts w:ascii="Times New Roman" w:hAnsi="Times New Roman"/>
          <w:i/>
          <w:sz w:val="20"/>
        </w:rPr>
        <w:t>e.g.</w:t>
      </w:r>
      <w:r w:rsidRPr="00857B57">
        <w:rPr>
          <w:rFonts w:ascii="Times New Roman" w:hAnsi="Times New Roman"/>
          <w:sz w:val="20"/>
        </w:rPr>
        <w:t xml:space="preserve">, Good Friday).  </w:t>
      </w:r>
    </w:p>
  </w:footnote>
  <w:footnote w:id="5">
    <w:p w:rsidR="004634AB" w:rsidRPr="00857B57" w:rsidP="00857B57" w14:paraId="5FCD4881" w14:textId="0FDACCAE">
      <w:pPr>
        <w:pStyle w:val="FootnoteText"/>
        <w:spacing w:after="120"/>
        <w:rPr>
          <w:rFonts w:ascii="Times New Roman" w:hAnsi="Times New Roman"/>
          <w:sz w:val="20"/>
        </w:rPr>
      </w:pPr>
      <w:r w:rsidRPr="00857B57">
        <w:rPr>
          <w:rStyle w:val="FootnoteReference"/>
          <w:rFonts w:ascii="Times New Roman" w:hAnsi="Times New Roman"/>
          <w:sz w:val="20"/>
        </w:rPr>
        <w:footnoteRef/>
      </w:r>
      <w:r w:rsidRPr="00857B57">
        <w:rPr>
          <w:rFonts w:ascii="Times New Roman" w:hAnsi="Times New Roman"/>
          <w:sz w:val="20"/>
        </w:rPr>
        <w:t xml:space="preserve"> Based on the Commission’s estimate of 287 total annual burden hours per SEF, the Commission divided 287 burden hours by 25</w:t>
      </w:r>
      <w:r w:rsidR="000D1677">
        <w:rPr>
          <w:rFonts w:ascii="Times New Roman" w:hAnsi="Times New Roman"/>
          <w:sz w:val="20"/>
        </w:rPr>
        <w:t>0</w:t>
      </w:r>
      <w:r w:rsidRPr="00857B57">
        <w:rPr>
          <w:rFonts w:ascii="Times New Roman" w:hAnsi="Times New Roman"/>
          <w:sz w:val="20"/>
        </w:rPr>
        <w:t xml:space="preserve"> trade days to reach 1.14</w:t>
      </w:r>
      <w:r w:rsidR="0099399E">
        <w:rPr>
          <w:rFonts w:ascii="Times New Roman" w:hAnsi="Times New Roman"/>
          <w:sz w:val="20"/>
        </w:rPr>
        <w:t>8</w:t>
      </w:r>
      <w:r w:rsidRPr="00857B57">
        <w:rPr>
          <w:rFonts w:ascii="Times New Roman" w:hAnsi="Times New Roman"/>
          <w:sz w:val="20"/>
        </w:rPr>
        <w:t xml:space="preserve"> burden hours per trade day per SEF.</w:t>
      </w:r>
    </w:p>
  </w:footnote>
  <w:footnote w:id="6">
    <w:p w:rsidR="00857B57" w:rsidP="00857B57" w14:paraId="1A2E79F7" w14:textId="3F8FACAA">
      <w:pPr>
        <w:pStyle w:val="FootnoteText"/>
        <w:spacing w:after="120"/>
      </w:pPr>
      <w:r w:rsidRPr="00857B57">
        <w:rPr>
          <w:rStyle w:val="FootnoteReference"/>
          <w:rFonts w:ascii="Times New Roman" w:hAnsi="Times New Roman"/>
          <w:sz w:val="20"/>
        </w:rPr>
        <w:footnoteRef/>
      </w:r>
      <w:r w:rsidRPr="00857B57">
        <w:rPr>
          <w:rFonts w:ascii="Times New Roman" w:hAnsi="Times New Roman"/>
          <w:sz w:val="20"/>
        </w:rPr>
        <w:t xml:space="preserve"> The Commission obtained this result by estimating that §§ 37.1300 et al </w:t>
      </w:r>
      <w:r w:rsidR="00FF77FB">
        <w:rPr>
          <w:rFonts w:ascii="Times New Roman" w:hAnsi="Times New Roman"/>
          <w:sz w:val="20"/>
        </w:rPr>
        <w:t xml:space="preserve">(except </w:t>
      </w:r>
      <w:r w:rsidR="00421AEF">
        <w:rPr>
          <w:rFonts w:ascii="Times New Roman" w:hAnsi="Times New Roman"/>
          <w:sz w:val="20"/>
        </w:rPr>
        <w:t>37.1306(a)(2)(i) and 37.1306(c)(2)(iv)</w:t>
      </w:r>
      <w:r w:rsidR="00B51781">
        <w:rPr>
          <w:rFonts w:ascii="Times New Roman" w:hAnsi="Times New Roman"/>
          <w:sz w:val="20"/>
        </w:rPr>
        <w:t>, which were added in 2021</w:t>
      </w:r>
      <w:r w:rsidR="00421AEF">
        <w:rPr>
          <w:rFonts w:ascii="Times New Roman" w:hAnsi="Times New Roman"/>
          <w:sz w:val="20"/>
        </w:rPr>
        <w:t xml:space="preserve">) </w:t>
      </w:r>
      <w:r w:rsidRPr="00857B57">
        <w:rPr>
          <w:rFonts w:ascii="Times New Roman" w:hAnsi="Times New Roman"/>
          <w:sz w:val="20"/>
        </w:rPr>
        <w:t xml:space="preserve">imposes 20 total annual burden hours per SEF to provide the Commission with four quarterly financial reports.  The Commission </w:t>
      </w:r>
      <w:r w:rsidR="000D473C">
        <w:rPr>
          <w:rFonts w:ascii="Times New Roman" w:hAnsi="Times New Roman"/>
          <w:sz w:val="20"/>
        </w:rPr>
        <w:t xml:space="preserve">previously </w:t>
      </w:r>
      <w:r w:rsidRPr="00857B57">
        <w:rPr>
          <w:rFonts w:ascii="Times New Roman" w:hAnsi="Times New Roman"/>
          <w:sz w:val="20"/>
        </w:rPr>
        <w:t>estimate</w:t>
      </w:r>
      <w:r w:rsidR="000D473C">
        <w:rPr>
          <w:rFonts w:ascii="Times New Roman" w:hAnsi="Times New Roman"/>
          <w:sz w:val="20"/>
        </w:rPr>
        <w:t>d</w:t>
      </w:r>
      <w:r w:rsidRPr="00857B57">
        <w:rPr>
          <w:rFonts w:ascii="Times New Roman" w:hAnsi="Times New Roman"/>
          <w:sz w:val="20"/>
        </w:rPr>
        <w:t xml:space="preserve"> that § 37.1306(a)(2)(i) (requiring quarterly financial statements to be GAAP-compliant) would impose 10 annual burden hours</w:t>
      </w:r>
      <w:r w:rsidR="009734E9">
        <w:rPr>
          <w:rFonts w:ascii="Times New Roman" w:hAnsi="Times New Roman"/>
          <w:sz w:val="20"/>
        </w:rPr>
        <w:t xml:space="preserve"> (The burden previously included an initial non-recurring burden that has been eliminated)</w:t>
      </w:r>
      <w:r w:rsidRPr="00857B57">
        <w:rPr>
          <w:rFonts w:ascii="Times New Roman" w:hAnsi="Times New Roman"/>
          <w:sz w:val="20"/>
        </w:rPr>
        <w:t>.  Additionally,</w:t>
      </w:r>
      <w:r w:rsidR="000D473C">
        <w:rPr>
          <w:rFonts w:ascii="Times New Roman" w:hAnsi="Times New Roman"/>
          <w:sz w:val="20"/>
        </w:rPr>
        <w:t xml:space="preserve"> the Commission previously estimated that</w:t>
      </w:r>
      <w:r w:rsidRPr="00857B57">
        <w:rPr>
          <w:rFonts w:ascii="Times New Roman" w:hAnsi="Times New Roman"/>
          <w:sz w:val="20"/>
        </w:rPr>
        <w:t xml:space="preserve"> § 37.1306(c)(2)(iv) (requiring a SEF to calculate and explain its wind-down costs) would impose</w:t>
      </w:r>
      <w:r w:rsidR="00FF77FB">
        <w:rPr>
          <w:rFonts w:ascii="Times New Roman" w:hAnsi="Times New Roman"/>
          <w:sz w:val="20"/>
        </w:rPr>
        <w:t xml:space="preserve"> </w:t>
      </w:r>
      <w:r w:rsidRPr="00857B57">
        <w:rPr>
          <w:rFonts w:ascii="Times New Roman" w:hAnsi="Times New Roman"/>
          <w:sz w:val="20"/>
        </w:rPr>
        <w:t>five annual burden hours each year</w:t>
      </w:r>
      <w:r w:rsidR="009734E9">
        <w:rPr>
          <w:rFonts w:ascii="Times New Roman" w:hAnsi="Times New Roman"/>
          <w:sz w:val="20"/>
        </w:rPr>
        <w:t xml:space="preserve"> (The burden previously included an initial non-recurring burden that has been eliminated.)</w:t>
      </w:r>
      <w:r w:rsidR="00684DF9">
        <w:rPr>
          <w:rFonts w:ascii="Times New Roman" w:hAnsi="Times New Roman"/>
          <w:sz w:val="20"/>
        </w:rPr>
        <w:t xml:space="preserve"> </w:t>
      </w:r>
      <w:r w:rsidRPr="00857B57">
        <w:rPr>
          <w:rFonts w:ascii="Times New Roman" w:hAnsi="Times New Roman"/>
          <w:sz w:val="20"/>
        </w:rPr>
        <w:t xml:space="preserve"> Accordingly, the Commission estimates that §§ 37.1300 et al requires </w:t>
      </w:r>
      <w:r w:rsidR="00684DF9">
        <w:rPr>
          <w:rFonts w:ascii="Times New Roman" w:hAnsi="Times New Roman"/>
          <w:sz w:val="20"/>
        </w:rPr>
        <w:t>35</w:t>
      </w:r>
      <w:r w:rsidRPr="00857B57">
        <w:rPr>
          <w:rFonts w:ascii="Times New Roman" w:hAnsi="Times New Roman"/>
          <w:sz w:val="20"/>
        </w:rPr>
        <w:t xml:space="preserve"> annual burden hours per SEF (20 burden hours currently required + 10 additional annual burden hours for § 37.1306(a) + </w:t>
      </w:r>
      <w:r w:rsidR="00684DF9">
        <w:rPr>
          <w:rFonts w:ascii="Times New Roman" w:hAnsi="Times New Roman"/>
          <w:sz w:val="20"/>
        </w:rPr>
        <w:t>5</w:t>
      </w:r>
      <w:r w:rsidRPr="00857B57">
        <w:rPr>
          <w:rFonts w:ascii="Times New Roman" w:hAnsi="Times New Roman"/>
          <w:sz w:val="20"/>
        </w:rPr>
        <w:t xml:space="preserve"> additional annual burden hours for § 37.1306(c) = </w:t>
      </w:r>
      <w:r w:rsidR="00684DF9">
        <w:rPr>
          <w:rFonts w:ascii="Times New Roman" w:hAnsi="Times New Roman"/>
          <w:sz w:val="20"/>
        </w:rPr>
        <w:t>35</w:t>
      </w:r>
      <w:r w:rsidRPr="00857B57">
        <w:rPr>
          <w:rFonts w:ascii="Times New Roman" w:hAnsi="Times New Roman"/>
          <w:sz w:val="20"/>
        </w:rPr>
        <w:t xml:space="preserve"> annual burden hours).  Per report, each SEF will incur </w:t>
      </w:r>
      <w:r w:rsidR="006351C1">
        <w:rPr>
          <w:rFonts w:ascii="Times New Roman" w:hAnsi="Times New Roman"/>
          <w:sz w:val="20"/>
        </w:rPr>
        <w:t>8.75</w:t>
      </w:r>
      <w:r w:rsidRPr="00857B57">
        <w:rPr>
          <w:rFonts w:ascii="Times New Roman" w:hAnsi="Times New Roman"/>
          <w:sz w:val="20"/>
        </w:rPr>
        <w:t xml:space="preserve"> burden hours (</w:t>
      </w:r>
      <w:r w:rsidR="00684DF9">
        <w:rPr>
          <w:rFonts w:ascii="Times New Roman" w:hAnsi="Times New Roman"/>
          <w:sz w:val="20"/>
        </w:rPr>
        <w:t>35</w:t>
      </w:r>
      <w:r w:rsidRPr="00857B57">
        <w:rPr>
          <w:rFonts w:ascii="Times New Roman" w:hAnsi="Times New Roman"/>
          <w:sz w:val="20"/>
        </w:rPr>
        <w:t xml:space="preserve"> total annual burden hours / 4 quarterly reports = </w:t>
      </w:r>
      <w:r w:rsidR="006351C1">
        <w:rPr>
          <w:rFonts w:ascii="Times New Roman" w:hAnsi="Times New Roman"/>
          <w:sz w:val="20"/>
        </w:rPr>
        <w:t>8.75</w:t>
      </w:r>
      <w:r w:rsidRPr="00857B57">
        <w:rPr>
          <w:rFonts w:ascii="Times New Roman" w:hAnsi="Times New Roman"/>
          <w:sz w:val="20"/>
        </w:rPr>
        <w:t xml:space="preserve"> burden hours per report).</w:t>
      </w:r>
    </w:p>
  </w:footnote>
  <w:footnote w:id="7">
    <w:p w:rsidR="00094132" w:rsidRPr="002935AD" w:rsidP="00094132" w14:paraId="3C2C1AE7" w14:textId="77777777">
      <w:pPr>
        <w:pStyle w:val="FootnoteText"/>
        <w:spacing w:after="120"/>
        <w:rPr>
          <w:rFonts w:ascii="Times New Roman" w:hAnsi="Times New Roman"/>
          <w:i/>
          <w:sz w:val="20"/>
        </w:rPr>
      </w:pPr>
      <w:r w:rsidRPr="00A00269">
        <w:rPr>
          <w:rStyle w:val="FootnoteReference"/>
          <w:rFonts w:ascii="Times New Roman" w:hAnsi="Times New Roman"/>
          <w:sz w:val="20"/>
        </w:rPr>
        <w:footnoteRef/>
      </w:r>
      <w:r w:rsidRPr="00A00269">
        <w:rPr>
          <w:rFonts w:ascii="Times New Roman" w:hAnsi="Times New Roman"/>
          <w:sz w:val="20"/>
        </w:rPr>
        <w:t xml:space="preserve"> </w:t>
      </w:r>
      <w:r>
        <w:rPr>
          <w:rFonts w:ascii="Times New Roman" w:hAnsi="Times New Roman"/>
          <w:sz w:val="20"/>
        </w:rPr>
        <w:t>7,824,000</w:t>
      </w:r>
      <w:r w:rsidRPr="00AA3C4A">
        <w:rPr>
          <w:rFonts w:ascii="Times New Roman" w:hAnsi="Times New Roman"/>
          <w:sz w:val="20"/>
        </w:rPr>
        <w:t xml:space="preserve"> total annual responses / 2</w:t>
      </w:r>
      <w:r>
        <w:rPr>
          <w:rFonts w:ascii="Times New Roman" w:hAnsi="Times New Roman"/>
          <w:sz w:val="20"/>
        </w:rPr>
        <w:t>0</w:t>
      </w:r>
      <w:r w:rsidRPr="00AA3C4A">
        <w:rPr>
          <w:rFonts w:ascii="Times New Roman" w:hAnsi="Times New Roman"/>
          <w:sz w:val="20"/>
        </w:rPr>
        <w:t xml:space="preserve"> SEF respondents = </w:t>
      </w:r>
      <w:r>
        <w:rPr>
          <w:rFonts w:ascii="Times New Roman" w:hAnsi="Times New Roman"/>
          <w:sz w:val="20"/>
        </w:rPr>
        <w:t>391,200</w:t>
      </w:r>
      <w:r w:rsidRPr="00AA3C4A">
        <w:rPr>
          <w:rFonts w:ascii="Times New Roman" w:hAnsi="Times New Roman"/>
          <w:sz w:val="20"/>
        </w:rPr>
        <w:t xml:space="preserve"> annual responses per SEF (rounded).  </w:t>
      </w:r>
      <w:r w:rsidRPr="00C519D0">
        <w:rPr>
          <w:rFonts w:ascii="Times New Roman" w:hAnsi="Times New Roman"/>
          <w:i/>
          <w:sz w:val="20"/>
        </w:rPr>
        <w:t>See</w:t>
      </w:r>
      <w:r w:rsidRPr="00C519D0">
        <w:rPr>
          <w:rFonts w:ascii="Times New Roman" w:hAnsi="Times New Roman"/>
          <w:sz w:val="20"/>
        </w:rPr>
        <w:t xml:space="preserve"> footnote </w:t>
      </w:r>
      <w:r>
        <w:rPr>
          <w:rFonts w:ascii="Times New Roman" w:hAnsi="Times New Roman"/>
          <w:sz w:val="20"/>
        </w:rPr>
        <w:t>6</w:t>
      </w:r>
      <w:r w:rsidRPr="00C519D0">
        <w:rPr>
          <w:rFonts w:ascii="Times New Roman" w:hAnsi="Times New Roman"/>
          <w:sz w:val="20"/>
        </w:rPr>
        <w:t xml:space="preserve"> for the explanation regarding the calculation of 7</w:t>
      </w:r>
      <w:r>
        <w:rPr>
          <w:rFonts w:ascii="Times New Roman" w:hAnsi="Times New Roman"/>
          <w:sz w:val="20"/>
        </w:rPr>
        <w:t>,82</w:t>
      </w:r>
      <w:r w:rsidRPr="00C519D0">
        <w:rPr>
          <w:rFonts w:ascii="Times New Roman" w:hAnsi="Times New Roman"/>
          <w:sz w:val="20"/>
        </w:rPr>
        <w:t>4,000 total annual responses.</w:t>
      </w:r>
    </w:p>
  </w:footnote>
  <w:footnote w:id="8">
    <w:p w:rsidR="00094132" w:rsidRPr="002935AD" w:rsidP="00094132" w14:paraId="0310E32B" w14:textId="77777777">
      <w:pPr>
        <w:pStyle w:val="FootnoteText"/>
        <w:spacing w:after="120"/>
        <w:rPr>
          <w:rFonts w:ascii="Times New Roman" w:hAnsi="Times New Roman"/>
          <w:sz w:val="20"/>
        </w:rPr>
      </w:pPr>
      <w:r w:rsidRPr="002935AD">
        <w:rPr>
          <w:rStyle w:val="FootnoteReference"/>
          <w:rFonts w:ascii="Times New Roman" w:hAnsi="Times New Roman"/>
          <w:sz w:val="20"/>
        </w:rPr>
        <w:footnoteRef/>
      </w:r>
      <w:r w:rsidRPr="002935AD">
        <w:rPr>
          <w:rFonts w:ascii="Times New Roman" w:hAnsi="Times New Roman"/>
          <w:sz w:val="20"/>
        </w:rPr>
        <w:t xml:space="preserve"> Based on industry data, the Commission estimates that from January 1, 20</w:t>
      </w:r>
      <w:r>
        <w:rPr>
          <w:rFonts w:ascii="Times New Roman" w:hAnsi="Times New Roman"/>
          <w:sz w:val="20"/>
        </w:rPr>
        <w:t>23</w:t>
      </w:r>
      <w:r w:rsidRPr="002935AD">
        <w:rPr>
          <w:rFonts w:ascii="Times New Roman" w:hAnsi="Times New Roman"/>
          <w:sz w:val="20"/>
        </w:rPr>
        <w:t xml:space="preserve"> to </w:t>
      </w:r>
      <w:r>
        <w:rPr>
          <w:rFonts w:ascii="Times New Roman" w:hAnsi="Times New Roman"/>
          <w:sz w:val="20"/>
        </w:rPr>
        <w:t>December 31</w:t>
      </w:r>
      <w:r w:rsidRPr="002935AD">
        <w:rPr>
          <w:rFonts w:ascii="Times New Roman" w:hAnsi="Times New Roman"/>
          <w:sz w:val="20"/>
        </w:rPr>
        <w:t>, 20</w:t>
      </w:r>
      <w:r>
        <w:rPr>
          <w:rFonts w:ascii="Times New Roman" w:hAnsi="Times New Roman"/>
          <w:sz w:val="20"/>
        </w:rPr>
        <w:t>23</w:t>
      </w:r>
      <w:r w:rsidRPr="002935AD">
        <w:rPr>
          <w:rFonts w:ascii="Times New Roman" w:hAnsi="Times New Roman"/>
          <w:sz w:val="20"/>
        </w:rPr>
        <w:t xml:space="preserve"> approximately </w:t>
      </w:r>
      <w:r w:rsidRPr="008B27CD">
        <w:rPr>
          <w:rFonts w:ascii="Times New Roman" w:hAnsi="Times New Roman"/>
          <w:sz w:val="20"/>
        </w:rPr>
        <w:t>3,912,0</w:t>
      </w:r>
      <w:r>
        <w:rPr>
          <w:rFonts w:ascii="Times New Roman" w:hAnsi="Times New Roman"/>
          <w:sz w:val="20"/>
        </w:rPr>
        <w:t>0</w:t>
      </w:r>
      <w:r w:rsidRPr="008B27CD">
        <w:rPr>
          <w:rFonts w:ascii="Times New Roman" w:hAnsi="Times New Roman"/>
          <w:sz w:val="20"/>
        </w:rPr>
        <w:t>0</w:t>
      </w:r>
      <w:r w:rsidRPr="002935AD">
        <w:rPr>
          <w:rFonts w:ascii="Times New Roman" w:hAnsi="Times New Roman"/>
          <w:sz w:val="20"/>
        </w:rPr>
        <w:t xml:space="preserve"> (rounded amount) swap transactions were executed across all SEFs.  Because each swap transaction requires a SEF to provide 2 responses (</w:t>
      </w:r>
      <w:r w:rsidRPr="002935AD">
        <w:rPr>
          <w:rFonts w:ascii="Times New Roman" w:hAnsi="Times New Roman"/>
          <w:i/>
          <w:sz w:val="20"/>
        </w:rPr>
        <w:t>i.e.</w:t>
      </w:r>
      <w:r w:rsidRPr="002935AD">
        <w:rPr>
          <w:rFonts w:ascii="Times New Roman" w:hAnsi="Times New Roman"/>
          <w:sz w:val="20"/>
        </w:rPr>
        <w:t xml:space="preserve">, a SEF must provide a confirmation to both swap counterparties), the Commission estimates that in the aggregate SEFs will provide approximately </w:t>
      </w:r>
      <w:r>
        <w:rPr>
          <w:rFonts w:ascii="Times New Roman" w:hAnsi="Times New Roman"/>
          <w:sz w:val="20"/>
        </w:rPr>
        <w:t>7,824,000</w:t>
      </w:r>
      <w:r w:rsidRPr="002935AD">
        <w:rPr>
          <w:rFonts w:ascii="Times New Roman" w:hAnsi="Times New Roman"/>
          <w:sz w:val="20"/>
        </w:rPr>
        <w:t xml:space="preserve"> swap confirmations (</w:t>
      </w:r>
      <w:r>
        <w:rPr>
          <w:rFonts w:ascii="Times New Roman" w:hAnsi="Times New Roman"/>
          <w:sz w:val="20"/>
        </w:rPr>
        <w:t>3,912</w:t>
      </w:r>
      <w:r w:rsidRPr="002935AD">
        <w:rPr>
          <w:rFonts w:ascii="Times New Roman" w:hAnsi="Times New Roman"/>
          <w:sz w:val="20"/>
        </w:rPr>
        <w:t xml:space="preserve">,000 swaps </w:t>
      </w:r>
      <w:r>
        <w:rPr>
          <w:rFonts w:ascii="Times New Roman" w:hAnsi="Times New Roman"/>
          <w:sz w:val="20"/>
        </w:rPr>
        <w:t>×</w:t>
      </w:r>
      <w:r w:rsidRPr="002935AD">
        <w:rPr>
          <w:rFonts w:ascii="Times New Roman" w:hAnsi="Times New Roman"/>
          <w:sz w:val="20"/>
        </w:rPr>
        <w:t xml:space="preserve"> 2 counterparties = </w:t>
      </w:r>
      <w:r>
        <w:rPr>
          <w:rFonts w:ascii="Times New Roman" w:hAnsi="Times New Roman"/>
          <w:sz w:val="20"/>
        </w:rPr>
        <w:t>7,824</w:t>
      </w:r>
      <w:r w:rsidRPr="00580920">
        <w:rPr>
          <w:rFonts w:ascii="Times New Roman" w:hAnsi="Times New Roman"/>
          <w:sz w:val="20"/>
        </w:rPr>
        <w:t>,000</w:t>
      </w:r>
      <w:r w:rsidRPr="002935AD">
        <w:rPr>
          <w:rFonts w:ascii="Times New Roman" w:hAnsi="Times New Roman"/>
          <w:sz w:val="20"/>
        </w:rPr>
        <w:t xml:space="preserve"> swap confirmations).  </w:t>
      </w:r>
    </w:p>
  </w:footnote>
  <w:footnote w:id="9">
    <w:p w:rsidR="00094132" w:rsidRPr="005A7CD2" w:rsidP="00094132" w14:paraId="39E79488" w14:textId="77777777">
      <w:pPr>
        <w:pStyle w:val="FootnoteText"/>
        <w:spacing w:after="120"/>
        <w:rPr>
          <w:rFonts w:ascii="Times New Roman" w:hAnsi="Times New Roman"/>
          <w:sz w:val="20"/>
        </w:rPr>
      </w:pPr>
      <w:r w:rsidRPr="005A7CD2">
        <w:rPr>
          <w:rStyle w:val="FootnoteReference"/>
          <w:rFonts w:ascii="Times New Roman" w:hAnsi="Times New Roman"/>
          <w:sz w:val="20"/>
        </w:rPr>
        <w:footnoteRef/>
      </w:r>
      <w:r w:rsidRPr="005A7CD2">
        <w:rPr>
          <w:rFonts w:ascii="Times New Roman" w:hAnsi="Times New Roman"/>
          <w:sz w:val="20"/>
        </w:rPr>
        <w:t xml:space="preserve"> </w:t>
      </w:r>
      <w:r w:rsidRPr="00AA3C4A">
        <w:rPr>
          <w:rFonts w:ascii="Times New Roman" w:hAnsi="Times New Roman"/>
          <w:sz w:val="20"/>
        </w:rPr>
        <w:t>The Commission estimates this based on 2</w:t>
      </w:r>
      <w:r>
        <w:rPr>
          <w:rFonts w:ascii="Times New Roman" w:hAnsi="Times New Roman"/>
          <w:sz w:val="20"/>
        </w:rPr>
        <w:t>0</w:t>
      </w:r>
      <w:r w:rsidRPr="00AA3C4A">
        <w:rPr>
          <w:rFonts w:ascii="Times New Roman" w:hAnsi="Times New Roman"/>
          <w:sz w:val="20"/>
        </w:rPr>
        <w:t xml:space="preserve"> respondent SEFs ×</w:t>
      </w:r>
      <w:r>
        <w:rPr>
          <w:rFonts w:ascii="Times New Roman" w:hAnsi="Times New Roman"/>
          <w:sz w:val="20"/>
        </w:rPr>
        <w:t xml:space="preserve"> </w:t>
      </w:r>
      <w:r w:rsidRPr="00AA3C4A">
        <w:rPr>
          <w:rFonts w:ascii="Times New Roman" w:hAnsi="Times New Roman"/>
          <w:sz w:val="20"/>
        </w:rPr>
        <w:t>$3</w:t>
      </w:r>
      <w:r>
        <w:rPr>
          <w:rFonts w:ascii="Times New Roman" w:hAnsi="Times New Roman"/>
          <w:sz w:val="20"/>
        </w:rPr>
        <w:t>3</w:t>
      </w:r>
      <w:r w:rsidRPr="00AA3C4A">
        <w:rPr>
          <w:rFonts w:ascii="Times New Roman" w:hAnsi="Times New Roman"/>
          <w:sz w:val="20"/>
        </w:rPr>
        <w:t>,</w:t>
      </w:r>
      <w:r>
        <w:rPr>
          <w:rFonts w:ascii="Times New Roman" w:hAnsi="Times New Roman"/>
          <w:sz w:val="20"/>
        </w:rPr>
        <w:t>75</w:t>
      </w:r>
      <w:r w:rsidRPr="00AA3C4A">
        <w:rPr>
          <w:rFonts w:ascii="Times New Roman" w:hAnsi="Times New Roman"/>
          <w:sz w:val="20"/>
        </w:rPr>
        <w:t>0 = $6</w:t>
      </w:r>
      <w:r>
        <w:rPr>
          <w:rFonts w:ascii="Times New Roman" w:hAnsi="Times New Roman"/>
          <w:sz w:val="20"/>
        </w:rPr>
        <w:t>75</w:t>
      </w:r>
      <w:r w:rsidRPr="00AA3C4A">
        <w:rPr>
          <w:rFonts w:ascii="Times New Roman" w:hAnsi="Times New Roman"/>
          <w:sz w:val="20"/>
        </w:rPr>
        <w:t>,000.</w:t>
      </w:r>
    </w:p>
  </w:footnote>
  <w:footnote w:id="10">
    <w:p w:rsidR="00C47742" w:rsidRPr="00953106" w:rsidP="00953106" w14:paraId="486D383E" w14:textId="71F8F4CD">
      <w:pPr>
        <w:pStyle w:val="FootnoteText"/>
        <w:spacing w:after="120"/>
        <w:rPr>
          <w:rFonts w:ascii="Times New Roman" w:hAnsi="Times New Roman"/>
          <w:sz w:val="20"/>
        </w:rPr>
      </w:pPr>
      <w:r w:rsidRPr="00953106">
        <w:rPr>
          <w:rStyle w:val="FootnoteReference"/>
          <w:rFonts w:ascii="Times New Roman" w:hAnsi="Times New Roman"/>
          <w:sz w:val="20"/>
        </w:rPr>
        <w:footnoteRef/>
      </w:r>
      <w:r w:rsidRPr="00953106">
        <w:rPr>
          <w:rFonts w:ascii="Times New Roman" w:hAnsi="Times New Roman"/>
          <w:sz w:val="20"/>
        </w:rPr>
        <w:t xml:space="preserve"> </w:t>
      </w:r>
      <w:r w:rsidRPr="00953106" w:rsidR="00953106">
        <w:rPr>
          <w:rFonts w:ascii="Times New Roman" w:hAnsi="Times New Roman"/>
          <w:sz w:val="20"/>
        </w:rPr>
        <w:t>The Commission has not identified any recordkeeping or third-party disclosure information collections related to SEF registration.</w:t>
      </w:r>
    </w:p>
  </w:footnote>
  <w:footnote w:id="11">
    <w:p w:rsidR="006B67F8" w:rsidRPr="006B67F8" w:rsidP="00AB36D0" w14:paraId="1D4A9571" w14:textId="79ECC531">
      <w:pPr>
        <w:pStyle w:val="FootnoteText"/>
        <w:spacing w:after="120"/>
        <w:rPr>
          <w:rFonts w:ascii="Times New Roman" w:hAnsi="Times New Roman"/>
          <w:sz w:val="20"/>
        </w:rPr>
      </w:pPr>
      <w:r w:rsidRPr="006B67F8">
        <w:rPr>
          <w:rStyle w:val="FootnoteReference"/>
          <w:rFonts w:ascii="Times New Roman" w:hAnsi="Times New Roman"/>
          <w:sz w:val="20"/>
        </w:rPr>
        <w:footnoteRef/>
      </w:r>
      <w:r w:rsidRPr="006B67F8">
        <w:rPr>
          <w:rFonts w:ascii="Times New Roman" w:hAnsi="Times New Roman"/>
          <w:sz w:val="20"/>
        </w:rPr>
        <w:t xml:space="preserve"> Based on the number of applicants that have applied for SEF registration since 2017 (4), the Commission expects to receive one application per year for SEF registration as part of the normal course of business.</w:t>
      </w:r>
    </w:p>
  </w:footnote>
  <w:footnote w:id="12">
    <w:p w:rsidR="006B67F8" w:rsidRPr="006B67F8" w14:paraId="0AC212CE" w14:textId="78FF7096">
      <w:pPr>
        <w:pStyle w:val="FootnoteText"/>
        <w:rPr>
          <w:rFonts w:ascii="Times New Roman" w:hAnsi="Times New Roman"/>
          <w:sz w:val="20"/>
        </w:rPr>
      </w:pPr>
      <w:r w:rsidRPr="006B67F8">
        <w:rPr>
          <w:rStyle w:val="FootnoteReference"/>
          <w:rFonts w:ascii="Times New Roman" w:hAnsi="Times New Roman"/>
          <w:sz w:val="20"/>
        </w:rPr>
        <w:footnoteRef/>
      </w:r>
      <w:r w:rsidRPr="006B67F8">
        <w:rPr>
          <w:rFonts w:ascii="Times New Roman" w:hAnsi="Times New Roman"/>
          <w:sz w:val="20"/>
        </w:rPr>
        <w:t xml:space="preserve"> For this purpose, the Commission considers the entire SEF application process to constitute a single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F75" w:rsidRPr="00DC1F75" w:rsidP="00DC1F75" w14:paraId="7CC441E7" w14:textId="77777777">
    <w:pPr>
      <w:tabs>
        <w:tab w:val="left" w:pos="-720"/>
      </w:tabs>
      <w:suppressAutoHyphens/>
      <w:jc w:val="center"/>
      <w:rPr>
        <w:rFonts w:ascii="Times New Roman" w:hAnsi="Times New Roman"/>
        <w:b/>
      </w:rPr>
    </w:pPr>
    <w:r w:rsidRPr="00F84484">
      <w:rPr>
        <w:rFonts w:ascii="Times New Roman" w:hAnsi="Times New Roman"/>
        <w:b/>
      </w:rPr>
      <w:t>Attachment 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C1F75">
      <w:rPr>
        <w:rFonts w:ascii="Times New Roman" w:hAnsi="Times New Roman"/>
        <w:b/>
      </w:rPr>
      <w:t>Collection 3038-0074</w:t>
    </w:r>
  </w:p>
  <w:p w:rsidR="00DC1F75" w:rsidRPr="00DC1F75" w:rsidP="00DC1F75" w14:paraId="102146F7" w14:textId="77777777">
    <w:pPr>
      <w:tabs>
        <w:tab w:val="left" w:pos="-720"/>
      </w:tabs>
      <w:suppressAutoHyphen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6D6A8A"/>
    <w:multiLevelType w:val="hybridMultilevel"/>
    <w:tmpl w:val="0DDAC5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A507B51"/>
    <w:multiLevelType w:val="hybridMultilevel"/>
    <w:tmpl w:val="045463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5542723">
    <w:abstractNumId w:val="0"/>
  </w:num>
  <w:num w:numId="2" w16cid:durableId="211805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0F39"/>
    <w:rsid w:val="00006201"/>
    <w:rsid w:val="0001071A"/>
    <w:rsid w:val="00015E94"/>
    <w:rsid w:val="000165B4"/>
    <w:rsid w:val="00020821"/>
    <w:rsid w:val="0002563A"/>
    <w:rsid w:val="0002718F"/>
    <w:rsid w:val="00032A2B"/>
    <w:rsid w:val="00032D6B"/>
    <w:rsid w:val="000351C0"/>
    <w:rsid w:val="0003717A"/>
    <w:rsid w:val="00042F05"/>
    <w:rsid w:val="00043C98"/>
    <w:rsid w:val="00045F2B"/>
    <w:rsid w:val="00046594"/>
    <w:rsid w:val="00047160"/>
    <w:rsid w:val="000501E3"/>
    <w:rsid w:val="00051713"/>
    <w:rsid w:val="00053A0B"/>
    <w:rsid w:val="000557E0"/>
    <w:rsid w:val="00065F19"/>
    <w:rsid w:val="00070B97"/>
    <w:rsid w:val="000717C7"/>
    <w:rsid w:val="0007214E"/>
    <w:rsid w:val="000729F1"/>
    <w:rsid w:val="00073511"/>
    <w:rsid w:val="0007790E"/>
    <w:rsid w:val="00080A36"/>
    <w:rsid w:val="0008143B"/>
    <w:rsid w:val="000817B3"/>
    <w:rsid w:val="00084003"/>
    <w:rsid w:val="000856B9"/>
    <w:rsid w:val="000906B2"/>
    <w:rsid w:val="000908EF"/>
    <w:rsid w:val="00093178"/>
    <w:rsid w:val="00094132"/>
    <w:rsid w:val="0009487C"/>
    <w:rsid w:val="00094AA2"/>
    <w:rsid w:val="00094C5E"/>
    <w:rsid w:val="000A0C22"/>
    <w:rsid w:val="000A2C0C"/>
    <w:rsid w:val="000A5DD9"/>
    <w:rsid w:val="000A6197"/>
    <w:rsid w:val="000A773C"/>
    <w:rsid w:val="000A7F3C"/>
    <w:rsid w:val="000B1C0D"/>
    <w:rsid w:val="000B2CDF"/>
    <w:rsid w:val="000B3C7A"/>
    <w:rsid w:val="000C071E"/>
    <w:rsid w:val="000C12C4"/>
    <w:rsid w:val="000C12E0"/>
    <w:rsid w:val="000C306C"/>
    <w:rsid w:val="000C400B"/>
    <w:rsid w:val="000C7C20"/>
    <w:rsid w:val="000C7CD7"/>
    <w:rsid w:val="000D1677"/>
    <w:rsid w:val="000D3BB7"/>
    <w:rsid w:val="000D473C"/>
    <w:rsid w:val="000D7284"/>
    <w:rsid w:val="000E2274"/>
    <w:rsid w:val="000E3840"/>
    <w:rsid w:val="000E4044"/>
    <w:rsid w:val="000E4A1B"/>
    <w:rsid w:val="000E6BF4"/>
    <w:rsid w:val="000F1718"/>
    <w:rsid w:val="000F3AA2"/>
    <w:rsid w:val="000F4228"/>
    <w:rsid w:val="000F4E82"/>
    <w:rsid w:val="00101169"/>
    <w:rsid w:val="0010201D"/>
    <w:rsid w:val="00102ACA"/>
    <w:rsid w:val="00104C3C"/>
    <w:rsid w:val="0010528B"/>
    <w:rsid w:val="00106AB8"/>
    <w:rsid w:val="001079CD"/>
    <w:rsid w:val="00110AE5"/>
    <w:rsid w:val="00110CEC"/>
    <w:rsid w:val="00116E55"/>
    <w:rsid w:val="001210E8"/>
    <w:rsid w:val="001232DE"/>
    <w:rsid w:val="00124F64"/>
    <w:rsid w:val="00131EE1"/>
    <w:rsid w:val="00135FAA"/>
    <w:rsid w:val="0013608A"/>
    <w:rsid w:val="00141085"/>
    <w:rsid w:val="00142EA5"/>
    <w:rsid w:val="00143365"/>
    <w:rsid w:val="001434C4"/>
    <w:rsid w:val="00143872"/>
    <w:rsid w:val="001461F3"/>
    <w:rsid w:val="0015344A"/>
    <w:rsid w:val="0015712F"/>
    <w:rsid w:val="00160098"/>
    <w:rsid w:val="001616DA"/>
    <w:rsid w:val="0016196F"/>
    <w:rsid w:val="00161D80"/>
    <w:rsid w:val="00163E29"/>
    <w:rsid w:val="00172A5A"/>
    <w:rsid w:val="00177157"/>
    <w:rsid w:val="00185865"/>
    <w:rsid w:val="00185E11"/>
    <w:rsid w:val="00187445"/>
    <w:rsid w:val="0019072B"/>
    <w:rsid w:val="00192913"/>
    <w:rsid w:val="00193AB0"/>
    <w:rsid w:val="00193C06"/>
    <w:rsid w:val="00194B79"/>
    <w:rsid w:val="001955EA"/>
    <w:rsid w:val="00196484"/>
    <w:rsid w:val="00196DC6"/>
    <w:rsid w:val="00197193"/>
    <w:rsid w:val="001A3648"/>
    <w:rsid w:val="001A3C49"/>
    <w:rsid w:val="001A5DAC"/>
    <w:rsid w:val="001A6616"/>
    <w:rsid w:val="001B0110"/>
    <w:rsid w:val="001B3B7A"/>
    <w:rsid w:val="001B47FB"/>
    <w:rsid w:val="001B5697"/>
    <w:rsid w:val="001B7DBE"/>
    <w:rsid w:val="001C0C30"/>
    <w:rsid w:val="001C1C8D"/>
    <w:rsid w:val="001C2CEE"/>
    <w:rsid w:val="001C3722"/>
    <w:rsid w:val="001C49F6"/>
    <w:rsid w:val="001C7028"/>
    <w:rsid w:val="001D013D"/>
    <w:rsid w:val="001D0B9B"/>
    <w:rsid w:val="001D4ECD"/>
    <w:rsid w:val="001D59BE"/>
    <w:rsid w:val="001E097F"/>
    <w:rsid w:val="001E13D8"/>
    <w:rsid w:val="001E22D1"/>
    <w:rsid w:val="001E533F"/>
    <w:rsid w:val="001E5DFB"/>
    <w:rsid w:val="001E6A53"/>
    <w:rsid w:val="001E76C6"/>
    <w:rsid w:val="001F03B5"/>
    <w:rsid w:val="001F0B27"/>
    <w:rsid w:val="001F11C0"/>
    <w:rsid w:val="001F1889"/>
    <w:rsid w:val="001F29ED"/>
    <w:rsid w:val="001F42C0"/>
    <w:rsid w:val="001F4491"/>
    <w:rsid w:val="001F47DE"/>
    <w:rsid w:val="001F4DB7"/>
    <w:rsid w:val="001F5255"/>
    <w:rsid w:val="001F665D"/>
    <w:rsid w:val="00200C2C"/>
    <w:rsid w:val="00203F8A"/>
    <w:rsid w:val="00204277"/>
    <w:rsid w:val="00204844"/>
    <w:rsid w:val="00205639"/>
    <w:rsid w:val="00206C6D"/>
    <w:rsid w:val="00210873"/>
    <w:rsid w:val="00210E71"/>
    <w:rsid w:val="002115A5"/>
    <w:rsid w:val="0021423E"/>
    <w:rsid w:val="002148A2"/>
    <w:rsid w:val="0021591E"/>
    <w:rsid w:val="00222121"/>
    <w:rsid w:val="00222864"/>
    <w:rsid w:val="00223BB2"/>
    <w:rsid w:val="00226727"/>
    <w:rsid w:val="002301A1"/>
    <w:rsid w:val="00231278"/>
    <w:rsid w:val="002322F3"/>
    <w:rsid w:val="0023315C"/>
    <w:rsid w:val="00233849"/>
    <w:rsid w:val="00237E45"/>
    <w:rsid w:val="002414C7"/>
    <w:rsid w:val="00244E60"/>
    <w:rsid w:val="002451D0"/>
    <w:rsid w:val="00254354"/>
    <w:rsid w:val="00255AB6"/>
    <w:rsid w:val="00260717"/>
    <w:rsid w:val="00261605"/>
    <w:rsid w:val="00261893"/>
    <w:rsid w:val="0026558E"/>
    <w:rsid w:val="00265A81"/>
    <w:rsid w:val="00266893"/>
    <w:rsid w:val="002669B8"/>
    <w:rsid w:val="00272C22"/>
    <w:rsid w:val="0027320B"/>
    <w:rsid w:val="00274421"/>
    <w:rsid w:val="002749FA"/>
    <w:rsid w:val="00276974"/>
    <w:rsid w:val="0028386A"/>
    <w:rsid w:val="0028556D"/>
    <w:rsid w:val="0029151B"/>
    <w:rsid w:val="00292067"/>
    <w:rsid w:val="00293090"/>
    <w:rsid w:val="002935AD"/>
    <w:rsid w:val="0029388A"/>
    <w:rsid w:val="0029400B"/>
    <w:rsid w:val="002A1C2C"/>
    <w:rsid w:val="002A1CC0"/>
    <w:rsid w:val="002A2489"/>
    <w:rsid w:val="002A2494"/>
    <w:rsid w:val="002A35BF"/>
    <w:rsid w:val="002A6EAD"/>
    <w:rsid w:val="002B0D56"/>
    <w:rsid w:val="002B18BF"/>
    <w:rsid w:val="002B55FB"/>
    <w:rsid w:val="002C31D4"/>
    <w:rsid w:val="002C5FC5"/>
    <w:rsid w:val="002C6925"/>
    <w:rsid w:val="002D0F64"/>
    <w:rsid w:val="002D133A"/>
    <w:rsid w:val="002D271D"/>
    <w:rsid w:val="002E0373"/>
    <w:rsid w:val="002E3249"/>
    <w:rsid w:val="002E4013"/>
    <w:rsid w:val="002E6DBA"/>
    <w:rsid w:val="002F17B9"/>
    <w:rsid w:val="002F28B7"/>
    <w:rsid w:val="002F43AF"/>
    <w:rsid w:val="002F5B40"/>
    <w:rsid w:val="002F6096"/>
    <w:rsid w:val="002F7DA8"/>
    <w:rsid w:val="00300F81"/>
    <w:rsid w:val="00304F53"/>
    <w:rsid w:val="003065F6"/>
    <w:rsid w:val="00307075"/>
    <w:rsid w:val="0031123A"/>
    <w:rsid w:val="003145BE"/>
    <w:rsid w:val="00317570"/>
    <w:rsid w:val="00317653"/>
    <w:rsid w:val="00321B1F"/>
    <w:rsid w:val="003222D2"/>
    <w:rsid w:val="00331A5B"/>
    <w:rsid w:val="00335498"/>
    <w:rsid w:val="003410CE"/>
    <w:rsid w:val="003449D0"/>
    <w:rsid w:val="00352A0D"/>
    <w:rsid w:val="003535AF"/>
    <w:rsid w:val="00353E69"/>
    <w:rsid w:val="00354456"/>
    <w:rsid w:val="00355192"/>
    <w:rsid w:val="00357130"/>
    <w:rsid w:val="0036016A"/>
    <w:rsid w:val="0036331A"/>
    <w:rsid w:val="00365453"/>
    <w:rsid w:val="00366416"/>
    <w:rsid w:val="00370115"/>
    <w:rsid w:val="00370FBE"/>
    <w:rsid w:val="00371E13"/>
    <w:rsid w:val="00372F77"/>
    <w:rsid w:val="00372FA6"/>
    <w:rsid w:val="00373201"/>
    <w:rsid w:val="00373C01"/>
    <w:rsid w:val="00376599"/>
    <w:rsid w:val="003771C5"/>
    <w:rsid w:val="003835B5"/>
    <w:rsid w:val="0038367A"/>
    <w:rsid w:val="0038502E"/>
    <w:rsid w:val="00385B2C"/>
    <w:rsid w:val="00386D60"/>
    <w:rsid w:val="0039412A"/>
    <w:rsid w:val="00396FDF"/>
    <w:rsid w:val="003979EC"/>
    <w:rsid w:val="003A3696"/>
    <w:rsid w:val="003B6DC4"/>
    <w:rsid w:val="003C078A"/>
    <w:rsid w:val="003C1EE4"/>
    <w:rsid w:val="003D1763"/>
    <w:rsid w:val="003D527D"/>
    <w:rsid w:val="003D5313"/>
    <w:rsid w:val="003D6321"/>
    <w:rsid w:val="003D63EF"/>
    <w:rsid w:val="003E794F"/>
    <w:rsid w:val="003F0BA6"/>
    <w:rsid w:val="003F1D2F"/>
    <w:rsid w:val="003F2025"/>
    <w:rsid w:val="003F7946"/>
    <w:rsid w:val="00400E84"/>
    <w:rsid w:val="0040101C"/>
    <w:rsid w:val="00403637"/>
    <w:rsid w:val="00407099"/>
    <w:rsid w:val="004150E3"/>
    <w:rsid w:val="00420616"/>
    <w:rsid w:val="00420A90"/>
    <w:rsid w:val="00421AEF"/>
    <w:rsid w:val="004239F9"/>
    <w:rsid w:val="00424A91"/>
    <w:rsid w:val="004274FC"/>
    <w:rsid w:val="00433E5A"/>
    <w:rsid w:val="00435443"/>
    <w:rsid w:val="00435A0F"/>
    <w:rsid w:val="00435E08"/>
    <w:rsid w:val="004363B2"/>
    <w:rsid w:val="0044280E"/>
    <w:rsid w:val="004456FB"/>
    <w:rsid w:val="0045131C"/>
    <w:rsid w:val="004532BE"/>
    <w:rsid w:val="00453F3C"/>
    <w:rsid w:val="00455D4B"/>
    <w:rsid w:val="00460629"/>
    <w:rsid w:val="00460F82"/>
    <w:rsid w:val="00462157"/>
    <w:rsid w:val="004634AB"/>
    <w:rsid w:val="00463BE0"/>
    <w:rsid w:val="00464BDB"/>
    <w:rsid w:val="004650D5"/>
    <w:rsid w:val="00465534"/>
    <w:rsid w:val="00465557"/>
    <w:rsid w:val="00465A70"/>
    <w:rsid w:val="0046795E"/>
    <w:rsid w:val="00470533"/>
    <w:rsid w:val="004710D8"/>
    <w:rsid w:val="00471D74"/>
    <w:rsid w:val="00471E97"/>
    <w:rsid w:val="00474DD5"/>
    <w:rsid w:val="00476B85"/>
    <w:rsid w:val="004773A2"/>
    <w:rsid w:val="00477787"/>
    <w:rsid w:val="0048054D"/>
    <w:rsid w:val="00480798"/>
    <w:rsid w:val="0048097B"/>
    <w:rsid w:val="00487ED9"/>
    <w:rsid w:val="00493D46"/>
    <w:rsid w:val="00495813"/>
    <w:rsid w:val="00495FF6"/>
    <w:rsid w:val="0049660F"/>
    <w:rsid w:val="004A0C2D"/>
    <w:rsid w:val="004A0F8E"/>
    <w:rsid w:val="004A2BC5"/>
    <w:rsid w:val="004A5371"/>
    <w:rsid w:val="004B027C"/>
    <w:rsid w:val="004B09A4"/>
    <w:rsid w:val="004B2163"/>
    <w:rsid w:val="004B42D2"/>
    <w:rsid w:val="004B6C74"/>
    <w:rsid w:val="004B7E5B"/>
    <w:rsid w:val="004C07ED"/>
    <w:rsid w:val="004C417A"/>
    <w:rsid w:val="004C4A52"/>
    <w:rsid w:val="004C67B6"/>
    <w:rsid w:val="004C6C85"/>
    <w:rsid w:val="004D31EB"/>
    <w:rsid w:val="004D4DE2"/>
    <w:rsid w:val="004D6696"/>
    <w:rsid w:val="004D7FC6"/>
    <w:rsid w:val="004E19BC"/>
    <w:rsid w:val="004E30EB"/>
    <w:rsid w:val="004E646B"/>
    <w:rsid w:val="004F06E5"/>
    <w:rsid w:val="004F16E2"/>
    <w:rsid w:val="004F1F9F"/>
    <w:rsid w:val="004F3F6E"/>
    <w:rsid w:val="004F774D"/>
    <w:rsid w:val="004F7908"/>
    <w:rsid w:val="00504879"/>
    <w:rsid w:val="00506B9A"/>
    <w:rsid w:val="005110B9"/>
    <w:rsid w:val="00511AF8"/>
    <w:rsid w:val="005153B3"/>
    <w:rsid w:val="00516E18"/>
    <w:rsid w:val="00522DA9"/>
    <w:rsid w:val="005236F4"/>
    <w:rsid w:val="00523B58"/>
    <w:rsid w:val="005270DD"/>
    <w:rsid w:val="005324F6"/>
    <w:rsid w:val="0053648C"/>
    <w:rsid w:val="00540B27"/>
    <w:rsid w:val="005418D1"/>
    <w:rsid w:val="00541AC5"/>
    <w:rsid w:val="00542788"/>
    <w:rsid w:val="005443C8"/>
    <w:rsid w:val="00546471"/>
    <w:rsid w:val="00546640"/>
    <w:rsid w:val="0055104D"/>
    <w:rsid w:val="005519AF"/>
    <w:rsid w:val="005548EA"/>
    <w:rsid w:val="00555AD4"/>
    <w:rsid w:val="0055643C"/>
    <w:rsid w:val="005568AB"/>
    <w:rsid w:val="00556A9A"/>
    <w:rsid w:val="00562429"/>
    <w:rsid w:val="00562F56"/>
    <w:rsid w:val="0056424C"/>
    <w:rsid w:val="00564C43"/>
    <w:rsid w:val="005651CF"/>
    <w:rsid w:val="005664FA"/>
    <w:rsid w:val="005679F0"/>
    <w:rsid w:val="00567E2B"/>
    <w:rsid w:val="005705D1"/>
    <w:rsid w:val="0057064A"/>
    <w:rsid w:val="005706EF"/>
    <w:rsid w:val="00571EFD"/>
    <w:rsid w:val="00573864"/>
    <w:rsid w:val="0057413E"/>
    <w:rsid w:val="005755F8"/>
    <w:rsid w:val="00580920"/>
    <w:rsid w:val="005823E5"/>
    <w:rsid w:val="00583134"/>
    <w:rsid w:val="0059503F"/>
    <w:rsid w:val="005956A4"/>
    <w:rsid w:val="005A66AD"/>
    <w:rsid w:val="005A6FF2"/>
    <w:rsid w:val="005A7CD2"/>
    <w:rsid w:val="005B1907"/>
    <w:rsid w:val="005B1EBE"/>
    <w:rsid w:val="005B3986"/>
    <w:rsid w:val="005B57B1"/>
    <w:rsid w:val="005B58DD"/>
    <w:rsid w:val="005B7C0C"/>
    <w:rsid w:val="005C2738"/>
    <w:rsid w:val="005C39EC"/>
    <w:rsid w:val="005C49BF"/>
    <w:rsid w:val="005C5C3F"/>
    <w:rsid w:val="005C739A"/>
    <w:rsid w:val="005C7AA1"/>
    <w:rsid w:val="005D1481"/>
    <w:rsid w:val="005D1ABA"/>
    <w:rsid w:val="005D2567"/>
    <w:rsid w:val="005D4965"/>
    <w:rsid w:val="005D70B7"/>
    <w:rsid w:val="005E0CF1"/>
    <w:rsid w:val="005E3695"/>
    <w:rsid w:val="005F0653"/>
    <w:rsid w:val="005F0A1C"/>
    <w:rsid w:val="005F1686"/>
    <w:rsid w:val="005F2FFA"/>
    <w:rsid w:val="005F6642"/>
    <w:rsid w:val="005F6D92"/>
    <w:rsid w:val="006014C0"/>
    <w:rsid w:val="00605951"/>
    <w:rsid w:val="00610062"/>
    <w:rsid w:val="006109F4"/>
    <w:rsid w:val="006138FA"/>
    <w:rsid w:val="006170ED"/>
    <w:rsid w:val="00617CA9"/>
    <w:rsid w:val="00622498"/>
    <w:rsid w:val="00623275"/>
    <w:rsid w:val="00623843"/>
    <w:rsid w:val="00623D41"/>
    <w:rsid w:val="006330FF"/>
    <w:rsid w:val="0063367C"/>
    <w:rsid w:val="00633B53"/>
    <w:rsid w:val="00634953"/>
    <w:rsid w:val="006351C1"/>
    <w:rsid w:val="00635AFD"/>
    <w:rsid w:val="00635E72"/>
    <w:rsid w:val="0063711B"/>
    <w:rsid w:val="006441D4"/>
    <w:rsid w:val="006446AC"/>
    <w:rsid w:val="00644EA7"/>
    <w:rsid w:val="00645BF8"/>
    <w:rsid w:val="00645FBF"/>
    <w:rsid w:val="0065249E"/>
    <w:rsid w:val="00655356"/>
    <w:rsid w:val="00655497"/>
    <w:rsid w:val="00655503"/>
    <w:rsid w:val="00660117"/>
    <w:rsid w:val="00661626"/>
    <w:rsid w:val="00661A70"/>
    <w:rsid w:val="00662495"/>
    <w:rsid w:val="006638F8"/>
    <w:rsid w:val="00664352"/>
    <w:rsid w:val="00671537"/>
    <w:rsid w:val="00673FBC"/>
    <w:rsid w:val="00675B4C"/>
    <w:rsid w:val="00677D0E"/>
    <w:rsid w:val="00683708"/>
    <w:rsid w:val="00684DF9"/>
    <w:rsid w:val="00687FCC"/>
    <w:rsid w:val="00690089"/>
    <w:rsid w:val="00690529"/>
    <w:rsid w:val="00691D7C"/>
    <w:rsid w:val="006954E6"/>
    <w:rsid w:val="006A0BC1"/>
    <w:rsid w:val="006A2697"/>
    <w:rsid w:val="006A320C"/>
    <w:rsid w:val="006A7589"/>
    <w:rsid w:val="006B47E6"/>
    <w:rsid w:val="006B67F8"/>
    <w:rsid w:val="006C0E6B"/>
    <w:rsid w:val="006C20E2"/>
    <w:rsid w:val="006C215F"/>
    <w:rsid w:val="006C6DDE"/>
    <w:rsid w:val="006D04C9"/>
    <w:rsid w:val="006D104A"/>
    <w:rsid w:val="006E19BC"/>
    <w:rsid w:val="006E37DE"/>
    <w:rsid w:val="006E3A83"/>
    <w:rsid w:val="006E3B43"/>
    <w:rsid w:val="006F08EB"/>
    <w:rsid w:val="006F1D77"/>
    <w:rsid w:val="006F230E"/>
    <w:rsid w:val="006F25F1"/>
    <w:rsid w:val="006F261B"/>
    <w:rsid w:val="007009B3"/>
    <w:rsid w:val="00705824"/>
    <w:rsid w:val="00713462"/>
    <w:rsid w:val="00713999"/>
    <w:rsid w:val="007165C0"/>
    <w:rsid w:val="00717A56"/>
    <w:rsid w:val="007216B2"/>
    <w:rsid w:val="007231AB"/>
    <w:rsid w:val="007245D6"/>
    <w:rsid w:val="00730621"/>
    <w:rsid w:val="007340B5"/>
    <w:rsid w:val="0074091D"/>
    <w:rsid w:val="007455A8"/>
    <w:rsid w:val="007469B7"/>
    <w:rsid w:val="007503AD"/>
    <w:rsid w:val="0075158B"/>
    <w:rsid w:val="007546B7"/>
    <w:rsid w:val="00754A12"/>
    <w:rsid w:val="00761859"/>
    <w:rsid w:val="00767829"/>
    <w:rsid w:val="00767A97"/>
    <w:rsid w:val="007705A0"/>
    <w:rsid w:val="00771F4C"/>
    <w:rsid w:val="00777307"/>
    <w:rsid w:val="00777791"/>
    <w:rsid w:val="00780CED"/>
    <w:rsid w:val="00780D7B"/>
    <w:rsid w:val="00781315"/>
    <w:rsid w:val="00785990"/>
    <w:rsid w:val="00790537"/>
    <w:rsid w:val="0079145B"/>
    <w:rsid w:val="007930E6"/>
    <w:rsid w:val="0079446B"/>
    <w:rsid w:val="00794D70"/>
    <w:rsid w:val="007A032E"/>
    <w:rsid w:val="007A0A19"/>
    <w:rsid w:val="007A17FC"/>
    <w:rsid w:val="007A248F"/>
    <w:rsid w:val="007A28AB"/>
    <w:rsid w:val="007A4991"/>
    <w:rsid w:val="007A51B2"/>
    <w:rsid w:val="007A74CD"/>
    <w:rsid w:val="007B0BFB"/>
    <w:rsid w:val="007B0D2E"/>
    <w:rsid w:val="007B38AA"/>
    <w:rsid w:val="007B4E2D"/>
    <w:rsid w:val="007C0D90"/>
    <w:rsid w:val="007C1D44"/>
    <w:rsid w:val="007C39D9"/>
    <w:rsid w:val="007C57E7"/>
    <w:rsid w:val="007C75A1"/>
    <w:rsid w:val="007D1053"/>
    <w:rsid w:val="007D35D0"/>
    <w:rsid w:val="007D47E4"/>
    <w:rsid w:val="007D7BB0"/>
    <w:rsid w:val="007E227B"/>
    <w:rsid w:val="007E2CBC"/>
    <w:rsid w:val="007E59E5"/>
    <w:rsid w:val="007E6A9E"/>
    <w:rsid w:val="007F0D1E"/>
    <w:rsid w:val="007F3998"/>
    <w:rsid w:val="00812E8E"/>
    <w:rsid w:val="00814002"/>
    <w:rsid w:val="00815814"/>
    <w:rsid w:val="00816254"/>
    <w:rsid w:val="00816584"/>
    <w:rsid w:val="00820EF8"/>
    <w:rsid w:val="00823C3D"/>
    <w:rsid w:val="008242DF"/>
    <w:rsid w:val="008253C6"/>
    <w:rsid w:val="00831678"/>
    <w:rsid w:val="00834E68"/>
    <w:rsid w:val="008410B8"/>
    <w:rsid w:val="00842F5A"/>
    <w:rsid w:val="00846F9B"/>
    <w:rsid w:val="00850BA2"/>
    <w:rsid w:val="00854E6F"/>
    <w:rsid w:val="0085555B"/>
    <w:rsid w:val="0085584A"/>
    <w:rsid w:val="00856D77"/>
    <w:rsid w:val="0085700D"/>
    <w:rsid w:val="00857490"/>
    <w:rsid w:val="00857B57"/>
    <w:rsid w:val="00857EA1"/>
    <w:rsid w:val="00862C20"/>
    <w:rsid w:val="00866C6A"/>
    <w:rsid w:val="0087295E"/>
    <w:rsid w:val="00874D3D"/>
    <w:rsid w:val="008756EE"/>
    <w:rsid w:val="008768B0"/>
    <w:rsid w:val="008776E4"/>
    <w:rsid w:val="00881CB7"/>
    <w:rsid w:val="00882848"/>
    <w:rsid w:val="00882ED9"/>
    <w:rsid w:val="00883677"/>
    <w:rsid w:val="00885978"/>
    <w:rsid w:val="008862B1"/>
    <w:rsid w:val="0088646F"/>
    <w:rsid w:val="00894415"/>
    <w:rsid w:val="00896D63"/>
    <w:rsid w:val="008A0B4C"/>
    <w:rsid w:val="008A14B9"/>
    <w:rsid w:val="008A199F"/>
    <w:rsid w:val="008A307C"/>
    <w:rsid w:val="008A40EE"/>
    <w:rsid w:val="008A469E"/>
    <w:rsid w:val="008A4D94"/>
    <w:rsid w:val="008A58FE"/>
    <w:rsid w:val="008A5F85"/>
    <w:rsid w:val="008A759D"/>
    <w:rsid w:val="008B27CD"/>
    <w:rsid w:val="008B2D73"/>
    <w:rsid w:val="008B3B6D"/>
    <w:rsid w:val="008C08C8"/>
    <w:rsid w:val="008C3AEC"/>
    <w:rsid w:val="008C4720"/>
    <w:rsid w:val="008C4773"/>
    <w:rsid w:val="008D0E8A"/>
    <w:rsid w:val="008D1DE8"/>
    <w:rsid w:val="008D3E01"/>
    <w:rsid w:val="008D57D9"/>
    <w:rsid w:val="008E00FF"/>
    <w:rsid w:val="008E0C62"/>
    <w:rsid w:val="008E0E00"/>
    <w:rsid w:val="008E6932"/>
    <w:rsid w:val="008F1248"/>
    <w:rsid w:val="008F1C66"/>
    <w:rsid w:val="008F353C"/>
    <w:rsid w:val="008F3D7B"/>
    <w:rsid w:val="008F623E"/>
    <w:rsid w:val="008F799A"/>
    <w:rsid w:val="00902334"/>
    <w:rsid w:val="0090416C"/>
    <w:rsid w:val="0090551A"/>
    <w:rsid w:val="009065E9"/>
    <w:rsid w:val="009070FB"/>
    <w:rsid w:val="009072C5"/>
    <w:rsid w:val="0091434A"/>
    <w:rsid w:val="00915156"/>
    <w:rsid w:val="00916DA4"/>
    <w:rsid w:val="00917573"/>
    <w:rsid w:val="00917891"/>
    <w:rsid w:val="00917E11"/>
    <w:rsid w:val="00920068"/>
    <w:rsid w:val="00921394"/>
    <w:rsid w:val="00921A1F"/>
    <w:rsid w:val="009227C1"/>
    <w:rsid w:val="00923E44"/>
    <w:rsid w:val="009240D7"/>
    <w:rsid w:val="009266ED"/>
    <w:rsid w:val="009371D9"/>
    <w:rsid w:val="00940D47"/>
    <w:rsid w:val="00941EAD"/>
    <w:rsid w:val="00942D30"/>
    <w:rsid w:val="00947D2E"/>
    <w:rsid w:val="00951B43"/>
    <w:rsid w:val="00951B60"/>
    <w:rsid w:val="00953106"/>
    <w:rsid w:val="009565C9"/>
    <w:rsid w:val="00962D96"/>
    <w:rsid w:val="00964EA9"/>
    <w:rsid w:val="00966402"/>
    <w:rsid w:val="00967CA1"/>
    <w:rsid w:val="00971B43"/>
    <w:rsid w:val="00972ECC"/>
    <w:rsid w:val="009734E9"/>
    <w:rsid w:val="00981B08"/>
    <w:rsid w:val="00982498"/>
    <w:rsid w:val="00982E6F"/>
    <w:rsid w:val="00983A9A"/>
    <w:rsid w:val="00983AC5"/>
    <w:rsid w:val="0098429E"/>
    <w:rsid w:val="009853CD"/>
    <w:rsid w:val="009872C6"/>
    <w:rsid w:val="00992624"/>
    <w:rsid w:val="0099367D"/>
    <w:rsid w:val="0099399E"/>
    <w:rsid w:val="00994711"/>
    <w:rsid w:val="009974C0"/>
    <w:rsid w:val="009A066E"/>
    <w:rsid w:val="009A629F"/>
    <w:rsid w:val="009A7BD4"/>
    <w:rsid w:val="009B0758"/>
    <w:rsid w:val="009B11BF"/>
    <w:rsid w:val="009B1375"/>
    <w:rsid w:val="009B1489"/>
    <w:rsid w:val="009B5DEB"/>
    <w:rsid w:val="009B765C"/>
    <w:rsid w:val="009B778F"/>
    <w:rsid w:val="009B7A0E"/>
    <w:rsid w:val="009B7DAD"/>
    <w:rsid w:val="009C0AD5"/>
    <w:rsid w:val="009C3091"/>
    <w:rsid w:val="009C3B4D"/>
    <w:rsid w:val="009C4144"/>
    <w:rsid w:val="009C4F33"/>
    <w:rsid w:val="009C6C5C"/>
    <w:rsid w:val="009C7E6F"/>
    <w:rsid w:val="009D22C4"/>
    <w:rsid w:val="009D40FE"/>
    <w:rsid w:val="009D5AD5"/>
    <w:rsid w:val="009E1E8B"/>
    <w:rsid w:val="009E419F"/>
    <w:rsid w:val="009E4A02"/>
    <w:rsid w:val="009E6FBA"/>
    <w:rsid w:val="009F213B"/>
    <w:rsid w:val="009F4D3A"/>
    <w:rsid w:val="009F659B"/>
    <w:rsid w:val="00A00269"/>
    <w:rsid w:val="00A025B4"/>
    <w:rsid w:val="00A02CE0"/>
    <w:rsid w:val="00A06006"/>
    <w:rsid w:val="00A06F3D"/>
    <w:rsid w:val="00A10541"/>
    <w:rsid w:val="00A13CE3"/>
    <w:rsid w:val="00A14C52"/>
    <w:rsid w:val="00A15C1A"/>
    <w:rsid w:val="00A17A7C"/>
    <w:rsid w:val="00A22008"/>
    <w:rsid w:val="00A2378F"/>
    <w:rsid w:val="00A25109"/>
    <w:rsid w:val="00A251B5"/>
    <w:rsid w:val="00A252F5"/>
    <w:rsid w:val="00A254BA"/>
    <w:rsid w:val="00A275E8"/>
    <w:rsid w:val="00A32493"/>
    <w:rsid w:val="00A341DA"/>
    <w:rsid w:val="00A36024"/>
    <w:rsid w:val="00A37A5F"/>
    <w:rsid w:val="00A37EB7"/>
    <w:rsid w:val="00A5050E"/>
    <w:rsid w:val="00A51412"/>
    <w:rsid w:val="00A525EB"/>
    <w:rsid w:val="00A53885"/>
    <w:rsid w:val="00A53FFC"/>
    <w:rsid w:val="00A569B0"/>
    <w:rsid w:val="00A62644"/>
    <w:rsid w:val="00A71A55"/>
    <w:rsid w:val="00A86B27"/>
    <w:rsid w:val="00A87DE7"/>
    <w:rsid w:val="00A976AD"/>
    <w:rsid w:val="00A9775E"/>
    <w:rsid w:val="00AA058A"/>
    <w:rsid w:val="00AA1B7A"/>
    <w:rsid w:val="00AA3C4A"/>
    <w:rsid w:val="00AA58E9"/>
    <w:rsid w:val="00AA71A6"/>
    <w:rsid w:val="00AB36D0"/>
    <w:rsid w:val="00AB3C56"/>
    <w:rsid w:val="00AB4931"/>
    <w:rsid w:val="00AB6B03"/>
    <w:rsid w:val="00AC1451"/>
    <w:rsid w:val="00AC3609"/>
    <w:rsid w:val="00AD00FE"/>
    <w:rsid w:val="00AD04B4"/>
    <w:rsid w:val="00AD20DE"/>
    <w:rsid w:val="00AD5413"/>
    <w:rsid w:val="00AD6215"/>
    <w:rsid w:val="00AD674B"/>
    <w:rsid w:val="00AE7F22"/>
    <w:rsid w:val="00AF1DE8"/>
    <w:rsid w:val="00AF4D48"/>
    <w:rsid w:val="00AF51B1"/>
    <w:rsid w:val="00B030E3"/>
    <w:rsid w:val="00B10A55"/>
    <w:rsid w:val="00B12262"/>
    <w:rsid w:val="00B1255A"/>
    <w:rsid w:val="00B1278A"/>
    <w:rsid w:val="00B13305"/>
    <w:rsid w:val="00B134B4"/>
    <w:rsid w:val="00B136C8"/>
    <w:rsid w:val="00B13CE9"/>
    <w:rsid w:val="00B15F6B"/>
    <w:rsid w:val="00B16828"/>
    <w:rsid w:val="00B207E5"/>
    <w:rsid w:val="00B21470"/>
    <w:rsid w:val="00B2590C"/>
    <w:rsid w:val="00B31898"/>
    <w:rsid w:val="00B34B16"/>
    <w:rsid w:val="00B35C07"/>
    <w:rsid w:val="00B4050B"/>
    <w:rsid w:val="00B46B64"/>
    <w:rsid w:val="00B47AD3"/>
    <w:rsid w:val="00B50547"/>
    <w:rsid w:val="00B51781"/>
    <w:rsid w:val="00B556C0"/>
    <w:rsid w:val="00B56E02"/>
    <w:rsid w:val="00B5774E"/>
    <w:rsid w:val="00B60E09"/>
    <w:rsid w:val="00B62A08"/>
    <w:rsid w:val="00B63ED4"/>
    <w:rsid w:val="00B72D90"/>
    <w:rsid w:val="00B750D8"/>
    <w:rsid w:val="00B754C9"/>
    <w:rsid w:val="00B77740"/>
    <w:rsid w:val="00B80276"/>
    <w:rsid w:val="00B80D7C"/>
    <w:rsid w:val="00B8210D"/>
    <w:rsid w:val="00B90288"/>
    <w:rsid w:val="00B90E36"/>
    <w:rsid w:val="00B91642"/>
    <w:rsid w:val="00B92BD9"/>
    <w:rsid w:val="00B938FF"/>
    <w:rsid w:val="00B93B39"/>
    <w:rsid w:val="00B955C3"/>
    <w:rsid w:val="00B95CA0"/>
    <w:rsid w:val="00B961BC"/>
    <w:rsid w:val="00BA449F"/>
    <w:rsid w:val="00BA59FF"/>
    <w:rsid w:val="00BA79B6"/>
    <w:rsid w:val="00BB06F0"/>
    <w:rsid w:val="00BB2ED0"/>
    <w:rsid w:val="00BB2FC8"/>
    <w:rsid w:val="00BB3C36"/>
    <w:rsid w:val="00BB54A1"/>
    <w:rsid w:val="00BB559E"/>
    <w:rsid w:val="00BB664B"/>
    <w:rsid w:val="00BB6C07"/>
    <w:rsid w:val="00BC1E9E"/>
    <w:rsid w:val="00BC2384"/>
    <w:rsid w:val="00BC39B3"/>
    <w:rsid w:val="00BC598A"/>
    <w:rsid w:val="00BC63E8"/>
    <w:rsid w:val="00BD0F5D"/>
    <w:rsid w:val="00BD22D5"/>
    <w:rsid w:val="00BD2A92"/>
    <w:rsid w:val="00BD35CF"/>
    <w:rsid w:val="00BD503F"/>
    <w:rsid w:val="00BD66B7"/>
    <w:rsid w:val="00BD67A6"/>
    <w:rsid w:val="00BD732F"/>
    <w:rsid w:val="00BE2118"/>
    <w:rsid w:val="00BE4E93"/>
    <w:rsid w:val="00BE5172"/>
    <w:rsid w:val="00BE775A"/>
    <w:rsid w:val="00BF2D03"/>
    <w:rsid w:val="00BF2E26"/>
    <w:rsid w:val="00BF4257"/>
    <w:rsid w:val="00BF5271"/>
    <w:rsid w:val="00BF656A"/>
    <w:rsid w:val="00C01400"/>
    <w:rsid w:val="00C04071"/>
    <w:rsid w:val="00C1203E"/>
    <w:rsid w:val="00C1799A"/>
    <w:rsid w:val="00C17F9C"/>
    <w:rsid w:val="00C22555"/>
    <w:rsid w:val="00C22D53"/>
    <w:rsid w:val="00C30BDD"/>
    <w:rsid w:val="00C30C40"/>
    <w:rsid w:val="00C31462"/>
    <w:rsid w:val="00C32D72"/>
    <w:rsid w:val="00C33A9E"/>
    <w:rsid w:val="00C33D03"/>
    <w:rsid w:val="00C35F5E"/>
    <w:rsid w:val="00C379CB"/>
    <w:rsid w:val="00C446D9"/>
    <w:rsid w:val="00C44894"/>
    <w:rsid w:val="00C449F0"/>
    <w:rsid w:val="00C44F1B"/>
    <w:rsid w:val="00C47742"/>
    <w:rsid w:val="00C519D0"/>
    <w:rsid w:val="00C540C4"/>
    <w:rsid w:val="00C54582"/>
    <w:rsid w:val="00C551E0"/>
    <w:rsid w:val="00C56DCD"/>
    <w:rsid w:val="00C57495"/>
    <w:rsid w:val="00C57728"/>
    <w:rsid w:val="00C60F97"/>
    <w:rsid w:val="00C62A31"/>
    <w:rsid w:val="00C634E1"/>
    <w:rsid w:val="00C637F3"/>
    <w:rsid w:val="00C63CAF"/>
    <w:rsid w:val="00C67FFE"/>
    <w:rsid w:val="00C722D6"/>
    <w:rsid w:val="00C73E37"/>
    <w:rsid w:val="00C747E4"/>
    <w:rsid w:val="00C74B0C"/>
    <w:rsid w:val="00C76A8F"/>
    <w:rsid w:val="00C77515"/>
    <w:rsid w:val="00C77B4D"/>
    <w:rsid w:val="00C77F74"/>
    <w:rsid w:val="00C8003F"/>
    <w:rsid w:val="00C81361"/>
    <w:rsid w:val="00C82127"/>
    <w:rsid w:val="00C93602"/>
    <w:rsid w:val="00C93F67"/>
    <w:rsid w:val="00C95491"/>
    <w:rsid w:val="00C96F88"/>
    <w:rsid w:val="00C976C5"/>
    <w:rsid w:val="00CA00DA"/>
    <w:rsid w:val="00CA0143"/>
    <w:rsid w:val="00CA27AB"/>
    <w:rsid w:val="00CA5E83"/>
    <w:rsid w:val="00CA6FE7"/>
    <w:rsid w:val="00CB27FB"/>
    <w:rsid w:val="00CB452E"/>
    <w:rsid w:val="00CB7B06"/>
    <w:rsid w:val="00CC08B0"/>
    <w:rsid w:val="00CC21E4"/>
    <w:rsid w:val="00CC222E"/>
    <w:rsid w:val="00CC2B78"/>
    <w:rsid w:val="00CC44D9"/>
    <w:rsid w:val="00CC50C6"/>
    <w:rsid w:val="00CC70BD"/>
    <w:rsid w:val="00CD0437"/>
    <w:rsid w:val="00CD39B8"/>
    <w:rsid w:val="00CD431D"/>
    <w:rsid w:val="00CD5A49"/>
    <w:rsid w:val="00CD7026"/>
    <w:rsid w:val="00CE2637"/>
    <w:rsid w:val="00CE6A58"/>
    <w:rsid w:val="00CF0276"/>
    <w:rsid w:val="00CF03EF"/>
    <w:rsid w:val="00CF13B9"/>
    <w:rsid w:val="00CF3569"/>
    <w:rsid w:val="00CF3750"/>
    <w:rsid w:val="00CF3C92"/>
    <w:rsid w:val="00CF6439"/>
    <w:rsid w:val="00D00126"/>
    <w:rsid w:val="00D00376"/>
    <w:rsid w:val="00D043CF"/>
    <w:rsid w:val="00D04978"/>
    <w:rsid w:val="00D0705F"/>
    <w:rsid w:val="00D110DE"/>
    <w:rsid w:val="00D122D6"/>
    <w:rsid w:val="00D14261"/>
    <w:rsid w:val="00D17A99"/>
    <w:rsid w:val="00D2309D"/>
    <w:rsid w:val="00D23BB3"/>
    <w:rsid w:val="00D27EDC"/>
    <w:rsid w:val="00D329A5"/>
    <w:rsid w:val="00D3405A"/>
    <w:rsid w:val="00D344C5"/>
    <w:rsid w:val="00D35901"/>
    <w:rsid w:val="00D35E56"/>
    <w:rsid w:val="00D377B0"/>
    <w:rsid w:val="00D41B9B"/>
    <w:rsid w:val="00D4297C"/>
    <w:rsid w:val="00D43B37"/>
    <w:rsid w:val="00D45F45"/>
    <w:rsid w:val="00D525DA"/>
    <w:rsid w:val="00D53016"/>
    <w:rsid w:val="00D5363C"/>
    <w:rsid w:val="00D53C77"/>
    <w:rsid w:val="00D6266E"/>
    <w:rsid w:val="00D635C6"/>
    <w:rsid w:val="00D64A22"/>
    <w:rsid w:val="00D67853"/>
    <w:rsid w:val="00D67D5F"/>
    <w:rsid w:val="00D70D0C"/>
    <w:rsid w:val="00D72D09"/>
    <w:rsid w:val="00D733C2"/>
    <w:rsid w:val="00D7481B"/>
    <w:rsid w:val="00D822F5"/>
    <w:rsid w:val="00D82361"/>
    <w:rsid w:val="00D836EB"/>
    <w:rsid w:val="00D84584"/>
    <w:rsid w:val="00D85695"/>
    <w:rsid w:val="00D87101"/>
    <w:rsid w:val="00D90524"/>
    <w:rsid w:val="00D92504"/>
    <w:rsid w:val="00D934EE"/>
    <w:rsid w:val="00D97D0C"/>
    <w:rsid w:val="00D97D5A"/>
    <w:rsid w:val="00DB0AB4"/>
    <w:rsid w:val="00DB15E2"/>
    <w:rsid w:val="00DB1730"/>
    <w:rsid w:val="00DB1D30"/>
    <w:rsid w:val="00DB7916"/>
    <w:rsid w:val="00DB7F7A"/>
    <w:rsid w:val="00DC17ED"/>
    <w:rsid w:val="00DC1F75"/>
    <w:rsid w:val="00DC2648"/>
    <w:rsid w:val="00DC3331"/>
    <w:rsid w:val="00DC36FC"/>
    <w:rsid w:val="00DD1352"/>
    <w:rsid w:val="00DD2A30"/>
    <w:rsid w:val="00DD2CA9"/>
    <w:rsid w:val="00DD507D"/>
    <w:rsid w:val="00DD7E3B"/>
    <w:rsid w:val="00DE035E"/>
    <w:rsid w:val="00DE234B"/>
    <w:rsid w:val="00DE47E7"/>
    <w:rsid w:val="00DF19FC"/>
    <w:rsid w:val="00E00A30"/>
    <w:rsid w:val="00E038E3"/>
    <w:rsid w:val="00E051C3"/>
    <w:rsid w:val="00E06A29"/>
    <w:rsid w:val="00E07F98"/>
    <w:rsid w:val="00E14E72"/>
    <w:rsid w:val="00E15B48"/>
    <w:rsid w:val="00E165B0"/>
    <w:rsid w:val="00E33A9B"/>
    <w:rsid w:val="00E409B1"/>
    <w:rsid w:val="00E40AF4"/>
    <w:rsid w:val="00E4192A"/>
    <w:rsid w:val="00E425DD"/>
    <w:rsid w:val="00E4272B"/>
    <w:rsid w:val="00E42AEA"/>
    <w:rsid w:val="00E45797"/>
    <w:rsid w:val="00E559D6"/>
    <w:rsid w:val="00E60360"/>
    <w:rsid w:val="00E631A0"/>
    <w:rsid w:val="00E638FA"/>
    <w:rsid w:val="00E6419D"/>
    <w:rsid w:val="00E64555"/>
    <w:rsid w:val="00E64D39"/>
    <w:rsid w:val="00E6519B"/>
    <w:rsid w:val="00E6598A"/>
    <w:rsid w:val="00E6769A"/>
    <w:rsid w:val="00E67F25"/>
    <w:rsid w:val="00E72673"/>
    <w:rsid w:val="00E72DA3"/>
    <w:rsid w:val="00E74783"/>
    <w:rsid w:val="00E75480"/>
    <w:rsid w:val="00E758A2"/>
    <w:rsid w:val="00E76FCC"/>
    <w:rsid w:val="00E805AD"/>
    <w:rsid w:val="00E80CB2"/>
    <w:rsid w:val="00E8482C"/>
    <w:rsid w:val="00E856D8"/>
    <w:rsid w:val="00E87253"/>
    <w:rsid w:val="00E90D88"/>
    <w:rsid w:val="00E93F78"/>
    <w:rsid w:val="00E96E18"/>
    <w:rsid w:val="00EA4A38"/>
    <w:rsid w:val="00EA5320"/>
    <w:rsid w:val="00EB3668"/>
    <w:rsid w:val="00EC0063"/>
    <w:rsid w:val="00EC3A05"/>
    <w:rsid w:val="00EC485A"/>
    <w:rsid w:val="00EC5006"/>
    <w:rsid w:val="00EC6158"/>
    <w:rsid w:val="00EC6219"/>
    <w:rsid w:val="00EC686F"/>
    <w:rsid w:val="00ED1239"/>
    <w:rsid w:val="00ED1521"/>
    <w:rsid w:val="00ED1BA4"/>
    <w:rsid w:val="00ED2920"/>
    <w:rsid w:val="00ED486E"/>
    <w:rsid w:val="00ED6C64"/>
    <w:rsid w:val="00EE051C"/>
    <w:rsid w:val="00EE13BD"/>
    <w:rsid w:val="00EE2403"/>
    <w:rsid w:val="00EE2F6D"/>
    <w:rsid w:val="00EE339D"/>
    <w:rsid w:val="00EE4124"/>
    <w:rsid w:val="00EE5BF9"/>
    <w:rsid w:val="00EF1261"/>
    <w:rsid w:val="00EF4946"/>
    <w:rsid w:val="00EF6996"/>
    <w:rsid w:val="00F00131"/>
    <w:rsid w:val="00F00F78"/>
    <w:rsid w:val="00F02448"/>
    <w:rsid w:val="00F0333B"/>
    <w:rsid w:val="00F04918"/>
    <w:rsid w:val="00F04BE6"/>
    <w:rsid w:val="00F07558"/>
    <w:rsid w:val="00F10ACE"/>
    <w:rsid w:val="00F11BE8"/>
    <w:rsid w:val="00F13F25"/>
    <w:rsid w:val="00F14587"/>
    <w:rsid w:val="00F17EEB"/>
    <w:rsid w:val="00F22A22"/>
    <w:rsid w:val="00F27401"/>
    <w:rsid w:val="00F30B08"/>
    <w:rsid w:val="00F30B79"/>
    <w:rsid w:val="00F32319"/>
    <w:rsid w:val="00F37206"/>
    <w:rsid w:val="00F40B55"/>
    <w:rsid w:val="00F445C4"/>
    <w:rsid w:val="00F44C06"/>
    <w:rsid w:val="00F4791C"/>
    <w:rsid w:val="00F47DC0"/>
    <w:rsid w:val="00F54280"/>
    <w:rsid w:val="00F54B10"/>
    <w:rsid w:val="00F55456"/>
    <w:rsid w:val="00F55E79"/>
    <w:rsid w:val="00F57806"/>
    <w:rsid w:val="00F578AB"/>
    <w:rsid w:val="00F628AB"/>
    <w:rsid w:val="00F6292B"/>
    <w:rsid w:val="00F62C9E"/>
    <w:rsid w:val="00F7244D"/>
    <w:rsid w:val="00F74513"/>
    <w:rsid w:val="00F74FBE"/>
    <w:rsid w:val="00F76BAA"/>
    <w:rsid w:val="00F772CE"/>
    <w:rsid w:val="00F778E7"/>
    <w:rsid w:val="00F80E3C"/>
    <w:rsid w:val="00F826EA"/>
    <w:rsid w:val="00F83E08"/>
    <w:rsid w:val="00F84484"/>
    <w:rsid w:val="00F86E36"/>
    <w:rsid w:val="00F920A2"/>
    <w:rsid w:val="00F94467"/>
    <w:rsid w:val="00F9530D"/>
    <w:rsid w:val="00F95BE1"/>
    <w:rsid w:val="00F95CC1"/>
    <w:rsid w:val="00F96A63"/>
    <w:rsid w:val="00FA64DE"/>
    <w:rsid w:val="00FB17CD"/>
    <w:rsid w:val="00FB1D43"/>
    <w:rsid w:val="00FB1DF5"/>
    <w:rsid w:val="00FB2FBC"/>
    <w:rsid w:val="00FC0271"/>
    <w:rsid w:val="00FC1B98"/>
    <w:rsid w:val="00FC3A15"/>
    <w:rsid w:val="00FC684C"/>
    <w:rsid w:val="00FD077A"/>
    <w:rsid w:val="00FD0828"/>
    <w:rsid w:val="00FD2536"/>
    <w:rsid w:val="00FD394B"/>
    <w:rsid w:val="00FD7209"/>
    <w:rsid w:val="00FD74F3"/>
    <w:rsid w:val="00FE2630"/>
    <w:rsid w:val="00FE2CCA"/>
    <w:rsid w:val="00FE444B"/>
    <w:rsid w:val="00FE4719"/>
    <w:rsid w:val="00FF2B7F"/>
    <w:rsid w:val="00FF3AAC"/>
    <w:rsid w:val="00FF5125"/>
    <w:rsid w:val="00FF77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426F4A"/>
  <w15:chartTrackingRefBased/>
  <w15:docId w15:val="{C99D7C08-759C-4D4D-9CD3-D4BB079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style>
  <w:style w:type="character" w:styleId="FootnoteReference">
    <w:name w:val="footnote reference"/>
    <w:aliases w:val="Style 16,Style 19,Style 35,fr"/>
    <w:uiPriority w:val="99"/>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rsid w:val="00A9775E"/>
    <w:rPr>
      <w:rFonts w:ascii="Courier" w:hAnsi="Courier"/>
      <w:sz w:val="24"/>
    </w:rPr>
  </w:style>
  <w:style w:type="table" w:styleId="TableGrid">
    <w:name w:val="Table Grid"/>
    <w:basedOn w:val="TableNormal"/>
    <w:uiPriority w:val="59"/>
    <w:rsid w:val="0064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BB2"/>
    <w:rPr>
      <w:rFonts w:ascii="Tahoma" w:hAnsi="Tahoma" w:cs="Tahoma"/>
      <w:sz w:val="16"/>
      <w:szCs w:val="16"/>
    </w:rPr>
  </w:style>
  <w:style w:type="character" w:customStyle="1" w:styleId="BalloonTextChar">
    <w:name w:val="Balloon Text Char"/>
    <w:link w:val="BalloonText"/>
    <w:uiPriority w:val="99"/>
    <w:semiHidden/>
    <w:rsid w:val="00223BB2"/>
    <w:rPr>
      <w:rFonts w:ascii="Tahoma" w:hAnsi="Tahoma" w:cs="Tahoma"/>
      <w:sz w:val="16"/>
      <w:szCs w:val="16"/>
    </w:rPr>
  </w:style>
  <w:style w:type="character" w:styleId="CommentReference">
    <w:name w:val="annotation reference"/>
    <w:uiPriority w:val="99"/>
    <w:semiHidden/>
    <w:unhideWhenUsed/>
    <w:rsid w:val="00EE2F6D"/>
    <w:rPr>
      <w:sz w:val="16"/>
      <w:szCs w:val="16"/>
    </w:rPr>
  </w:style>
  <w:style w:type="paragraph" w:styleId="CommentText">
    <w:name w:val="annotation text"/>
    <w:basedOn w:val="Normal"/>
    <w:link w:val="CommentTextChar"/>
    <w:unhideWhenUsed/>
    <w:rsid w:val="00EE2F6D"/>
    <w:rPr>
      <w:sz w:val="20"/>
    </w:rPr>
  </w:style>
  <w:style w:type="character" w:customStyle="1" w:styleId="CommentTextChar">
    <w:name w:val="Comment Text Char"/>
    <w:link w:val="CommentText"/>
    <w:uiPriority w:val="99"/>
    <w:rsid w:val="00EE2F6D"/>
    <w:rPr>
      <w:rFonts w:ascii="Courier" w:hAnsi="Courier"/>
    </w:rPr>
  </w:style>
  <w:style w:type="paragraph" w:styleId="CommentSubject">
    <w:name w:val="annotation subject"/>
    <w:basedOn w:val="CommentText"/>
    <w:next w:val="CommentText"/>
    <w:link w:val="CommentSubjectChar"/>
    <w:uiPriority w:val="99"/>
    <w:semiHidden/>
    <w:unhideWhenUsed/>
    <w:rsid w:val="00EE2F6D"/>
    <w:rPr>
      <w:b/>
      <w:bCs/>
    </w:rPr>
  </w:style>
  <w:style w:type="character" w:customStyle="1" w:styleId="CommentSubjectChar">
    <w:name w:val="Comment Subject Char"/>
    <w:link w:val="CommentSubject"/>
    <w:uiPriority w:val="99"/>
    <w:semiHidden/>
    <w:rsid w:val="00EE2F6D"/>
    <w:rPr>
      <w:rFonts w:ascii="Courier" w:hAnsi="Courier"/>
      <w:b/>
      <w:bCs/>
    </w:rPr>
  </w:style>
  <w:style w:type="paragraph" w:styleId="Header">
    <w:name w:val="header"/>
    <w:basedOn w:val="Normal"/>
    <w:link w:val="HeaderChar"/>
    <w:uiPriority w:val="99"/>
    <w:unhideWhenUsed/>
    <w:rsid w:val="00D45F45"/>
    <w:pPr>
      <w:tabs>
        <w:tab w:val="center" w:pos="4680"/>
        <w:tab w:val="right" w:pos="9360"/>
      </w:tabs>
    </w:pPr>
  </w:style>
  <w:style w:type="character" w:customStyle="1" w:styleId="HeaderChar">
    <w:name w:val="Header Char"/>
    <w:link w:val="Header"/>
    <w:uiPriority w:val="99"/>
    <w:rsid w:val="00D45F45"/>
    <w:rPr>
      <w:rFonts w:ascii="Courier" w:hAnsi="Courier"/>
      <w:sz w:val="24"/>
    </w:rPr>
  </w:style>
  <w:style w:type="paragraph" w:styleId="Footer">
    <w:name w:val="footer"/>
    <w:basedOn w:val="Normal"/>
    <w:link w:val="FooterChar"/>
    <w:uiPriority w:val="99"/>
    <w:unhideWhenUsed/>
    <w:rsid w:val="00D45F45"/>
    <w:pPr>
      <w:tabs>
        <w:tab w:val="center" w:pos="4680"/>
        <w:tab w:val="right" w:pos="9360"/>
      </w:tabs>
    </w:pPr>
  </w:style>
  <w:style w:type="character" w:customStyle="1" w:styleId="FooterChar">
    <w:name w:val="Footer Char"/>
    <w:link w:val="Footer"/>
    <w:uiPriority w:val="99"/>
    <w:rsid w:val="00D45F45"/>
    <w:rPr>
      <w:rFonts w:ascii="Courier" w:hAnsi="Courier"/>
      <w:sz w:val="24"/>
    </w:rPr>
  </w:style>
  <w:style w:type="paragraph" w:styleId="Revision">
    <w:name w:val="Revision"/>
    <w:hidden/>
    <w:uiPriority w:val="99"/>
    <w:semiHidden/>
    <w:rsid w:val="00767829"/>
    <w:rPr>
      <w:rFonts w:ascii="Courier" w:hAnsi="Courier"/>
      <w:sz w:val="24"/>
    </w:rPr>
  </w:style>
  <w:style w:type="character" w:styleId="Hyperlink">
    <w:name w:val="Hyperlink"/>
    <w:uiPriority w:val="99"/>
    <w:unhideWhenUsed/>
    <w:rsid w:val="00354456"/>
    <w:rPr>
      <w:strike w:val="0"/>
      <w:dstrike w:val="0"/>
      <w:color w:val="00717C"/>
      <w:u w:val="none"/>
      <w:effect w:val="none"/>
      <w:bdr w:val="none" w:sz="0" w:space="0" w:color="auto" w:frame="1"/>
      <w:shd w:val="clear" w:color="auto" w:fill="auto"/>
    </w:rPr>
  </w:style>
  <w:style w:type="character" w:styleId="FollowedHyperlink">
    <w:name w:val="FollowedHyperlink"/>
    <w:basedOn w:val="DefaultParagraphFont"/>
    <w:uiPriority w:val="99"/>
    <w:semiHidden/>
    <w:unhideWhenUsed/>
    <w:rsid w:val="00F32319"/>
    <w:rPr>
      <w:color w:val="954F72" w:themeColor="followedHyperlink"/>
      <w:u w:val="single"/>
    </w:rPr>
  </w:style>
  <w:style w:type="character" w:styleId="UnresolvedMention">
    <w:name w:val="Unresolved Mention"/>
    <w:basedOn w:val="DefaultParagraphFont"/>
    <w:uiPriority w:val="99"/>
    <w:semiHidden/>
    <w:unhideWhenUsed/>
    <w:rsid w:val="00AF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ocis.gov/rocis/LoadIC.do?TYPE=EDIT&amp;requestId=1050849&amp;ICID=260648&amp;record_owner_flag=A&amp;menu=currentICRPackage" TargetMode="External" /><Relationship Id="rId11" Type="http://schemas.openxmlformats.org/officeDocument/2006/relationships/footer" Target="footer1.xml" /><Relationship Id="rId12" Type="http://schemas.openxmlformats.org/officeDocument/2006/relationships/hyperlink" Target="https://www.ecfr.gov/current/title-17/chapter-I/part-37/appendix-Appendix%20B%20to%20Part%2037" TargetMode="External" /><Relationship Id="rId13" Type="http://schemas.openxmlformats.org/officeDocument/2006/relationships/hyperlink" Target="https://www.bls.gov/oes/current/naics4_523000.htm"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9" ma:contentTypeDescription="Create a new document." ma:contentTypeScope="" ma:versionID="e1d2f3202d7455d406d9828dab19d8c1">
  <xsd:schema xmlns:xsd="http://www.w3.org/2001/XMLSchema" xmlns:xs="http://www.w3.org/2001/XMLSchema" xmlns:p="http://schemas.microsoft.com/office/2006/metadata/properties" xmlns:ns3="808b604e-1bb8-4308-a31c-73b0071a6f24" targetNamespace="http://schemas.microsoft.com/office/2006/metadata/properties" ma:root="true" ma:fieldsID="f941e2c9f5fa0a4a6d9eff3307c0b1fb"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C52EA-2F86-4F2C-B71D-06E374D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1463B-0C10-40D7-BFAA-729B0C64E772}">
  <ds:schemaRefs>
    <ds:schemaRef ds:uri="http://schemas.microsoft.com/sharepoint/v3/contenttype/forms"/>
  </ds:schemaRefs>
</ds:datastoreItem>
</file>

<file path=customXml/itemProps3.xml><?xml version="1.0" encoding="utf-8"?>
<ds:datastoreItem xmlns:ds="http://schemas.openxmlformats.org/officeDocument/2006/customXml" ds:itemID="{A3C6B0AD-35F8-421C-A513-9B75D67E44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B01B3-C514-4B16-A879-302E8AE42D91}">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386</TotalTime>
  <Pages>13</Pages>
  <Words>3618</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Office of the General Counsel</cp:lastModifiedBy>
  <cp:revision>61</cp:revision>
  <cp:lastPrinted>2018-04-03T13:48:00Z</cp:lastPrinted>
  <dcterms:created xsi:type="dcterms:W3CDTF">2025-03-03T19:57:00Z</dcterms:created>
  <dcterms:modified xsi:type="dcterms:W3CDTF">2025-03-10T17:02:00Z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