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539B" w:rsidRPr="00BD3001" w:rsidP="7D53D72A" w14:paraId="56D439DB" w14:textId="6532B57C">
      <w:pPr>
        <w:jc w:val="center"/>
        <w:rPr>
          <w:b/>
          <w:bCs/>
        </w:rPr>
      </w:pPr>
      <w:r w:rsidRPr="7D53D72A">
        <w:rPr>
          <w:b/>
          <w:bCs/>
        </w:rPr>
        <w:t>SUPPORTING STATEMENT-PART B</w:t>
      </w:r>
      <w:r w:rsidRPr="7D53D72A" w:rsidR="1EED0C15">
        <w:rPr>
          <w:b/>
          <w:bCs/>
        </w:rPr>
        <w:t>: Collection of Information Employing Statistical Methods</w:t>
      </w:r>
    </w:p>
    <w:p w:rsidR="074CDFB9" w:rsidP="7D53D72A" w14:paraId="4B9A2BF3" w14:textId="510465A8">
      <w:pPr>
        <w:jc w:val="center"/>
        <w:rPr>
          <w:b/>
          <w:bCs/>
        </w:rPr>
      </w:pPr>
      <w:r w:rsidRPr="7D53D72A">
        <w:rPr>
          <w:b/>
          <w:bCs/>
        </w:rPr>
        <w:t xml:space="preserve">2025 </w:t>
      </w:r>
      <w:r w:rsidRPr="7D53D72A" w:rsidR="1EED0C15">
        <w:rPr>
          <w:b/>
          <w:bCs/>
        </w:rPr>
        <w:t>FDIC Deposit Insurance Awareness Survey</w:t>
      </w:r>
    </w:p>
    <w:p w:rsidR="1D04AE4B" w:rsidP="7D53D72A" w14:paraId="240DDDEF" w14:textId="5BD4E5F1">
      <w:pPr>
        <w:jc w:val="center"/>
        <w:rPr>
          <w:b/>
          <w:bCs/>
        </w:rPr>
      </w:pPr>
      <w:r w:rsidRPr="1EBD76E5">
        <w:rPr>
          <w:b/>
          <w:bCs/>
        </w:rPr>
        <w:t>12/</w:t>
      </w:r>
      <w:r w:rsidRPr="1EBD76E5" w:rsidR="00E008B2">
        <w:rPr>
          <w:b/>
          <w:bCs/>
        </w:rPr>
        <w:t>1</w:t>
      </w:r>
      <w:r w:rsidRPr="1EBD76E5" w:rsidR="024CFF06">
        <w:rPr>
          <w:b/>
          <w:bCs/>
        </w:rPr>
        <w:t>2</w:t>
      </w:r>
      <w:r w:rsidRPr="1EBD76E5">
        <w:rPr>
          <w:b/>
          <w:bCs/>
        </w:rPr>
        <w:t>/2024</w:t>
      </w:r>
    </w:p>
    <w:p w:rsidR="00F83AD8" w:rsidRPr="00BD3001" w14:paraId="6A4A8A4E" w14:textId="77777777"/>
    <w:p w:rsidR="00F03347" w:rsidRPr="00BD3001" w:rsidP="7D53D72A" w14:paraId="221976B4" w14:textId="6C8F7EF6">
      <w:pPr>
        <w:pStyle w:val="ListParagraph"/>
        <w:numPr>
          <w:ilvl w:val="0"/>
          <w:numId w:val="1"/>
        </w:numPr>
        <w:spacing w:before="240" w:after="240" w:line="240" w:lineRule="auto"/>
        <w:ind w:left="720" w:hanging="720"/>
        <w:rPr>
          <w:b/>
          <w:bCs/>
        </w:rPr>
      </w:pPr>
      <w:r w:rsidRPr="7D53D72A">
        <w:rPr>
          <w:b/>
          <w:bCs/>
        </w:rPr>
        <w:t xml:space="preserve">Universe and Sample Selection </w:t>
      </w:r>
    </w:p>
    <w:p w:rsidR="00F03347" w:rsidRPr="00BD3001" w:rsidP="7D53D72A" w14:paraId="2D55B281" w14:textId="7F965446">
      <w:pPr>
        <w:spacing w:before="120" w:after="120" w:line="240" w:lineRule="auto"/>
      </w:pPr>
      <w:r>
        <w:t xml:space="preserve">The FDIC Deposit Insurance awareness survey will be </w:t>
      </w:r>
      <w:r w:rsidR="147E23DB">
        <w:t xml:space="preserve">conducted as part of </w:t>
      </w:r>
      <w:r>
        <w:t>Porter Novelli’s 2025 Spring</w:t>
      </w:r>
      <w:r w:rsidR="59B31CB6">
        <w:t xml:space="preserve"> </w:t>
      </w:r>
      <w:r>
        <w:t xml:space="preserve">Styles survey. </w:t>
      </w:r>
      <w:r w:rsidR="2197CF68">
        <w:t>T</w:t>
      </w:r>
      <w:r w:rsidR="2BDFC9BA">
        <w:t>he Spring Styles survey</w:t>
      </w:r>
      <w:r w:rsidR="164B6A74">
        <w:t xml:space="preserve"> is</w:t>
      </w:r>
      <w:r w:rsidR="2BDFC9BA">
        <w:t xml:space="preserve"> an online recurring survey representative of the US adult population. </w:t>
      </w:r>
      <w:r w:rsidR="0E6F930B">
        <w:t>The survey sampling, d</w:t>
      </w:r>
      <w:r w:rsidR="7FCC0432">
        <w:t>ata collection</w:t>
      </w:r>
      <w:r w:rsidR="15A060AC">
        <w:t xml:space="preserve">, and estimation </w:t>
      </w:r>
      <w:r w:rsidR="7FCC0432">
        <w:t xml:space="preserve">is </w:t>
      </w:r>
      <w:r w:rsidR="39872571">
        <w:t xml:space="preserve">designed and </w:t>
      </w:r>
      <w:r w:rsidR="7FCC0432">
        <w:t>implemented by survey firm IPSOS.</w:t>
      </w:r>
    </w:p>
    <w:p w:rsidR="00F03347" w:rsidRPr="00BD3001" w:rsidP="7D53D72A" w14:paraId="7DE49DBC" w14:textId="307A5518">
      <w:pPr>
        <w:spacing w:before="120" w:after="120" w:line="240" w:lineRule="auto"/>
      </w:pPr>
      <w:r>
        <w:t>The Spring</w:t>
      </w:r>
      <w:r w:rsidR="06E980F8">
        <w:t xml:space="preserve"> </w:t>
      </w:r>
      <w:r>
        <w:t>S</w:t>
      </w:r>
      <w:r w:rsidR="7E924CB5">
        <w:t>t</w:t>
      </w:r>
      <w:r>
        <w:t xml:space="preserve">yles survey </w:t>
      </w:r>
      <w:r w:rsidR="2296E156">
        <w:t xml:space="preserve">sample is generated from </w:t>
      </w:r>
      <w:r>
        <w:t>IPSOS Knowledge</w:t>
      </w:r>
      <w:r w:rsidR="3C0B3380">
        <w:t xml:space="preserve"> </w:t>
      </w:r>
      <w:r>
        <w:t>Panel</w:t>
      </w:r>
      <w:r w:rsidR="354CF23F">
        <w:t xml:space="preserve"> (KP). </w:t>
      </w:r>
      <w:r w:rsidR="002722FC">
        <w:t>KP</w:t>
      </w:r>
      <w:r>
        <w:t xml:space="preserve"> is the </w:t>
      </w:r>
      <w:r w:rsidR="00DB3092">
        <w:t>longest-running</w:t>
      </w:r>
      <w:r>
        <w:t xml:space="preserve"> online panel serving the United States that is constructed by pre-recruiting an invited probability-based sample of households. Panel recruitment relies on an Addressed-Based Sampling (ABS) methodology from the latest Delivery Sequence File (DSF) of the United States Postal Service (USPS). For this purpose, Ipsos works with the nation’s leading sample vendor, Marketing Systems Group (MSG), to enhance the DSF prior to sample selection. MSG appends a long list of ancillary data from the Census Bureau as well as commercial databases. Such added data elements improve the efficiency </w:t>
      </w:r>
      <w:r w:rsidR="003D429E">
        <w:t xml:space="preserve">recruitment into the panel. </w:t>
      </w:r>
    </w:p>
    <w:p w:rsidR="00F03347" w:rsidRPr="00BD3001" w:rsidP="00F03347" w14:paraId="46842CE2" w14:textId="44163462">
      <w:pPr>
        <w:spacing w:before="120" w:after="120" w:line="240" w:lineRule="auto"/>
      </w:pPr>
      <w:r>
        <w:t>H</w:t>
      </w:r>
      <w:r>
        <w:t xml:space="preserve">ouseholds that do not maintain an internet connection at the time of recruitment for KP are provided internet access and a tablet, thereby expanding population coverage to include non-internet households as well, while allowing a uniform mode of data collection with all panelists completing surveys online. </w:t>
      </w:r>
      <w:r w:rsidR="00BD72DD">
        <w:t>Lastly, the ABS recruitment is supplemented with members recruited via an enhanced cellular number frame combined with geographic targeting of areas with high densities of Hispanics</w:t>
      </w:r>
      <w:r>
        <w:t>. As such, samples from KP cover all types of households, including those that are hard-to-reach or less acculturated.</w:t>
      </w:r>
    </w:p>
    <w:p w:rsidR="00F03347" w:rsidRPr="00BD3001" w:rsidP="00F03347" w14:paraId="57BAB00B" w14:textId="10DF44B7">
      <w:pPr>
        <w:pStyle w:val="ListParagraph"/>
        <w:numPr>
          <w:ilvl w:val="1"/>
          <w:numId w:val="1"/>
        </w:numPr>
        <w:spacing w:before="240" w:after="120" w:line="240" w:lineRule="auto"/>
        <w:ind w:left="720" w:hanging="720"/>
        <w:contextualSpacing w:val="0"/>
        <w:rPr>
          <w:b/>
        </w:rPr>
      </w:pPr>
      <w:r w:rsidRPr="00BD3001">
        <w:rPr>
          <w:b/>
        </w:rPr>
        <w:t>KP Sampling Methodology</w:t>
      </w:r>
    </w:p>
    <w:p w:rsidR="00DD407F" w:rsidRPr="00BD3001" w:rsidP="00DD407F" w14:paraId="405B6ED1" w14:textId="2E517D34">
      <w:pPr>
        <w:spacing w:line="278" w:lineRule="auto"/>
      </w:pPr>
      <w:r w:rsidRPr="00BD3001">
        <w:t>For selection of general population samples from KnowledgePanel, a sampling methodology has been developed such that samples from the panel behave as EPSEM samples. Briefly, this methodology starts by weighting the pool of active members to the geodemographic benchmarks secured from a combination of the U.S. Census Bureau’s American Community Survey (ACS) and the latest March supplement of the U.S. Census Bureau’s Current Population Survey (CPS) along several dimensions. Typically, the geodemographic dimensions used for weighting the entire KnowledgePanel include the following dimensions, with additional nesting of dimensions as well:</w:t>
      </w:r>
    </w:p>
    <w:p w:rsidR="00DD407F" w:rsidRPr="00BD3001" w:rsidP="009D0F35" w14:paraId="0EB712C8" w14:textId="77777777">
      <w:pPr>
        <w:pStyle w:val="NoSpacing"/>
        <w:numPr>
          <w:ilvl w:val="0"/>
          <w:numId w:val="5"/>
        </w:numPr>
      </w:pPr>
      <w:r w:rsidRPr="00BD3001">
        <w:t>Gender (Male, Female)</w:t>
      </w:r>
    </w:p>
    <w:p w:rsidR="00DD407F" w:rsidRPr="00BD3001" w:rsidP="009D0F35" w14:paraId="205847BE" w14:textId="77777777">
      <w:pPr>
        <w:pStyle w:val="NoSpacing"/>
        <w:numPr>
          <w:ilvl w:val="0"/>
          <w:numId w:val="5"/>
        </w:numPr>
      </w:pPr>
      <w:r w:rsidRPr="00BD3001">
        <w:t>Age (18–29, 30–44, 45–59, and 60+)</w:t>
      </w:r>
    </w:p>
    <w:p w:rsidR="00DD407F" w:rsidRPr="00BD3001" w:rsidP="009D0F35" w14:paraId="75C509A1" w14:textId="77777777">
      <w:pPr>
        <w:pStyle w:val="NoSpacing"/>
        <w:numPr>
          <w:ilvl w:val="0"/>
          <w:numId w:val="5"/>
        </w:numPr>
      </w:pPr>
      <w:r w:rsidRPr="00BD3001">
        <w:t>Race/Hispanic Ethnicity (White/Non-Hispanic, Black/Non-Hispanic, Other or 2+ Races/Non-Hispanic, Hispanic)</w:t>
      </w:r>
    </w:p>
    <w:p w:rsidR="00DD407F" w:rsidRPr="00BD3001" w:rsidP="009D0F35" w14:paraId="230F5BE1" w14:textId="77777777">
      <w:pPr>
        <w:pStyle w:val="NoSpacing"/>
        <w:numPr>
          <w:ilvl w:val="0"/>
          <w:numId w:val="5"/>
        </w:numPr>
      </w:pPr>
      <w:r w:rsidRPr="00BD3001">
        <w:t>Education (Less than High School, High School, Some College, Bachelor and beyond)</w:t>
      </w:r>
    </w:p>
    <w:p w:rsidR="00DD407F" w:rsidRPr="00BD3001" w:rsidP="009D0F35" w14:paraId="1F4479EB" w14:textId="77777777">
      <w:pPr>
        <w:pStyle w:val="NoSpacing"/>
        <w:numPr>
          <w:ilvl w:val="0"/>
          <w:numId w:val="5"/>
        </w:numPr>
      </w:pPr>
      <w:r w:rsidRPr="00BD3001">
        <w:t>Census Region (Northeast, Midwest, South, West)</w:t>
      </w:r>
    </w:p>
    <w:p w:rsidR="00DD407F" w:rsidRPr="00BD3001" w:rsidP="009D0F35" w14:paraId="2105E22C" w14:textId="77777777">
      <w:pPr>
        <w:pStyle w:val="NoSpacing"/>
        <w:numPr>
          <w:ilvl w:val="0"/>
          <w:numId w:val="5"/>
        </w:numPr>
      </w:pPr>
      <w:r w:rsidRPr="00BD3001">
        <w:t>Household Income (Under $10k, $10K to &lt;$25k, $25K to &lt;$50k, $50K to &lt;$75k, $75K to &lt;$100k, $100K to &lt;$150k, and $150K+)</w:t>
      </w:r>
    </w:p>
    <w:p w:rsidR="00DD407F" w:rsidRPr="00BD3001" w:rsidP="009D0F35" w14:paraId="79C2757E" w14:textId="77777777">
      <w:pPr>
        <w:pStyle w:val="NoSpacing"/>
        <w:numPr>
          <w:ilvl w:val="0"/>
          <w:numId w:val="5"/>
        </w:numPr>
      </w:pPr>
      <w:r w:rsidRPr="00BD3001">
        <w:t>Home Ownership Status (Own, Rent/Other)</w:t>
      </w:r>
    </w:p>
    <w:p w:rsidR="00DD407F" w:rsidRPr="00BD3001" w:rsidP="009D0F35" w14:paraId="342255DD" w14:textId="77777777">
      <w:pPr>
        <w:pStyle w:val="NoSpacing"/>
        <w:numPr>
          <w:ilvl w:val="0"/>
          <w:numId w:val="5"/>
        </w:numPr>
      </w:pPr>
      <w:r w:rsidRPr="00BD3001">
        <w:t>Household Size (1, 2, 3, 4+)</w:t>
      </w:r>
    </w:p>
    <w:p w:rsidR="00DD407F" w:rsidRPr="00BD3001" w:rsidP="009D0F35" w14:paraId="2444D920" w14:textId="77777777">
      <w:pPr>
        <w:pStyle w:val="NoSpacing"/>
        <w:numPr>
          <w:ilvl w:val="0"/>
          <w:numId w:val="5"/>
        </w:numPr>
      </w:pPr>
      <w:r w:rsidRPr="00BD3001">
        <w:t>Marital Status (Married, Not Married)</w:t>
      </w:r>
    </w:p>
    <w:p w:rsidR="00DD407F" w:rsidRPr="00BD3001" w:rsidP="009D0F35" w14:paraId="004A724D" w14:textId="77777777">
      <w:pPr>
        <w:pStyle w:val="NoSpacing"/>
        <w:numPr>
          <w:ilvl w:val="0"/>
          <w:numId w:val="5"/>
        </w:numPr>
      </w:pPr>
      <w:r w:rsidRPr="00BD3001">
        <w:t>Metropolitan Area (Yes, No)</w:t>
      </w:r>
    </w:p>
    <w:p w:rsidR="00DD407F" w:rsidRPr="00BD3001" w:rsidP="009D0F35" w14:paraId="430FA700" w14:textId="77777777">
      <w:pPr>
        <w:pStyle w:val="NoSpacing"/>
        <w:numPr>
          <w:ilvl w:val="0"/>
          <w:numId w:val="5"/>
        </w:numPr>
      </w:pPr>
      <w:r w:rsidRPr="00BD3001">
        <w:t>Hispanic Origin (Mexican, Puerto Rican, Cuban, Other, Non-Hispanic)</w:t>
      </w:r>
    </w:p>
    <w:p w:rsidR="00DD407F" w:rsidRPr="00BD3001" w:rsidP="009D0F35" w14:paraId="4A86793A" w14:textId="77777777">
      <w:pPr>
        <w:pStyle w:val="NoSpacing"/>
        <w:numPr>
          <w:ilvl w:val="0"/>
          <w:numId w:val="5"/>
        </w:numPr>
      </w:pPr>
      <w:r w:rsidRPr="00BD3001">
        <w:t>Language Dominance (non-Hispanic and English Dominant, Bilingual, and Spanish Dominant Hispanic) when survey is administered in both English and Spanish</w:t>
      </w:r>
    </w:p>
    <w:p w:rsidR="00B1096A" w:rsidP="00DD407F" w14:paraId="28694A04" w14:textId="77777777">
      <w:pPr>
        <w:spacing w:line="278" w:lineRule="auto"/>
      </w:pPr>
    </w:p>
    <w:p w:rsidR="00DD407F" w:rsidRPr="00BD3001" w:rsidP="00DD407F" w14:paraId="36745ECD" w14:textId="2FFA17A1">
      <w:pPr>
        <w:spacing w:line="278" w:lineRule="auto"/>
      </w:pPr>
      <w:r>
        <w:t>Using the resulting weights as measures of size, a probability-proportional-to-size (PPS) procedure is used to select study specific samples. It is the application of this PPS methodology with the imposed size measures that produces demographically balanced and representative samples that behave approximately as EPSEM. Moreover, in instances where a study design requires any form of oversampling of certain subgroups, such departures from an EPSEM design are accounted for by adjusting the design weights in reference to the Census benchmarks for the population of interest.</w:t>
      </w:r>
    </w:p>
    <w:p w:rsidR="7D53D72A" w:rsidP="7D53D72A" w14:paraId="07275952" w14:textId="036F6D3B">
      <w:pPr>
        <w:spacing w:line="278" w:lineRule="auto"/>
        <w:rPr>
          <w:b/>
          <w:bCs/>
        </w:rPr>
      </w:pPr>
      <w:r>
        <w:br/>
      </w:r>
      <w:r w:rsidRPr="7D53D72A" w:rsidR="786AAF2B">
        <w:rPr>
          <w:b/>
          <w:bCs/>
        </w:rPr>
        <w:t>1.2. 2025 Spring</w:t>
      </w:r>
      <w:r w:rsidRPr="7D53D72A" w:rsidR="5B5C9F56">
        <w:rPr>
          <w:b/>
          <w:bCs/>
        </w:rPr>
        <w:t xml:space="preserve"> </w:t>
      </w:r>
      <w:r w:rsidRPr="7D53D72A" w:rsidR="786AAF2B">
        <w:rPr>
          <w:b/>
          <w:bCs/>
        </w:rPr>
        <w:t>Styles Sampling Methodology</w:t>
      </w:r>
      <w:r w:rsidRPr="7D53D72A" w:rsidR="4819D686">
        <w:rPr>
          <w:b/>
          <w:bCs/>
        </w:rPr>
        <w:t xml:space="preserve"> and Completion Rates</w:t>
      </w:r>
    </w:p>
    <w:p w:rsidR="786AAF2B" w:rsidP="7D53D72A" w14:paraId="5A9C83D8" w14:textId="646B9A57">
      <w:pPr>
        <w:spacing w:line="278" w:lineRule="auto"/>
      </w:pPr>
      <w:r>
        <w:t>The 2025 Spring</w:t>
      </w:r>
      <w:r w:rsidR="50A91599">
        <w:t xml:space="preserve"> </w:t>
      </w:r>
      <w:r>
        <w:t>Styles sample will be a composite of two separate selections from the KnowledgePanel. The larger sample, approximately 7,400 panelists, will be a general population sample drawn using the PPS approach described above. In order to fulfill ongoing survey objectives unrelated to the FDIC D</w:t>
      </w:r>
      <w:r w:rsidR="005A1777">
        <w:t xml:space="preserve">eposit </w:t>
      </w:r>
      <w:r>
        <w:t>I</w:t>
      </w:r>
      <w:r w:rsidR="005A1777">
        <w:t>nsurance Awareness</w:t>
      </w:r>
      <w:r>
        <w:t xml:space="preserve"> survey, the contractor also oversamples parents. This includes selecting another sample of approximately </w:t>
      </w:r>
      <w:r w:rsidR="00DA0CE9">
        <w:t>3,00</w:t>
      </w:r>
      <w:r>
        <w:t>0 panelists, all of whom are parents of 11-to-17-year-old children. The Spring</w:t>
      </w:r>
      <w:r w:rsidR="6F66D7EB">
        <w:t xml:space="preserve"> </w:t>
      </w:r>
      <w:r>
        <w:t>Styles survey will be fielded to all sampled adults</w:t>
      </w:r>
    </w:p>
    <w:p w:rsidR="5110F1A1" w:rsidP="7D53D72A" w14:paraId="7F91D3F0" w14:textId="1994A663">
      <w:pPr>
        <w:spacing w:line="278" w:lineRule="auto"/>
        <w:rPr>
          <w:b/>
          <w:bCs/>
        </w:rPr>
      </w:pPr>
      <w:r w:rsidRPr="7D53D72A">
        <w:rPr>
          <w:b/>
          <w:bCs/>
        </w:rPr>
        <w:t>Table 1. Sampl</w:t>
      </w:r>
      <w:r w:rsidRPr="7D53D72A" w:rsidR="1F035D0C">
        <w:rPr>
          <w:b/>
          <w:bCs/>
        </w:rPr>
        <w:t>e</w:t>
      </w:r>
      <w:r w:rsidRPr="7D53D72A" w:rsidR="65009E3D">
        <w:rPr>
          <w:b/>
          <w:bCs/>
        </w:rPr>
        <w:t xml:space="preserve"> size and </w:t>
      </w:r>
      <w:r w:rsidRPr="7D53D72A" w:rsidR="1F035D0C">
        <w:rPr>
          <w:b/>
          <w:bCs/>
        </w:rPr>
        <w:t xml:space="preserve">targets for </w:t>
      </w:r>
      <w:r w:rsidRPr="7D53D72A" w:rsidR="0FFE2268">
        <w:rPr>
          <w:b/>
          <w:bCs/>
        </w:rPr>
        <w:t xml:space="preserve">2025 </w:t>
      </w:r>
      <w:r w:rsidRPr="7D53D72A" w:rsidR="1F035D0C">
        <w:rPr>
          <w:b/>
          <w:bCs/>
        </w:rPr>
        <w:t>Spring Styles</w:t>
      </w:r>
    </w:p>
    <w:tbl>
      <w:tblPr>
        <w:tblStyle w:val="TableGrid"/>
        <w:tblW w:w="0" w:type="auto"/>
        <w:tblLayout w:type="fixed"/>
        <w:tblLook w:val="06A0"/>
      </w:tblPr>
      <w:tblGrid>
        <w:gridCol w:w="3735"/>
        <w:gridCol w:w="1740"/>
        <w:gridCol w:w="1965"/>
        <w:gridCol w:w="1920"/>
      </w:tblGrid>
      <w:tr w14:paraId="65C83486" w14:textId="77777777" w:rsidTr="00BF22FD">
        <w:tblPrEx>
          <w:tblW w:w="0" w:type="auto"/>
          <w:tblLayout w:type="fixed"/>
          <w:tblLook w:val="06A0"/>
        </w:tblPrEx>
        <w:trPr>
          <w:trHeight w:val="525"/>
        </w:trPr>
        <w:tc>
          <w:tcPr>
            <w:tcW w:w="3735" w:type="dxa"/>
          </w:tcPr>
          <w:p w:rsidR="00C71FE8" w:rsidP="00BF22FD" w14:paraId="47DA7562" w14:textId="77777777">
            <w:pPr>
              <w:rPr>
                <w:rFonts w:asciiTheme="minorHAnsi" w:hAnsiTheme="minorHAnsi"/>
                <w:b/>
                <w:bCs/>
                <w:sz w:val="22"/>
              </w:rPr>
            </w:pPr>
            <w:r w:rsidRPr="7D53D72A">
              <w:rPr>
                <w:rFonts w:asciiTheme="minorHAnsi" w:eastAsiaTheme="minorEastAsia" w:hAnsiTheme="minorHAnsi" w:cstheme="minorBidi"/>
                <w:b/>
                <w:bCs/>
                <w:color w:val="000000" w:themeColor="text1"/>
                <w:sz w:val="22"/>
              </w:rPr>
              <w:t>2025 Spring Styles</w:t>
            </w:r>
          </w:p>
        </w:tc>
        <w:tc>
          <w:tcPr>
            <w:tcW w:w="1740" w:type="dxa"/>
          </w:tcPr>
          <w:p w:rsidR="00C71FE8" w:rsidP="00BF22FD" w14:paraId="22D5FD68" w14:textId="77777777">
            <w:pPr>
              <w:jc w:val="center"/>
              <w:rPr>
                <w:rFonts w:ascii="Calibri" w:eastAsia="Calibri" w:hAnsi="Calibri" w:cs="Calibri"/>
                <w:b/>
                <w:bCs/>
                <w:sz w:val="22"/>
              </w:rPr>
            </w:pPr>
            <w:r w:rsidRPr="7D53D72A">
              <w:rPr>
                <w:rFonts w:ascii="Calibri" w:eastAsia="Calibri" w:hAnsi="Calibri" w:cs="Calibri"/>
                <w:b/>
                <w:bCs/>
                <w:sz w:val="22"/>
              </w:rPr>
              <w:t>Targeted</w:t>
            </w:r>
          </w:p>
        </w:tc>
        <w:tc>
          <w:tcPr>
            <w:tcW w:w="1965" w:type="dxa"/>
          </w:tcPr>
          <w:p w:rsidR="00C71FE8" w:rsidP="00BF22FD" w14:paraId="0667393B" w14:textId="77777777">
            <w:pPr>
              <w:jc w:val="center"/>
              <w:rPr>
                <w:rFonts w:ascii="Calibri" w:eastAsia="Calibri" w:hAnsi="Calibri" w:cs="Calibri"/>
                <w:b/>
                <w:bCs/>
                <w:sz w:val="22"/>
              </w:rPr>
            </w:pPr>
            <w:r w:rsidRPr="7D53D72A">
              <w:rPr>
                <w:rFonts w:ascii="Calibri" w:eastAsia="Calibri" w:hAnsi="Calibri" w:cs="Calibri"/>
                <w:b/>
                <w:bCs/>
                <w:sz w:val="22"/>
              </w:rPr>
              <w:t>Estimated Completion Rate</w:t>
            </w:r>
          </w:p>
        </w:tc>
        <w:tc>
          <w:tcPr>
            <w:tcW w:w="1920" w:type="dxa"/>
          </w:tcPr>
          <w:p w:rsidR="00C71FE8" w:rsidP="00BF22FD" w14:paraId="410B339F" w14:textId="77777777">
            <w:pPr>
              <w:jc w:val="center"/>
              <w:rPr>
                <w:rFonts w:ascii="Calibri" w:eastAsia="Calibri" w:hAnsi="Calibri" w:cs="Calibri"/>
                <w:b/>
                <w:bCs/>
                <w:sz w:val="22"/>
              </w:rPr>
            </w:pPr>
            <w:r w:rsidRPr="7D53D72A">
              <w:rPr>
                <w:rFonts w:ascii="Calibri" w:eastAsia="Calibri" w:hAnsi="Calibri" w:cs="Calibri"/>
                <w:b/>
                <w:bCs/>
                <w:sz w:val="22"/>
              </w:rPr>
              <w:t>Expected Completed</w:t>
            </w:r>
          </w:p>
        </w:tc>
      </w:tr>
      <w:tr w14:paraId="309B7CAB" w14:textId="77777777" w:rsidTr="00BF22FD">
        <w:tblPrEx>
          <w:tblW w:w="0" w:type="auto"/>
          <w:tblLayout w:type="fixed"/>
          <w:tblLook w:val="06A0"/>
        </w:tblPrEx>
        <w:trPr>
          <w:trHeight w:val="300"/>
        </w:trPr>
        <w:tc>
          <w:tcPr>
            <w:tcW w:w="3735" w:type="dxa"/>
          </w:tcPr>
          <w:p w:rsidR="00C71FE8" w:rsidP="00BF22FD" w14:paraId="4C93E9BF" w14:textId="77777777">
            <w:pPr>
              <w:rPr>
                <w:rFonts w:asciiTheme="minorHAnsi" w:hAnsiTheme="minorHAnsi"/>
                <w:sz w:val="22"/>
              </w:rPr>
            </w:pPr>
            <w:r w:rsidRPr="7D53D72A">
              <w:rPr>
                <w:rFonts w:asciiTheme="minorHAnsi" w:eastAsiaTheme="minorEastAsia" w:hAnsiTheme="minorHAnsi" w:cstheme="minorBidi"/>
                <w:color w:val="000000" w:themeColor="text1"/>
                <w:sz w:val="22"/>
              </w:rPr>
              <w:t>Sample 1: 18+ Gen Pop Sample</w:t>
            </w:r>
          </w:p>
        </w:tc>
        <w:tc>
          <w:tcPr>
            <w:tcW w:w="1740" w:type="dxa"/>
          </w:tcPr>
          <w:p w:rsidR="00C71FE8" w:rsidP="00BF22FD" w14:paraId="617B21E5" w14:textId="77777777">
            <w:pPr>
              <w:jc w:val="right"/>
              <w:rPr>
                <w:rFonts w:ascii="Calibri" w:eastAsia="Calibri" w:hAnsi="Calibri" w:cs="Calibri"/>
                <w:sz w:val="22"/>
              </w:rPr>
            </w:pPr>
            <w:r>
              <w:rPr>
                <w:rFonts w:ascii="Calibri" w:eastAsia="Calibri" w:hAnsi="Calibri" w:cs="Calibri"/>
                <w:sz w:val="22"/>
              </w:rPr>
              <w:t>7,400</w:t>
            </w:r>
          </w:p>
        </w:tc>
        <w:tc>
          <w:tcPr>
            <w:tcW w:w="1965" w:type="dxa"/>
            <w:vAlign w:val="center"/>
          </w:tcPr>
          <w:p w:rsidR="00C71FE8" w:rsidP="00BF22FD" w14:paraId="4BD04268" w14:textId="77777777">
            <w:pPr>
              <w:jc w:val="center"/>
              <w:rPr>
                <w:rFonts w:ascii="Calibri" w:eastAsia="Calibri" w:hAnsi="Calibri" w:cs="Calibri"/>
                <w:sz w:val="22"/>
              </w:rPr>
            </w:pPr>
            <w:r w:rsidRPr="7D53D72A">
              <w:rPr>
                <w:rFonts w:ascii="Calibri" w:eastAsia="Calibri" w:hAnsi="Calibri" w:cs="Calibri"/>
                <w:sz w:val="22"/>
              </w:rPr>
              <w:t>6</w:t>
            </w:r>
            <w:r>
              <w:rPr>
                <w:rFonts w:ascii="Calibri" w:eastAsia="Calibri" w:hAnsi="Calibri" w:cs="Calibri"/>
                <w:sz w:val="22"/>
              </w:rPr>
              <w:t>6</w:t>
            </w:r>
            <w:r w:rsidRPr="7D53D72A">
              <w:rPr>
                <w:rFonts w:ascii="Calibri" w:eastAsia="Calibri" w:hAnsi="Calibri" w:cs="Calibri"/>
                <w:sz w:val="22"/>
              </w:rPr>
              <w:t>%</w:t>
            </w:r>
          </w:p>
        </w:tc>
        <w:tc>
          <w:tcPr>
            <w:tcW w:w="1920" w:type="dxa"/>
          </w:tcPr>
          <w:p w:rsidR="00C71FE8" w:rsidP="00BF22FD" w14:paraId="0F905F0F" w14:textId="77777777">
            <w:pPr>
              <w:jc w:val="right"/>
              <w:rPr>
                <w:rFonts w:ascii="Calibri" w:eastAsia="Calibri" w:hAnsi="Calibri" w:cs="Calibri"/>
                <w:sz w:val="22"/>
              </w:rPr>
            </w:pPr>
            <w:r w:rsidRPr="7D53D72A">
              <w:rPr>
                <w:rFonts w:ascii="Calibri" w:eastAsia="Calibri" w:hAnsi="Calibri" w:cs="Calibri"/>
                <w:sz w:val="22"/>
              </w:rPr>
              <w:t>4,</w:t>
            </w:r>
            <w:r>
              <w:rPr>
                <w:rFonts w:ascii="Calibri" w:eastAsia="Calibri" w:hAnsi="Calibri" w:cs="Calibri"/>
                <w:sz w:val="22"/>
              </w:rPr>
              <w:t>9</w:t>
            </w:r>
            <w:r w:rsidRPr="7D53D72A">
              <w:rPr>
                <w:rFonts w:ascii="Calibri" w:eastAsia="Calibri" w:hAnsi="Calibri" w:cs="Calibri"/>
                <w:sz w:val="22"/>
              </w:rPr>
              <w:t>00</w:t>
            </w:r>
          </w:p>
        </w:tc>
      </w:tr>
      <w:tr w14:paraId="4FEBB2FE" w14:textId="77777777" w:rsidTr="00BF22FD">
        <w:tblPrEx>
          <w:tblW w:w="0" w:type="auto"/>
          <w:tblLayout w:type="fixed"/>
          <w:tblLook w:val="06A0"/>
        </w:tblPrEx>
        <w:trPr>
          <w:trHeight w:val="300"/>
        </w:trPr>
        <w:tc>
          <w:tcPr>
            <w:tcW w:w="3735" w:type="dxa"/>
          </w:tcPr>
          <w:p w:rsidR="00C71FE8" w:rsidP="00BF22FD" w14:paraId="580A8B21" w14:textId="77777777">
            <w:pPr>
              <w:rPr>
                <w:rFonts w:asciiTheme="minorHAnsi" w:hAnsiTheme="minorHAnsi"/>
                <w:sz w:val="22"/>
              </w:rPr>
            </w:pPr>
            <w:r w:rsidRPr="7D53D72A">
              <w:rPr>
                <w:rFonts w:asciiTheme="minorHAnsi" w:eastAsiaTheme="minorEastAsia" w:hAnsiTheme="minorHAnsi" w:cstheme="minorBidi"/>
                <w:color w:val="000000" w:themeColor="text1"/>
                <w:sz w:val="22"/>
              </w:rPr>
              <w:t>Sample 2: Parents of 11 to 17 child</w:t>
            </w:r>
          </w:p>
        </w:tc>
        <w:tc>
          <w:tcPr>
            <w:tcW w:w="1740" w:type="dxa"/>
          </w:tcPr>
          <w:p w:rsidR="00C71FE8" w:rsidP="00BF22FD" w14:paraId="2788571E" w14:textId="77777777">
            <w:pPr>
              <w:jc w:val="right"/>
              <w:rPr>
                <w:rFonts w:ascii="Calibri" w:eastAsia="Calibri" w:hAnsi="Calibri" w:cs="Calibri"/>
                <w:sz w:val="22"/>
              </w:rPr>
            </w:pPr>
            <w:r>
              <w:rPr>
                <w:rFonts w:ascii="Calibri" w:eastAsia="Calibri" w:hAnsi="Calibri" w:cs="Calibri"/>
                <w:sz w:val="22"/>
              </w:rPr>
              <w:t>3,000</w:t>
            </w:r>
          </w:p>
        </w:tc>
        <w:tc>
          <w:tcPr>
            <w:tcW w:w="1965" w:type="dxa"/>
            <w:vAlign w:val="center"/>
          </w:tcPr>
          <w:p w:rsidR="00C71FE8" w:rsidP="00BF22FD" w14:paraId="3482E37B" w14:textId="77777777">
            <w:pPr>
              <w:jc w:val="center"/>
              <w:rPr>
                <w:rFonts w:ascii="Calibri" w:eastAsia="Calibri" w:hAnsi="Calibri" w:cs="Calibri"/>
                <w:sz w:val="22"/>
              </w:rPr>
            </w:pPr>
            <w:r w:rsidRPr="7D53D72A">
              <w:rPr>
                <w:rFonts w:ascii="Calibri" w:eastAsia="Calibri" w:hAnsi="Calibri" w:cs="Calibri"/>
                <w:sz w:val="22"/>
              </w:rPr>
              <w:t>5</w:t>
            </w:r>
            <w:r>
              <w:rPr>
                <w:rFonts w:ascii="Calibri" w:eastAsia="Calibri" w:hAnsi="Calibri" w:cs="Calibri"/>
                <w:sz w:val="22"/>
              </w:rPr>
              <w:t>3</w:t>
            </w:r>
            <w:r w:rsidRPr="7D53D72A">
              <w:rPr>
                <w:rFonts w:ascii="Calibri" w:eastAsia="Calibri" w:hAnsi="Calibri" w:cs="Calibri"/>
                <w:sz w:val="22"/>
              </w:rPr>
              <w:t>%</w:t>
            </w:r>
          </w:p>
        </w:tc>
        <w:tc>
          <w:tcPr>
            <w:tcW w:w="1920" w:type="dxa"/>
          </w:tcPr>
          <w:p w:rsidR="00C71FE8" w:rsidP="00BF22FD" w14:paraId="1C5DA766" w14:textId="77777777">
            <w:pPr>
              <w:jc w:val="right"/>
              <w:rPr>
                <w:rFonts w:ascii="Calibri" w:eastAsia="Calibri" w:hAnsi="Calibri" w:cs="Calibri"/>
                <w:sz w:val="22"/>
              </w:rPr>
            </w:pPr>
            <w:r w:rsidRPr="7D53D72A">
              <w:rPr>
                <w:rFonts w:ascii="Calibri" w:eastAsia="Calibri" w:hAnsi="Calibri" w:cs="Calibri"/>
                <w:sz w:val="22"/>
              </w:rPr>
              <w:t>1,600</w:t>
            </w:r>
          </w:p>
        </w:tc>
      </w:tr>
      <w:tr w14:paraId="151BEA99" w14:textId="77777777" w:rsidTr="00BF22FD">
        <w:tblPrEx>
          <w:tblW w:w="0" w:type="auto"/>
          <w:tblLayout w:type="fixed"/>
          <w:tblLook w:val="06A0"/>
        </w:tblPrEx>
        <w:trPr>
          <w:trHeight w:val="300"/>
        </w:trPr>
        <w:tc>
          <w:tcPr>
            <w:tcW w:w="3735" w:type="dxa"/>
          </w:tcPr>
          <w:p w:rsidR="00C71FE8" w:rsidRPr="000179BF" w:rsidP="00BF22FD" w14:paraId="203EAA4B" w14:textId="77777777">
            <w:pPr>
              <w:rPr>
                <w:rFonts w:asciiTheme="minorHAnsi" w:hAnsiTheme="minorHAnsi"/>
                <w:sz w:val="22"/>
              </w:rPr>
            </w:pPr>
            <w:r w:rsidRPr="000179BF">
              <w:rPr>
                <w:rFonts w:asciiTheme="minorHAnsi" w:eastAsiaTheme="minorEastAsia" w:hAnsiTheme="minorHAnsi" w:cstheme="minorBidi"/>
                <w:color w:val="000000" w:themeColor="text1"/>
                <w:sz w:val="22"/>
              </w:rPr>
              <w:t>Total Sample</w:t>
            </w:r>
          </w:p>
        </w:tc>
        <w:tc>
          <w:tcPr>
            <w:tcW w:w="1740" w:type="dxa"/>
          </w:tcPr>
          <w:p w:rsidR="00C71FE8" w:rsidRPr="000179BF" w:rsidP="00BF22FD" w14:paraId="1F17C7EE" w14:textId="77777777">
            <w:pPr>
              <w:jc w:val="right"/>
              <w:rPr>
                <w:rFonts w:ascii="Calibri" w:eastAsia="Calibri" w:hAnsi="Calibri" w:cs="Calibri"/>
                <w:sz w:val="22"/>
              </w:rPr>
            </w:pPr>
            <w:r w:rsidRPr="000179BF">
              <w:rPr>
                <w:rFonts w:ascii="Calibri" w:eastAsia="Calibri" w:hAnsi="Calibri" w:cs="Calibri"/>
                <w:sz w:val="22"/>
              </w:rPr>
              <w:t>10,400</w:t>
            </w:r>
          </w:p>
        </w:tc>
        <w:tc>
          <w:tcPr>
            <w:tcW w:w="1965" w:type="dxa"/>
            <w:vAlign w:val="center"/>
          </w:tcPr>
          <w:p w:rsidR="00C71FE8" w:rsidRPr="000179BF" w:rsidP="00BF22FD" w14:paraId="6E5DB047" w14:textId="77777777">
            <w:pPr>
              <w:jc w:val="center"/>
              <w:rPr>
                <w:rFonts w:ascii="Calibri" w:eastAsia="Calibri" w:hAnsi="Calibri" w:cs="Calibri"/>
                <w:sz w:val="22"/>
              </w:rPr>
            </w:pPr>
            <w:r w:rsidRPr="000179BF">
              <w:rPr>
                <w:rFonts w:ascii="Calibri" w:eastAsia="Calibri" w:hAnsi="Calibri" w:cs="Calibri"/>
                <w:sz w:val="22"/>
              </w:rPr>
              <w:t>62.5%</w:t>
            </w:r>
          </w:p>
        </w:tc>
        <w:tc>
          <w:tcPr>
            <w:tcW w:w="1920" w:type="dxa"/>
          </w:tcPr>
          <w:p w:rsidR="00C71FE8" w:rsidRPr="000179BF" w:rsidP="00BF22FD" w14:paraId="1B408430" w14:textId="77777777">
            <w:pPr>
              <w:jc w:val="right"/>
              <w:rPr>
                <w:rFonts w:ascii="Calibri" w:eastAsia="Calibri" w:hAnsi="Calibri" w:cs="Calibri"/>
                <w:sz w:val="22"/>
              </w:rPr>
            </w:pPr>
            <w:r w:rsidRPr="000179BF">
              <w:rPr>
                <w:rFonts w:ascii="Calibri" w:eastAsia="Calibri" w:hAnsi="Calibri" w:cs="Calibri"/>
                <w:sz w:val="22"/>
              </w:rPr>
              <w:t>6,500</w:t>
            </w:r>
          </w:p>
        </w:tc>
      </w:tr>
    </w:tbl>
    <w:p w:rsidR="00C71FE8" w:rsidRPr="000179BF" w:rsidP="00C71FE8" w14:paraId="6B03BC28" w14:textId="77777777">
      <w:pPr>
        <w:spacing w:after="0"/>
        <w:rPr>
          <w:rFonts w:ascii="Calibri" w:eastAsia="Calibri" w:hAnsi="Calibri" w:cs="Calibri"/>
        </w:rPr>
      </w:pPr>
      <w:r w:rsidRPr="000179BF">
        <w:rPr>
          <w:rFonts w:ascii="Calibri" w:eastAsia="Calibri" w:hAnsi="Calibri" w:cs="Calibri"/>
        </w:rPr>
        <w:t xml:space="preserve"> </w:t>
      </w:r>
    </w:p>
    <w:p w:rsidR="00177FCC" w:rsidRPr="000179BF" w:rsidP="00177FCC" w14:paraId="16232139" w14:textId="77777777">
      <w:pPr>
        <w:pStyle w:val="P1-StandPara"/>
        <w:tabs>
          <w:tab w:val="left" w:pos="720"/>
        </w:tabs>
        <w:spacing w:before="240" w:after="120" w:line="240" w:lineRule="auto"/>
        <w:ind w:firstLine="0"/>
        <w:rPr>
          <w:rFonts w:asciiTheme="minorHAnsi" w:eastAsiaTheme="minorEastAsia" w:hAnsiTheme="minorHAnsi"/>
          <w:b/>
          <w:bCs/>
          <w:color w:val="auto"/>
        </w:rPr>
      </w:pPr>
      <w:r w:rsidRPr="000179BF">
        <w:rPr>
          <w:rFonts w:asciiTheme="minorHAnsi" w:eastAsiaTheme="minorEastAsia" w:hAnsiTheme="minorHAnsi"/>
          <w:b/>
          <w:bCs/>
          <w:color w:val="auto"/>
        </w:rPr>
        <w:t>Table 2. Universe size and sampling assumptions</w:t>
      </w:r>
    </w:p>
    <w:tbl>
      <w:tblPr>
        <w:tblStyle w:val="TableGrid"/>
        <w:tblW w:w="0" w:type="auto"/>
        <w:tblLook w:val="04A0"/>
      </w:tblPr>
      <w:tblGrid>
        <w:gridCol w:w="5318"/>
        <w:gridCol w:w="4032"/>
      </w:tblGrid>
      <w:tr w14:paraId="40FEA196" w14:textId="77777777" w:rsidTr="00DA6E71">
        <w:tblPrEx>
          <w:tblW w:w="0" w:type="auto"/>
          <w:tblLook w:val="04A0"/>
        </w:tblPrEx>
        <w:trPr>
          <w:trHeight w:val="288"/>
        </w:trPr>
        <w:tc>
          <w:tcPr>
            <w:tcW w:w="5318" w:type="dxa"/>
          </w:tcPr>
          <w:p w:rsidR="00177FCC" w:rsidRPr="000179BF" w:rsidP="00DA6E71" w14:paraId="5CBE53FC" w14:textId="77777777">
            <w:pPr>
              <w:pStyle w:val="P1-StandPara"/>
              <w:tabs>
                <w:tab w:val="left" w:pos="720"/>
              </w:tabs>
              <w:spacing w:line="240" w:lineRule="auto"/>
              <w:ind w:firstLine="0"/>
              <w:jc w:val="center"/>
              <w:rPr>
                <w:rFonts w:asciiTheme="minorHAnsi" w:hAnsiTheme="minorHAnsi"/>
                <w:b/>
                <w:bCs/>
                <w:sz w:val="22"/>
              </w:rPr>
            </w:pPr>
            <w:r w:rsidRPr="000179BF">
              <w:rPr>
                <w:rFonts w:asciiTheme="minorHAnsi" w:hAnsiTheme="minorHAnsi"/>
                <w:b/>
                <w:bCs/>
                <w:sz w:val="22"/>
              </w:rPr>
              <w:t>Description</w:t>
            </w:r>
          </w:p>
        </w:tc>
        <w:tc>
          <w:tcPr>
            <w:tcW w:w="4032" w:type="dxa"/>
          </w:tcPr>
          <w:p w:rsidR="00177FCC" w:rsidRPr="000179BF" w:rsidP="00DA6E71" w14:paraId="0CA8C0F1" w14:textId="77777777">
            <w:pPr>
              <w:pStyle w:val="P1-StandPara"/>
              <w:tabs>
                <w:tab w:val="left" w:pos="720"/>
              </w:tabs>
              <w:spacing w:line="240" w:lineRule="auto"/>
              <w:ind w:firstLine="0"/>
              <w:jc w:val="center"/>
              <w:rPr>
                <w:rFonts w:asciiTheme="minorHAnsi" w:hAnsiTheme="minorHAnsi"/>
                <w:b/>
                <w:bCs/>
                <w:sz w:val="22"/>
              </w:rPr>
            </w:pPr>
            <w:r w:rsidRPr="000179BF">
              <w:rPr>
                <w:rFonts w:asciiTheme="minorHAnsi" w:hAnsiTheme="minorHAnsi"/>
                <w:b/>
                <w:bCs/>
                <w:sz w:val="22"/>
              </w:rPr>
              <w:t>US Adults</w:t>
            </w:r>
          </w:p>
        </w:tc>
      </w:tr>
      <w:tr w14:paraId="3219C58D" w14:textId="77777777" w:rsidTr="00DA6E71">
        <w:tblPrEx>
          <w:tblW w:w="0" w:type="auto"/>
          <w:tblLook w:val="04A0"/>
        </w:tblPrEx>
        <w:trPr>
          <w:trHeight w:val="288"/>
        </w:trPr>
        <w:tc>
          <w:tcPr>
            <w:tcW w:w="5318" w:type="dxa"/>
          </w:tcPr>
          <w:p w:rsidR="00177FCC" w:rsidRPr="000179BF" w:rsidP="00DA6E71" w14:paraId="0389CEA3" w14:textId="77777777">
            <w:pPr>
              <w:pStyle w:val="P1-StandPara"/>
              <w:tabs>
                <w:tab w:val="left" w:pos="720"/>
              </w:tabs>
              <w:spacing w:line="240" w:lineRule="auto"/>
              <w:ind w:firstLine="0"/>
              <w:rPr>
                <w:rFonts w:asciiTheme="minorHAnsi" w:hAnsiTheme="minorHAnsi"/>
                <w:sz w:val="22"/>
              </w:rPr>
            </w:pPr>
            <w:r w:rsidRPr="000179BF">
              <w:rPr>
                <w:rFonts w:asciiTheme="minorHAnsi" w:hAnsiTheme="minorHAnsi"/>
                <w:sz w:val="22"/>
              </w:rPr>
              <w:t>Total U.S.</w:t>
            </w:r>
          </w:p>
        </w:tc>
        <w:tc>
          <w:tcPr>
            <w:tcW w:w="4032" w:type="dxa"/>
          </w:tcPr>
          <w:p w:rsidR="00177FCC" w:rsidRPr="000179BF" w:rsidP="00DA6E71" w14:paraId="58C90035" w14:textId="77777777">
            <w:pPr>
              <w:pStyle w:val="P1-StandPara"/>
              <w:tabs>
                <w:tab w:val="clear" w:pos="1152"/>
              </w:tabs>
              <w:spacing w:line="240" w:lineRule="auto"/>
              <w:ind w:right="1335" w:firstLine="0"/>
              <w:jc w:val="right"/>
              <w:rPr>
                <w:rFonts w:asciiTheme="minorHAnsi" w:hAnsiTheme="minorHAnsi"/>
                <w:sz w:val="22"/>
              </w:rPr>
            </w:pPr>
            <w:r w:rsidRPr="000179BF">
              <w:rPr>
                <w:rFonts w:asciiTheme="minorHAnsi" w:hAnsiTheme="minorHAnsi"/>
                <w:sz w:val="22"/>
              </w:rPr>
              <w:t xml:space="preserve">258,000,000 </w:t>
            </w:r>
          </w:p>
        </w:tc>
      </w:tr>
      <w:tr w14:paraId="0811C411" w14:textId="77777777" w:rsidTr="00DA6E71">
        <w:tblPrEx>
          <w:tblW w:w="0" w:type="auto"/>
          <w:tblLook w:val="04A0"/>
        </w:tblPrEx>
        <w:trPr>
          <w:trHeight w:val="288"/>
        </w:trPr>
        <w:tc>
          <w:tcPr>
            <w:tcW w:w="5318" w:type="dxa"/>
          </w:tcPr>
          <w:p w:rsidR="00177FCC" w:rsidRPr="000179BF" w:rsidP="00DA6E71" w14:paraId="21BC72F6" w14:textId="77777777">
            <w:pPr>
              <w:pStyle w:val="P1-StandPara"/>
              <w:tabs>
                <w:tab w:val="left" w:pos="720"/>
              </w:tabs>
              <w:spacing w:line="240" w:lineRule="auto"/>
              <w:ind w:firstLine="0"/>
              <w:rPr>
                <w:rFonts w:asciiTheme="minorHAnsi" w:hAnsiTheme="minorHAnsi"/>
                <w:sz w:val="22"/>
              </w:rPr>
            </w:pPr>
            <w:r w:rsidRPr="000179BF">
              <w:rPr>
                <w:rFonts w:asciiTheme="minorHAnsi" w:hAnsiTheme="minorHAnsi"/>
                <w:sz w:val="22"/>
              </w:rPr>
              <w:t>Starting sample from KP</w:t>
            </w:r>
          </w:p>
        </w:tc>
        <w:tc>
          <w:tcPr>
            <w:tcW w:w="4032" w:type="dxa"/>
          </w:tcPr>
          <w:p w:rsidR="00177FCC" w:rsidRPr="000179BF" w:rsidP="00DA6E71" w14:paraId="55931ECF" w14:textId="6FAF83F2">
            <w:pPr>
              <w:pStyle w:val="P1-StandPara"/>
              <w:tabs>
                <w:tab w:val="clear" w:pos="1152"/>
              </w:tabs>
              <w:spacing w:line="240" w:lineRule="auto"/>
              <w:ind w:right="1335" w:firstLine="0"/>
              <w:jc w:val="right"/>
              <w:rPr>
                <w:rFonts w:asciiTheme="minorHAnsi" w:hAnsiTheme="minorHAnsi"/>
                <w:sz w:val="22"/>
              </w:rPr>
            </w:pPr>
            <w:r w:rsidRPr="000179BF">
              <w:rPr>
                <w:rFonts w:asciiTheme="minorHAnsi" w:hAnsiTheme="minorHAnsi"/>
                <w:sz w:val="22"/>
              </w:rPr>
              <w:t>10,</w:t>
            </w:r>
            <w:r w:rsidRPr="000179BF" w:rsidR="00D10B21">
              <w:rPr>
                <w:rFonts w:asciiTheme="minorHAnsi" w:hAnsiTheme="minorHAnsi"/>
                <w:sz w:val="22"/>
              </w:rPr>
              <w:t>4</w:t>
            </w:r>
            <w:r w:rsidRPr="000179BF" w:rsidR="00B67608">
              <w:rPr>
                <w:rFonts w:asciiTheme="minorHAnsi" w:hAnsiTheme="minorHAnsi"/>
                <w:sz w:val="22"/>
              </w:rPr>
              <w:t>00</w:t>
            </w:r>
            <w:r w:rsidRPr="000179BF">
              <w:rPr>
                <w:rFonts w:asciiTheme="minorHAnsi" w:hAnsiTheme="minorHAnsi"/>
                <w:sz w:val="22"/>
              </w:rPr>
              <w:t xml:space="preserve"> </w:t>
            </w:r>
          </w:p>
        </w:tc>
      </w:tr>
      <w:tr w14:paraId="14D3D22A" w14:textId="77777777" w:rsidTr="00DA6E71">
        <w:tblPrEx>
          <w:tblW w:w="0" w:type="auto"/>
          <w:tblLook w:val="04A0"/>
        </w:tblPrEx>
        <w:trPr>
          <w:trHeight w:val="288"/>
        </w:trPr>
        <w:tc>
          <w:tcPr>
            <w:tcW w:w="5318" w:type="dxa"/>
          </w:tcPr>
          <w:p w:rsidR="00177FCC" w:rsidRPr="000179BF" w:rsidP="00DA6E71" w14:paraId="2C9B83FD" w14:textId="2C5D2C9C">
            <w:pPr>
              <w:pStyle w:val="P1-StandPara"/>
              <w:tabs>
                <w:tab w:val="left" w:pos="720"/>
              </w:tabs>
              <w:spacing w:line="240" w:lineRule="auto"/>
              <w:ind w:firstLine="0"/>
              <w:rPr>
                <w:rFonts w:asciiTheme="minorHAnsi" w:hAnsiTheme="minorHAnsi"/>
                <w:sz w:val="22"/>
              </w:rPr>
            </w:pPr>
            <w:r w:rsidRPr="000179BF">
              <w:rPr>
                <w:rFonts w:asciiTheme="minorHAnsi" w:hAnsiTheme="minorHAnsi"/>
                <w:sz w:val="22"/>
              </w:rPr>
              <w:t>Completed Spring Styles 2025 surveys</w:t>
            </w:r>
            <w:r w:rsidR="005F3107">
              <w:rPr>
                <w:rFonts w:asciiTheme="minorHAnsi" w:hAnsiTheme="minorHAnsi"/>
                <w:sz w:val="22"/>
              </w:rPr>
              <w:t xml:space="preserve"> (expected)</w:t>
            </w:r>
          </w:p>
        </w:tc>
        <w:tc>
          <w:tcPr>
            <w:tcW w:w="4032" w:type="dxa"/>
          </w:tcPr>
          <w:p w:rsidR="00177FCC" w:rsidRPr="000179BF" w:rsidP="00DA6E71" w14:paraId="65234325" w14:textId="2256096E">
            <w:pPr>
              <w:pStyle w:val="P1-StandPara"/>
              <w:tabs>
                <w:tab w:val="clear" w:pos="1152"/>
              </w:tabs>
              <w:spacing w:line="240" w:lineRule="auto"/>
              <w:ind w:right="1335" w:firstLine="0"/>
              <w:jc w:val="right"/>
              <w:rPr>
                <w:rFonts w:asciiTheme="minorHAnsi" w:hAnsiTheme="minorHAnsi"/>
                <w:sz w:val="22"/>
              </w:rPr>
            </w:pPr>
            <w:r w:rsidRPr="000179BF">
              <w:rPr>
                <w:rFonts w:asciiTheme="minorHAnsi" w:hAnsiTheme="minorHAnsi"/>
                <w:sz w:val="22"/>
              </w:rPr>
              <w:t>6,</w:t>
            </w:r>
            <w:r w:rsidRPr="000179BF" w:rsidR="00BC39B4">
              <w:rPr>
                <w:rFonts w:asciiTheme="minorHAnsi" w:hAnsiTheme="minorHAnsi"/>
                <w:sz w:val="22"/>
              </w:rPr>
              <w:t>5</w:t>
            </w:r>
            <w:r w:rsidRPr="000179BF">
              <w:rPr>
                <w:rFonts w:asciiTheme="minorHAnsi" w:hAnsiTheme="minorHAnsi"/>
                <w:sz w:val="22"/>
              </w:rPr>
              <w:t>00</w:t>
            </w:r>
          </w:p>
        </w:tc>
      </w:tr>
    </w:tbl>
    <w:p w:rsidR="0CF373CE" w:rsidP="7D53D72A" w14:paraId="5F79E8B3" w14:textId="1D324211">
      <w:pPr>
        <w:spacing w:after="0"/>
        <w:rPr>
          <w:rFonts w:ascii="Calibri" w:eastAsia="Calibri" w:hAnsi="Calibri" w:cs="Calibri"/>
        </w:rPr>
      </w:pPr>
      <w:r w:rsidRPr="7D53D72A">
        <w:rPr>
          <w:rFonts w:ascii="Calibri" w:eastAsia="Calibri" w:hAnsi="Calibri" w:cs="Calibri"/>
        </w:rPr>
        <w:t xml:space="preserve">          </w:t>
      </w:r>
    </w:p>
    <w:p w:rsidR="7341C5A8" w:rsidP="7D53D72A" w14:paraId="327A6C48" w14:textId="7F6C346D">
      <w:pPr>
        <w:spacing w:after="0"/>
        <w:rPr>
          <w:rFonts w:eastAsiaTheme="minorEastAsia"/>
          <w:b/>
          <w:bCs/>
        </w:rPr>
      </w:pPr>
      <w:r w:rsidRPr="7D53D72A">
        <w:rPr>
          <w:rFonts w:eastAsiaTheme="minorEastAsia"/>
          <w:b/>
          <w:bCs/>
        </w:rPr>
        <w:t xml:space="preserve">Table 3. </w:t>
      </w:r>
      <w:r w:rsidRPr="7D53D72A" w:rsidR="7223685C">
        <w:rPr>
          <w:rFonts w:eastAsiaTheme="minorEastAsia"/>
          <w:b/>
          <w:bCs/>
        </w:rPr>
        <w:t>S</w:t>
      </w:r>
      <w:r w:rsidRPr="7D53D72A" w:rsidR="0CF373CE">
        <w:rPr>
          <w:rFonts w:eastAsiaTheme="minorEastAsia"/>
          <w:b/>
          <w:bCs/>
        </w:rPr>
        <w:t xml:space="preserve">urvey completion </w:t>
      </w:r>
      <w:r w:rsidRPr="7D53D72A" w:rsidR="03D6A445">
        <w:rPr>
          <w:rFonts w:eastAsiaTheme="minorEastAsia"/>
          <w:b/>
          <w:bCs/>
        </w:rPr>
        <w:t>r</w:t>
      </w:r>
      <w:r w:rsidRPr="7D53D72A" w:rsidR="0CF373CE">
        <w:rPr>
          <w:rFonts w:eastAsiaTheme="minorEastAsia"/>
          <w:b/>
          <w:bCs/>
        </w:rPr>
        <w:t>ates for the last 5 Spring Styles surveys.</w:t>
      </w:r>
    </w:p>
    <w:p w:rsidR="0CF373CE" w:rsidP="7D53D72A" w14:paraId="33456C8B" w14:textId="7B86A4AC">
      <w:pPr>
        <w:spacing w:after="0"/>
        <w:rPr>
          <w:rFonts w:ascii="Calibri" w:eastAsia="Calibri" w:hAnsi="Calibri" w:cs="Calibri"/>
        </w:rPr>
      </w:pPr>
      <w:r w:rsidRPr="7D53D72A">
        <w:rPr>
          <w:rFonts w:ascii="Calibri" w:eastAsia="Calibri" w:hAnsi="Calibri" w:cs="Calibri"/>
        </w:rPr>
        <w:t xml:space="preserve">              </w:t>
      </w:r>
    </w:p>
    <w:tbl>
      <w:tblPr>
        <w:tblW w:w="0" w:type="auto"/>
        <w:tblInd w:w="1455" w:type="dxa"/>
        <w:tblLayout w:type="fixed"/>
        <w:tblLook w:val="04A0"/>
      </w:tblPr>
      <w:tblGrid>
        <w:gridCol w:w="2901"/>
        <w:gridCol w:w="3421"/>
      </w:tblGrid>
      <w:tr w14:paraId="1B1FF8F7" w14:textId="77777777" w:rsidTr="7D53D72A">
        <w:tblPrEx>
          <w:tblW w:w="0" w:type="auto"/>
          <w:tblInd w:w="1455" w:type="dxa"/>
          <w:tblLayout w:type="fixed"/>
          <w:tblLook w:val="04A0"/>
        </w:tblPrEx>
        <w:trPr>
          <w:trHeight w:val="270"/>
        </w:trPr>
        <w:tc>
          <w:tcPr>
            <w:tcW w:w="29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2B8EB95D" w14:textId="2517B72C">
            <w:pPr>
              <w:spacing w:after="0"/>
              <w:rPr>
                <w:rFonts w:ascii="Aptos Narrow" w:eastAsia="Aptos Narrow" w:hAnsi="Aptos Narrow" w:cs="Aptos Narrow"/>
                <w:b/>
                <w:bCs/>
                <w:color w:val="000000" w:themeColor="text1"/>
              </w:rPr>
            </w:pPr>
            <w:r w:rsidRPr="7D53D72A">
              <w:rPr>
                <w:rFonts w:ascii="Aptos Narrow" w:eastAsia="Aptos Narrow" w:hAnsi="Aptos Narrow" w:cs="Aptos Narrow"/>
                <w:b/>
                <w:bCs/>
                <w:color w:val="000000" w:themeColor="text1"/>
              </w:rPr>
              <w:t>Past Projects</w:t>
            </w:r>
          </w:p>
        </w:tc>
        <w:tc>
          <w:tcPr>
            <w:tcW w:w="3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4D40E9CA" w14:textId="26884C79">
            <w:pPr>
              <w:spacing w:after="0"/>
              <w:jc w:val="center"/>
              <w:rPr>
                <w:rFonts w:ascii="Aptos Narrow" w:eastAsia="Aptos Narrow" w:hAnsi="Aptos Narrow" w:cs="Aptos Narrow"/>
                <w:b/>
                <w:bCs/>
                <w:color w:val="000000" w:themeColor="text1"/>
              </w:rPr>
            </w:pPr>
            <w:r w:rsidRPr="7D53D72A">
              <w:rPr>
                <w:rFonts w:ascii="Aptos Narrow" w:eastAsia="Aptos Narrow" w:hAnsi="Aptos Narrow" w:cs="Aptos Narrow"/>
                <w:b/>
                <w:bCs/>
                <w:color w:val="000000" w:themeColor="text1"/>
              </w:rPr>
              <w:t>Overall Completion Rate</w:t>
            </w:r>
          </w:p>
        </w:tc>
      </w:tr>
      <w:tr w14:paraId="56B465AC" w14:textId="77777777" w:rsidTr="7D53D72A">
        <w:tblPrEx>
          <w:tblW w:w="0" w:type="auto"/>
          <w:tblInd w:w="1455" w:type="dxa"/>
          <w:tblLayout w:type="fixed"/>
          <w:tblLook w:val="04A0"/>
        </w:tblPrEx>
        <w:trPr>
          <w:trHeight w:val="270"/>
        </w:trPr>
        <w:tc>
          <w:tcPr>
            <w:tcW w:w="29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2D9B19FB" w14:textId="29C0FA3D">
            <w:pPr>
              <w:spacing w:after="0"/>
            </w:pPr>
            <w:r w:rsidRPr="7D53D72A">
              <w:rPr>
                <w:rFonts w:ascii="Calibri" w:eastAsia="Calibri" w:hAnsi="Calibri" w:cs="Calibri"/>
                <w:color w:val="000000" w:themeColor="text1"/>
              </w:rPr>
              <w:t>Spring Styles 2020</w:t>
            </w:r>
          </w:p>
        </w:tc>
        <w:tc>
          <w:tcPr>
            <w:tcW w:w="3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4FA5EC58" w14:textId="65CCBE00">
            <w:pPr>
              <w:spacing w:after="0"/>
              <w:jc w:val="center"/>
            </w:pPr>
            <w:r w:rsidRPr="7D53D72A">
              <w:rPr>
                <w:rFonts w:ascii="Aptos Narrow" w:eastAsia="Aptos Narrow" w:hAnsi="Aptos Narrow" w:cs="Aptos Narrow"/>
                <w:color w:val="000000" w:themeColor="text1"/>
              </w:rPr>
              <w:t>59%</w:t>
            </w:r>
          </w:p>
        </w:tc>
      </w:tr>
      <w:tr w14:paraId="4B88E90C" w14:textId="77777777" w:rsidTr="7D53D72A">
        <w:tblPrEx>
          <w:tblW w:w="0" w:type="auto"/>
          <w:tblInd w:w="1455" w:type="dxa"/>
          <w:tblLayout w:type="fixed"/>
          <w:tblLook w:val="04A0"/>
        </w:tblPrEx>
        <w:trPr>
          <w:trHeight w:val="270"/>
        </w:trPr>
        <w:tc>
          <w:tcPr>
            <w:tcW w:w="29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44E14146" w14:textId="12133EFD">
            <w:pPr>
              <w:spacing w:after="0"/>
            </w:pPr>
            <w:r w:rsidRPr="7D53D72A">
              <w:rPr>
                <w:rFonts w:ascii="Calibri" w:eastAsia="Calibri" w:hAnsi="Calibri" w:cs="Calibri"/>
                <w:color w:val="000000" w:themeColor="text1"/>
              </w:rPr>
              <w:t>Spring Styles 2021</w:t>
            </w:r>
          </w:p>
        </w:tc>
        <w:tc>
          <w:tcPr>
            <w:tcW w:w="3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3D5BAB17" w14:textId="6B6A9EA1">
            <w:pPr>
              <w:spacing w:after="0"/>
              <w:jc w:val="center"/>
            </w:pPr>
            <w:r w:rsidRPr="7D53D72A">
              <w:rPr>
                <w:rFonts w:ascii="Aptos Narrow" w:eastAsia="Aptos Narrow" w:hAnsi="Aptos Narrow" w:cs="Aptos Narrow"/>
                <w:color w:val="000000" w:themeColor="text1"/>
              </w:rPr>
              <w:t>60%</w:t>
            </w:r>
          </w:p>
        </w:tc>
      </w:tr>
      <w:tr w14:paraId="4403E7B2" w14:textId="77777777" w:rsidTr="7D53D72A">
        <w:tblPrEx>
          <w:tblW w:w="0" w:type="auto"/>
          <w:tblInd w:w="1455" w:type="dxa"/>
          <w:tblLayout w:type="fixed"/>
          <w:tblLook w:val="04A0"/>
        </w:tblPrEx>
        <w:trPr>
          <w:trHeight w:val="270"/>
        </w:trPr>
        <w:tc>
          <w:tcPr>
            <w:tcW w:w="29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6CDC24AC" w14:textId="010310AF">
            <w:pPr>
              <w:spacing w:after="0"/>
            </w:pPr>
            <w:r w:rsidRPr="7D53D72A">
              <w:rPr>
                <w:rFonts w:ascii="Calibri" w:eastAsia="Calibri" w:hAnsi="Calibri" w:cs="Calibri"/>
                <w:color w:val="000000" w:themeColor="text1"/>
              </w:rPr>
              <w:t>Spring Styles 2022</w:t>
            </w:r>
          </w:p>
        </w:tc>
        <w:tc>
          <w:tcPr>
            <w:tcW w:w="3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589698A1" w14:textId="525EEE4D">
            <w:pPr>
              <w:spacing w:after="0"/>
              <w:jc w:val="center"/>
            </w:pPr>
            <w:r w:rsidRPr="7D53D72A">
              <w:rPr>
                <w:rFonts w:ascii="Aptos Narrow" w:eastAsia="Aptos Narrow" w:hAnsi="Aptos Narrow" w:cs="Aptos Narrow"/>
                <w:color w:val="000000" w:themeColor="text1"/>
              </w:rPr>
              <w:t>58%</w:t>
            </w:r>
          </w:p>
        </w:tc>
      </w:tr>
      <w:tr w14:paraId="12A7D83B" w14:textId="77777777" w:rsidTr="7D53D72A">
        <w:tblPrEx>
          <w:tblW w:w="0" w:type="auto"/>
          <w:tblInd w:w="1455" w:type="dxa"/>
          <w:tblLayout w:type="fixed"/>
          <w:tblLook w:val="04A0"/>
        </w:tblPrEx>
        <w:trPr>
          <w:trHeight w:val="270"/>
        </w:trPr>
        <w:tc>
          <w:tcPr>
            <w:tcW w:w="29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6624D910" w14:textId="4557D295">
            <w:pPr>
              <w:spacing w:after="0"/>
            </w:pPr>
            <w:r w:rsidRPr="7D53D72A">
              <w:rPr>
                <w:rFonts w:ascii="Calibri" w:eastAsia="Calibri" w:hAnsi="Calibri" w:cs="Calibri"/>
                <w:color w:val="000000" w:themeColor="text1"/>
              </w:rPr>
              <w:t>Spring Styles 2023</w:t>
            </w:r>
          </w:p>
        </w:tc>
        <w:tc>
          <w:tcPr>
            <w:tcW w:w="3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5AA91520" w14:textId="7F1C80EF">
            <w:pPr>
              <w:spacing w:after="0"/>
              <w:jc w:val="center"/>
            </w:pPr>
            <w:r w:rsidRPr="7D53D72A">
              <w:rPr>
                <w:rFonts w:ascii="Aptos Narrow" w:eastAsia="Aptos Narrow" w:hAnsi="Aptos Narrow" w:cs="Aptos Narrow"/>
                <w:color w:val="000000" w:themeColor="text1"/>
              </w:rPr>
              <w:t>61%</w:t>
            </w:r>
          </w:p>
        </w:tc>
      </w:tr>
      <w:tr w14:paraId="0DFC4CB7" w14:textId="77777777" w:rsidTr="7D53D72A">
        <w:tblPrEx>
          <w:tblW w:w="0" w:type="auto"/>
          <w:tblInd w:w="1455" w:type="dxa"/>
          <w:tblLayout w:type="fixed"/>
          <w:tblLook w:val="04A0"/>
        </w:tblPrEx>
        <w:trPr>
          <w:trHeight w:val="270"/>
        </w:trPr>
        <w:tc>
          <w:tcPr>
            <w:tcW w:w="29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0A30C7EB" w14:textId="30BB1703">
            <w:pPr>
              <w:spacing w:after="0"/>
            </w:pPr>
            <w:r w:rsidRPr="7D53D72A">
              <w:rPr>
                <w:rFonts w:ascii="Calibri" w:eastAsia="Calibri" w:hAnsi="Calibri" w:cs="Calibri"/>
                <w:color w:val="000000" w:themeColor="text1"/>
              </w:rPr>
              <w:t>Spring Styles 2024</w:t>
            </w:r>
          </w:p>
        </w:tc>
        <w:tc>
          <w:tcPr>
            <w:tcW w:w="34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D53D72A" w:rsidP="7D53D72A" w14:paraId="25CC5EAF" w14:textId="6CDB9227">
            <w:pPr>
              <w:spacing w:after="0"/>
              <w:jc w:val="center"/>
            </w:pPr>
            <w:r w:rsidRPr="7D53D72A">
              <w:rPr>
                <w:rFonts w:ascii="Aptos Narrow" w:eastAsia="Aptos Narrow" w:hAnsi="Aptos Narrow" w:cs="Aptos Narrow"/>
                <w:color w:val="000000" w:themeColor="text1"/>
              </w:rPr>
              <w:t>67%</w:t>
            </w:r>
          </w:p>
        </w:tc>
      </w:tr>
    </w:tbl>
    <w:p w:rsidR="7D53D72A" w:rsidP="7D53D72A" w14:paraId="038D3FA6" w14:textId="0B8025EB">
      <w:pPr>
        <w:spacing w:line="278" w:lineRule="auto"/>
      </w:pPr>
    </w:p>
    <w:p w:rsidR="00F83AD8" w:rsidRPr="00BD3001" w:rsidP="7D53D72A" w14:paraId="6A83A04D" w14:textId="7EDE459C">
      <w:pPr>
        <w:rPr>
          <w:b/>
          <w:bCs/>
        </w:rPr>
      </w:pPr>
      <w:r>
        <w:t> </w:t>
      </w:r>
      <w:r w:rsidRPr="7D53D72A">
        <w:rPr>
          <w:b/>
          <w:bCs/>
        </w:rPr>
        <w:t xml:space="preserve">2.        </w:t>
      </w:r>
      <w:r w:rsidRPr="7D53D72A" w:rsidR="0EDEC870">
        <w:rPr>
          <w:b/>
          <w:bCs/>
        </w:rPr>
        <w:t>Procedure for Collect</w:t>
      </w:r>
      <w:r w:rsidRPr="7D53D72A" w:rsidR="60430044">
        <w:rPr>
          <w:b/>
          <w:bCs/>
        </w:rPr>
        <w:t xml:space="preserve">ion of Information </w:t>
      </w:r>
      <w:r w:rsidRPr="7D53D72A" w:rsidR="74234283">
        <w:rPr>
          <w:b/>
          <w:bCs/>
        </w:rPr>
        <w:t>and Estimation</w:t>
      </w:r>
      <w:r w:rsidRPr="7D53D72A">
        <w:rPr>
          <w:b/>
          <w:bCs/>
        </w:rPr>
        <w:t> </w:t>
      </w:r>
    </w:p>
    <w:p w:rsidR="00BE5A90" w:rsidRPr="00BE5A90" w:rsidP="00BE5A90" w14:paraId="76D6D656" w14:textId="2ACD8AE7">
      <w:pPr>
        <w:widowControl w:val="0"/>
        <w:spacing w:before="120" w:after="120" w:line="240" w:lineRule="auto"/>
      </w:pPr>
      <w:r>
        <w:t>The survey</w:t>
      </w:r>
      <w:r w:rsidR="6CB9D5D4">
        <w:t xml:space="preserve"> will be conducted entirely online.  </w:t>
      </w:r>
      <w:r w:rsidR="155691DE">
        <w:t>The data collection period is expected to begin on March 21, 2025 and conc</w:t>
      </w:r>
      <w:r w:rsidR="19652385">
        <w:t>lude by</w:t>
      </w:r>
      <w:r w:rsidR="155691DE">
        <w:t xml:space="preserve"> May 2, 2025.</w:t>
      </w:r>
      <w:r w:rsidR="00A9201D">
        <w:t xml:space="preserve"> </w:t>
      </w:r>
      <w:r w:rsidR="00106410">
        <w:t xml:space="preserve">Selected panelists </w:t>
      </w:r>
      <w:r w:rsidRPr="00BE5A90" w:rsidR="00106410">
        <w:t>are notified in their password-protected email account that a password-protected survey is available for completion.</w:t>
      </w:r>
      <w:r w:rsidR="00106410">
        <w:t xml:space="preserve"> </w:t>
      </w:r>
      <w:r w:rsidR="00396467">
        <w:t>R</w:t>
      </w:r>
      <w:r w:rsidR="00106410">
        <w:t>espondents can access the link at their convenience. Respondents are not required to answer any questions that they do not wish to answer and they can discontinue participation at any time.</w:t>
      </w:r>
    </w:p>
    <w:p w:rsidR="00F21B5B" w:rsidRPr="00BD3001" w:rsidP="7D53D72A" w14:paraId="089A25E9" w14:textId="0984BD5E">
      <w:pPr>
        <w:widowControl w:val="0"/>
        <w:spacing w:before="120" w:after="120" w:line="240" w:lineRule="auto"/>
      </w:pPr>
    </w:p>
    <w:p w:rsidR="00F21B5B" w:rsidRPr="00BD3001" w:rsidP="7D53D72A" w14:paraId="62B45C9E" w14:textId="51291002">
      <w:pPr>
        <w:widowControl w:val="0"/>
        <w:spacing w:before="120" w:after="120" w:line="240" w:lineRule="auto"/>
      </w:pPr>
      <w:r>
        <w:t>W</w:t>
      </w:r>
      <w:r w:rsidR="0080765D">
        <w:t>eights will be designed to represent the U.S. adult population.</w:t>
      </w:r>
      <w:r w:rsidR="6BA0836B">
        <w:t xml:space="preserve"> </w:t>
      </w:r>
      <w:r>
        <w:t>The 202</w:t>
      </w:r>
      <w:r w:rsidR="00EC3B8D">
        <w:t>5</w:t>
      </w:r>
      <w:r>
        <w:t xml:space="preserve"> </w:t>
      </w:r>
      <w:r w:rsidR="00EC3B8D">
        <w:t>Spring</w:t>
      </w:r>
      <w:r w:rsidR="5A1EF5B7">
        <w:t xml:space="preserve"> </w:t>
      </w:r>
      <w:r w:rsidR="00EC3B8D">
        <w:t>Styles</w:t>
      </w:r>
      <w:r>
        <w:t xml:space="preserve"> weighting methodology will </w:t>
      </w:r>
      <w:r w:rsidR="00F47B27">
        <w:t>ensure</w:t>
      </w:r>
      <w:r>
        <w:t xml:space="preserve"> the external validity of survey estimates by improving the representation of survey respondents. The weighting process for this survey</w:t>
      </w:r>
      <w:r w:rsidR="00F47B27">
        <w:t xml:space="preserve"> </w:t>
      </w:r>
      <w:r>
        <w:t>will entail several steps as outlined next.</w:t>
      </w:r>
    </w:p>
    <w:p w:rsidR="00F21B5B" w:rsidRPr="00BD3001" w:rsidP="00F21B5B" w14:paraId="3C51FFE7" w14:textId="7B785BA3">
      <w:pPr>
        <w:pStyle w:val="Default"/>
        <w:numPr>
          <w:ilvl w:val="0"/>
          <w:numId w:val="2"/>
        </w:numPr>
        <w:ind w:left="720"/>
        <w:rPr>
          <w:rFonts w:asciiTheme="minorHAnsi" w:hAnsiTheme="minorHAnsi"/>
          <w:color w:val="auto"/>
          <w:sz w:val="22"/>
          <w:szCs w:val="22"/>
        </w:rPr>
      </w:pPr>
      <w:r w:rsidRPr="00BD3001">
        <w:rPr>
          <w:rFonts w:asciiTheme="minorHAnsi" w:hAnsiTheme="minorHAnsi"/>
          <w:color w:val="auto"/>
          <w:sz w:val="22"/>
          <w:szCs w:val="22"/>
        </w:rPr>
        <w:t>In the first step, design weights will be computed to reflect the selection probabilities for those assigned to this survey.</w:t>
      </w:r>
    </w:p>
    <w:p w:rsidR="00F21B5B" w:rsidRPr="00BD3001" w:rsidP="00D8645F" w14:paraId="2ABF784B" w14:textId="16535DDA">
      <w:pPr>
        <w:pStyle w:val="Default"/>
        <w:numPr>
          <w:ilvl w:val="0"/>
          <w:numId w:val="2"/>
        </w:numPr>
        <w:ind w:left="720"/>
        <w:rPr>
          <w:rFonts w:asciiTheme="minorHAnsi" w:hAnsiTheme="minorHAnsi"/>
          <w:color w:val="auto"/>
          <w:sz w:val="22"/>
          <w:szCs w:val="22"/>
        </w:rPr>
      </w:pPr>
      <w:r w:rsidRPr="00BD3001">
        <w:rPr>
          <w:rFonts w:asciiTheme="minorHAnsi" w:hAnsiTheme="minorHAnsi"/>
          <w:color w:val="auto"/>
          <w:sz w:val="22"/>
          <w:szCs w:val="22"/>
        </w:rPr>
        <w:t>In the second step, design weights will be ratio-adjusted to a comprehensive set of geodemographic benchmark distributions that could be secured from the latest CPS. For these adjustments the method of iterative proportional fitting will be used, which is commonly known as raking, to allow simultaneous adjustments against multiple distributions.</w:t>
      </w:r>
      <w:r w:rsidRPr="00BD3001" w:rsidR="00426DCD">
        <w:rPr>
          <w:rFonts w:asciiTheme="minorHAnsi" w:hAnsiTheme="minorHAnsi"/>
          <w:color w:val="auto"/>
          <w:sz w:val="22"/>
          <w:szCs w:val="22"/>
        </w:rPr>
        <w:t xml:space="preserve"> This adjustment </w:t>
      </w:r>
      <w:r w:rsidRPr="00BD3001" w:rsidR="009C06D7">
        <w:rPr>
          <w:rFonts w:asciiTheme="minorHAnsi" w:hAnsiTheme="minorHAnsi"/>
          <w:color w:val="auto"/>
          <w:sz w:val="22"/>
          <w:szCs w:val="22"/>
        </w:rPr>
        <w:t xml:space="preserve">will </w:t>
      </w:r>
      <w:r w:rsidRPr="00BD3001" w:rsidR="00426DCD">
        <w:rPr>
          <w:rFonts w:asciiTheme="minorHAnsi" w:hAnsiTheme="minorHAnsi"/>
          <w:color w:val="auto"/>
          <w:sz w:val="22"/>
          <w:szCs w:val="22"/>
        </w:rPr>
        <w:t>account for differential nonresponse</w:t>
      </w:r>
      <w:r w:rsidRPr="00BD3001" w:rsidR="009C06D7">
        <w:rPr>
          <w:rFonts w:asciiTheme="minorHAnsi" w:hAnsiTheme="minorHAnsi"/>
          <w:color w:val="auto"/>
          <w:sz w:val="22"/>
          <w:szCs w:val="22"/>
        </w:rPr>
        <w:t xml:space="preserve">, re-balancing </w:t>
      </w:r>
      <w:r w:rsidRPr="00BD3001" w:rsidR="00F4112E">
        <w:rPr>
          <w:rFonts w:asciiTheme="minorHAnsi" w:hAnsiTheme="minorHAnsi"/>
          <w:color w:val="auto"/>
          <w:sz w:val="22"/>
          <w:szCs w:val="22"/>
        </w:rPr>
        <w:t xml:space="preserve">the respondents on the set of factors the design weights balanced the </w:t>
      </w:r>
      <w:r w:rsidRPr="00BD3001" w:rsidR="001E6B0A">
        <w:rPr>
          <w:rFonts w:asciiTheme="minorHAnsi" w:hAnsiTheme="minorHAnsi"/>
          <w:color w:val="auto"/>
          <w:sz w:val="22"/>
          <w:szCs w:val="22"/>
        </w:rPr>
        <w:t>full sample.</w:t>
      </w:r>
    </w:p>
    <w:p w:rsidR="00F21B5B" w:rsidRPr="00BD3001" w:rsidP="00F21B5B" w14:paraId="0E769610" w14:textId="07C6B080">
      <w:pPr>
        <w:pStyle w:val="Default"/>
        <w:numPr>
          <w:ilvl w:val="0"/>
          <w:numId w:val="2"/>
        </w:numPr>
        <w:ind w:left="720"/>
        <w:rPr>
          <w:rFonts w:asciiTheme="minorHAnsi" w:hAnsiTheme="minorHAnsi"/>
          <w:sz w:val="22"/>
          <w:szCs w:val="22"/>
        </w:rPr>
      </w:pPr>
      <w:r>
        <w:rPr>
          <w:rFonts w:asciiTheme="minorHAnsi" w:hAnsiTheme="minorHAnsi"/>
          <w:color w:val="auto"/>
          <w:sz w:val="22"/>
          <w:szCs w:val="22"/>
        </w:rPr>
        <w:t xml:space="preserve">Finally, </w:t>
      </w:r>
      <w:r w:rsidRPr="00BD3001">
        <w:rPr>
          <w:rFonts w:asciiTheme="minorHAnsi" w:hAnsiTheme="minorHAnsi"/>
          <w:color w:val="auto"/>
          <w:sz w:val="22"/>
          <w:szCs w:val="22"/>
        </w:rPr>
        <w:t>he resulting weights will be examined to detect extreme values that might require trimming. While trimming extreme weights will improve the overall efficiency of the analysis weights by reducing variability, it will be at the expense of minor misalignments against population distributions. Th</w:t>
      </w:r>
      <w:r w:rsidRPr="00BD3001" w:rsidR="006647C6">
        <w:rPr>
          <w:rFonts w:asciiTheme="minorHAnsi" w:hAnsiTheme="minorHAnsi"/>
          <w:color w:val="auto"/>
          <w:sz w:val="22"/>
          <w:szCs w:val="22"/>
        </w:rPr>
        <w:t>e</w:t>
      </w:r>
      <w:r w:rsidRPr="00BD3001">
        <w:rPr>
          <w:rFonts w:asciiTheme="minorHAnsi" w:hAnsiTheme="minorHAnsi"/>
          <w:color w:val="auto"/>
          <w:sz w:val="22"/>
          <w:szCs w:val="22"/>
        </w:rPr>
        <w:t xml:space="preserve"> compromise between bias reduction and variance inflation </w:t>
      </w:r>
      <w:r w:rsidRPr="00BD3001" w:rsidR="006647C6">
        <w:rPr>
          <w:rFonts w:asciiTheme="minorHAnsi" w:hAnsiTheme="minorHAnsi"/>
          <w:color w:val="auto"/>
          <w:sz w:val="22"/>
          <w:szCs w:val="22"/>
        </w:rPr>
        <w:t xml:space="preserve">will be considered when </w:t>
      </w:r>
      <w:r w:rsidRPr="00BD3001" w:rsidR="009363E5">
        <w:rPr>
          <w:rFonts w:asciiTheme="minorHAnsi" w:hAnsiTheme="minorHAnsi"/>
          <w:color w:val="auto"/>
          <w:sz w:val="22"/>
          <w:szCs w:val="22"/>
        </w:rPr>
        <w:t>applying any trimming function to the weights</w:t>
      </w:r>
      <w:r w:rsidRPr="00BD3001">
        <w:rPr>
          <w:rFonts w:asciiTheme="minorHAnsi" w:hAnsiTheme="minorHAnsi"/>
          <w:color w:val="auto"/>
          <w:sz w:val="22"/>
          <w:szCs w:val="22"/>
        </w:rPr>
        <w:t>.</w:t>
      </w:r>
    </w:p>
    <w:p w:rsidR="00764821" w:rsidRPr="00BD3001" w:rsidP="7D53D72A" w14:paraId="509722A7" w14:textId="2940B01F"/>
    <w:p w:rsidR="2EA7C0B6" w:rsidP="7D53D72A" w14:paraId="709AEF19" w14:textId="6BCA9D4F">
      <w:pPr>
        <w:rPr>
          <w:b/>
          <w:bCs/>
        </w:rPr>
      </w:pPr>
      <w:r w:rsidRPr="7D53D72A">
        <w:rPr>
          <w:b/>
          <w:bCs/>
        </w:rPr>
        <w:t xml:space="preserve">3.        </w:t>
      </w:r>
      <w:r w:rsidRPr="7D53D72A" w:rsidR="290ECEF8">
        <w:rPr>
          <w:b/>
          <w:bCs/>
        </w:rPr>
        <w:t>Methods to maximize response rate</w:t>
      </w:r>
    </w:p>
    <w:p w:rsidR="0018166B" w:rsidRPr="00BD3001" w:rsidP="0018166B" w14:paraId="2927B52A" w14:textId="1B514C81">
      <w:pPr>
        <w:tabs>
          <w:tab w:val="left" w:pos="720"/>
        </w:tabs>
        <w:spacing w:before="120" w:after="120" w:line="240" w:lineRule="auto"/>
      </w:pPr>
      <w:r>
        <w:t>M</w:t>
      </w:r>
      <w:r>
        <w:t>odest incentives will be used to engage respondents and entice completion. Upon completion of the survey, the respondent</w:t>
      </w:r>
      <w:r w:rsidR="00B566EF">
        <w:t>s</w:t>
      </w:r>
      <w:r>
        <w:t xml:space="preserve"> will be awarded the equivalent of $</w:t>
      </w:r>
      <w:r w:rsidR="006E6CD5">
        <w:t>5</w:t>
      </w:r>
      <w:r>
        <w:t xml:space="preserve">. </w:t>
      </w:r>
      <w:r w:rsidR="00B566EF">
        <w:t>R</w:t>
      </w:r>
      <w:r>
        <w:t xml:space="preserve">ewards are provided in terms of points, which are redeemable for cash or other prizes at panelists’ choosing. </w:t>
      </w:r>
      <w:r w:rsidR="00352143">
        <w:t>Reminders w</w:t>
      </w:r>
      <w:r w:rsidR="77FBCF5D">
        <w:t>ill be</w:t>
      </w:r>
      <w:r w:rsidR="00352143">
        <w:t xml:space="preserve"> sent to the main sample nonrespondents twice and once to the parent oversample nonrespondents to </w:t>
      </w:r>
      <w:r w:rsidR="00E01F02">
        <w:t>promote survey response.</w:t>
      </w:r>
    </w:p>
    <w:p w:rsidR="0018166B" w:rsidRPr="00BD3001" w:rsidP="0018166B" w14:paraId="735DE3FF" w14:textId="77777777">
      <w:pPr>
        <w:tabs>
          <w:tab w:val="left" w:pos="720"/>
        </w:tabs>
        <w:spacing w:before="120" w:after="120" w:line="240" w:lineRule="auto"/>
      </w:pPr>
      <w:r w:rsidRPr="00BD3001">
        <w:t xml:space="preserve">In order to facilitate responses from those with disabilities, the online survey will meet Section 508 compliance using the rules specified in sections 1194.22. Furthermore, the share of online surveys completed via smartphones and other mobile devices has dramatically increased over the past several years. Typically, a higher share of young people and persons of color respond with a mobile </w:t>
      </w:r>
      <w:r w:rsidRPr="00BD3001">
        <w:t xml:space="preserve">device. To ensure that all people, regardless of their completion device of choice, can access and easily complete the survey, the survey will be designed to be mobile-friendly. </w:t>
      </w:r>
    </w:p>
    <w:p w:rsidR="0018166B" w:rsidRPr="00BD3001" w:rsidP="00F83AD8" w14:paraId="023D9F70" w14:textId="77777777"/>
    <w:p w:rsidR="00F83AD8" w:rsidP="7D53D72A" w14:paraId="27CB8727" w14:textId="279155D8">
      <w:pPr>
        <w:rPr>
          <w:b/>
          <w:bCs/>
        </w:rPr>
      </w:pPr>
      <w:r w:rsidRPr="7D53D72A">
        <w:rPr>
          <w:b/>
          <w:bCs/>
        </w:rPr>
        <w:t xml:space="preserve">4.        </w:t>
      </w:r>
      <w:r w:rsidRPr="7D53D72A" w:rsidR="5E08A486">
        <w:rPr>
          <w:b/>
          <w:bCs/>
        </w:rPr>
        <w:t>Testing of Procedure</w:t>
      </w:r>
    </w:p>
    <w:p w:rsidR="00EF23F7" w:rsidRPr="00BD3001" w:rsidP="7D53D72A" w14:paraId="334CA1E7" w14:textId="295FBE87">
      <w:r>
        <w:t xml:space="preserve">Ipsos </w:t>
      </w:r>
      <w:r w:rsidR="30130013">
        <w:t xml:space="preserve">will </w:t>
      </w:r>
      <w:r>
        <w:t xml:space="preserve">conduct a soft-launch at the beginning of </w:t>
      </w:r>
      <w:r w:rsidR="1B287A9E">
        <w:t>the survey</w:t>
      </w:r>
      <w:r w:rsidR="009D7695">
        <w:t xml:space="preserve"> with </w:t>
      </w:r>
      <w:r w:rsidR="009D2E7B">
        <w:t>250 respondents</w:t>
      </w:r>
      <w:r>
        <w:t xml:space="preserve">. </w:t>
      </w:r>
      <w:r w:rsidR="00DE7691">
        <w:t>The purpose of the sof</w:t>
      </w:r>
      <w:r w:rsidR="005B5C15">
        <w:t xml:space="preserve">t-launch is to </w:t>
      </w:r>
      <w:r w:rsidR="00B164AD">
        <w:t>verify that</w:t>
      </w:r>
      <w:r w:rsidR="005B5C15">
        <w:t xml:space="preserve"> the programming and skip patterns are working correctl</w:t>
      </w:r>
      <w:r w:rsidR="00633321">
        <w:t xml:space="preserve">y and to gauge the final length of the survey. </w:t>
      </w:r>
      <w:r w:rsidR="00B164AD">
        <w:t xml:space="preserve">These 250 respondents are </w:t>
      </w:r>
      <w:r w:rsidR="00E76359">
        <w:t xml:space="preserve">counted as part of the 6,500 completes unless errors are found that require programming corrections. </w:t>
      </w:r>
      <w:r w:rsidR="006E2537">
        <w:t xml:space="preserve">No </w:t>
      </w:r>
      <w:r w:rsidR="007566B3">
        <w:t xml:space="preserve">such </w:t>
      </w:r>
      <w:r w:rsidR="006E2537">
        <w:t>errors have been found in the past decade</w:t>
      </w:r>
      <w:r w:rsidR="007566B3">
        <w:t>.</w:t>
      </w:r>
      <w:r w:rsidR="4B171BDF">
        <w:t xml:space="preserve"> </w:t>
      </w:r>
    </w:p>
    <w:p w:rsidR="00F83AD8" w:rsidRPr="00BD3001" w:rsidP="00F83AD8" w14:paraId="5D9A1F75" w14:textId="77777777">
      <w:r w:rsidRPr="00BD3001">
        <w:t> </w:t>
      </w:r>
    </w:p>
    <w:p w:rsidR="00EF23F7" w:rsidRPr="00BD3001" w:rsidP="7D53D72A" w14:paraId="24BA6DCA" w14:textId="3B5B3405">
      <w:pPr>
        <w:rPr>
          <w:u w:val="single"/>
        </w:rPr>
      </w:pPr>
      <w:r>
        <w:t>5.    </w:t>
      </w:r>
      <w:r w:rsidR="3D1AD543">
        <w:t xml:space="preserve"> </w:t>
      </w:r>
      <w:r w:rsidRPr="7D53D72A" w:rsidR="3D1AD543">
        <w:rPr>
          <w:u w:val="single"/>
        </w:rPr>
        <w:t>Contact: Statistical Aspects and Data Collection</w:t>
      </w:r>
    </w:p>
    <w:p w:rsidR="00165D70" w:rsidRPr="00165D70" w:rsidP="00165D70" w14:paraId="61C639F8" w14:textId="77777777">
      <w:pPr>
        <w:rPr>
          <w:highlight w:val="yellow"/>
        </w:rPr>
      </w:pPr>
    </w:p>
    <w:p w:rsidR="00165D70" w:rsidRPr="00BF188A" w:rsidP="00BF188A" w14:paraId="0CAADAF4" w14:textId="77777777">
      <w:pPr>
        <w:spacing w:after="0"/>
      </w:pPr>
      <w:r w:rsidRPr="00BF188A">
        <w:t xml:space="preserve">Jared Coopersmith </w:t>
      </w:r>
    </w:p>
    <w:p w:rsidR="00165D70" w:rsidRPr="00BF188A" w:rsidP="00BF188A" w14:paraId="119E7FC9" w14:textId="77777777">
      <w:pPr>
        <w:spacing w:after="0"/>
      </w:pPr>
      <w:r w:rsidRPr="00BF188A">
        <w:t>Vice President, Chief Statistician Knowledge Panel</w:t>
      </w:r>
    </w:p>
    <w:p w:rsidR="00165D70" w:rsidRPr="00BF188A" w:rsidP="00BF188A" w14:paraId="0898FDE4" w14:textId="77777777">
      <w:pPr>
        <w:spacing w:after="0"/>
      </w:pPr>
      <w:hyperlink r:id="rId7" w:history="1">
        <w:r w:rsidRPr="00BF188A">
          <w:rPr>
            <w:rStyle w:val="Hyperlink"/>
          </w:rPr>
          <w:t>Jared.Coopersmith@ipsos.com</w:t>
        </w:r>
      </w:hyperlink>
    </w:p>
    <w:p w:rsidR="00AB2598" w:rsidRPr="00BF188A" w:rsidP="00BF188A" w14:paraId="54A30269" w14:textId="77777777">
      <w:pPr>
        <w:spacing w:after="0"/>
      </w:pPr>
    </w:p>
    <w:p w:rsidR="00AB2598" w:rsidRPr="00BF188A" w:rsidP="00BF188A" w14:paraId="6677FDE6" w14:textId="142E709D">
      <w:pPr>
        <w:spacing w:after="0"/>
      </w:pPr>
      <w:r w:rsidRPr="00BF188A">
        <w:t>Elisa Chan</w:t>
      </w:r>
    </w:p>
    <w:p w:rsidR="00AB2598" w:rsidRPr="00BF188A" w:rsidP="00BF188A" w14:paraId="2454610F" w14:textId="77777777">
      <w:pPr>
        <w:spacing w:after="0"/>
      </w:pPr>
      <w:r w:rsidRPr="00BF188A">
        <w:t>Vice President</w:t>
      </w:r>
    </w:p>
    <w:p w:rsidR="00AB2598" w:rsidRPr="00BF188A" w:rsidP="00BF188A" w14:paraId="541C43A1" w14:textId="77777777">
      <w:pPr>
        <w:spacing w:after="0"/>
      </w:pPr>
      <w:hyperlink r:id="rId8" w:history="1">
        <w:r w:rsidRPr="00BF188A">
          <w:rPr>
            <w:rStyle w:val="Hyperlink"/>
          </w:rPr>
          <w:t>Elisa.Chan@ipsos.com</w:t>
        </w:r>
      </w:hyperlink>
    </w:p>
    <w:p w:rsidR="00EF23F7" w:rsidRPr="00BD3001" w:rsidP="00BF188A" w14:paraId="798D0BBF" w14:textId="2C1B86D7">
      <w:pPr>
        <w:spacing w:after="0"/>
        <w:rPr>
          <w:highlight w:val="yellow"/>
        </w:rPr>
      </w:pPr>
    </w:p>
    <w:p w:rsidR="00EF23F7" w:rsidRPr="00BD3001" w:rsidP="00BF188A" w14:paraId="1F1AF608" w14:textId="776BD21B">
      <w:pPr>
        <w:spacing w:after="0"/>
      </w:pPr>
      <w:r>
        <w:t xml:space="preserve">Christopher Moessner </w:t>
      </w:r>
    </w:p>
    <w:p w:rsidR="00EF23F7" w:rsidRPr="00BD3001" w:rsidP="00BF188A" w14:paraId="71C4B114" w14:textId="1991859F">
      <w:pPr>
        <w:spacing w:after="0"/>
      </w:pPr>
      <w:r>
        <w:t>Senior Vice</w:t>
      </w:r>
      <w:r w:rsidR="1FC55897">
        <w:t xml:space="preserve"> President</w:t>
      </w:r>
    </w:p>
    <w:p w:rsidR="00EF23F7" w:rsidRPr="00BD3001" w:rsidP="00BF188A" w14:paraId="617973B2" w14:textId="3DF45A17">
      <w:pPr>
        <w:spacing w:after="0"/>
      </w:pPr>
      <w:hyperlink r:id="rId9">
        <w:r w:rsidRPr="7D53D72A">
          <w:rPr>
            <w:rStyle w:val="Hyperlink"/>
          </w:rPr>
          <w:t>Christopher.moessner@ipsos.com</w:t>
        </w:r>
      </w:hyperlink>
      <w:r>
        <w:t>)</w:t>
      </w:r>
    </w:p>
    <w:p w:rsidR="00EF23F7" w:rsidRPr="00BD3001" w:rsidP="00BF188A" w14:paraId="48730D4D" w14:textId="036FD404">
      <w:pPr>
        <w:spacing w:after="0"/>
      </w:pPr>
    </w:p>
    <w:p w:rsidR="00EF23F7" w:rsidRPr="00BD3001" w:rsidP="00BF188A" w14:paraId="78FDE40E" w14:textId="49FFC439">
      <w:pPr>
        <w:spacing w:after="0"/>
      </w:pPr>
      <w:r>
        <w:t xml:space="preserve">Kimberly Lewandowski </w:t>
      </w:r>
    </w:p>
    <w:p w:rsidR="00EF23F7" w:rsidRPr="00BD3001" w:rsidP="00BF188A" w14:paraId="41582B68" w14:textId="7EBFE20D">
      <w:pPr>
        <w:spacing w:after="0"/>
      </w:pPr>
      <w:r>
        <w:t>Research Director</w:t>
      </w:r>
    </w:p>
    <w:p w:rsidR="00EF23F7" w:rsidRPr="00BD3001" w:rsidP="00BF188A" w14:paraId="5684DC99" w14:textId="18CF3266">
      <w:pPr>
        <w:spacing w:after="0"/>
      </w:pPr>
      <w:hyperlink r:id="rId10">
        <w:r w:rsidRPr="7D53D72A">
          <w:rPr>
            <w:rStyle w:val="Hyperlink"/>
          </w:rPr>
          <w:t>kimberly.lewandowski@ipsos.com</w:t>
        </w:r>
      </w:hyperlink>
    </w:p>
    <w:p w:rsidR="00EF23F7" w:rsidRPr="00BD3001" w:rsidP="00BF188A" w14:paraId="6B222738" w14:textId="1AF9FEF8">
      <w:pPr>
        <w:spacing w:after="0"/>
      </w:pPr>
    </w:p>
    <w:p w:rsidR="00EF23F7" w:rsidRPr="00BD3001" w:rsidP="00BF188A" w14:paraId="2A0774CE" w14:textId="016A1C3F">
      <w:pPr>
        <w:spacing w:after="0"/>
      </w:pPr>
      <w:r>
        <w:t>Randall K. Thomas</w:t>
      </w:r>
    </w:p>
    <w:p w:rsidR="00EF23F7" w:rsidRPr="00BD3001" w:rsidP="00BF188A" w14:paraId="10B3C1EC" w14:textId="224FFCE4">
      <w:pPr>
        <w:spacing w:after="0"/>
      </w:pPr>
      <w:r>
        <w:t xml:space="preserve">Chief </w:t>
      </w:r>
      <w:r w:rsidR="5FB266CF">
        <w:t>M</w:t>
      </w:r>
      <w:r>
        <w:t>ethodologist</w:t>
      </w:r>
    </w:p>
    <w:p w:rsidR="7D53D72A" w:rsidP="00BF188A" w14:paraId="4E26CDD7" w14:textId="0FF98BD6">
      <w:pPr>
        <w:spacing w:after="0"/>
      </w:pPr>
      <w:hyperlink r:id="rId11">
        <w:r w:rsidRPr="7D53D72A">
          <w:rPr>
            <w:rStyle w:val="Hyperlink"/>
          </w:rPr>
          <w:t>Randall.thomas@ipsos.com</w:t>
        </w:r>
      </w:hyperlink>
    </w:p>
    <w:sectPr>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3EF" w14:paraId="2EEABC87" w14:textId="3A67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3EF" w14:paraId="463ED008" w14:textId="008CF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3EF" w14:paraId="0035ECED" w14:textId="76DC67F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29F" w14:paraId="558D3B31" w14:textId="1F841D13">
    <w:pPr>
      <w:pStyle w:val="Head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1771650" cy="390525"/>
              <wp:effectExtent l="0" t="0" r="0" b="9525"/>
              <wp:wrapNone/>
              <wp:docPr id="68871441" name="Text Box 2" descr="NONPUBLIC//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90525"/>
                      </a:xfrm>
                      <a:prstGeom prst="rect">
                        <a:avLst/>
                      </a:prstGeom>
                      <a:noFill/>
                      <a:ln>
                        <a:noFill/>
                      </a:ln>
                    </wps:spPr>
                    <wps:txbx>
                      <w:txbxContent>
                        <w:p w:rsidR="0014429F" w:rsidRPr="0014429F" w:rsidP="0014429F" w14:textId="2DBECC81">
                          <w:pPr>
                            <w:spacing w:after="0"/>
                            <w:rPr>
                              <w:rFonts w:ascii="Calibri" w:eastAsia="Calibri" w:hAnsi="Calibri" w:cs="Calibri"/>
                              <w:noProof/>
                              <w:color w:val="000000"/>
                              <w:sz w:val="24"/>
                              <w:szCs w:val="24"/>
                            </w:rPr>
                          </w:pPr>
                          <w:r w:rsidRPr="0014429F">
                            <w:rPr>
                              <w:rFonts w:ascii="Calibri" w:eastAsia="Calibri" w:hAnsi="Calibri" w:cs="Calibri"/>
                              <w:noProof/>
                              <w:color w:val="000000"/>
                              <w:sz w:val="24"/>
                              <w:szCs w:val="24"/>
                            </w:rPr>
                            <w:t>NONPUBLIC//FDIC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BUSINESS" style="width:139.5pt;height:30.7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14429F" w:rsidRPr="0014429F" w:rsidP="0014429F" w14:paraId="2CFE2ADB" w14:textId="2DBECC81">
                    <w:pPr>
                      <w:spacing w:after="0"/>
                      <w:rPr>
                        <w:rFonts w:ascii="Calibri" w:eastAsia="Calibri" w:hAnsi="Calibri" w:cs="Calibri"/>
                        <w:noProof/>
                        <w:color w:val="000000"/>
                        <w:sz w:val="24"/>
                        <w:szCs w:val="24"/>
                      </w:rPr>
                    </w:pPr>
                    <w:r w:rsidRPr="0014429F">
                      <w:rPr>
                        <w:rFonts w:ascii="Calibri" w:eastAsia="Calibri" w:hAnsi="Calibri" w:cs="Calibri"/>
                        <w:noProof/>
                        <w:color w:val="000000"/>
                        <w:sz w:val="24"/>
                        <w:szCs w:val="24"/>
                      </w:rPr>
                      <w:t>NONPUBLIC//FDIC BUSINESS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29F" w14:paraId="662525E5" w14:textId="2F940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29F" w14:paraId="716202A1" w14:textId="3912EDCA">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1771650" cy="390525"/>
              <wp:effectExtent l="0" t="0" r="0" b="9525"/>
              <wp:wrapNone/>
              <wp:docPr id="1851203440" name="Text Box 1" descr="NONPUBLIC//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90525"/>
                      </a:xfrm>
                      <a:prstGeom prst="rect">
                        <a:avLst/>
                      </a:prstGeom>
                      <a:noFill/>
                      <a:ln>
                        <a:noFill/>
                      </a:ln>
                    </wps:spPr>
                    <wps:txbx>
                      <w:txbxContent>
                        <w:p w:rsidR="0014429F" w:rsidRPr="0014429F" w:rsidP="0014429F" w14:textId="6735963E">
                          <w:pPr>
                            <w:spacing w:after="0"/>
                            <w:rPr>
                              <w:rFonts w:ascii="Calibri" w:eastAsia="Calibri" w:hAnsi="Calibri" w:cs="Calibri"/>
                              <w:noProof/>
                              <w:color w:val="000000"/>
                              <w:sz w:val="24"/>
                              <w:szCs w:val="24"/>
                            </w:rPr>
                          </w:pPr>
                          <w:r w:rsidRPr="0014429F">
                            <w:rPr>
                              <w:rFonts w:ascii="Calibri" w:eastAsia="Calibri" w:hAnsi="Calibri" w:cs="Calibri"/>
                              <w:noProof/>
                              <w:color w:val="000000"/>
                              <w:sz w:val="24"/>
                              <w:szCs w:val="24"/>
                            </w:rPr>
                            <w:t>NONPUBLIC//FDIC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NONPUBLIC//FDIC BUSINESS" style="width:139.5pt;height:30.7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14429F" w:rsidRPr="0014429F" w:rsidP="0014429F" w14:paraId="65B8377D" w14:textId="6735963E">
                    <w:pPr>
                      <w:spacing w:after="0"/>
                      <w:rPr>
                        <w:rFonts w:ascii="Calibri" w:eastAsia="Calibri" w:hAnsi="Calibri" w:cs="Calibri"/>
                        <w:noProof/>
                        <w:color w:val="000000"/>
                        <w:sz w:val="24"/>
                        <w:szCs w:val="24"/>
                      </w:rPr>
                    </w:pPr>
                    <w:r w:rsidRPr="0014429F">
                      <w:rPr>
                        <w:rFonts w:ascii="Calibri" w:eastAsia="Calibri" w:hAnsi="Calibri" w:cs="Calibri"/>
                        <w:noProof/>
                        <w:color w:val="000000"/>
                        <w:sz w:val="24"/>
                        <w:szCs w:val="24"/>
                      </w:rPr>
                      <w:t>NONPUBLIC//FDIC BUSINESS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068E0"/>
    <w:multiLevelType w:val="hybridMultilevel"/>
    <w:tmpl w:val="413CF4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E836FAE"/>
    <w:multiLevelType w:val="hybridMultilevel"/>
    <w:tmpl w:val="826CFA5A"/>
    <w:lvl w:ilvl="0">
      <w:start w:val="0"/>
      <w:numFmt w:val="bullet"/>
      <w:lvlText w:val="•"/>
      <w:lvlJc w:val="left"/>
      <w:pPr>
        <w:ind w:left="360" w:hanging="360"/>
      </w:pPr>
      <w:rPr>
        <w:rFonts w:ascii="Arial" w:eastAsia="Arial" w:hAnsi="Arial" w:cs="Aria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D115BE"/>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4776F3"/>
    <w:multiLevelType w:val="hybridMultilevel"/>
    <w:tmpl w:val="3872CF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F48326A"/>
    <w:multiLevelType w:val="hybridMultilevel"/>
    <w:tmpl w:val="704CB0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6FD70FE"/>
    <w:multiLevelType w:val="hybridMultilevel"/>
    <w:tmpl w:val="056E97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76047E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0F5A68"/>
    <w:multiLevelType w:val="hybridMultilevel"/>
    <w:tmpl w:val="34645F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1D271CB"/>
    <w:multiLevelType w:val="hybridMultilevel"/>
    <w:tmpl w:val="9BCECD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43642EA"/>
    <w:multiLevelType w:val="hybridMultilevel"/>
    <w:tmpl w:val="8432FE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35F24DB4"/>
    <w:multiLevelType w:val="hybridMultilevel"/>
    <w:tmpl w:val="8DBA86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373107D4"/>
    <w:multiLevelType w:val="hybridMultilevel"/>
    <w:tmpl w:val="EAA2EA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D9D721B"/>
    <w:multiLevelType w:val="hybridMultilevel"/>
    <w:tmpl w:val="AF18BF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E1D1F59"/>
    <w:multiLevelType w:val="hybridMultilevel"/>
    <w:tmpl w:val="8DDCB0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3FFB3F51"/>
    <w:multiLevelType w:val="hybridMultilevel"/>
    <w:tmpl w:val="96B2974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429D468A"/>
    <w:multiLevelType w:val="hybridMultilevel"/>
    <w:tmpl w:val="AF943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5F6EB9"/>
    <w:multiLevelType w:val="hybridMultilevel"/>
    <w:tmpl w:val="0E8EBD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0162B9E"/>
    <w:multiLevelType w:val="hybridMultilevel"/>
    <w:tmpl w:val="21F4EF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6F0D1476"/>
    <w:multiLevelType w:val="multilevel"/>
    <w:tmpl w:val="DE4E1630"/>
    <w:lvl w:ilvl="0">
      <w:start w:val="1"/>
      <w:numFmt w:val="decimal"/>
      <w:lvlText w:val="%1."/>
      <w:lvlJc w:val="left"/>
      <w:pPr>
        <w:ind w:left="360" w:hanging="360"/>
      </w:pPr>
      <w:rPr>
        <w:rFonts w:ascii="Times New Roman Bold" w:hAnsi="Times New Roman Bold" w:hint="default"/>
        <w:b/>
        <w:i w:val="0"/>
        <w:caps w:val="0"/>
        <w:strike w:val="0"/>
        <w:dstrike w:val="0"/>
        <w:vanish w:val="0"/>
        <w:sz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3025025">
    <w:abstractNumId w:val="18"/>
  </w:num>
  <w:num w:numId="2" w16cid:durableId="535001982">
    <w:abstractNumId w:val="1"/>
  </w:num>
  <w:num w:numId="3" w16cid:durableId="584072032">
    <w:abstractNumId w:val="6"/>
  </w:num>
  <w:num w:numId="4" w16cid:durableId="400257852">
    <w:abstractNumId w:val="2"/>
  </w:num>
  <w:num w:numId="5" w16cid:durableId="53091964">
    <w:abstractNumId w:val="15"/>
  </w:num>
  <w:num w:numId="6" w16cid:durableId="1504467821">
    <w:abstractNumId w:val="12"/>
  </w:num>
  <w:num w:numId="7" w16cid:durableId="1079402110">
    <w:abstractNumId w:val="5"/>
  </w:num>
  <w:num w:numId="8" w16cid:durableId="453325964">
    <w:abstractNumId w:val="3"/>
  </w:num>
  <w:num w:numId="9" w16cid:durableId="1599220421">
    <w:abstractNumId w:val="7"/>
  </w:num>
  <w:num w:numId="10" w16cid:durableId="1769151531">
    <w:abstractNumId w:val="16"/>
  </w:num>
  <w:num w:numId="11" w16cid:durableId="1760101153">
    <w:abstractNumId w:val="17"/>
  </w:num>
  <w:num w:numId="12" w16cid:durableId="1454520143">
    <w:abstractNumId w:val="13"/>
  </w:num>
  <w:num w:numId="13" w16cid:durableId="794908815">
    <w:abstractNumId w:val="0"/>
  </w:num>
  <w:num w:numId="14" w16cid:durableId="947809335">
    <w:abstractNumId w:val="9"/>
  </w:num>
  <w:num w:numId="15" w16cid:durableId="1977947688">
    <w:abstractNumId w:val="11"/>
  </w:num>
  <w:num w:numId="16" w16cid:durableId="1938292937">
    <w:abstractNumId w:val="10"/>
  </w:num>
  <w:num w:numId="17" w16cid:durableId="772483305">
    <w:abstractNumId w:val="4"/>
  </w:num>
  <w:num w:numId="18" w16cid:durableId="1956252257">
    <w:abstractNumId w:val="14"/>
  </w:num>
  <w:num w:numId="19" w16cid:durableId="1644457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D8"/>
    <w:rsid w:val="00003964"/>
    <w:rsid w:val="00016F44"/>
    <w:rsid w:val="000179BF"/>
    <w:rsid w:val="00023492"/>
    <w:rsid w:val="000353D4"/>
    <w:rsid w:val="00067C7B"/>
    <w:rsid w:val="0007539B"/>
    <w:rsid w:val="000760FB"/>
    <w:rsid w:val="00091702"/>
    <w:rsid w:val="000941E1"/>
    <w:rsid w:val="000A1BB5"/>
    <w:rsid w:val="000A2A6F"/>
    <w:rsid w:val="000C5D9C"/>
    <w:rsid w:val="000D7394"/>
    <w:rsid w:val="000D79D6"/>
    <w:rsid w:val="000E26DE"/>
    <w:rsid w:val="000F626B"/>
    <w:rsid w:val="00106410"/>
    <w:rsid w:val="0012240E"/>
    <w:rsid w:val="00122D3C"/>
    <w:rsid w:val="00134581"/>
    <w:rsid w:val="0014429F"/>
    <w:rsid w:val="0015446F"/>
    <w:rsid w:val="00155DA6"/>
    <w:rsid w:val="00165D70"/>
    <w:rsid w:val="001764AE"/>
    <w:rsid w:val="00177FCC"/>
    <w:rsid w:val="0018166B"/>
    <w:rsid w:val="001913C4"/>
    <w:rsid w:val="001A3C79"/>
    <w:rsid w:val="001C3CB3"/>
    <w:rsid w:val="001C6FA5"/>
    <w:rsid w:val="001D6317"/>
    <w:rsid w:val="001E6B0A"/>
    <w:rsid w:val="0023137B"/>
    <w:rsid w:val="0026628F"/>
    <w:rsid w:val="002722FC"/>
    <w:rsid w:val="002A0106"/>
    <w:rsid w:val="002C3CF6"/>
    <w:rsid w:val="002C6CC0"/>
    <w:rsid w:val="002F6176"/>
    <w:rsid w:val="00315FEC"/>
    <w:rsid w:val="00317057"/>
    <w:rsid w:val="00345F0F"/>
    <w:rsid w:val="003506FC"/>
    <w:rsid w:val="00352143"/>
    <w:rsid w:val="0035401A"/>
    <w:rsid w:val="00363726"/>
    <w:rsid w:val="00365212"/>
    <w:rsid w:val="003678F7"/>
    <w:rsid w:val="00391A54"/>
    <w:rsid w:val="00396467"/>
    <w:rsid w:val="003D429E"/>
    <w:rsid w:val="00421D09"/>
    <w:rsid w:val="00426DCD"/>
    <w:rsid w:val="00443C7F"/>
    <w:rsid w:val="0044401E"/>
    <w:rsid w:val="0044587E"/>
    <w:rsid w:val="004569C6"/>
    <w:rsid w:val="0047320D"/>
    <w:rsid w:val="00490E33"/>
    <w:rsid w:val="004A0B80"/>
    <w:rsid w:val="004D35B8"/>
    <w:rsid w:val="004E4F60"/>
    <w:rsid w:val="004E75C8"/>
    <w:rsid w:val="004F4DAF"/>
    <w:rsid w:val="0050155E"/>
    <w:rsid w:val="005A1777"/>
    <w:rsid w:val="005A470F"/>
    <w:rsid w:val="005B5C15"/>
    <w:rsid w:val="005C7F06"/>
    <w:rsid w:val="005F1F60"/>
    <w:rsid w:val="005F3107"/>
    <w:rsid w:val="005F432B"/>
    <w:rsid w:val="00624E78"/>
    <w:rsid w:val="00633321"/>
    <w:rsid w:val="0065535C"/>
    <w:rsid w:val="006647C6"/>
    <w:rsid w:val="00693678"/>
    <w:rsid w:val="00696FB3"/>
    <w:rsid w:val="006C0C72"/>
    <w:rsid w:val="006D53EE"/>
    <w:rsid w:val="006E2537"/>
    <w:rsid w:val="006E6CD5"/>
    <w:rsid w:val="006F1E6C"/>
    <w:rsid w:val="006F463A"/>
    <w:rsid w:val="007233EF"/>
    <w:rsid w:val="00723FE8"/>
    <w:rsid w:val="00734821"/>
    <w:rsid w:val="00743E13"/>
    <w:rsid w:val="0075560D"/>
    <w:rsid w:val="007566B3"/>
    <w:rsid w:val="00764821"/>
    <w:rsid w:val="007A7820"/>
    <w:rsid w:val="007A7DD3"/>
    <w:rsid w:val="007B1D1A"/>
    <w:rsid w:val="007D577E"/>
    <w:rsid w:val="007F62C9"/>
    <w:rsid w:val="008031C0"/>
    <w:rsid w:val="0080765D"/>
    <w:rsid w:val="00817A03"/>
    <w:rsid w:val="00844B2E"/>
    <w:rsid w:val="00846CD2"/>
    <w:rsid w:val="00853632"/>
    <w:rsid w:val="00853759"/>
    <w:rsid w:val="008A5C10"/>
    <w:rsid w:val="008B38A9"/>
    <w:rsid w:val="008C7D07"/>
    <w:rsid w:val="008F2718"/>
    <w:rsid w:val="008F57F4"/>
    <w:rsid w:val="0093313E"/>
    <w:rsid w:val="009363E5"/>
    <w:rsid w:val="00966E2C"/>
    <w:rsid w:val="0098315B"/>
    <w:rsid w:val="009B6657"/>
    <w:rsid w:val="009C06D7"/>
    <w:rsid w:val="009D0F35"/>
    <w:rsid w:val="009D2E7B"/>
    <w:rsid w:val="009D7695"/>
    <w:rsid w:val="009E7976"/>
    <w:rsid w:val="00A402D4"/>
    <w:rsid w:val="00A51C6B"/>
    <w:rsid w:val="00A635CF"/>
    <w:rsid w:val="00A86727"/>
    <w:rsid w:val="00A9201D"/>
    <w:rsid w:val="00AA7E4F"/>
    <w:rsid w:val="00AB2598"/>
    <w:rsid w:val="00AC151F"/>
    <w:rsid w:val="00AC6A3B"/>
    <w:rsid w:val="00AD2D4E"/>
    <w:rsid w:val="00AD5045"/>
    <w:rsid w:val="00B006C3"/>
    <w:rsid w:val="00B1096A"/>
    <w:rsid w:val="00B164AD"/>
    <w:rsid w:val="00B566EF"/>
    <w:rsid w:val="00B63FF9"/>
    <w:rsid w:val="00B642A3"/>
    <w:rsid w:val="00B67608"/>
    <w:rsid w:val="00B77E1E"/>
    <w:rsid w:val="00B94CB2"/>
    <w:rsid w:val="00BB78B2"/>
    <w:rsid w:val="00BC39B4"/>
    <w:rsid w:val="00BD3001"/>
    <w:rsid w:val="00BD67EC"/>
    <w:rsid w:val="00BD712D"/>
    <w:rsid w:val="00BD72DD"/>
    <w:rsid w:val="00BE40F7"/>
    <w:rsid w:val="00BE5A90"/>
    <w:rsid w:val="00BE74A3"/>
    <w:rsid w:val="00BF188A"/>
    <w:rsid w:val="00BF22FD"/>
    <w:rsid w:val="00C0413D"/>
    <w:rsid w:val="00C06FB4"/>
    <w:rsid w:val="00C26496"/>
    <w:rsid w:val="00C35486"/>
    <w:rsid w:val="00C40739"/>
    <w:rsid w:val="00C415AD"/>
    <w:rsid w:val="00C51987"/>
    <w:rsid w:val="00C661F3"/>
    <w:rsid w:val="00C71FE8"/>
    <w:rsid w:val="00C867E6"/>
    <w:rsid w:val="00CA367D"/>
    <w:rsid w:val="00CA4816"/>
    <w:rsid w:val="00CA658F"/>
    <w:rsid w:val="00CB6D22"/>
    <w:rsid w:val="00CC5AF1"/>
    <w:rsid w:val="00CE107D"/>
    <w:rsid w:val="00CE7CF9"/>
    <w:rsid w:val="00CF0C87"/>
    <w:rsid w:val="00D069F5"/>
    <w:rsid w:val="00D10B21"/>
    <w:rsid w:val="00D2349A"/>
    <w:rsid w:val="00D85B11"/>
    <w:rsid w:val="00D8645F"/>
    <w:rsid w:val="00D9746C"/>
    <w:rsid w:val="00DA0CE9"/>
    <w:rsid w:val="00DA664B"/>
    <w:rsid w:val="00DA6E71"/>
    <w:rsid w:val="00DB3092"/>
    <w:rsid w:val="00DB6C92"/>
    <w:rsid w:val="00DC335D"/>
    <w:rsid w:val="00DC4FCA"/>
    <w:rsid w:val="00DC74CA"/>
    <w:rsid w:val="00DD407F"/>
    <w:rsid w:val="00DE6F5A"/>
    <w:rsid w:val="00DE7691"/>
    <w:rsid w:val="00E008B2"/>
    <w:rsid w:val="00E01F02"/>
    <w:rsid w:val="00E05C53"/>
    <w:rsid w:val="00E601CC"/>
    <w:rsid w:val="00E6317C"/>
    <w:rsid w:val="00E76359"/>
    <w:rsid w:val="00E81F06"/>
    <w:rsid w:val="00E91F39"/>
    <w:rsid w:val="00E95EE8"/>
    <w:rsid w:val="00E9647C"/>
    <w:rsid w:val="00E9694B"/>
    <w:rsid w:val="00EB32F2"/>
    <w:rsid w:val="00EB6B4C"/>
    <w:rsid w:val="00EC3B8D"/>
    <w:rsid w:val="00ED5D83"/>
    <w:rsid w:val="00EF23F7"/>
    <w:rsid w:val="00F03347"/>
    <w:rsid w:val="00F12196"/>
    <w:rsid w:val="00F148D6"/>
    <w:rsid w:val="00F216E0"/>
    <w:rsid w:val="00F21B5B"/>
    <w:rsid w:val="00F22E51"/>
    <w:rsid w:val="00F3179F"/>
    <w:rsid w:val="00F32A0C"/>
    <w:rsid w:val="00F4112E"/>
    <w:rsid w:val="00F47B27"/>
    <w:rsid w:val="00F52553"/>
    <w:rsid w:val="00F7312B"/>
    <w:rsid w:val="00F75C80"/>
    <w:rsid w:val="00F83AD8"/>
    <w:rsid w:val="00FA5FD3"/>
    <w:rsid w:val="00FB2683"/>
    <w:rsid w:val="00FB66A6"/>
    <w:rsid w:val="00FC1070"/>
    <w:rsid w:val="00FD2391"/>
    <w:rsid w:val="00FD2BF0"/>
    <w:rsid w:val="00FE0470"/>
    <w:rsid w:val="00FF20E4"/>
    <w:rsid w:val="017E7306"/>
    <w:rsid w:val="0183E99C"/>
    <w:rsid w:val="024CFF06"/>
    <w:rsid w:val="0321EB1A"/>
    <w:rsid w:val="03D6A445"/>
    <w:rsid w:val="03D79FBC"/>
    <w:rsid w:val="0445BB3B"/>
    <w:rsid w:val="046F9E3D"/>
    <w:rsid w:val="04A44A82"/>
    <w:rsid w:val="05BA62FF"/>
    <w:rsid w:val="0616BC93"/>
    <w:rsid w:val="06E980F8"/>
    <w:rsid w:val="0728CF29"/>
    <w:rsid w:val="074CDFB9"/>
    <w:rsid w:val="07B0BB93"/>
    <w:rsid w:val="07E23BA3"/>
    <w:rsid w:val="08035F31"/>
    <w:rsid w:val="0914B1F2"/>
    <w:rsid w:val="0998723E"/>
    <w:rsid w:val="0B598828"/>
    <w:rsid w:val="0C6DE46D"/>
    <w:rsid w:val="0CF373CE"/>
    <w:rsid w:val="0D2DEC79"/>
    <w:rsid w:val="0DA20BBD"/>
    <w:rsid w:val="0E6F930B"/>
    <w:rsid w:val="0EC36690"/>
    <w:rsid w:val="0EDEC870"/>
    <w:rsid w:val="0F112A50"/>
    <w:rsid w:val="0F658B1E"/>
    <w:rsid w:val="0FB1EC9B"/>
    <w:rsid w:val="0FFE2268"/>
    <w:rsid w:val="10C7D7B7"/>
    <w:rsid w:val="11C46341"/>
    <w:rsid w:val="12C1DE61"/>
    <w:rsid w:val="13F104D1"/>
    <w:rsid w:val="147E23DB"/>
    <w:rsid w:val="155691DE"/>
    <w:rsid w:val="1590921F"/>
    <w:rsid w:val="15A060AC"/>
    <w:rsid w:val="15FA88F2"/>
    <w:rsid w:val="164B6A74"/>
    <w:rsid w:val="170E88A0"/>
    <w:rsid w:val="17A1D92B"/>
    <w:rsid w:val="19652385"/>
    <w:rsid w:val="198AB864"/>
    <w:rsid w:val="19A8FD1C"/>
    <w:rsid w:val="1AE2B418"/>
    <w:rsid w:val="1AEDFA1D"/>
    <w:rsid w:val="1B256014"/>
    <w:rsid w:val="1B287A9E"/>
    <w:rsid w:val="1B28CDD7"/>
    <w:rsid w:val="1B43901D"/>
    <w:rsid w:val="1B88E285"/>
    <w:rsid w:val="1B93C26D"/>
    <w:rsid w:val="1C5B5A3D"/>
    <w:rsid w:val="1C628E6A"/>
    <w:rsid w:val="1C7BBDD5"/>
    <w:rsid w:val="1C7E08F6"/>
    <w:rsid w:val="1CF9C38A"/>
    <w:rsid w:val="1D04AE4B"/>
    <w:rsid w:val="1DDFACE3"/>
    <w:rsid w:val="1EBD76E5"/>
    <w:rsid w:val="1EED0C15"/>
    <w:rsid w:val="1F035D0C"/>
    <w:rsid w:val="1F32F1B8"/>
    <w:rsid w:val="1F43E6CF"/>
    <w:rsid w:val="1F5DAEF7"/>
    <w:rsid w:val="1F6F49E7"/>
    <w:rsid w:val="1FC55897"/>
    <w:rsid w:val="200611A1"/>
    <w:rsid w:val="2093B7E0"/>
    <w:rsid w:val="2193D244"/>
    <w:rsid w:val="2197CF68"/>
    <w:rsid w:val="2296E156"/>
    <w:rsid w:val="233F6FD9"/>
    <w:rsid w:val="23455D7A"/>
    <w:rsid w:val="2381020C"/>
    <w:rsid w:val="24BF8C4A"/>
    <w:rsid w:val="25134EC5"/>
    <w:rsid w:val="26334728"/>
    <w:rsid w:val="268551AA"/>
    <w:rsid w:val="27389B74"/>
    <w:rsid w:val="281F36FB"/>
    <w:rsid w:val="28F3E671"/>
    <w:rsid w:val="290D18C3"/>
    <w:rsid w:val="290ECEF8"/>
    <w:rsid w:val="2A125722"/>
    <w:rsid w:val="2A3CD62A"/>
    <w:rsid w:val="2AFF34D5"/>
    <w:rsid w:val="2B6676AB"/>
    <w:rsid w:val="2BDFC9BA"/>
    <w:rsid w:val="2C2B7522"/>
    <w:rsid w:val="2C3C0937"/>
    <w:rsid w:val="2DD12178"/>
    <w:rsid w:val="2E124B42"/>
    <w:rsid w:val="2E6558F3"/>
    <w:rsid w:val="2EA7C0B6"/>
    <w:rsid w:val="2F770E4A"/>
    <w:rsid w:val="30130013"/>
    <w:rsid w:val="30BF12BE"/>
    <w:rsid w:val="31947A50"/>
    <w:rsid w:val="31BEDEB0"/>
    <w:rsid w:val="3267604B"/>
    <w:rsid w:val="32AEBF02"/>
    <w:rsid w:val="3325F99F"/>
    <w:rsid w:val="33457CA5"/>
    <w:rsid w:val="338CC373"/>
    <w:rsid w:val="33AD7865"/>
    <w:rsid w:val="354CF23F"/>
    <w:rsid w:val="36174D19"/>
    <w:rsid w:val="36825790"/>
    <w:rsid w:val="37270606"/>
    <w:rsid w:val="37962949"/>
    <w:rsid w:val="37973408"/>
    <w:rsid w:val="38501742"/>
    <w:rsid w:val="38CB46CC"/>
    <w:rsid w:val="38D7C40E"/>
    <w:rsid w:val="39872571"/>
    <w:rsid w:val="39DBD481"/>
    <w:rsid w:val="3A214852"/>
    <w:rsid w:val="3A357EEA"/>
    <w:rsid w:val="3AA5F9E3"/>
    <w:rsid w:val="3B09C5FF"/>
    <w:rsid w:val="3B1DC5CB"/>
    <w:rsid w:val="3B21F9AC"/>
    <w:rsid w:val="3B39F733"/>
    <w:rsid w:val="3BF79489"/>
    <w:rsid w:val="3C0B1537"/>
    <w:rsid w:val="3C0B3380"/>
    <w:rsid w:val="3C93C668"/>
    <w:rsid w:val="3CD9A786"/>
    <w:rsid w:val="3D1AD543"/>
    <w:rsid w:val="3D9BA246"/>
    <w:rsid w:val="3E13725D"/>
    <w:rsid w:val="3E754D24"/>
    <w:rsid w:val="3F40C041"/>
    <w:rsid w:val="3FE978F8"/>
    <w:rsid w:val="4125EF2F"/>
    <w:rsid w:val="42496F35"/>
    <w:rsid w:val="4285A870"/>
    <w:rsid w:val="42A378E1"/>
    <w:rsid w:val="43783C15"/>
    <w:rsid w:val="44255D56"/>
    <w:rsid w:val="46092CDD"/>
    <w:rsid w:val="46391460"/>
    <w:rsid w:val="46C91564"/>
    <w:rsid w:val="470DFA3F"/>
    <w:rsid w:val="472C3213"/>
    <w:rsid w:val="4819D686"/>
    <w:rsid w:val="4841AED1"/>
    <w:rsid w:val="48DAD45B"/>
    <w:rsid w:val="498221DE"/>
    <w:rsid w:val="49E78718"/>
    <w:rsid w:val="4AA10E97"/>
    <w:rsid w:val="4B171BDF"/>
    <w:rsid w:val="4B1BB11F"/>
    <w:rsid w:val="4B82BA9C"/>
    <w:rsid w:val="4BE7652A"/>
    <w:rsid w:val="4CEB2715"/>
    <w:rsid w:val="4D008C4C"/>
    <w:rsid w:val="4D278747"/>
    <w:rsid w:val="4EF354B7"/>
    <w:rsid w:val="4F7E5BD0"/>
    <w:rsid w:val="503E407B"/>
    <w:rsid w:val="50A91599"/>
    <w:rsid w:val="50D1047F"/>
    <w:rsid w:val="50ECF160"/>
    <w:rsid w:val="5110F1A1"/>
    <w:rsid w:val="51287CEB"/>
    <w:rsid w:val="518BB47B"/>
    <w:rsid w:val="519B8CC0"/>
    <w:rsid w:val="522F1FE4"/>
    <w:rsid w:val="5256AE6F"/>
    <w:rsid w:val="52DBE1DB"/>
    <w:rsid w:val="52E70539"/>
    <w:rsid w:val="543AD8C5"/>
    <w:rsid w:val="5505FAD5"/>
    <w:rsid w:val="56CD182C"/>
    <w:rsid w:val="574AD0E3"/>
    <w:rsid w:val="577B36FB"/>
    <w:rsid w:val="584B7323"/>
    <w:rsid w:val="58E48B52"/>
    <w:rsid w:val="594ABBA2"/>
    <w:rsid w:val="59B31CB6"/>
    <w:rsid w:val="5A1EC8D2"/>
    <w:rsid w:val="5A1EF5B7"/>
    <w:rsid w:val="5A4A0BAD"/>
    <w:rsid w:val="5A4C7C33"/>
    <w:rsid w:val="5B5C9F56"/>
    <w:rsid w:val="5C2FA431"/>
    <w:rsid w:val="5D02B13E"/>
    <w:rsid w:val="5D3133ED"/>
    <w:rsid w:val="5E040A08"/>
    <w:rsid w:val="5E08A486"/>
    <w:rsid w:val="5E9E5D23"/>
    <w:rsid w:val="5F0E5147"/>
    <w:rsid w:val="5FB266CF"/>
    <w:rsid w:val="60286485"/>
    <w:rsid w:val="60430044"/>
    <w:rsid w:val="60DE3032"/>
    <w:rsid w:val="618F81BD"/>
    <w:rsid w:val="61EFFEDB"/>
    <w:rsid w:val="6274F642"/>
    <w:rsid w:val="6390345C"/>
    <w:rsid w:val="63C7A60B"/>
    <w:rsid w:val="647F1585"/>
    <w:rsid w:val="6494A761"/>
    <w:rsid w:val="64AB7E78"/>
    <w:rsid w:val="65009E3D"/>
    <w:rsid w:val="6561C21C"/>
    <w:rsid w:val="657B380F"/>
    <w:rsid w:val="65B86611"/>
    <w:rsid w:val="68A9097C"/>
    <w:rsid w:val="68F3F17B"/>
    <w:rsid w:val="696F7504"/>
    <w:rsid w:val="698AD73D"/>
    <w:rsid w:val="69910FF0"/>
    <w:rsid w:val="6A977867"/>
    <w:rsid w:val="6ADB8A0B"/>
    <w:rsid w:val="6BA0836B"/>
    <w:rsid w:val="6C6FC27A"/>
    <w:rsid w:val="6CB9D5D4"/>
    <w:rsid w:val="6D07D0B8"/>
    <w:rsid w:val="6D1C6D89"/>
    <w:rsid w:val="6D2A14A2"/>
    <w:rsid w:val="6D3BEF0C"/>
    <w:rsid w:val="6DA9F8D4"/>
    <w:rsid w:val="6E43336D"/>
    <w:rsid w:val="6F66D7EB"/>
    <w:rsid w:val="6FE51F10"/>
    <w:rsid w:val="704AE0A1"/>
    <w:rsid w:val="7090B419"/>
    <w:rsid w:val="709712CE"/>
    <w:rsid w:val="7138BC91"/>
    <w:rsid w:val="7173A969"/>
    <w:rsid w:val="71AF6EC7"/>
    <w:rsid w:val="7223685C"/>
    <w:rsid w:val="7299AC86"/>
    <w:rsid w:val="729AB4DC"/>
    <w:rsid w:val="72C2BD53"/>
    <w:rsid w:val="7326AC46"/>
    <w:rsid w:val="7341C5A8"/>
    <w:rsid w:val="73AAF00A"/>
    <w:rsid w:val="73CDB546"/>
    <w:rsid w:val="74234283"/>
    <w:rsid w:val="74C769F3"/>
    <w:rsid w:val="74D4367C"/>
    <w:rsid w:val="7572DB28"/>
    <w:rsid w:val="762BCF7C"/>
    <w:rsid w:val="76DAB193"/>
    <w:rsid w:val="77FBCF5D"/>
    <w:rsid w:val="785385F2"/>
    <w:rsid w:val="786AAF2B"/>
    <w:rsid w:val="78BAB913"/>
    <w:rsid w:val="790E37C2"/>
    <w:rsid w:val="79982396"/>
    <w:rsid w:val="79E7D80C"/>
    <w:rsid w:val="7A451BDB"/>
    <w:rsid w:val="7A48B43D"/>
    <w:rsid w:val="7A5DD466"/>
    <w:rsid w:val="7A9FF180"/>
    <w:rsid w:val="7C0DF8D3"/>
    <w:rsid w:val="7C7805B6"/>
    <w:rsid w:val="7CEFCF38"/>
    <w:rsid w:val="7D4B022B"/>
    <w:rsid w:val="7D53D72A"/>
    <w:rsid w:val="7D636CE4"/>
    <w:rsid w:val="7D9FEADD"/>
    <w:rsid w:val="7DEDFD2C"/>
    <w:rsid w:val="7E924CB5"/>
    <w:rsid w:val="7F193B07"/>
    <w:rsid w:val="7F1E80D5"/>
    <w:rsid w:val="7FB8D659"/>
    <w:rsid w:val="7FCC0432"/>
    <w:rsid w:val="7FD3D4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81D0C6"/>
  <w15:chartTrackingRefBased/>
  <w15:docId w15:val="{8F67E984-EF6B-4E52-9353-80311BA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FCC"/>
  </w:style>
  <w:style w:type="paragraph" w:styleId="Heading1">
    <w:name w:val="heading 1"/>
    <w:basedOn w:val="Normal"/>
    <w:next w:val="Normal"/>
    <w:link w:val="Heading1Char"/>
    <w:uiPriority w:val="9"/>
    <w:qFormat/>
    <w:rsid w:val="00F83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AD8"/>
    <w:rPr>
      <w:rFonts w:eastAsiaTheme="majorEastAsia" w:cstheme="majorBidi"/>
      <w:color w:val="272727" w:themeColor="text1" w:themeTint="D8"/>
    </w:rPr>
  </w:style>
  <w:style w:type="paragraph" w:styleId="Title">
    <w:name w:val="Title"/>
    <w:basedOn w:val="Normal"/>
    <w:next w:val="Normal"/>
    <w:link w:val="TitleChar"/>
    <w:uiPriority w:val="10"/>
    <w:qFormat/>
    <w:rsid w:val="00F83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AD8"/>
    <w:pPr>
      <w:spacing w:before="160"/>
      <w:jc w:val="center"/>
    </w:pPr>
    <w:rPr>
      <w:i/>
      <w:iCs/>
      <w:color w:val="404040" w:themeColor="text1" w:themeTint="BF"/>
    </w:rPr>
  </w:style>
  <w:style w:type="character" w:customStyle="1" w:styleId="QuoteChar">
    <w:name w:val="Quote Char"/>
    <w:basedOn w:val="DefaultParagraphFont"/>
    <w:link w:val="Quote"/>
    <w:uiPriority w:val="29"/>
    <w:rsid w:val="00F83AD8"/>
    <w:rPr>
      <w:i/>
      <w:iCs/>
      <w:color w:val="404040" w:themeColor="text1" w:themeTint="BF"/>
    </w:rPr>
  </w:style>
  <w:style w:type="paragraph" w:styleId="ListParagraph">
    <w:name w:val="List Paragraph"/>
    <w:basedOn w:val="Normal"/>
    <w:uiPriority w:val="34"/>
    <w:qFormat/>
    <w:rsid w:val="00F83AD8"/>
    <w:pPr>
      <w:ind w:left="720"/>
      <w:contextualSpacing/>
    </w:pPr>
  </w:style>
  <w:style w:type="character" w:styleId="IntenseEmphasis">
    <w:name w:val="Intense Emphasis"/>
    <w:basedOn w:val="DefaultParagraphFont"/>
    <w:uiPriority w:val="21"/>
    <w:qFormat/>
    <w:rsid w:val="00F83AD8"/>
    <w:rPr>
      <w:i/>
      <w:iCs/>
      <w:color w:val="0F4761" w:themeColor="accent1" w:themeShade="BF"/>
    </w:rPr>
  </w:style>
  <w:style w:type="paragraph" w:styleId="IntenseQuote">
    <w:name w:val="Intense Quote"/>
    <w:basedOn w:val="Normal"/>
    <w:next w:val="Normal"/>
    <w:link w:val="IntenseQuoteChar"/>
    <w:uiPriority w:val="30"/>
    <w:qFormat/>
    <w:rsid w:val="00F83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AD8"/>
    <w:rPr>
      <w:i/>
      <w:iCs/>
      <w:color w:val="0F4761" w:themeColor="accent1" w:themeShade="BF"/>
    </w:rPr>
  </w:style>
  <w:style w:type="character" w:styleId="IntenseReference">
    <w:name w:val="Intense Reference"/>
    <w:basedOn w:val="DefaultParagraphFont"/>
    <w:uiPriority w:val="32"/>
    <w:qFormat/>
    <w:rsid w:val="00F83AD8"/>
    <w:rPr>
      <w:b/>
      <w:bCs/>
      <w:smallCaps/>
      <w:color w:val="0F4761" w:themeColor="accent1" w:themeShade="BF"/>
      <w:spacing w:val="5"/>
    </w:rPr>
  </w:style>
  <w:style w:type="table" w:styleId="TableGrid">
    <w:name w:val="Table Grid"/>
    <w:basedOn w:val="TableNormal"/>
    <w:uiPriority w:val="59"/>
    <w:rsid w:val="005F432B"/>
    <w:pPr>
      <w:spacing w:after="0" w:line="240" w:lineRule="auto"/>
    </w:pPr>
    <w:rPr>
      <w:rFonts w:ascii="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5F432B"/>
    <w:pPr>
      <w:tabs>
        <w:tab w:val="left" w:pos="1152"/>
      </w:tabs>
      <w:spacing w:after="0" w:line="360" w:lineRule="atLeast"/>
      <w:ind w:firstLine="1152"/>
    </w:pPr>
    <w:rPr>
      <w:rFonts w:ascii="Times New Roman" w:eastAsia="Times New Roman" w:hAnsi="Times New Roman" w:cs="Times New Roman"/>
      <w:color w:val="000000" w:themeColor="text1"/>
      <w:kern w:val="0"/>
      <w14:ligatures w14:val="none"/>
    </w:rPr>
  </w:style>
  <w:style w:type="character" w:customStyle="1" w:styleId="P1-StandParaChar">
    <w:name w:val="P1-Stand Para Char"/>
    <w:basedOn w:val="DefaultParagraphFont"/>
    <w:link w:val="P1-StandPara"/>
    <w:rsid w:val="005F432B"/>
    <w:rPr>
      <w:rFonts w:ascii="Times New Roman" w:eastAsia="Times New Roman" w:hAnsi="Times New Roman" w:cs="Times New Roman"/>
      <w:color w:val="000000" w:themeColor="text1"/>
      <w:kern w:val="0"/>
      <w14:ligatures w14:val="none"/>
    </w:rPr>
  </w:style>
  <w:style w:type="paragraph" w:customStyle="1" w:styleId="Default">
    <w:name w:val="Default"/>
    <w:rsid w:val="00F0334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3506FC"/>
    <w:rPr>
      <w:sz w:val="16"/>
      <w:szCs w:val="16"/>
    </w:rPr>
  </w:style>
  <w:style w:type="paragraph" w:styleId="CommentText">
    <w:name w:val="annotation text"/>
    <w:basedOn w:val="Normal"/>
    <w:link w:val="CommentTextChar"/>
    <w:uiPriority w:val="99"/>
    <w:unhideWhenUsed/>
    <w:rsid w:val="003506FC"/>
    <w:pPr>
      <w:spacing w:line="240" w:lineRule="auto"/>
    </w:pPr>
    <w:rPr>
      <w:sz w:val="20"/>
      <w:szCs w:val="20"/>
    </w:rPr>
  </w:style>
  <w:style w:type="character" w:customStyle="1" w:styleId="CommentTextChar">
    <w:name w:val="Comment Text Char"/>
    <w:basedOn w:val="DefaultParagraphFont"/>
    <w:link w:val="CommentText"/>
    <w:uiPriority w:val="99"/>
    <w:rsid w:val="003506FC"/>
    <w:rPr>
      <w:sz w:val="20"/>
      <w:szCs w:val="20"/>
    </w:rPr>
  </w:style>
  <w:style w:type="paragraph" w:styleId="CommentSubject">
    <w:name w:val="annotation subject"/>
    <w:basedOn w:val="CommentText"/>
    <w:next w:val="CommentText"/>
    <w:link w:val="CommentSubjectChar"/>
    <w:uiPriority w:val="99"/>
    <w:semiHidden/>
    <w:unhideWhenUsed/>
    <w:rsid w:val="003506FC"/>
    <w:rPr>
      <w:b/>
      <w:bCs/>
    </w:rPr>
  </w:style>
  <w:style w:type="character" w:customStyle="1" w:styleId="CommentSubjectChar">
    <w:name w:val="Comment Subject Char"/>
    <w:basedOn w:val="CommentTextChar"/>
    <w:link w:val="CommentSubject"/>
    <w:uiPriority w:val="99"/>
    <w:semiHidden/>
    <w:rsid w:val="003506FC"/>
    <w:rPr>
      <w:b/>
      <w:bCs/>
      <w:sz w:val="20"/>
      <w:szCs w:val="20"/>
    </w:rPr>
  </w:style>
  <w:style w:type="paragraph" w:styleId="NoSpacing">
    <w:name w:val="No Spacing"/>
    <w:uiPriority w:val="1"/>
    <w:qFormat/>
    <w:rsid w:val="009D0F35"/>
    <w:pPr>
      <w:spacing w:after="0" w:line="240" w:lineRule="auto"/>
    </w:pPr>
  </w:style>
  <w:style w:type="character" w:styleId="Hyperlink">
    <w:name w:val="Hyperlink"/>
    <w:basedOn w:val="DefaultParagraphFont"/>
    <w:uiPriority w:val="99"/>
    <w:unhideWhenUsed/>
    <w:rsid w:val="00EF23F7"/>
    <w:rPr>
      <w:color w:val="467886" w:themeColor="hyperlink"/>
      <w:u w:val="single"/>
    </w:rPr>
  </w:style>
  <w:style w:type="character" w:styleId="UnresolvedMention">
    <w:name w:val="Unresolved Mention"/>
    <w:basedOn w:val="DefaultParagraphFont"/>
    <w:uiPriority w:val="99"/>
    <w:semiHidden/>
    <w:unhideWhenUsed/>
    <w:rsid w:val="00EF23F7"/>
    <w:rPr>
      <w:color w:val="605E5C"/>
      <w:shd w:val="clear" w:color="auto" w:fill="E1DFDD"/>
    </w:rPr>
  </w:style>
  <w:style w:type="paragraph" w:styleId="Footer">
    <w:name w:val="footer"/>
    <w:basedOn w:val="Normal"/>
    <w:link w:val="FooterChar"/>
    <w:uiPriority w:val="99"/>
    <w:unhideWhenUsed/>
    <w:rsid w:val="0072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EF"/>
  </w:style>
  <w:style w:type="paragraph" w:styleId="Header">
    <w:name w:val="header"/>
    <w:basedOn w:val="Normal"/>
    <w:link w:val="HeaderChar"/>
    <w:uiPriority w:val="99"/>
    <w:unhideWhenUsed/>
    <w:rsid w:val="00144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9F"/>
  </w:style>
  <w:style w:type="paragraph" w:styleId="Revision">
    <w:name w:val="Revision"/>
    <w:hidden/>
    <w:uiPriority w:val="99"/>
    <w:semiHidden/>
    <w:rsid w:val="00AA7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imberly.lewandowski@ipsos.com" TargetMode="External" /><Relationship Id="rId11" Type="http://schemas.openxmlformats.org/officeDocument/2006/relationships/hyperlink" Target="mailto:Randall.thomas@ipsos.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red.Coopersmith@ipsos.com" TargetMode="External" /><Relationship Id="rId8" Type="http://schemas.openxmlformats.org/officeDocument/2006/relationships/hyperlink" Target="mailto:Elisa.Chan@ipsos.com" TargetMode="External" /><Relationship Id="rId9" Type="http://schemas.openxmlformats.org/officeDocument/2006/relationships/hyperlink" Target="mailto:Christopher.moessner@ipso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6F051A2C52844849E5EE40A28BE89" ma:contentTypeVersion="14" ma:contentTypeDescription="Create a new document." ma:contentTypeScope="" ma:versionID="96d65d1699c7bd116496b3133df255fc">
  <xsd:schema xmlns:xsd="http://www.w3.org/2001/XMLSchema" xmlns:xs="http://www.w3.org/2001/XMLSchema" xmlns:p="http://schemas.microsoft.com/office/2006/metadata/properties" xmlns:ns1="http://schemas.microsoft.com/sharepoint/v3" xmlns:ns2="8d2f4d8d-8e94-41ff-afdd-34f2efe9523a" xmlns:ns3="6c0781e0-3e5c-497f-9456-7358b8020857" targetNamespace="http://schemas.microsoft.com/office/2006/metadata/properties" ma:root="true" ma:fieldsID="e7b555253474e0c4668c2c0f0b4525bc" ns1:_="" ns2:_="" ns3:_="">
    <xsd:import namespace="http://schemas.microsoft.com/sharepoint/v3"/>
    <xsd:import namespace="8d2f4d8d-8e94-41ff-afdd-34f2efe9523a"/>
    <xsd:import namespace="6c0781e0-3e5c-497f-9456-7358b80208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f4d8d-8e94-41ff-afdd-34f2efe95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781e0-3e5c-497f-9456-7358b80208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01F0B7-CD90-4E4C-A99F-393F4A9851C7}">
  <ds:schemaRefs>
    <ds:schemaRef ds:uri="http://schemas.microsoft.com/sharepoint/v3/contenttype/forms"/>
  </ds:schemaRefs>
</ds:datastoreItem>
</file>

<file path=customXml/itemProps2.xml><?xml version="1.0" encoding="utf-8"?>
<ds:datastoreItem xmlns:ds="http://schemas.openxmlformats.org/officeDocument/2006/customXml" ds:itemID="{CEED7410-2EBB-4833-A681-E9CA83900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f4d8d-8e94-41ff-afdd-34f2efe9523a"/>
    <ds:schemaRef ds:uri="6c0781e0-3e5c-497f-9456-7358b8020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FDD39-C2DB-426C-8E72-7637D181576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Coopersmith</dc:creator>
  <cp:lastModifiedBy>Burhouse, Susan</cp:lastModifiedBy>
  <cp:revision>23</cp:revision>
  <dcterms:created xsi:type="dcterms:W3CDTF">2024-12-11T20:57:00Z</dcterms:created>
  <dcterms:modified xsi:type="dcterms:W3CDTF">2024-12-12T16:16:19Z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6e571f70,41ae511,3735c658</vt:lpwstr>
  </property>
  <property fmtid="{D5CDD505-2E9C-101B-9397-08002B2CF9AE}" pid="4" name="ClassificationContentMarkingHeaderText">
    <vt:lpwstr>NONPUBLIC//FDIC BUSINESS</vt:lpwstr>
  </property>
  <property fmtid="{D5CDD505-2E9C-101B-9397-08002B2CF9AE}" pid="5" name="ContentTypeId">
    <vt:lpwstr>0x0101007E86F051A2C52844849E5EE40A28BE89</vt:lpwstr>
  </property>
  <property fmtid="{D5CDD505-2E9C-101B-9397-08002B2CF9AE}" pid="6" name="MSIP_Label_8e19d756-792e-42a1-bcad-4cb9051ddd2d_ActionId">
    <vt:lpwstr>32f85fac-b675-4978-97cb-e09b53ab36b6</vt:lpwstr>
  </property>
  <property fmtid="{D5CDD505-2E9C-101B-9397-08002B2CF9AE}" pid="7" name="MSIP_Label_8e19d756-792e-42a1-bcad-4cb9051ddd2d_ContentBits">
    <vt:lpwstr>2</vt:lpwstr>
  </property>
  <property fmtid="{D5CDD505-2E9C-101B-9397-08002B2CF9AE}" pid="8" name="MSIP_Label_8e19d756-792e-42a1-bcad-4cb9051ddd2d_Enabled">
    <vt:lpwstr>true</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etDate">
    <vt:lpwstr>2024-10-31T16:40:02Z</vt:lpwstr>
  </property>
  <property fmtid="{D5CDD505-2E9C-101B-9397-08002B2CF9AE}" pid="12" name="MSIP_Label_8e19d756-792e-42a1-bcad-4cb9051ddd2d_SiteId">
    <vt:lpwstr>41eb501a-f671-4ce0-a5bf-b64168c3705f</vt:lpwstr>
  </property>
  <property fmtid="{D5CDD505-2E9C-101B-9397-08002B2CF9AE}" pid="13" name="MSIP_Label_aebbef76-9622-4179-ad18-7a6b88e0dc7a_ActionId">
    <vt:lpwstr>11c43915-2d9b-46a6-be45-45e0a3a90f8b</vt:lpwstr>
  </property>
  <property fmtid="{D5CDD505-2E9C-101B-9397-08002B2CF9AE}" pid="14" name="MSIP_Label_aebbef76-9622-4179-ad18-7a6b88e0dc7a_ContentBits">
    <vt:lpwstr>1</vt:lpwstr>
  </property>
  <property fmtid="{D5CDD505-2E9C-101B-9397-08002B2CF9AE}" pid="15" name="MSIP_Label_aebbef76-9622-4179-ad18-7a6b88e0dc7a_Enabled">
    <vt:lpwstr>true</vt:lpwstr>
  </property>
  <property fmtid="{D5CDD505-2E9C-101B-9397-08002B2CF9AE}" pid="16" name="MSIP_Label_aebbef76-9622-4179-ad18-7a6b88e0dc7a_Method">
    <vt:lpwstr>Privileged</vt:lpwstr>
  </property>
  <property fmtid="{D5CDD505-2E9C-101B-9397-08002B2CF9AE}" pid="17" name="MSIP_Label_aebbef76-9622-4179-ad18-7a6b88e0dc7a_Name">
    <vt:lpwstr>aebbef76-9622-4179-ad18-7a6b88e0dc7a</vt:lpwstr>
  </property>
  <property fmtid="{D5CDD505-2E9C-101B-9397-08002B2CF9AE}" pid="18" name="MSIP_Label_aebbef76-9622-4179-ad18-7a6b88e0dc7a_SetDate">
    <vt:lpwstr>2024-11-15T18:16:36Z</vt:lpwstr>
  </property>
  <property fmtid="{D5CDD505-2E9C-101B-9397-08002B2CF9AE}" pid="19" name="MSIP_Label_aebbef76-9622-4179-ad18-7a6b88e0dc7a_SiteId">
    <vt:lpwstr>26c83bc9-31c1-4d77-a523-0816095aba31</vt:lpwstr>
  </property>
</Properties>
</file>