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40553" w:rsidRPr="00396C2D" w:rsidP="00840553" w14:paraId="33B8834C" w14:textId="77777777">
      <w:pPr>
        <w:spacing w:after="0" w:line="240" w:lineRule="auto"/>
        <w:jc w:val="center"/>
        <w:rPr>
          <w:rFonts w:ascii="Arial" w:hAnsi="Arial" w:cs="Arial"/>
        </w:rPr>
      </w:pPr>
      <w:r w:rsidRPr="00396C2D">
        <w:rPr>
          <w:rFonts w:ascii="Arial" w:hAnsi="Arial" w:cs="Arial"/>
        </w:rPr>
        <w:t>SUPPORTING STATEMENT FOR</w:t>
      </w:r>
    </w:p>
    <w:p w:rsidR="00840553" w:rsidRPr="00396C2D" w:rsidP="00840553" w14:paraId="4891D0C7" w14:textId="77777777">
      <w:pPr>
        <w:spacing w:after="0" w:line="240" w:lineRule="auto"/>
        <w:jc w:val="center"/>
        <w:rPr>
          <w:rFonts w:ascii="Arial" w:hAnsi="Arial" w:cs="Arial"/>
        </w:rPr>
      </w:pPr>
      <w:r w:rsidRPr="00396C2D">
        <w:rPr>
          <w:rFonts w:ascii="Arial" w:hAnsi="Arial" w:cs="Arial"/>
        </w:rPr>
        <w:t>INFORMATION COLLECTIONS CONTAINED IN</w:t>
      </w:r>
    </w:p>
    <w:p w:rsidR="00840553" w:rsidP="00840553" w14:paraId="1D0337CA" w14:textId="069FD4B6">
      <w:pPr>
        <w:spacing w:after="0" w:line="240" w:lineRule="auto"/>
        <w:jc w:val="center"/>
        <w:rPr>
          <w:rFonts w:ascii="Arial" w:hAnsi="Arial" w:cs="Arial"/>
        </w:rPr>
      </w:pPr>
      <w:r w:rsidRPr="00396C2D">
        <w:rPr>
          <w:rFonts w:ascii="Arial" w:hAnsi="Arial" w:cs="Arial"/>
        </w:rPr>
        <w:t>10 CFR PART</w:t>
      </w:r>
      <w:r w:rsidR="00522316">
        <w:rPr>
          <w:rFonts w:ascii="Arial" w:hAnsi="Arial" w:cs="Arial"/>
        </w:rPr>
        <w:t>S</w:t>
      </w:r>
      <w:r w:rsidRPr="00396C2D">
        <w:rPr>
          <w:rFonts w:ascii="Arial" w:hAnsi="Arial" w:cs="Arial"/>
        </w:rPr>
        <w:t xml:space="preserve"> </w:t>
      </w:r>
      <w:r>
        <w:rPr>
          <w:rFonts w:ascii="Arial" w:hAnsi="Arial" w:cs="Arial"/>
        </w:rPr>
        <w:t>50</w:t>
      </w:r>
      <w:r w:rsidR="00522316">
        <w:rPr>
          <w:rFonts w:ascii="Arial" w:hAnsi="Arial" w:cs="Arial"/>
        </w:rPr>
        <w:t xml:space="preserve"> AND 51</w:t>
      </w:r>
    </w:p>
    <w:p w:rsidR="00840553" w:rsidP="00840553" w14:paraId="1F7FFD87" w14:textId="77777777">
      <w:pPr>
        <w:spacing w:after="0" w:line="240" w:lineRule="auto"/>
        <w:jc w:val="center"/>
        <w:rPr>
          <w:rFonts w:ascii="Arial" w:hAnsi="Arial" w:cs="Arial"/>
        </w:rPr>
      </w:pPr>
      <w:r w:rsidRPr="00396C2D">
        <w:rPr>
          <w:rFonts w:ascii="Arial" w:hAnsi="Arial" w:cs="Arial"/>
        </w:rPr>
        <w:t>NON-POWER PRODUCTION OR UTILIZATION</w:t>
      </w:r>
      <w:r>
        <w:rPr>
          <w:rFonts w:ascii="Arial" w:hAnsi="Arial" w:cs="Arial"/>
        </w:rPr>
        <w:t xml:space="preserve"> FACILITY LICENSE RENEWAL</w:t>
      </w:r>
    </w:p>
    <w:p w:rsidR="00840553" w:rsidP="00840553" w14:paraId="0C2DDFEA" w14:textId="77777777">
      <w:pPr>
        <w:spacing w:after="0" w:line="240" w:lineRule="auto"/>
        <w:jc w:val="center"/>
        <w:rPr>
          <w:rFonts w:ascii="Arial" w:hAnsi="Arial" w:cs="Arial"/>
        </w:rPr>
      </w:pPr>
      <w:r w:rsidRPr="00396C2D">
        <w:rPr>
          <w:rFonts w:ascii="Arial" w:hAnsi="Arial" w:cs="Arial"/>
        </w:rPr>
        <w:t>FINAL RULE</w:t>
      </w:r>
    </w:p>
    <w:p w:rsidR="00840553" w:rsidRPr="00396C2D" w:rsidP="00840553" w14:paraId="56F3CC81" w14:textId="77777777">
      <w:pPr>
        <w:spacing w:after="0" w:line="240" w:lineRule="auto"/>
        <w:jc w:val="center"/>
        <w:rPr>
          <w:rFonts w:ascii="Arial" w:hAnsi="Arial" w:cs="Arial"/>
        </w:rPr>
      </w:pPr>
    </w:p>
    <w:p w:rsidR="00840553" w:rsidP="00840553" w14:paraId="61F9490D" w14:textId="77777777">
      <w:pPr>
        <w:spacing w:after="0" w:line="240" w:lineRule="auto"/>
        <w:jc w:val="center"/>
        <w:rPr>
          <w:rFonts w:ascii="Arial" w:hAnsi="Arial" w:cs="Arial"/>
        </w:rPr>
      </w:pPr>
      <w:r w:rsidRPr="00044B2F">
        <w:rPr>
          <w:rFonts w:ascii="Arial" w:hAnsi="Arial" w:cs="Arial"/>
        </w:rPr>
        <w:t>(3150</w:t>
      </w:r>
      <w:r w:rsidRPr="00B1023D">
        <w:rPr>
          <w:rFonts w:ascii="Arial" w:hAnsi="Arial" w:cs="Arial"/>
        </w:rPr>
        <w:t>-XXXX)</w:t>
      </w:r>
    </w:p>
    <w:p w:rsidR="00840553" w:rsidRPr="00396C2D" w:rsidP="00840553" w14:paraId="33746FE9" w14:textId="77777777">
      <w:pPr>
        <w:spacing w:after="0" w:line="240" w:lineRule="auto"/>
        <w:jc w:val="center"/>
        <w:rPr>
          <w:rFonts w:ascii="Arial" w:hAnsi="Arial" w:cs="Arial"/>
        </w:rPr>
      </w:pPr>
    </w:p>
    <w:p w:rsidR="00840553" w:rsidRPr="00396C2D" w:rsidP="00840553" w14:paraId="14F5FE9C" w14:textId="77777777">
      <w:pPr>
        <w:spacing w:after="0" w:line="240" w:lineRule="auto"/>
        <w:jc w:val="center"/>
        <w:rPr>
          <w:rFonts w:ascii="Arial" w:hAnsi="Arial" w:cs="Arial"/>
        </w:rPr>
      </w:pPr>
      <w:r>
        <w:rPr>
          <w:rFonts w:ascii="Arial" w:hAnsi="Arial" w:cs="Arial"/>
        </w:rPr>
        <w:t>NEW</w:t>
      </w:r>
    </w:p>
    <w:p w:rsidR="00840553" w:rsidRPr="00396C2D" w:rsidP="00840553" w14:paraId="3C356CA8" w14:textId="77777777">
      <w:pPr>
        <w:spacing w:after="0" w:line="240" w:lineRule="auto"/>
        <w:jc w:val="center"/>
        <w:rPr>
          <w:rFonts w:ascii="Arial" w:hAnsi="Arial" w:cs="Arial"/>
        </w:rPr>
      </w:pPr>
    </w:p>
    <w:p w:rsidR="00840553" w:rsidRPr="00396C2D" w:rsidP="00840553" w14:paraId="68963588" w14:textId="77777777">
      <w:pPr>
        <w:spacing w:after="0" w:line="240" w:lineRule="auto"/>
        <w:rPr>
          <w:rFonts w:ascii="Arial" w:hAnsi="Arial" w:cs="Arial"/>
        </w:rPr>
      </w:pPr>
      <w:r w:rsidRPr="00396C2D">
        <w:rPr>
          <w:rFonts w:ascii="Arial" w:hAnsi="Arial" w:cs="Arial"/>
        </w:rPr>
        <w:t>DESCRIPTION OF INFORMATION COLLECTION</w:t>
      </w:r>
    </w:p>
    <w:p w:rsidR="00840553" w:rsidRPr="00044B2F" w:rsidP="00840553" w14:paraId="65908DB4" w14:textId="77777777">
      <w:pPr>
        <w:spacing w:after="0" w:line="240" w:lineRule="auto"/>
        <w:rPr>
          <w:rFonts w:ascii="Arial" w:hAnsi="Arial" w:cs="Arial"/>
        </w:rPr>
      </w:pPr>
    </w:p>
    <w:p w:rsidR="00840553" w:rsidP="00840553" w14:paraId="7599106C" w14:textId="77777777">
      <w:pPr>
        <w:spacing w:after="0" w:line="240" w:lineRule="auto"/>
        <w:rPr>
          <w:rFonts w:ascii="Arial" w:hAnsi="Arial" w:cs="Arial"/>
        </w:rPr>
      </w:pPr>
      <w:r w:rsidRPr="00044B2F">
        <w:rPr>
          <w:rFonts w:ascii="Arial" w:hAnsi="Arial" w:cs="Arial"/>
        </w:rPr>
        <w:t>The U.S. Nuclear Regulatory Commission (NRC) is proposin</w:t>
      </w:r>
      <w:r>
        <w:rPr>
          <w:rFonts w:ascii="Arial" w:hAnsi="Arial" w:cs="Arial"/>
        </w:rPr>
        <w:t xml:space="preserve">g to amend its regulations that </w:t>
      </w:r>
      <w:r w:rsidRPr="003E170D">
        <w:rPr>
          <w:rFonts w:ascii="Arial" w:hAnsi="Arial" w:cs="Arial"/>
        </w:rPr>
        <w:t>govern the license renewal process for certain production or utilization facilities.</w:t>
      </w:r>
      <w:r>
        <w:rPr>
          <w:rFonts w:ascii="Arial" w:hAnsi="Arial" w:cs="Arial"/>
        </w:rPr>
        <w:t xml:space="preserve">  In the final </w:t>
      </w:r>
      <w:r w:rsidRPr="00044B2F">
        <w:rPr>
          <w:rFonts w:ascii="Arial" w:hAnsi="Arial" w:cs="Arial"/>
        </w:rPr>
        <w:t xml:space="preserve">rule, the NRC collectively refers to these facilities as non-power production or utilization facilities (NPUFs).  </w:t>
      </w:r>
      <w:r>
        <w:rPr>
          <w:rFonts w:ascii="Arial" w:hAnsi="Arial" w:cs="Arial"/>
        </w:rPr>
        <w:t>The</w:t>
      </w:r>
      <w:r w:rsidRPr="003E170D">
        <w:rPr>
          <w:rFonts w:ascii="Arial" w:hAnsi="Arial" w:cs="Arial"/>
        </w:rPr>
        <w:t xml:space="preserve"> final rule eliminates license terms for </w:t>
      </w:r>
      <w:r>
        <w:rPr>
          <w:rFonts w:ascii="Arial" w:hAnsi="Arial" w:cs="Arial"/>
        </w:rPr>
        <w:t xml:space="preserve">NPUF </w:t>
      </w:r>
      <w:r w:rsidRPr="003E170D">
        <w:rPr>
          <w:rFonts w:ascii="Arial" w:hAnsi="Arial" w:cs="Arial"/>
        </w:rPr>
        <w:t xml:space="preserve">licenses issued under the authority of Sections 104a or 104c of the </w:t>
      </w:r>
      <w:r>
        <w:rPr>
          <w:rFonts w:ascii="Arial" w:hAnsi="Arial" w:cs="Arial"/>
        </w:rPr>
        <w:t>Atomic Energy Act of 1954, as amended (</w:t>
      </w:r>
      <w:r w:rsidRPr="003E170D">
        <w:rPr>
          <w:rFonts w:ascii="Arial" w:hAnsi="Arial" w:cs="Arial"/>
        </w:rPr>
        <w:t>AEA</w:t>
      </w:r>
      <w:r>
        <w:rPr>
          <w:rFonts w:ascii="Arial" w:hAnsi="Arial" w:cs="Arial"/>
        </w:rPr>
        <w:t>)</w:t>
      </w:r>
      <w:r w:rsidRPr="003E170D">
        <w:rPr>
          <w:rFonts w:ascii="Arial" w:hAnsi="Arial" w:cs="Arial"/>
        </w:rPr>
        <w:t xml:space="preserve">, other than for testing facilities; defines the license renewal process for licenses issued to testing facilities or under the authority of Section 103 of the AEA; requires all NPUF licensees to submit </w:t>
      </w:r>
      <w:r>
        <w:rPr>
          <w:rFonts w:ascii="Arial" w:hAnsi="Arial" w:cs="Arial"/>
        </w:rPr>
        <w:t xml:space="preserve">an updated </w:t>
      </w:r>
      <w:r w:rsidRPr="003E170D">
        <w:rPr>
          <w:rFonts w:ascii="Arial" w:hAnsi="Arial" w:cs="Arial"/>
        </w:rPr>
        <w:t xml:space="preserve">final safety analysis report (FSAR) </w:t>
      </w:r>
      <w:r>
        <w:rPr>
          <w:rFonts w:ascii="Arial" w:hAnsi="Arial" w:cs="Arial"/>
        </w:rPr>
        <w:t xml:space="preserve">and subsequent FSAR </w:t>
      </w:r>
      <w:r w:rsidRPr="003E170D">
        <w:rPr>
          <w:rFonts w:ascii="Arial" w:hAnsi="Arial" w:cs="Arial"/>
        </w:rPr>
        <w:t>updates</w:t>
      </w:r>
      <w:r>
        <w:rPr>
          <w:rFonts w:ascii="Arial" w:hAnsi="Arial" w:cs="Arial"/>
        </w:rPr>
        <w:t xml:space="preserve"> to the NRC</w:t>
      </w:r>
      <w:r w:rsidRPr="003E170D">
        <w:rPr>
          <w:rFonts w:ascii="Arial" w:hAnsi="Arial" w:cs="Arial"/>
        </w:rPr>
        <w:t xml:space="preserve"> at intervals not to exceed 5 years; and provides an accident dose criterion of 1 rem (0.01 Sievert (</w:t>
      </w:r>
      <w:r w:rsidRPr="003E170D">
        <w:rPr>
          <w:rFonts w:ascii="Arial" w:hAnsi="Arial" w:cs="Arial"/>
        </w:rPr>
        <w:t>Sv</w:t>
      </w:r>
      <w:r w:rsidRPr="003E170D">
        <w:rPr>
          <w:rFonts w:ascii="Arial" w:hAnsi="Arial" w:cs="Arial"/>
        </w:rPr>
        <w:t xml:space="preserve">)) total effective dose equivalent (TEDE) for NPUFs other than testing facilities.  </w:t>
      </w:r>
    </w:p>
    <w:p w:rsidR="00840553" w:rsidRPr="00044B2F" w:rsidP="00840553" w14:paraId="0C17FDDE" w14:textId="77777777">
      <w:pPr>
        <w:spacing w:after="0" w:line="240" w:lineRule="auto"/>
        <w:rPr>
          <w:rFonts w:ascii="Arial" w:hAnsi="Arial" w:cs="Arial"/>
        </w:rPr>
      </w:pPr>
    </w:p>
    <w:p w:rsidR="00840553" w:rsidRPr="00044B2F" w:rsidP="00840553" w14:paraId="0F72E03A" w14:textId="630A0B2B">
      <w:pPr>
        <w:spacing w:after="0" w:line="240" w:lineRule="auto"/>
        <w:rPr>
          <w:rFonts w:ascii="Arial" w:hAnsi="Arial" w:cs="Arial"/>
        </w:rPr>
      </w:pPr>
      <w:r w:rsidRPr="00044B2F">
        <w:rPr>
          <w:rFonts w:ascii="Arial" w:hAnsi="Arial" w:cs="Arial"/>
        </w:rPr>
        <w:t xml:space="preserve">This supporting statement describes how the </w:t>
      </w:r>
      <w:r>
        <w:rPr>
          <w:rFonts w:ascii="Arial" w:hAnsi="Arial" w:cs="Arial"/>
        </w:rPr>
        <w:t>final</w:t>
      </w:r>
      <w:r w:rsidRPr="00044B2F">
        <w:rPr>
          <w:rFonts w:ascii="Arial" w:hAnsi="Arial" w:cs="Arial"/>
        </w:rPr>
        <w:t xml:space="preserve"> rule will impact the information collections in 10 CFR Part</w:t>
      </w:r>
      <w:r w:rsidR="00522316">
        <w:rPr>
          <w:rFonts w:ascii="Arial" w:hAnsi="Arial" w:cs="Arial"/>
        </w:rPr>
        <w:t>s</w:t>
      </w:r>
      <w:r w:rsidRPr="00044B2F">
        <w:rPr>
          <w:rFonts w:ascii="Arial" w:hAnsi="Arial" w:cs="Arial"/>
        </w:rPr>
        <w:t xml:space="preserve"> 50</w:t>
      </w:r>
      <w:r w:rsidR="00522316">
        <w:rPr>
          <w:rFonts w:ascii="Arial" w:hAnsi="Arial" w:cs="Arial"/>
        </w:rPr>
        <w:t xml:space="preserve"> and 51</w:t>
      </w:r>
      <w:r w:rsidRPr="00044B2F">
        <w:rPr>
          <w:rFonts w:ascii="Arial" w:hAnsi="Arial" w:cs="Arial"/>
        </w:rPr>
        <w:t>.</w:t>
      </w:r>
    </w:p>
    <w:p w:rsidR="00840553" w:rsidP="00840553" w14:paraId="4510DBD9" w14:textId="77777777">
      <w:pPr>
        <w:spacing w:after="0" w:line="240" w:lineRule="auto"/>
        <w:rPr>
          <w:rFonts w:ascii="Arial" w:hAnsi="Arial" w:cs="Arial"/>
          <w:i/>
        </w:rPr>
      </w:pPr>
    </w:p>
    <w:p w:rsidR="00840553" w:rsidRPr="00F208CC" w:rsidP="00840553" w14:paraId="32CEF850" w14:textId="77777777">
      <w:pPr>
        <w:spacing w:line="240" w:lineRule="auto"/>
        <w:rPr>
          <w:rFonts w:ascii="Arial" w:hAnsi="Arial" w:cs="Arial"/>
          <w:i/>
        </w:rPr>
      </w:pPr>
      <w:r w:rsidRPr="00F208CC">
        <w:rPr>
          <w:rFonts w:ascii="Arial" w:hAnsi="Arial" w:cs="Arial"/>
          <w:i/>
        </w:rPr>
        <w:t xml:space="preserve">Changes to the final rule </w:t>
      </w:r>
      <w:r w:rsidRPr="00F208CC">
        <w:rPr>
          <w:rFonts w:ascii="Arial" w:hAnsi="Arial" w:cs="Arial"/>
          <w:i/>
        </w:rPr>
        <w:t>as a result of</w:t>
      </w:r>
      <w:r w:rsidRPr="00F208CC">
        <w:rPr>
          <w:rFonts w:ascii="Arial" w:hAnsi="Arial" w:cs="Arial"/>
          <w:i/>
        </w:rPr>
        <w:t xml:space="preserve"> public comment</w:t>
      </w:r>
    </w:p>
    <w:p w:rsidR="00840553" w:rsidP="00840553" w14:paraId="4918DECB" w14:textId="77777777">
      <w:pPr>
        <w:spacing w:after="0" w:line="240" w:lineRule="auto"/>
        <w:rPr>
          <w:rFonts w:ascii="Arial" w:hAnsi="Arial" w:cs="Arial"/>
        </w:rPr>
      </w:pPr>
      <w:r w:rsidRPr="00F208CC">
        <w:rPr>
          <w:rFonts w:ascii="Arial" w:hAnsi="Arial" w:cs="Arial"/>
        </w:rPr>
        <w:t xml:space="preserve">The staff made some changes to the information collections contained in the proposed rule </w:t>
      </w:r>
      <w:r w:rsidRPr="00F208CC">
        <w:rPr>
          <w:rFonts w:ascii="Arial" w:hAnsi="Arial" w:cs="Arial"/>
        </w:rPr>
        <w:t>as a result of</w:t>
      </w:r>
      <w:r w:rsidRPr="00F208CC">
        <w:rPr>
          <w:rFonts w:ascii="Arial" w:hAnsi="Arial" w:cs="Arial"/>
        </w:rPr>
        <w:t xml:space="preserve"> public comments.  The final rule reflects the following changes</w:t>
      </w:r>
      <w:r>
        <w:rPr>
          <w:rFonts w:ascii="Arial" w:hAnsi="Arial" w:cs="Arial"/>
        </w:rPr>
        <w:t>, which do not affect the information collection burden estimates:</w:t>
      </w:r>
    </w:p>
    <w:p w:rsidR="00840553" w:rsidRPr="00F208CC" w:rsidP="00840553" w14:paraId="5A27E165" w14:textId="77777777">
      <w:pPr>
        <w:spacing w:after="0" w:line="240" w:lineRule="auto"/>
        <w:rPr>
          <w:rFonts w:ascii="Arial" w:hAnsi="Arial" w:cs="Arial"/>
        </w:rPr>
      </w:pPr>
    </w:p>
    <w:p w:rsidR="00840553" w:rsidP="00840553" w14:paraId="46FEBCC1" w14:textId="77777777">
      <w:pPr>
        <w:pStyle w:val="PlainText"/>
        <w:numPr>
          <w:ilvl w:val="0"/>
          <w:numId w:val="3"/>
        </w:numPr>
        <w:rPr>
          <w:rFonts w:cs="Arial"/>
          <w:szCs w:val="22"/>
        </w:rPr>
      </w:pPr>
      <w:r w:rsidRPr="005E19F2">
        <w:rPr>
          <w:rFonts w:cs="Arial"/>
          <w:szCs w:val="22"/>
        </w:rPr>
        <w:t xml:space="preserve">The NRC received a public comment on the definition of “testing facility” in </w:t>
      </w:r>
      <w:r>
        <w:rPr>
          <w:rFonts w:cs="Arial"/>
          <w:szCs w:val="22"/>
        </w:rPr>
        <w:t>Section</w:t>
      </w:r>
      <w:r w:rsidRPr="005E19F2">
        <w:rPr>
          <w:rFonts w:cs="Arial"/>
          <w:szCs w:val="22"/>
        </w:rPr>
        <w:t xml:space="preserve"> 50.2 and “research reactor” in </w:t>
      </w:r>
      <w:r>
        <w:rPr>
          <w:rFonts w:cs="Arial"/>
          <w:szCs w:val="22"/>
        </w:rPr>
        <w:t>Section</w:t>
      </w:r>
      <w:r w:rsidRPr="005E19F2">
        <w:rPr>
          <w:rFonts w:cs="Arial"/>
          <w:szCs w:val="22"/>
        </w:rPr>
        <w:t xml:space="preserve"> 171.11(b)(2).  The commenter recommended that the NRC revise the definitions of “testing facility” and “research reactor” </w:t>
      </w:r>
      <w:r>
        <w:rPr>
          <w:rFonts w:cs="Arial"/>
          <w:szCs w:val="22"/>
        </w:rPr>
        <w:t>by removing “</w:t>
      </w:r>
      <w:r w:rsidRPr="005E19F2">
        <w:rPr>
          <w:rFonts w:cs="Arial"/>
          <w:szCs w:val="22"/>
        </w:rPr>
        <w:t xml:space="preserve">the arbitrary 10MW(t) </w:t>
      </w:r>
      <w:r w:rsidRPr="005E19F2">
        <w:rPr>
          <w:rFonts w:cs="Arial"/>
          <w:szCs w:val="22"/>
        </w:rPr>
        <w:t>threshold, and</w:t>
      </w:r>
      <w:r w:rsidRPr="005E19F2">
        <w:rPr>
          <w:rFonts w:cs="Arial"/>
          <w:szCs w:val="22"/>
        </w:rPr>
        <w:t xml:space="preserve"> apply instead a risk-based approach to its regulation of a testing facility.”  </w:t>
      </w:r>
      <w:r>
        <w:rPr>
          <w:rFonts w:cs="Arial"/>
          <w:szCs w:val="22"/>
        </w:rPr>
        <w:t>T</w:t>
      </w:r>
      <w:r w:rsidRPr="008D6721">
        <w:rPr>
          <w:rFonts w:cs="Arial"/>
          <w:szCs w:val="22"/>
        </w:rPr>
        <w:t xml:space="preserve">he </w:t>
      </w:r>
      <w:r>
        <w:rPr>
          <w:rFonts w:cs="Arial"/>
          <w:szCs w:val="22"/>
        </w:rPr>
        <w:t xml:space="preserve">NRC staff agreed that the </w:t>
      </w:r>
      <w:r w:rsidRPr="008D6721">
        <w:rPr>
          <w:rFonts w:cs="Arial"/>
          <w:szCs w:val="22"/>
        </w:rPr>
        <w:t>use of a postulated accident dose is a more risk</w:t>
      </w:r>
      <w:r>
        <w:rPr>
          <w:rFonts w:cs="Arial"/>
          <w:szCs w:val="22"/>
        </w:rPr>
        <w:noBreakHyphen/>
      </w:r>
      <w:r w:rsidRPr="008D6721">
        <w:rPr>
          <w:rFonts w:cs="Arial"/>
          <w:szCs w:val="22"/>
        </w:rPr>
        <w:t>informed, performance-based approach than the power level of the reactor to distinguish between types of NPUFs, such as research reactors and testing facilities.  As a result of this public comment, the NRC revised the definitions of “testing facility” and “research reactor” to reflect this risk-informed approach.</w:t>
      </w:r>
      <w:r>
        <w:rPr>
          <w:rFonts w:cs="Arial"/>
          <w:szCs w:val="22"/>
        </w:rPr>
        <w:t xml:space="preserve">  </w:t>
      </w:r>
    </w:p>
    <w:p w:rsidR="00840553" w:rsidP="00840553" w14:paraId="359C0285" w14:textId="77777777">
      <w:pPr>
        <w:pStyle w:val="PlainText"/>
        <w:rPr>
          <w:rFonts w:cs="Arial"/>
          <w:szCs w:val="22"/>
        </w:rPr>
      </w:pPr>
    </w:p>
    <w:p w:rsidR="00840553" w:rsidP="00840553" w14:paraId="3D1969F4" w14:textId="77777777">
      <w:pPr>
        <w:pStyle w:val="PlainText"/>
        <w:numPr>
          <w:ilvl w:val="0"/>
          <w:numId w:val="3"/>
        </w:numPr>
        <w:rPr>
          <w:rFonts w:cs="Arial"/>
          <w:szCs w:val="22"/>
        </w:rPr>
      </w:pPr>
      <w:r>
        <w:rPr>
          <w:rFonts w:cs="Arial"/>
          <w:szCs w:val="22"/>
        </w:rPr>
        <w:t>T</w:t>
      </w:r>
      <w:r w:rsidRPr="008D6721">
        <w:rPr>
          <w:rFonts w:cs="Arial"/>
          <w:szCs w:val="22"/>
        </w:rPr>
        <w:t xml:space="preserve">he NRC </w:t>
      </w:r>
      <w:r>
        <w:rPr>
          <w:rFonts w:cs="Arial"/>
          <w:szCs w:val="22"/>
        </w:rPr>
        <w:t xml:space="preserve">staff also </w:t>
      </w:r>
      <w:r w:rsidRPr="008D6721">
        <w:rPr>
          <w:rFonts w:cs="Arial"/>
          <w:szCs w:val="22"/>
        </w:rPr>
        <w:t>made conforming changes to the definitions of “testing facility,” “research reactor,” and “non-power reactor” wherever these defin</w:t>
      </w:r>
      <w:r>
        <w:rPr>
          <w:rFonts w:cs="Arial"/>
          <w:szCs w:val="22"/>
        </w:rPr>
        <w:t>itions appear throughout 10 CFR </w:t>
      </w:r>
      <w:r w:rsidRPr="008D6721">
        <w:rPr>
          <w:rFonts w:cs="Arial"/>
          <w:szCs w:val="22"/>
        </w:rPr>
        <w:t xml:space="preserve">Chapter I.  </w:t>
      </w:r>
      <w:r>
        <w:rPr>
          <w:rFonts w:cs="Arial"/>
          <w:szCs w:val="22"/>
        </w:rPr>
        <w:t>Currently, the regulations refer</w:t>
      </w:r>
      <w:r w:rsidRPr="008D6721">
        <w:rPr>
          <w:rFonts w:cs="Arial"/>
          <w:szCs w:val="22"/>
        </w:rPr>
        <w:t xml:space="preserve"> to many types of facilities that are categorized as NPUFs in the final rule, such as non-power reactor, research reactor, training reactor, testing reactor, testing facility, and critical assembly.  Additionally, the final rule standardizes the terminology in other parts of the regulations, where appropriate, to modify the intended scope of regulations citing “research and test reactors” to be </w:t>
      </w:r>
      <w:r>
        <w:rPr>
          <w:rFonts w:cs="Arial"/>
          <w:szCs w:val="22"/>
        </w:rPr>
        <w:t xml:space="preserve">either “non-power reactors” or </w:t>
      </w:r>
      <w:r w:rsidRPr="008D6721">
        <w:rPr>
          <w:rFonts w:cs="Arial"/>
          <w:szCs w:val="22"/>
        </w:rPr>
        <w:t>“non-power produ</w:t>
      </w:r>
      <w:r>
        <w:rPr>
          <w:rFonts w:cs="Arial"/>
          <w:szCs w:val="22"/>
        </w:rPr>
        <w:t>ction or utilization facilities.</w:t>
      </w:r>
      <w:r w:rsidRPr="008D6721">
        <w:rPr>
          <w:rFonts w:cs="Arial"/>
          <w:szCs w:val="22"/>
        </w:rPr>
        <w:t>”</w:t>
      </w:r>
    </w:p>
    <w:p w:rsidR="00840553" w:rsidP="00840553" w14:paraId="130293FA" w14:textId="77777777">
      <w:pPr>
        <w:pStyle w:val="PlainText"/>
        <w:rPr>
          <w:rFonts w:cs="Arial"/>
          <w:szCs w:val="22"/>
        </w:rPr>
      </w:pPr>
    </w:p>
    <w:p w:rsidR="00840553" w:rsidP="00840553" w14:paraId="64F3AB98" w14:textId="77777777">
      <w:pPr>
        <w:pStyle w:val="PlainText"/>
        <w:numPr>
          <w:ilvl w:val="0"/>
          <w:numId w:val="3"/>
        </w:numPr>
        <w:rPr>
          <w:rFonts w:cs="Arial"/>
          <w:szCs w:val="22"/>
        </w:rPr>
      </w:pPr>
      <w:r>
        <w:rPr>
          <w:rFonts w:cs="Arial"/>
          <w:szCs w:val="22"/>
        </w:rPr>
        <w:t>T</w:t>
      </w:r>
      <w:r w:rsidRPr="00AF3B01">
        <w:rPr>
          <w:rFonts w:cs="Arial"/>
          <w:szCs w:val="22"/>
        </w:rPr>
        <w:t xml:space="preserve">he staff </w:t>
      </w:r>
      <w:r>
        <w:rPr>
          <w:rFonts w:cs="Arial"/>
          <w:szCs w:val="22"/>
        </w:rPr>
        <w:t>m</w:t>
      </w:r>
      <w:r w:rsidRPr="00AF3B01">
        <w:rPr>
          <w:rFonts w:cs="Arial"/>
          <w:szCs w:val="22"/>
        </w:rPr>
        <w:t xml:space="preserve">odified the language </w:t>
      </w:r>
      <w:r>
        <w:rPr>
          <w:rFonts w:cs="Arial"/>
          <w:szCs w:val="22"/>
        </w:rPr>
        <w:t xml:space="preserve">in Section 50.135, </w:t>
      </w:r>
      <w:r w:rsidRPr="00AF3B01">
        <w:rPr>
          <w:rFonts w:cs="Arial"/>
          <w:szCs w:val="22"/>
        </w:rPr>
        <w:t xml:space="preserve">“License renewal for non-power production or utilization facilities licenses issued under </w:t>
      </w:r>
      <w:r>
        <w:rPr>
          <w:rFonts w:cs="Arial"/>
          <w:szCs w:val="22"/>
        </w:rPr>
        <w:t>Section</w:t>
      </w:r>
      <w:r w:rsidRPr="00AF3B01">
        <w:rPr>
          <w:rFonts w:cs="Arial"/>
          <w:szCs w:val="22"/>
        </w:rPr>
        <w:t xml:space="preserve"> 50.22 and testing facility licensees,”</w:t>
      </w:r>
      <w:r>
        <w:rPr>
          <w:rFonts w:cs="Arial"/>
          <w:szCs w:val="22"/>
        </w:rPr>
        <w:t xml:space="preserve"> </w:t>
      </w:r>
      <w:r w:rsidRPr="00AF3B01">
        <w:rPr>
          <w:rFonts w:cs="Arial"/>
          <w:szCs w:val="22"/>
        </w:rPr>
        <w:t xml:space="preserve">to make renewed operating licenses </w:t>
      </w:r>
      <w:r>
        <w:rPr>
          <w:rFonts w:cs="Arial"/>
          <w:szCs w:val="22"/>
        </w:rPr>
        <w:t>e</w:t>
      </w:r>
      <w:r w:rsidRPr="00AF3B01">
        <w:rPr>
          <w:rFonts w:cs="Arial"/>
          <w:szCs w:val="22"/>
        </w:rPr>
        <w:t>ffective immediately upon the date of issuance</w:t>
      </w:r>
      <w:r>
        <w:rPr>
          <w:rFonts w:cs="Arial"/>
          <w:szCs w:val="22"/>
        </w:rPr>
        <w:t xml:space="preserve"> of the renewal</w:t>
      </w:r>
      <w:r w:rsidRPr="00AF3B01">
        <w:rPr>
          <w:rFonts w:cs="Arial"/>
          <w:szCs w:val="22"/>
        </w:rPr>
        <w:t xml:space="preserve">, replacing the previous operating license. </w:t>
      </w:r>
      <w:r>
        <w:rPr>
          <w:rFonts w:cs="Arial"/>
          <w:szCs w:val="22"/>
        </w:rPr>
        <w:t xml:space="preserve"> </w:t>
      </w:r>
      <w:r w:rsidRPr="00AF3B01">
        <w:rPr>
          <w:rFonts w:cs="Arial"/>
          <w:szCs w:val="22"/>
        </w:rPr>
        <w:t xml:space="preserve">The immediate effectiveness of the renewed license is a change from the proposed rule, which would have made the renewed license effective 30 days after issuance. </w:t>
      </w:r>
      <w:r>
        <w:rPr>
          <w:rFonts w:cs="Arial"/>
          <w:szCs w:val="22"/>
        </w:rPr>
        <w:t xml:space="preserve"> </w:t>
      </w:r>
      <w:r w:rsidRPr="00AF3B01">
        <w:rPr>
          <w:rFonts w:cs="Arial"/>
          <w:szCs w:val="22"/>
        </w:rPr>
        <w:t xml:space="preserve">The NRC will review and, upon approval, make the implementation schedule a condition of the renewed license. </w:t>
      </w:r>
      <w:r>
        <w:rPr>
          <w:rFonts w:cs="Arial"/>
          <w:szCs w:val="22"/>
        </w:rPr>
        <w:t xml:space="preserve"> </w:t>
      </w:r>
      <w:r w:rsidRPr="00AF3B01">
        <w:rPr>
          <w:rFonts w:cs="Arial"/>
          <w:szCs w:val="22"/>
        </w:rPr>
        <w:t>The final rule provides a substantially similar result as the proposed rule and gives licensees potentially greater flexibility in the timing of their implementation of the renewed license.</w:t>
      </w:r>
    </w:p>
    <w:p w:rsidR="00840553" w:rsidP="00840553" w14:paraId="730AD4E3" w14:textId="77777777">
      <w:pPr>
        <w:pStyle w:val="ListParagraph"/>
        <w:spacing w:after="0" w:line="240" w:lineRule="auto"/>
        <w:contextualSpacing w:val="0"/>
        <w:rPr>
          <w:rFonts w:cs="Arial"/>
        </w:rPr>
      </w:pPr>
    </w:p>
    <w:p w:rsidR="00840553" w:rsidP="00840553" w14:paraId="0195ED2C" w14:textId="77777777">
      <w:pPr>
        <w:pStyle w:val="PlainText"/>
        <w:numPr>
          <w:ilvl w:val="0"/>
          <w:numId w:val="3"/>
        </w:numPr>
        <w:rPr>
          <w:rFonts w:cs="Arial"/>
          <w:szCs w:val="22"/>
        </w:rPr>
      </w:pPr>
      <w:r w:rsidRPr="00244665">
        <w:rPr>
          <w:rFonts w:cs="Arial"/>
          <w:szCs w:val="22"/>
        </w:rPr>
        <w:t xml:space="preserve">The staff modified the language in </w:t>
      </w:r>
      <w:r>
        <w:rPr>
          <w:rFonts w:cs="Arial"/>
          <w:szCs w:val="22"/>
        </w:rPr>
        <w:t xml:space="preserve">Section </w:t>
      </w:r>
      <w:r w:rsidRPr="00244665">
        <w:rPr>
          <w:rFonts w:cs="Arial"/>
          <w:szCs w:val="22"/>
        </w:rPr>
        <w:t>50.135(e)(2) because the proposed rule could have unnecessarily restricted the license term for a renewed NPUF license to less than 40</w:t>
      </w:r>
      <w:r>
        <w:rPr>
          <w:rFonts w:cs="Arial"/>
          <w:szCs w:val="22"/>
        </w:rPr>
        <w:t> </w:t>
      </w:r>
      <w:r w:rsidRPr="00244665">
        <w:rPr>
          <w:rFonts w:cs="Arial"/>
          <w:szCs w:val="22"/>
        </w:rPr>
        <w:t>years.  Section 103 of the AEA allows for license terms of up to 40 years.  The final rule will maintain this allowance.</w:t>
      </w:r>
    </w:p>
    <w:p w:rsidR="00840553" w:rsidP="00840553" w14:paraId="6FB86941" w14:textId="77777777">
      <w:pPr>
        <w:pStyle w:val="ListParagraph"/>
        <w:spacing w:after="0" w:line="240" w:lineRule="auto"/>
        <w:contextualSpacing w:val="0"/>
        <w:rPr>
          <w:rFonts w:cs="Arial"/>
        </w:rPr>
      </w:pPr>
    </w:p>
    <w:p w:rsidR="00840553" w:rsidP="00840553" w14:paraId="10AACC44" w14:textId="77777777">
      <w:pPr>
        <w:pStyle w:val="PlainText"/>
        <w:numPr>
          <w:ilvl w:val="0"/>
          <w:numId w:val="3"/>
        </w:numPr>
        <w:rPr>
          <w:rFonts w:cs="Arial"/>
          <w:szCs w:val="22"/>
        </w:rPr>
      </w:pPr>
      <w:r w:rsidRPr="00244665">
        <w:rPr>
          <w:rFonts w:cs="Arial"/>
          <w:szCs w:val="22"/>
        </w:rPr>
        <w:t xml:space="preserve">The staff modified the language in </w:t>
      </w:r>
      <w:r>
        <w:rPr>
          <w:rFonts w:cs="Arial"/>
          <w:szCs w:val="22"/>
        </w:rPr>
        <w:t xml:space="preserve">Section </w:t>
      </w:r>
      <w:r w:rsidRPr="00244665">
        <w:rPr>
          <w:rFonts w:cs="Arial"/>
          <w:szCs w:val="22"/>
        </w:rPr>
        <w:t xml:space="preserve">2.109(a) because the proposed rule would have eliminated the timely renewal provision for facilities, other than testing facilities, licensed under </w:t>
      </w:r>
      <w:r>
        <w:rPr>
          <w:rFonts w:cs="Arial"/>
          <w:szCs w:val="22"/>
        </w:rPr>
        <w:t xml:space="preserve">Section </w:t>
      </w:r>
      <w:r w:rsidRPr="00244665">
        <w:rPr>
          <w:rFonts w:cs="Arial"/>
          <w:szCs w:val="22"/>
        </w:rPr>
        <w:t xml:space="preserve">50.21(a) or (c), as these facilities will no longer have license expiration dates.  However, the final rule includes the timely renewal provision for facilities, other than testing facilities, licensed under </w:t>
      </w:r>
      <w:r>
        <w:rPr>
          <w:rFonts w:cs="Arial"/>
          <w:szCs w:val="22"/>
        </w:rPr>
        <w:t xml:space="preserve">Section </w:t>
      </w:r>
      <w:r w:rsidRPr="00244665">
        <w:rPr>
          <w:rFonts w:cs="Arial"/>
          <w:szCs w:val="22"/>
        </w:rPr>
        <w:t>50.21(a) or (c) because at least one of these facilities may submit a license renewal application after the final rule is published.</w:t>
      </w:r>
    </w:p>
    <w:p w:rsidR="00840553" w:rsidP="00840553" w14:paraId="036B1011" w14:textId="77777777">
      <w:pPr>
        <w:pStyle w:val="ListParagraph"/>
        <w:spacing w:after="0" w:line="240" w:lineRule="auto"/>
        <w:contextualSpacing w:val="0"/>
        <w:rPr>
          <w:rFonts w:cs="Arial"/>
        </w:rPr>
      </w:pPr>
    </w:p>
    <w:p w:rsidR="00840553" w:rsidP="00840553" w14:paraId="3D541AF7" w14:textId="77777777">
      <w:pPr>
        <w:pStyle w:val="PlainText"/>
        <w:numPr>
          <w:ilvl w:val="0"/>
          <w:numId w:val="3"/>
        </w:numPr>
        <w:rPr>
          <w:rFonts w:cs="Arial"/>
          <w:szCs w:val="22"/>
        </w:rPr>
      </w:pPr>
      <w:r w:rsidRPr="00244665">
        <w:rPr>
          <w:rFonts w:cs="Arial"/>
          <w:szCs w:val="22"/>
        </w:rPr>
        <w:t xml:space="preserve">The staff moved </w:t>
      </w:r>
      <w:r>
        <w:rPr>
          <w:rFonts w:cs="Arial"/>
          <w:szCs w:val="22"/>
        </w:rPr>
        <w:t xml:space="preserve">Section </w:t>
      </w:r>
      <w:r w:rsidRPr="00244665">
        <w:rPr>
          <w:rFonts w:cs="Arial"/>
          <w:szCs w:val="22"/>
        </w:rPr>
        <w:t>50.34(a)(1)(ii)(D)(</w:t>
      </w:r>
      <w:r w:rsidRPr="00ED3218">
        <w:rPr>
          <w:rFonts w:cs="Arial"/>
          <w:i/>
          <w:iCs/>
          <w:szCs w:val="22"/>
        </w:rPr>
        <w:t>2</w:t>
      </w:r>
      <w:r w:rsidRPr="00244665">
        <w:rPr>
          <w:rFonts w:cs="Arial"/>
          <w:szCs w:val="22"/>
        </w:rPr>
        <w:t xml:space="preserve">) to </w:t>
      </w:r>
      <w:r>
        <w:rPr>
          <w:rFonts w:cs="Arial"/>
          <w:szCs w:val="22"/>
        </w:rPr>
        <w:t xml:space="preserve">Section </w:t>
      </w:r>
      <w:r w:rsidRPr="00244665">
        <w:rPr>
          <w:rFonts w:cs="Arial"/>
          <w:szCs w:val="22"/>
        </w:rPr>
        <w:t>50.34(a)(1)(</w:t>
      </w:r>
      <w:r w:rsidRPr="00244665">
        <w:rPr>
          <w:rFonts w:cs="Arial"/>
          <w:szCs w:val="22"/>
        </w:rPr>
        <w:t>i</w:t>
      </w:r>
      <w:r w:rsidRPr="00244665">
        <w:rPr>
          <w:rFonts w:cs="Arial"/>
          <w:szCs w:val="22"/>
        </w:rPr>
        <w:t xml:space="preserve">) and </w:t>
      </w:r>
      <w:r>
        <w:rPr>
          <w:rFonts w:cs="Arial"/>
          <w:szCs w:val="22"/>
        </w:rPr>
        <w:t xml:space="preserve">added a </w:t>
      </w:r>
      <w:r w:rsidRPr="00244665">
        <w:rPr>
          <w:rFonts w:cs="Arial"/>
          <w:szCs w:val="22"/>
        </w:rPr>
        <w:t xml:space="preserve">new </w:t>
      </w:r>
      <w:r>
        <w:rPr>
          <w:rFonts w:cs="Arial"/>
          <w:szCs w:val="22"/>
        </w:rPr>
        <w:t xml:space="preserve">Section </w:t>
      </w:r>
      <w:r w:rsidRPr="00244665">
        <w:rPr>
          <w:rFonts w:cs="Arial"/>
          <w:szCs w:val="22"/>
        </w:rPr>
        <w:t xml:space="preserve">50.34(b)(13).  During the development of the final rule, the staff recognized that the accident dose criterion more appropriately belongs in </w:t>
      </w:r>
      <w:r>
        <w:rPr>
          <w:rFonts w:cs="Arial"/>
          <w:szCs w:val="22"/>
        </w:rPr>
        <w:t xml:space="preserve">Section </w:t>
      </w:r>
      <w:r w:rsidRPr="00244665">
        <w:rPr>
          <w:rFonts w:cs="Arial"/>
          <w:szCs w:val="22"/>
        </w:rPr>
        <w:t>50.34(a)(1)(</w:t>
      </w:r>
      <w:r w:rsidRPr="00244665">
        <w:rPr>
          <w:rFonts w:cs="Arial"/>
          <w:szCs w:val="22"/>
        </w:rPr>
        <w:t>i</w:t>
      </w:r>
      <w:r w:rsidRPr="00244665">
        <w:rPr>
          <w:rFonts w:cs="Arial"/>
          <w:szCs w:val="22"/>
        </w:rPr>
        <w:t xml:space="preserve">) because the requirements in </w:t>
      </w:r>
      <w:r>
        <w:rPr>
          <w:rFonts w:cs="Arial"/>
          <w:szCs w:val="22"/>
        </w:rPr>
        <w:t xml:space="preserve">Section </w:t>
      </w:r>
      <w:r w:rsidRPr="00244665">
        <w:rPr>
          <w:rFonts w:cs="Arial"/>
          <w:szCs w:val="22"/>
        </w:rPr>
        <w:t xml:space="preserve">50.34(a)(1)(ii) apply to power reactor construction permit applicants, while the requirements in </w:t>
      </w:r>
      <w:r>
        <w:rPr>
          <w:rFonts w:cs="Arial"/>
          <w:szCs w:val="22"/>
        </w:rPr>
        <w:t xml:space="preserve">Section </w:t>
      </w:r>
      <w:r w:rsidRPr="00244665">
        <w:rPr>
          <w:rFonts w:cs="Arial"/>
          <w:szCs w:val="22"/>
        </w:rPr>
        <w:t>50.34(a)(1)(</w:t>
      </w:r>
      <w:r w:rsidRPr="00244665">
        <w:rPr>
          <w:rFonts w:cs="Arial"/>
          <w:szCs w:val="22"/>
        </w:rPr>
        <w:t>i</w:t>
      </w:r>
      <w:r w:rsidRPr="00244665">
        <w:rPr>
          <w:rFonts w:cs="Arial"/>
          <w:szCs w:val="22"/>
        </w:rPr>
        <w:t xml:space="preserve">) apply to all other construction permit applicants, such as NPUF applicants.  Similarly, proposed </w:t>
      </w:r>
      <w:r>
        <w:rPr>
          <w:rFonts w:cs="Arial"/>
          <w:szCs w:val="22"/>
        </w:rPr>
        <w:t xml:space="preserve">Section </w:t>
      </w:r>
      <w:r w:rsidRPr="00244665">
        <w:rPr>
          <w:rFonts w:cs="Arial"/>
          <w:szCs w:val="22"/>
        </w:rPr>
        <w:t xml:space="preserve">50.34(a)(1)(ii)(D)(2) would have imposed a requirement on applications for renewed NPUF operating licenses, which more appropriately belongs in </w:t>
      </w:r>
      <w:r>
        <w:rPr>
          <w:rFonts w:cs="Arial"/>
          <w:szCs w:val="22"/>
        </w:rPr>
        <w:t xml:space="preserve">Section </w:t>
      </w:r>
      <w:r w:rsidRPr="00244665">
        <w:rPr>
          <w:rFonts w:cs="Arial"/>
          <w:szCs w:val="22"/>
        </w:rPr>
        <w:t xml:space="preserve">50.34(b).  Therefore, the staff added </w:t>
      </w:r>
      <w:r>
        <w:rPr>
          <w:rFonts w:cs="Arial"/>
          <w:szCs w:val="22"/>
        </w:rPr>
        <w:t xml:space="preserve">Section </w:t>
      </w:r>
      <w:r w:rsidRPr="00244665">
        <w:rPr>
          <w:rFonts w:cs="Arial"/>
          <w:szCs w:val="22"/>
        </w:rPr>
        <w:t xml:space="preserve">50.34(b)(13) to clarify that an application for an operating license or a renewed operating license for an NPUF </w:t>
      </w:r>
      <w:r>
        <w:rPr>
          <w:rFonts w:cs="Arial"/>
          <w:szCs w:val="22"/>
        </w:rPr>
        <w:t xml:space="preserve">must </w:t>
      </w:r>
      <w:r w:rsidRPr="00244665">
        <w:rPr>
          <w:rFonts w:cs="Arial"/>
          <w:szCs w:val="22"/>
        </w:rPr>
        <w:t xml:space="preserve">include a final evaluation of the applicable radiological consequences in </w:t>
      </w:r>
      <w:r>
        <w:rPr>
          <w:rFonts w:cs="Arial"/>
          <w:szCs w:val="22"/>
        </w:rPr>
        <w:t xml:space="preserve">Section </w:t>
      </w:r>
      <w:r w:rsidRPr="00244665">
        <w:rPr>
          <w:rFonts w:cs="Arial"/>
          <w:szCs w:val="22"/>
        </w:rPr>
        <w:t>50.34(a)(1)(</w:t>
      </w:r>
      <w:r w:rsidRPr="00244665">
        <w:rPr>
          <w:rFonts w:cs="Arial"/>
          <w:szCs w:val="22"/>
        </w:rPr>
        <w:t>i</w:t>
      </w:r>
      <w:r w:rsidRPr="00244665">
        <w:rPr>
          <w:rFonts w:cs="Arial"/>
          <w:szCs w:val="22"/>
        </w:rPr>
        <w:t>).</w:t>
      </w:r>
    </w:p>
    <w:p w:rsidR="00840553" w:rsidP="00840553" w14:paraId="5E9B57CF" w14:textId="77777777">
      <w:pPr>
        <w:pStyle w:val="PlainText"/>
        <w:rPr>
          <w:rFonts w:cs="Arial"/>
          <w:szCs w:val="22"/>
        </w:rPr>
      </w:pPr>
    </w:p>
    <w:p w:rsidR="00053F8E" w:rsidP="00840553" w14:paraId="50F071CB" w14:textId="2F33DBE8">
      <w:pPr>
        <w:pStyle w:val="PlainText"/>
        <w:rPr>
          <w:rFonts w:cs="Arial"/>
        </w:rPr>
      </w:pPr>
      <w:r w:rsidRPr="009E0532">
        <w:rPr>
          <w:rFonts w:cs="Arial"/>
        </w:rPr>
        <w:t xml:space="preserve">This supporting statement includes burden associated with information collection changes </w:t>
      </w:r>
      <w:r w:rsidR="0052622E">
        <w:rPr>
          <w:rFonts w:cs="Arial"/>
        </w:rPr>
        <w:t>to</w:t>
      </w:r>
      <w:r w:rsidRPr="009E0532">
        <w:rPr>
          <w:rFonts w:cs="Arial"/>
        </w:rPr>
        <w:t xml:space="preserve"> 10 CFR Part </w:t>
      </w:r>
      <w:r>
        <w:rPr>
          <w:rFonts w:cs="Arial"/>
        </w:rPr>
        <w:t>50</w:t>
      </w:r>
      <w:r w:rsidRPr="009E0532">
        <w:rPr>
          <w:rFonts w:cs="Arial"/>
        </w:rPr>
        <w:t xml:space="preserve"> (3150-00</w:t>
      </w:r>
      <w:r>
        <w:rPr>
          <w:rFonts w:cs="Arial"/>
        </w:rPr>
        <w:t>11</w:t>
      </w:r>
      <w:r w:rsidRPr="009E0532">
        <w:rPr>
          <w:rFonts w:cs="Arial"/>
        </w:rPr>
        <w:t xml:space="preserve">).  Due to </w:t>
      </w:r>
      <w:r>
        <w:rPr>
          <w:rFonts w:cs="Arial"/>
        </w:rPr>
        <w:t>the pending submission of the Part 50 renewal</w:t>
      </w:r>
      <w:r w:rsidRPr="009E0532">
        <w:rPr>
          <w:rFonts w:cs="Arial"/>
        </w:rPr>
        <w:t xml:space="preserve">, the information collection changes to Part </w:t>
      </w:r>
      <w:r>
        <w:rPr>
          <w:rFonts w:cs="Arial"/>
        </w:rPr>
        <w:t>50</w:t>
      </w:r>
      <w:r w:rsidRPr="009E0532">
        <w:rPr>
          <w:rFonts w:cs="Arial"/>
        </w:rPr>
        <w:t xml:space="preserve"> associated with this final rule are being submitted as a new clearance.  The NRC staff intends to transfer the burden associated with these information collections to the Part </w:t>
      </w:r>
      <w:r>
        <w:rPr>
          <w:rFonts w:cs="Arial"/>
        </w:rPr>
        <w:t>50</w:t>
      </w:r>
      <w:r w:rsidRPr="009E0532">
        <w:rPr>
          <w:rFonts w:cs="Arial"/>
        </w:rPr>
        <w:t xml:space="preserve"> clearance via </w:t>
      </w:r>
      <w:r w:rsidRPr="009E0532">
        <w:rPr>
          <w:rFonts w:cs="Arial"/>
        </w:rPr>
        <w:t>nonsubstantive</w:t>
      </w:r>
      <w:r w:rsidRPr="009E0532">
        <w:rPr>
          <w:rFonts w:cs="Arial"/>
        </w:rPr>
        <w:t xml:space="preserve"> change request.</w:t>
      </w:r>
    </w:p>
    <w:p w:rsidR="00053F8E" w:rsidP="00840553" w14:paraId="1A3DA463" w14:textId="77777777">
      <w:pPr>
        <w:pStyle w:val="PlainText"/>
        <w:rPr>
          <w:rFonts w:cs="Arial"/>
        </w:rPr>
      </w:pPr>
    </w:p>
    <w:p w:rsidR="00840553" w:rsidRPr="009E0532" w:rsidP="00840553" w14:paraId="0884977D" w14:textId="2C56CA6E">
      <w:pPr>
        <w:pStyle w:val="PlainText"/>
        <w:rPr>
          <w:rFonts w:cs="Arial"/>
        </w:rPr>
      </w:pPr>
      <w:r>
        <w:rPr>
          <w:rFonts w:cs="Arial"/>
        </w:rPr>
        <w:t>In addition, d</w:t>
      </w:r>
      <w:r w:rsidR="009A2961">
        <w:rPr>
          <w:rFonts w:cs="Arial"/>
        </w:rPr>
        <w:t>ue to the submission of another rule affecting Part 51</w:t>
      </w:r>
      <w:r w:rsidR="006A513A">
        <w:rPr>
          <w:rFonts w:cs="Arial"/>
        </w:rPr>
        <w:t>, the clarifying changes to the Part 51 information collections cannot be submitted under the Part 51 clearance (3150-0021)</w:t>
      </w:r>
      <w:r w:rsidR="000058DE">
        <w:rPr>
          <w:rFonts w:cs="Arial"/>
        </w:rPr>
        <w:t xml:space="preserve">. These changes are included in the current submission and will be transferred via </w:t>
      </w:r>
      <w:r w:rsidR="000058DE">
        <w:rPr>
          <w:rFonts w:cs="Arial"/>
        </w:rPr>
        <w:t>nonsubstantive</w:t>
      </w:r>
      <w:r w:rsidR="000058DE">
        <w:rPr>
          <w:rFonts w:cs="Arial"/>
        </w:rPr>
        <w:t xml:space="preserve"> change request</w:t>
      </w:r>
      <w:r w:rsidR="00F0444A">
        <w:rPr>
          <w:rFonts w:cs="Arial"/>
        </w:rPr>
        <w:t>.</w:t>
      </w:r>
    </w:p>
    <w:p w:rsidR="003454D4" w14:paraId="61B4507A" w14:textId="61F3D394">
      <w:pPr>
        <w:rPr>
          <w:rFonts w:ascii="Arial" w:eastAsia="Times New Roman" w:hAnsi="Arial" w:cs="Arial"/>
        </w:rPr>
      </w:pPr>
      <w:r>
        <w:rPr>
          <w:rFonts w:cs="Arial"/>
        </w:rPr>
        <w:br w:type="page"/>
      </w:r>
    </w:p>
    <w:p w:rsidR="00840553" w:rsidRPr="00044B2F" w:rsidP="00840553" w14:paraId="44C096E1" w14:textId="77777777">
      <w:pPr>
        <w:pStyle w:val="ListParagraph"/>
        <w:keepNext/>
        <w:keepLines/>
        <w:numPr>
          <w:ilvl w:val="0"/>
          <w:numId w:val="1"/>
        </w:numPr>
        <w:spacing w:after="0" w:line="240" w:lineRule="auto"/>
        <w:rPr>
          <w:rFonts w:ascii="Arial" w:hAnsi="Arial" w:cs="Arial"/>
        </w:rPr>
      </w:pPr>
      <w:r w:rsidRPr="00044B2F">
        <w:rPr>
          <w:rFonts w:ascii="Arial" w:hAnsi="Arial" w:cs="Arial"/>
        </w:rPr>
        <w:t>JUSTIFICATION</w:t>
      </w:r>
    </w:p>
    <w:p w:rsidR="00840553" w:rsidP="00840553" w14:paraId="2B68FE7F" w14:textId="77777777">
      <w:pPr>
        <w:spacing w:after="0" w:line="240" w:lineRule="auto"/>
      </w:pPr>
    </w:p>
    <w:p w:rsidR="00840553" w:rsidRPr="00F208CC" w:rsidP="00840553" w14:paraId="75F80FEC" w14:textId="77777777">
      <w:pPr>
        <w:spacing w:after="0" w:line="240" w:lineRule="auto"/>
        <w:rPr>
          <w:rFonts w:ascii="Arial" w:hAnsi="Arial" w:cs="Arial"/>
        </w:rPr>
      </w:pPr>
      <w:r w:rsidRPr="00F208CC">
        <w:rPr>
          <w:rFonts w:ascii="Arial" w:hAnsi="Arial" w:cs="Arial"/>
          <w:i/>
        </w:rPr>
        <w:t>Affected Regulated Entities</w:t>
      </w:r>
    </w:p>
    <w:p w:rsidR="00840553" w:rsidRPr="00F208CC" w:rsidP="00840553" w14:paraId="4887BD01" w14:textId="77777777">
      <w:pPr>
        <w:spacing w:after="0" w:line="240" w:lineRule="auto"/>
        <w:rPr>
          <w:rFonts w:ascii="Arial" w:hAnsi="Arial" w:cs="Arial"/>
        </w:rPr>
      </w:pPr>
    </w:p>
    <w:p w:rsidR="00840553" w:rsidP="00840553" w14:paraId="1A6ABB56" w14:textId="70E53FC1">
      <w:pPr>
        <w:keepNext/>
        <w:keepLines/>
        <w:spacing w:after="0" w:line="240" w:lineRule="auto"/>
        <w:rPr>
          <w:rFonts w:ascii="Arial" w:hAnsi="Arial" w:cs="Arial"/>
        </w:rPr>
      </w:pPr>
      <w:r w:rsidRPr="00F208CC">
        <w:rPr>
          <w:rFonts w:ascii="Arial" w:hAnsi="Arial" w:cs="Arial"/>
        </w:rPr>
        <w:t>During the 3-year period covered by this supporting statement, the final rule requires 1</w:t>
      </w:r>
      <w:r>
        <w:rPr>
          <w:rFonts w:ascii="Arial" w:hAnsi="Arial" w:cs="Arial"/>
        </w:rPr>
        <w:t>3</w:t>
      </w:r>
      <w:r w:rsidRPr="00F208CC">
        <w:rPr>
          <w:rFonts w:ascii="Arial" w:hAnsi="Arial" w:cs="Arial"/>
        </w:rPr>
        <w:t xml:space="preserve"> NPUFs to submit an updated FSAR</w:t>
      </w:r>
      <w:r w:rsidR="00D34330">
        <w:rPr>
          <w:rFonts w:ascii="Arial" w:hAnsi="Arial" w:cs="Arial"/>
        </w:rPr>
        <w:t xml:space="preserve"> under 10 CFR Part 50</w:t>
      </w:r>
      <w:r w:rsidRPr="00F208CC">
        <w:rPr>
          <w:rFonts w:ascii="Arial" w:hAnsi="Arial" w:cs="Arial"/>
        </w:rPr>
        <w:t>.  The NRC estimates that the burden incurred will vary depending on the NPUF’s power level.  Of the 1</w:t>
      </w:r>
      <w:r>
        <w:rPr>
          <w:rFonts w:ascii="Arial" w:hAnsi="Arial" w:cs="Arial"/>
        </w:rPr>
        <w:t>3</w:t>
      </w:r>
      <w:r w:rsidRPr="00F208CC">
        <w:rPr>
          <w:rFonts w:ascii="Arial" w:hAnsi="Arial" w:cs="Arial"/>
        </w:rPr>
        <w:t xml:space="preserve"> NPUFs that will submit updated FSARs during the 3-year period covered by this supporting statement</w:t>
      </w:r>
      <w:r>
        <w:rPr>
          <w:rFonts w:ascii="Arial" w:hAnsi="Arial" w:cs="Arial"/>
        </w:rPr>
        <w:t>,</w:t>
      </w:r>
      <w:r w:rsidRPr="00F208CC">
        <w:rPr>
          <w:rFonts w:ascii="Arial" w:hAnsi="Arial" w:cs="Arial"/>
        </w:rPr>
        <w:t xml:space="preserve"> </w:t>
      </w:r>
      <w:r>
        <w:rPr>
          <w:rFonts w:ascii="Arial" w:hAnsi="Arial" w:cs="Arial"/>
        </w:rPr>
        <w:t>none have a power level less than 100 kW, eleven</w:t>
      </w:r>
      <w:r w:rsidRPr="00F208CC">
        <w:rPr>
          <w:rFonts w:ascii="Arial" w:hAnsi="Arial" w:cs="Arial"/>
        </w:rPr>
        <w:t xml:space="preserve"> have a power level greater than or equal to 100 kW but less than 2,000 kW, and two have a power level greater than or equal to 2,000 kW.  The NRC assumes that the burden associated with submitting updated FSARs is greater for NPUFs with higher power levels relative to NPUFs with lower power levels.</w:t>
      </w:r>
    </w:p>
    <w:p w:rsidR="00D34330" w:rsidP="00840553" w14:paraId="0F313A0D" w14:textId="77777777">
      <w:pPr>
        <w:keepNext/>
        <w:keepLines/>
        <w:spacing w:after="0" w:line="240" w:lineRule="auto"/>
        <w:rPr>
          <w:rFonts w:ascii="Arial" w:hAnsi="Arial" w:cs="Arial"/>
        </w:rPr>
      </w:pPr>
    </w:p>
    <w:p w:rsidR="00D34330" w:rsidP="00D34330" w14:paraId="2D33184A" w14:textId="4D519BA7">
      <w:pPr>
        <w:keepNext/>
        <w:keepLines/>
        <w:spacing w:after="0" w:line="240" w:lineRule="auto"/>
        <w:rPr>
          <w:rFonts w:ascii="Arial" w:hAnsi="Arial" w:cs="Arial"/>
        </w:rPr>
      </w:pPr>
      <w:r>
        <w:rPr>
          <w:rFonts w:ascii="Arial" w:hAnsi="Arial" w:cs="Arial"/>
        </w:rPr>
        <w:t xml:space="preserve">In addition, the final rule clarifies existing environmental reporting requirements under Part 51 with respect to NPUF </w:t>
      </w:r>
      <w:r w:rsidRPr="009517EA">
        <w:rPr>
          <w:rFonts w:ascii="Arial" w:hAnsi="Arial" w:cs="Arial"/>
        </w:rPr>
        <w:t>applicants for licensing actions</w:t>
      </w:r>
      <w:r>
        <w:rPr>
          <w:rFonts w:ascii="Arial" w:hAnsi="Arial" w:cs="Arial"/>
        </w:rPr>
        <w:t xml:space="preserve">.  </w:t>
      </w:r>
    </w:p>
    <w:p w:rsidR="00D34330" w:rsidP="00840553" w14:paraId="4173FC55" w14:textId="77777777">
      <w:pPr>
        <w:keepNext/>
        <w:keepLines/>
        <w:spacing w:after="0" w:line="240" w:lineRule="auto"/>
        <w:rPr>
          <w:rFonts w:ascii="Arial" w:hAnsi="Arial" w:cs="Arial"/>
        </w:rPr>
      </w:pPr>
    </w:p>
    <w:p w:rsidR="00840553" w:rsidRPr="00F208CC" w:rsidP="00840553" w14:paraId="0BA1A245" w14:textId="77777777">
      <w:pPr>
        <w:keepNext/>
        <w:keepLines/>
        <w:spacing w:after="0" w:line="240" w:lineRule="auto"/>
        <w:rPr>
          <w:rFonts w:ascii="Arial" w:hAnsi="Arial" w:cs="Arial"/>
        </w:rPr>
      </w:pPr>
    </w:p>
    <w:p w:rsidR="00840553" w:rsidRPr="00044B2F" w:rsidP="00840553" w14:paraId="52DAE43E" w14:textId="77777777">
      <w:pPr>
        <w:pStyle w:val="ListParagraph"/>
        <w:keepNext/>
        <w:keepLines/>
        <w:numPr>
          <w:ilvl w:val="0"/>
          <w:numId w:val="2"/>
        </w:numPr>
        <w:spacing w:after="0" w:line="240" w:lineRule="auto"/>
        <w:rPr>
          <w:rFonts w:ascii="Arial" w:hAnsi="Arial" w:cs="Arial"/>
          <w:u w:val="single"/>
        </w:rPr>
      </w:pPr>
      <w:r w:rsidRPr="00083C62">
        <w:rPr>
          <w:rFonts w:ascii="Arial" w:hAnsi="Arial" w:cs="Arial"/>
          <w:u w:val="single"/>
        </w:rPr>
        <w:t>Need for the Collection</w:t>
      </w:r>
      <w:r w:rsidRPr="00044B2F">
        <w:rPr>
          <w:rFonts w:ascii="Arial" w:hAnsi="Arial" w:cs="Arial"/>
          <w:u w:val="single"/>
        </w:rPr>
        <w:t xml:space="preserve"> of Information</w:t>
      </w:r>
    </w:p>
    <w:p w:rsidR="00840553" w:rsidP="00840553" w14:paraId="3272FAB0" w14:textId="77777777">
      <w:pPr>
        <w:spacing w:after="0" w:line="240" w:lineRule="auto"/>
        <w:ind w:left="720"/>
        <w:rPr>
          <w:rFonts w:ascii="Arial" w:hAnsi="Arial" w:cs="Arial"/>
        </w:rPr>
      </w:pPr>
    </w:p>
    <w:p w:rsidR="00840553" w:rsidP="00840553" w14:paraId="0007F574" w14:textId="0A1DA720">
      <w:pPr>
        <w:spacing w:after="0" w:line="240" w:lineRule="auto"/>
        <w:ind w:left="720"/>
        <w:rPr>
          <w:rFonts w:ascii="Arial" w:hAnsi="Arial" w:cs="Arial"/>
        </w:rPr>
      </w:pPr>
      <w:r w:rsidRPr="00044B2F">
        <w:rPr>
          <w:rFonts w:ascii="Arial" w:hAnsi="Arial" w:cs="Arial"/>
        </w:rPr>
        <w:t xml:space="preserve">The </w:t>
      </w:r>
      <w:r>
        <w:rPr>
          <w:rFonts w:ascii="Arial" w:hAnsi="Arial" w:cs="Arial"/>
        </w:rPr>
        <w:t>collections</w:t>
      </w:r>
      <w:r w:rsidRPr="00044B2F">
        <w:rPr>
          <w:rFonts w:ascii="Arial" w:hAnsi="Arial" w:cs="Arial"/>
        </w:rPr>
        <w:t xml:space="preserve"> required by the </w:t>
      </w:r>
      <w:r>
        <w:rPr>
          <w:rFonts w:ascii="Arial" w:hAnsi="Arial" w:cs="Arial"/>
        </w:rPr>
        <w:t>final rule</w:t>
      </w:r>
      <w:r w:rsidRPr="00044B2F">
        <w:rPr>
          <w:rFonts w:ascii="Arial" w:hAnsi="Arial" w:cs="Arial"/>
        </w:rPr>
        <w:t xml:space="preserve"> in </w:t>
      </w:r>
      <w:r w:rsidR="004B0B2E">
        <w:rPr>
          <w:rFonts w:ascii="Arial" w:hAnsi="Arial" w:cs="Arial"/>
        </w:rPr>
        <w:t>P</w:t>
      </w:r>
      <w:r w:rsidRPr="00044B2F">
        <w:rPr>
          <w:rFonts w:ascii="Arial" w:hAnsi="Arial" w:cs="Arial"/>
        </w:rPr>
        <w:t xml:space="preserve">art 50 are necessary </w:t>
      </w:r>
      <w:r>
        <w:rPr>
          <w:rFonts w:ascii="Arial" w:hAnsi="Arial" w:cs="Arial"/>
        </w:rPr>
        <w:t>in order to</w:t>
      </w:r>
      <w:r w:rsidRPr="00044B2F">
        <w:rPr>
          <w:rFonts w:ascii="Arial" w:hAnsi="Arial" w:cs="Arial"/>
        </w:rPr>
        <w:t xml:space="preserve"> create a more efficient licensing process that continue</w:t>
      </w:r>
      <w:r>
        <w:rPr>
          <w:rFonts w:ascii="Arial" w:hAnsi="Arial" w:cs="Arial"/>
        </w:rPr>
        <w:t>s</w:t>
      </w:r>
      <w:r w:rsidRPr="00044B2F">
        <w:rPr>
          <w:rFonts w:ascii="Arial" w:hAnsi="Arial" w:cs="Arial"/>
        </w:rPr>
        <w:t xml:space="preserve"> to protect public health, safety, and the </w:t>
      </w:r>
      <w:r w:rsidRPr="00083C62">
        <w:rPr>
          <w:rFonts w:ascii="Arial" w:hAnsi="Arial" w:cs="Arial"/>
        </w:rPr>
        <w:t xml:space="preserve">environment.  Specific requirements for reports and records in the amendments to </w:t>
      </w:r>
      <w:r w:rsidR="004B0B2E">
        <w:rPr>
          <w:rFonts w:ascii="Arial" w:hAnsi="Arial" w:cs="Arial"/>
        </w:rPr>
        <w:t>P</w:t>
      </w:r>
      <w:r w:rsidRPr="00083C62">
        <w:rPr>
          <w:rFonts w:ascii="Arial" w:hAnsi="Arial" w:cs="Arial"/>
        </w:rPr>
        <w:t>art 50 are identified below.</w:t>
      </w:r>
      <w:r>
        <w:rPr>
          <w:rFonts w:ascii="Arial" w:hAnsi="Arial" w:cs="Arial"/>
        </w:rPr>
        <w:t xml:space="preserve">  For many of these provisions, the final rule affects the number of respondents.  The final rule causes the following changes to respondents:</w:t>
      </w:r>
    </w:p>
    <w:p w:rsidR="00840553" w:rsidP="00840553" w14:paraId="4C600981" w14:textId="77777777">
      <w:pPr>
        <w:spacing w:after="0" w:line="240" w:lineRule="auto"/>
        <w:ind w:left="720"/>
        <w:rPr>
          <w:rFonts w:ascii="Arial" w:hAnsi="Arial" w:cs="Arial"/>
        </w:rPr>
      </w:pPr>
    </w:p>
    <w:p w:rsidR="00840553" w:rsidRPr="001D7059" w:rsidP="00840553" w14:paraId="1B5973B5" w14:textId="77777777">
      <w:pPr>
        <w:pStyle w:val="ListParagraph"/>
        <w:numPr>
          <w:ilvl w:val="0"/>
          <w:numId w:val="4"/>
        </w:numPr>
        <w:spacing w:after="0" w:line="240" w:lineRule="auto"/>
        <w:ind w:left="1080"/>
        <w:rPr>
          <w:rFonts w:ascii="Arial" w:hAnsi="Arial" w:cs="Arial"/>
        </w:rPr>
      </w:pPr>
      <w:r w:rsidRPr="001D7059">
        <w:rPr>
          <w:rFonts w:ascii="Arial" w:hAnsi="Arial" w:cs="Arial"/>
        </w:rPr>
        <w:t>Prior to the final rule, non-power production or utilization facilities incurred information collection burdens</w:t>
      </w:r>
      <w:r>
        <w:rPr>
          <w:rFonts w:ascii="Arial" w:hAnsi="Arial" w:cs="Arial"/>
        </w:rPr>
        <w:t xml:space="preserve"> to submit financial qualification information</w:t>
      </w:r>
      <w:r w:rsidRPr="001D7059">
        <w:rPr>
          <w:rFonts w:ascii="Arial" w:hAnsi="Arial" w:cs="Arial"/>
        </w:rPr>
        <w:t xml:space="preserve"> at the time of license renewal under Section 50.33(f).  Under the final rule, non-power production or utilization facilities will no longer incur information collection burden at the time of license renewal under Section 50.33(f).  Under this provision, power reactor and non-power production or utilization facility licensees will continue to incur information collection burden during the operating license application stage.</w:t>
      </w:r>
    </w:p>
    <w:p w:rsidR="00840553" w:rsidP="00840553" w14:paraId="51B89FB3" w14:textId="77777777">
      <w:pPr>
        <w:spacing w:after="0" w:line="240" w:lineRule="auto"/>
        <w:ind w:left="1080"/>
        <w:rPr>
          <w:rFonts w:ascii="Arial" w:hAnsi="Arial" w:cs="Arial"/>
        </w:rPr>
      </w:pPr>
    </w:p>
    <w:p w:rsidR="00840553" w:rsidRPr="001D7059" w:rsidP="00840553" w14:paraId="32D371AA" w14:textId="77777777">
      <w:pPr>
        <w:pStyle w:val="ListParagraph"/>
        <w:numPr>
          <w:ilvl w:val="0"/>
          <w:numId w:val="4"/>
        </w:numPr>
        <w:spacing w:after="0" w:line="240" w:lineRule="auto"/>
        <w:ind w:left="1080"/>
        <w:rPr>
          <w:rFonts w:ascii="Arial" w:hAnsi="Arial" w:cs="Arial"/>
        </w:rPr>
      </w:pPr>
      <w:r w:rsidRPr="001D7059">
        <w:rPr>
          <w:rFonts w:ascii="Arial" w:hAnsi="Arial" w:cs="Arial"/>
        </w:rPr>
        <w:t xml:space="preserve">Prior to the final rule, power reactor and non-power production or utilization facility licensees incurred information collection burden </w:t>
      </w:r>
      <w:r w:rsidRPr="001D7059">
        <w:rPr>
          <w:rFonts w:ascii="Arial" w:hAnsi="Arial" w:cs="Arial"/>
        </w:rPr>
        <w:t>as a result of</w:t>
      </w:r>
      <w:r w:rsidRPr="001D7059">
        <w:rPr>
          <w:rFonts w:ascii="Arial" w:hAnsi="Arial" w:cs="Arial"/>
        </w:rPr>
        <w:t xml:space="preserve"> Section 50.</w:t>
      </w:r>
      <w:r>
        <w:rPr>
          <w:rFonts w:ascii="Arial" w:hAnsi="Arial" w:cs="Arial"/>
        </w:rPr>
        <w:t>33</w:t>
      </w:r>
      <w:r w:rsidRPr="001D7059">
        <w:rPr>
          <w:rFonts w:ascii="Arial" w:hAnsi="Arial" w:cs="Arial"/>
        </w:rPr>
        <w:t xml:space="preserve">.  Under the final rule, NPUFs licensed under </w:t>
      </w:r>
      <w:r>
        <w:rPr>
          <w:rFonts w:ascii="Arial" w:hAnsi="Arial" w:cs="Arial"/>
        </w:rPr>
        <w:t>Section</w:t>
      </w:r>
      <w:r w:rsidRPr="001D7059">
        <w:rPr>
          <w:rFonts w:ascii="Arial" w:hAnsi="Arial" w:cs="Arial"/>
        </w:rPr>
        <w:t xml:space="preserve"> 50.21(a) or (c), other than testing facilities, will no longer incur information collection burden.</w:t>
      </w:r>
    </w:p>
    <w:p w:rsidR="00840553" w:rsidP="00840553" w14:paraId="74BC6637" w14:textId="77777777">
      <w:pPr>
        <w:spacing w:after="0" w:line="240" w:lineRule="auto"/>
        <w:ind w:left="1080"/>
        <w:rPr>
          <w:rFonts w:ascii="Arial" w:hAnsi="Arial" w:cs="Arial"/>
        </w:rPr>
      </w:pPr>
    </w:p>
    <w:p w:rsidR="00840553" w:rsidRPr="001D7059" w:rsidP="00840553" w14:paraId="7AAA358D" w14:textId="77777777">
      <w:pPr>
        <w:pStyle w:val="ListParagraph"/>
        <w:numPr>
          <w:ilvl w:val="0"/>
          <w:numId w:val="4"/>
        </w:numPr>
        <w:spacing w:after="0" w:line="240" w:lineRule="auto"/>
        <w:ind w:left="1080"/>
        <w:rPr>
          <w:rFonts w:ascii="Arial" w:hAnsi="Arial" w:cs="Arial"/>
        </w:rPr>
      </w:pPr>
      <w:r w:rsidRPr="001D7059">
        <w:rPr>
          <w:rFonts w:ascii="Arial" w:hAnsi="Arial" w:cs="Arial"/>
        </w:rPr>
        <w:t>Prior to the final rule, power reactor and non-power production or utilization facility licensees incurred information collection burden under Section 50.59</w:t>
      </w:r>
      <w:r>
        <w:rPr>
          <w:rFonts w:ascii="Arial" w:hAnsi="Arial" w:cs="Arial"/>
        </w:rPr>
        <w:t xml:space="preserve"> to make updates to their Final Safety Analysis Reports</w:t>
      </w:r>
      <w:r w:rsidRPr="001D7059">
        <w:rPr>
          <w:rFonts w:ascii="Arial" w:hAnsi="Arial" w:cs="Arial"/>
        </w:rPr>
        <w:t>.  Under the final rule, NPUFs that have permanently ceased operations and that no longer have fuel on site also may incur information collection burden.</w:t>
      </w:r>
    </w:p>
    <w:p w:rsidR="00840553" w:rsidP="00840553" w14:paraId="6ED55FE0" w14:textId="77777777">
      <w:pPr>
        <w:spacing w:after="0" w:line="240" w:lineRule="auto"/>
        <w:ind w:left="1080"/>
        <w:rPr>
          <w:rFonts w:ascii="Arial" w:hAnsi="Arial" w:cs="Arial"/>
        </w:rPr>
      </w:pPr>
    </w:p>
    <w:p w:rsidR="00840553" w:rsidRPr="001D7059" w:rsidP="00840553" w14:paraId="0ACC05BF" w14:textId="77777777">
      <w:pPr>
        <w:pStyle w:val="ListParagraph"/>
        <w:numPr>
          <w:ilvl w:val="0"/>
          <w:numId w:val="4"/>
        </w:numPr>
        <w:spacing w:after="0" w:line="240" w:lineRule="auto"/>
        <w:ind w:left="1080"/>
        <w:rPr>
          <w:rFonts w:ascii="Arial" w:hAnsi="Arial" w:cs="Arial"/>
        </w:rPr>
      </w:pPr>
      <w:r w:rsidRPr="001D7059">
        <w:rPr>
          <w:rFonts w:ascii="Arial" w:hAnsi="Arial" w:cs="Arial"/>
        </w:rPr>
        <w:t>Prior to the final rule, non-power reactor licensees incurred information collection burden under Section 50.75 and Section 50.82</w:t>
      </w:r>
      <w:r>
        <w:rPr>
          <w:rFonts w:ascii="Arial" w:hAnsi="Arial" w:cs="Arial"/>
        </w:rPr>
        <w:t xml:space="preserve"> for reporting and recordkeeping for decommissioning planning and termination</w:t>
      </w:r>
      <w:r w:rsidRPr="001D7059">
        <w:rPr>
          <w:rFonts w:ascii="Arial" w:hAnsi="Arial" w:cs="Arial"/>
        </w:rPr>
        <w:t xml:space="preserve">.  Under the final rule, all non-power production or utilization facility licensees may incur information collection burden. </w:t>
      </w:r>
    </w:p>
    <w:p w:rsidR="00840553" w:rsidP="00840553" w14:paraId="50051D1E" w14:textId="77777777">
      <w:pPr>
        <w:spacing w:after="0" w:line="240" w:lineRule="auto"/>
        <w:rPr>
          <w:rFonts w:ascii="Arial" w:hAnsi="Arial" w:cs="Arial"/>
        </w:rPr>
      </w:pPr>
    </w:p>
    <w:p w:rsidR="00840553" w:rsidRPr="00044B2F" w:rsidP="00840553" w14:paraId="6F3AF298" w14:textId="77777777">
      <w:pPr>
        <w:spacing w:after="0" w:line="240" w:lineRule="auto"/>
        <w:ind w:left="720"/>
        <w:rPr>
          <w:rFonts w:ascii="Arial" w:hAnsi="Arial" w:cs="Arial"/>
        </w:rPr>
      </w:pPr>
      <w:r w:rsidRPr="00044B2F">
        <w:rPr>
          <w:rFonts w:ascii="Arial" w:hAnsi="Arial" w:cs="Arial"/>
          <w:u w:val="single"/>
        </w:rPr>
        <w:t>Section 50.33</w:t>
      </w:r>
      <w:r>
        <w:rPr>
          <w:rFonts w:ascii="Arial" w:hAnsi="Arial" w:cs="Arial"/>
          <w:u w:val="single"/>
        </w:rPr>
        <w:t>(f)</w:t>
      </w:r>
      <w:r w:rsidRPr="00044B2F">
        <w:rPr>
          <w:rFonts w:ascii="Arial" w:hAnsi="Arial" w:cs="Arial"/>
        </w:rPr>
        <w:t xml:space="preserve"> eliminate</w:t>
      </w:r>
      <w:r>
        <w:rPr>
          <w:rFonts w:ascii="Arial" w:hAnsi="Arial" w:cs="Arial"/>
        </w:rPr>
        <w:t>s</w:t>
      </w:r>
      <w:r w:rsidRPr="00044B2F">
        <w:rPr>
          <w:rFonts w:ascii="Arial" w:hAnsi="Arial" w:cs="Arial"/>
        </w:rPr>
        <w:t xml:space="preserve"> the requirement that </w:t>
      </w:r>
      <w:r>
        <w:rPr>
          <w:rFonts w:ascii="Arial" w:hAnsi="Arial" w:cs="Arial"/>
        </w:rPr>
        <w:t xml:space="preserve">NPUF </w:t>
      </w:r>
      <w:r w:rsidRPr="00044B2F">
        <w:rPr>
          <w:rFonts w:ascii="Arial" w:hAnsi="Arial" w:cs="Arial"/>
        </w:rPr>
        <w:t xml:space="preserve">applicants submit in their license renewal application financial information equivalent to what is included at the time of initial licensing. </w:t>
      </w:r>
      <w:r>
        <w:rPr>
          <w:rFonts w:ascii="Arial" w:hAnsi="Arial" w:cs="Arial"/>
        </w:rPr>
        <w:t xml:space="preserve"> </w:t>
      </w:r>
      <w:r w:rsidRPr="408A3737">
        <w:rPr>
          <w:rFonts w:ascii="Arial" w:hAnsi="Arial" w:cs="Arial"/>
        </w:rPr>
        <w:t xml:space="preserve">There </w:t>
      </w:r>
      <w:r>
        <w:rPr>
          <w:rFonts w:ascii="Arial" w:hAnsi="Arial" w:cs="Arial"/>
        </w:rPr>
        <w:t xml:space="preserve">is </w:t>
      </w:r>
      <w:r w:rsidRPr="408A3737">
        <w:rPr>
          <w:rFonts w:ascii="Arial" w:hAnsi="Arial" w:cs="Arial"/>
        </w:rPr>
        <w:t xml:space="preserve">a </w:t>
      </w:r>
      <w:r>
        <w:rPr>
          <w:rFonts w:ascii="Arial" w:hAnsi="Arial" w:cs="Arial"/>
        </w:rPr>
        <w:t xml:space="preserve">reduction in </w:t>
      </w:r>
      <w:r w:rsidRPr="408A3737">
        <w:rPr>
          <w:rFonts w:ascii="Arial" w:hAnsi="Arial" w:cs="Arial"/>
        </w:rPr>
        <w:t>reporting burden imposed by this provision</w:t>
      </w:r>
      <w:r>
        <w:rPr>
          <w:rFonts w:ascii="Arial" w:hAnsi="Arial" w:cs="Arial"/>
        </w:rPr>
        <w:t xml:space="preserve">.  However, because no licensees are expected to trigger these information collection requirements during the 3-year period covered by this supporting statement, there is no change to the </w:t>
      </w:r>
      <w:r w:rsidRPr="1300CC48">
        <w:rPr>
          <w:rFonts w:ascii="Arial" w:hAnsi="Arial" w:cs="Arial"/>
        </w:rPr>
        <w:t>information collection</w:t>
      </w:r>
      <w:r>
        <w:rPr>
          <w:rFonts w:ascii="Arial" w:hAnsi="Arial" w:cs="Arial"/>
        </w:rPr>
        <w:t xml:space="preserve"> burden</w:t>
      </w:r>
      <w:r w:rsidRPr="1300CC48">
        <w:rPr>
          <w:rFonts w:ascii="Arial" w:hAnsi="Arial" w:cs="Arial"/>
        </w:rPr>
        <w:t xml:space="preserve"> in 10 CFR Part 50</w:t>
      </w:r>
      <w:r>
        <w:rPr>
          <w:rFonts w:ascii="Arial" w:hAnsi="Arial" w:cs="Arial"/>
        </w:rPr>
        <w:t xml:space="preserve">. </w:t>
      </w:r>
      <w:r w:rsidRPr="00044B2F">
        <w:rPr>
          <w:rFonts w:ascii="Arial" w:hAnsi="Arial" w:cs="Arial"/>
        </w:rPr>
        <w:t xml:space="preserve"> </w:t>
      </w:r>
      <w:r>
        <w:rPr>
          <w:rFonts w:ascii="Arial" w:hAnsi="Arial" w:cs="Arial"/>
        </w:rPr>
        <w:t>(Change in Respondents</w:t>
      </w:r>
      <w:r w:rsidRPr="00044B2F">
        <w:rPr>
          <w:rFonts w:ascii="Arial" w:hAnsi="Arial" w:cs="Arial"/>
        </w:rPr>
        <w:t>)</w:t>
      </w:r>
    </w:p>
    <w:p w:rsidR="00840553" w:rsidP="00840553" w14:paraId="4379A43C" w14:textId="77777777">
      <w:pPr>
        <w:spacing w:after="0" w:line="240" w:lineRule="auto"/>
        <w:ind w:left="720"/>
        <w:rPr>
          <w:rFonts w:ascii="Arial" w:hAnsi="Arial" w:cs="Arial"/>
          <w:u w:val="single"/>
        </w:rPr>
      </w:pPr>
    </w:p>
    <w:p w:rsidR="00840553" w:rsidP="00840553" w14:paraId="2C9E64BE" w14:textId="77777777">
      <w:pPr>
        <w:spacing w:after="0" w:line="240" w:lineRule="auto"/>
        <w:ind w:left="720"/>
        <w:rPr>
          <w:rFonts w:ascii="Arial" w:hAnsi="Arial" w:cs="Arial"/>
        </w:rPr>
      </w:pPr>
      <w:r w:rsidRPr="00044B2F">
        <w:rPr>
          <w:rFonts w:ascii="Arial" w:hAnsi="Arial" w:cs="Arial"/>
          <w:u w:val="single"/>
        </w:rPr>
        <w:t xml:space="preserve">Section </w:t>
      </w:r>
      <w:r>
        <w:rPr>
          <w:rFonts w:ascii="Arial" w:hAnsi="Arial" w:cs="Arial"/>
          <w:u w:val="single"/>
        </w:rPr>
        <w:t>50.34(a)</w:t>
      </w:r>
      <w:r w:rsidRPr="00B746DD">
        <w:rPr>
          <w:rFonts w:ascii="Arial" w:hAnsi="Arial" w:cs="Arial"/>
        </w:rPr>
        <w:t xml:space="preserve"> </w:t>
      </w:r>
      <w:r>
        <w:rPr>
          <w:rFonts w:ascii="Arial" w:hAnsi="Arial" w:cs="Arial"/>
        </w:rPr>
        <w:t xml:space="preserve">establishes an accident dose criterion for NPUFs, other than testing facilities.  </w:t>
      </w:r>
      <w:r w:rsidRPr="408A3737">
        <w:rPr>
          <w:rFonts w:ascii="Arial" w:hAnsi="Arial" w:cs="Arial"/>
        </w:rPr>
        <w:t xml:space="preserve">Resulting changes to </w:t>
      </w:r>
      <w:r>
        <w:rPr>
          <w:rFonts w:ascii="Arial" w:hAnsi="Arial" w:cs="Arial"/>
        </w:rPr>
        <w:t xml:space="preserve">accident analyses submitted with license applications do not </w:t>
      </w:r>
      <w:r w:rsidRPr="408A3737">
        <w:rPr>
          <w:rFonts w:ascii="Arial" w:hAnsi="Arial" w:cs="Arial"/>
        </w:rPr>
        <w:t>impose additional recordkeeping or reporting burden beyond what is currently required of licensees</w:t>
      </w:r>
      <w:r>
        <w:rPr>
          <w:rFonts w:ascii="Arial" w:hAnsi="Arial" w:cs="Arial"/>
        </w:rPr>
        <w:t>.  (Amended)</w:t>
      </w:r>
    </w:p>
    <w:p w:rsidR="00840553" w:rsidP="00840553" w14:paraId="538BA9C9" w14:textId="77777777">
      <w:pPr>
        <w:spacing w:after="0" w:line="240" w:lineRule="auto"/>
        <w:ind w:left="720"/>
        <w:rPr>
          <w:rFonts w:ascii="Arial" w:hAnsi="Arial" w:cs="Arial"/>
          <w:u w:val="single"/>
        </w:rPr>
      </w:pPr>
    </w:p>
    <w:p w:rsidR="00840553" w:rsidRPr="00044B2F" w:rsidP="00840553" w14:paraId="2FFD58EA" w14:textId="77777777">
      <w:pPr>
        <w:spacing w:after="0" w:line="240" w:lineRule="auto"/>
        <w:ind w:left="720"/>
        <w:rPr>
          <w:rFonts w:ascii="Arial" w:hAnsi="Arial" w:cs="Arial"/>
        </w:rPr>
      </w:pPr>
      <w:r w:rsidRPr="00044B2F">
        <w:rPr>
          <w:rFonts w:ascii="Arial" w:hAnsi="Arial" w:cs="Arial"/>
          <w:u w:val="single"/>
        </w:rPr>
        <w:t>Section 50.51(c)</w:t>
      </w:r>
      <w:r w:rsidRPr="00044B2F">
        <w:rPr>
          <w:rFonts w:ascii="Arial" w:hAnsi="Arial" w:cs="Arial"/>
        </w:rPr>
        <w:t xml:space="preserve"> </w:t>
      </w:r>
      <w:r>
        <w:rPr>
          <w:rFonts w:ascii="Arial" w:hAnsi="Arial" w:cs="Arial"/>
        </w:rPr>
        <w:t>eliminates license terms for</w:t>
      </w:r>
      <w:r w:rsidRPr="00044B2F">
        <w:rPr>
          <w:rFonts w:ascii="Arial" w:hAnsi="Arial" w:cs="Arial"/>
        </w:rPr>
        <w:t xml:space="preserve"> NPUFs</w:t>
      </w:r>
      <w:r w:rsidRPr="004F0820">
        <w:t xml:space="preserve"> </w:t>
      </w:r>
      <w:r w:rsidRPr="004F0820">
        <w:rPr>
          <w:rFonts w:ascii="Arial" w:hAnsi="Arial" w:cs="Arial"/>
        </w:rPr>
        <w:t xml:space="preserve">licensed under </w:t>
      </w:r>
      <w:r>
        <w:rPr>
          <w:rFonts w:ascii="Arial" w:hAnsi="Arial" w:cs="Arial"/>
        </w:rPr>
        <w:t>Section</w:t>
      </w:r>
      <w:r w:rsidRPr="004F0820">
        <w:rPr>
          <w:rFonts w:ascii="Arial" w:hAnsi="Arial" w:cs="Arial"/>
        </w:rPr>
        <w:t xml:space="preserve"> 50.21(a) or (c)</w:t>
      </w:r>
      <w:r w:rsidRPr="00044B2F">
        <w:rPr>
          <w:rFonts w:ascii="Arial" w:hAnsi="Arial" w:cs="Arial"/>
        </w:rPr>
        <w:t xml:space="preserve">, other than testing facilities. </w:t>
      </w:r>
      <w:r>
        <w:rPr>
          <w:rFonts w:ascii="Arial" w:hAnsi="Arial" w:cs="Arial"/>
        </w:rPr>
        <w:t xml:space="preserve"> </w:t>
      </w:r>
      <w:r w:rsidRPr="00044B2F">
        <w:rPr>
          <w:rFonts w:ascii="Arial" w:hAnsi="Arial" w:cs="Arial"/>
        </w:rPr>
        <w:t>These license</w:t>
      </w:r>
      <w:r>
        <w:rPr>
          <w:rFonts w:ascii="Arial" w:hAnsi="Arial" w:cs="Arial"/>
        </w:rPr>
        <w:t>e</w:t>
      </w:r>
      <w:r w:rsidRPr="00044B2F">
        <w:rPr>
          <w:rFonts w:ascii="Arial" w:hAnsi="Arial" w:cs="Arial"/>
        </w:rPr>
        <w:t xml:space="preserve">s </w:t>
      </w:r>
      <w:r>
        <w:rPr>
          <w:rFonts w:ascii="Arial" w:hAnsi="Arial" w:cs="Arial"/>
        </w:rPr>
        <w:t>are no longer</w:t>
      </w:r>
      <w:r w:rsidRPr="00044B2F">
        <w:rPr>
          <w:rFonts w:ascii="Arial" w:hAnsi="Arial" w:cs="Arial"/>
        </w:rPr>
        <w:t xml:space="preserve"> required to submit license renewal applications</w:t>
      </w:r>
      <w:r>
        <w:rPr>
          <w:rFonts w:ascii="Arial" w:hAnsi="Arial" w:cs="Arial"/>
        </w:rPr>
        <w:t xml:space="preserve"> under Section 50.33.  However, because no licensees are expected to trigger these information collection requirements during the 3-year period covered by this supporting statement, there is no change to the </w:t>
      </w:r>
      <w:r w:rsidRPr="1300CC48">
        <w:rPr>
          <w:rFonts w:ascii="Arial" w:hAnsi="Arial" w:cs="Arial"/>
        </w:rPr>
        <w:t>information collection</w:t>
      </w:r>
      <w:r>
        <w:rPr>
          <w:rFonts w:ascii="Arial" w:hAnsi="Arial" w:cs="Arial"/>
        </w:rPr>
        <w:t xml:space="preserve"> burden</w:t>
      </w:r>
      <w:r w:rsidRPr="1300CC48">
        <w:rPr>
          <w:rFonts w:ascii="Arial" w:hAnsi="Arial" w:cs="Arial"/>
        </w:rPr>
        <w:t xml:space="preserve"> in 10 CFR Part 50</w:t>
      </w:r>
      <w:r>
        <w:rPr>
          <w:rFonts w:ascii="Arial" w:hAnsi="Arial" w:cs="Arial"/>
        </w:rPr>
        <w:t xml:space="preserve">. </w:t>
      </w:r>
      <w:r w:rsidRPr="00044B2F">
        <w:rPr>
          <w:rFonts w:ascii="Arial" w:hAnsi="Arial" w:cs="Arial"/>
        </w:rPr>
        <w:t xml:space="preserve"> </w:t>
      </w:r>
      <w:r>
        <w:rPr>
          <w:rFonts w:ascii="Arial" w:hAnsi="Arial" w:cs="Arial"/>
        </w:rPr>
        <w:t>(Change in Respondents</w:t>
      </w:r>
      <w:r w:rsidRPr="00044B2F">
        <w:rPr>
          <w:rFonts w:ascii="Arial" w:hAnsi="Arial" w:cs="Arial"/>
        </w:rPr>
        <w:t>)</w:t>
      </w:r>
    </w:p>
    <w:p w:rsidR="00840553" w:rsidP="00840553" w14:paraId="2548DB22" w14:textId="77777777">
      <w:pPr>
        <w:spacing w:after="0" w:line="240" w:lineRule="auto"/>
        <w:ind w:left="720"/>
        <w:rPr>
          <w:rFonts w:ascii="Arial" w:hAnsi="Arial" w:cs="Arial"/>
          <w:u w:val="single"/>
        </w:rPr>
      </w:pPr>
    </w:p>
    <w:p w:rsidR="00840553" w:rsidP="00840553" w14:paraId="770B5DD2" w14:textId="77777777">
      <w:pPr>
        <w:spacing w:after="0" w:line="240" w:lineRule="auto"/>
        <w:ind w:left="720"/>
        <w:rPr>
          <w:rFonts w:ascii="Arial" w:hAnsi="Arial" w:cs="Arial"/>
        </w:rPr>
      </w:pPr>
      <w:r w:rsidRPr="00044B2F">
        <w:rPr>
          <w:rFonts w:ascii="Arial" w:hAnsi="Arial" w:cs="Arial"/>
          <w:u w:val="single"/>
        </w:rPr>
        <w:t>Section 50.59(b)</w:t>
      </w:r>
      <w:r w:rsidRPr="00DE7E28">
        <w:rPr>
          <w:rFonts w:ascii="Arial" w:hAnsi="Arial"/>
        </w:rPr>
        <w:t xml:space="preserve"> </w:t>
      </w:r>
      <w:r w:rsidRPr="00044B2F">
        <w:rPr>
          <w:rFonts w:ascii="Arial" w:hAnsi="Arial" w:cs="Arial"/>
        </w:rPr>
        <w:t>extend</w:t>
      </w:r>
      <w:r>
        <w:rPr>
          <w:rFonts w:ascii="Arial" w:hAnsi="Arial" w:cs="Arial"/>
        </w:rPr>
        <w:t>s</w:t>
      </w:r>
      <w:r w:rsidRPr="00044B2F">
        <w:rPr>
          <w:rFonts w:ascii="Arial" w:hAnsi="Arial" w:cs="Arial"/>
        </w:rPr>
        <w:t xml:space="preserve"> the applicability of </w:t>
      </w:r>
      <w:r>
        <w:rPr>
          <w:rFonts w:ascii="Arial" w:hAnsi="Arial" w:cs="Arial"/>
        </w:rPr>
        <w:t xml:space="preserve">Section 50.59 to NPUFs that have permanently ceased operations and that no longer have fuel (e.g., they have returned </w:t>
      </w:r>
      <w:r>
        <w:rPr>
          <w:rFonts w:ascii="Arial" w:hAnsi="Arial" w:cs="Arial"/>
        </w:rPr>
        <w:t>all of</w:t>
      </w:r>
      <w:r>
        <w:rPr>
          <w:rFonts w:ascii="Arial" w:hAnsi="Arial" w:cs="Arial"/>
        </w:rPr>
        <w:t xml:space="preserve"> their fuel to the U.S. Department of Energy).  Prior to the final rule, licensees were required to request a license amendment under Section 50.90 to add a license condition.  Because the licensees in these circumstances will submit information under Section 50.59(b) and not Section 50.90, there is an offsetting burden.  However, because no licensees are expected to trigger these information collection requirements during the 3</w:t>
      </w:r>
      <w:r>
        <w:rPr>
          <w:rFonts w:ascii="Arial" w:hAnsi="Arial" w:cs="Arial"/>
        </w:rPr>
        <w:noBreakHyphen/>
        <w:t xml:space="preserve">year period covered by this supporting statement, there is no change to the </w:t>
      </w:r>
      <w:r w:rsidRPr="1300CC48">
        <w:rPr>
          <w:rFonts w:ascii="Arial" w:hAnsi="Arial" w:cs="Arial"/>
        </w:rPr>
        <w:t>information collection</w:t>
      </w:r>
      <w:r>
        <w:rPr>
          <w:rFonts w:ascii="Arial" w:hAnsi="Arial" w:cs="Arial"/>
        </w:rPr>
        <w:t xml:space="preserve"> burden</w:t>
      </w:r>
      <w:r w:rsidRPr="1300CC48">
        <w:rPr>
          <w:rFonts w:ascii="Arial" w:hAnsi="Arial" w:cs="Arial"/>
        </w:rPr>
        <w:t xml:space="preserve"> in 10 CFR Part 50</w:t>
      </w:r>
      <w:r>
        <w:rPr>
          <w:rFonts w:ascii="Arial" w:hAnsi="Arial" w:cs="Arial"/>
        </w:rPr>
        <w:t>.  (Change in Respondents)</w:t>
      </w:r>
    </w:p>
    <w:p w:rsidR="00840553" w:rsidP="00840553" w14:paraId="0A1B4385" w14:textId="77777777">
      <w:pPr>
        <w:spacing w:after="0" w:line="240" w:lineRule="auto"/>
        <w:ind w:left="720"/>
        <w:rPr>
          <w:rFonts w:ascii="Arial" w:hAnsi="Arial" w:cs="Arial"/>
        </w:rPr>
      </w:pPr>
    </w:p>
    <w:p w:rsidR="00840553" w:rsidP="00840553" w14:paraId="52F9ED1A" w14:textId="77777777">
      <w:pPr>
        <w:spacing w:after="0" w:line="240" w:lineRule="auto"/>
        <w:ind w:left="720"/>
        <w:rPr>
          <w:rFonts w:ascii="Arial" w:hAnsi="Arial" w:cs="Arial"/>
        </w:rPr>
      </w:pPr>
      <w:r w:rsidRPr="00044B2F">
        <w:rPr>
          <w:rFonts w:ascii="Arial" w:hAnsi="Arial" w:cs="Arial"/>
          <w:u w:val="single"/>
        </w:rPr>
        <w:t xml:space="preserve">Section </w:t>
      </w:r>
      <w:r w:rsidRPr="00C949E7">
        <w:rPr>
          <w:rFonts w:ascii="Arial" w:hAnsi="Arial" w:cs="Arial"/>
          <w:u w:val="single"/>
        </w:rPr>
        <w:t>50.71(e)</w:t>
      </w:r>
      <w:r w:rsidRPr="00C949E7">
        <w:rPr>
          <w:rFonts w:ascii="Arial" w:hAnsi="Arial" w:cs="Arial"/>
        </w:rPr>
        <w:t xml:space="preserve"> require</w:t>
      </w:r>
      <w:r>
        <w:rPr>
          <w:rFonts w:ascii="Arial" w:hAnsi="Arial" w:cs="Arial"/>
        </w:rPr>
        <w:t>s</w:t>
      </w:r>
      <w:r w:rsidRPr="00C949E7">
        <w:rPr>
          <w:rFonts w:ascii="Arial" w:hAnsi="Arial" w:cs="Arial"/>
        </w:rPr>
        <w:t xml:space="preserve"> all NPUF licensees to submit </w:t>
      </w:r>
      <w:r>
        <w:rPr>
          <w:rFonts w:ascii="Arial" w:hAnsi="Arial" w:cs="Arial"/>
        </w:rPr>
        <w:t xml:space="preserve">updated </w:t>
      </w:r>
      <w:r w:rsidRPr="00C949E7">
        <w:rPr>
          <w:rFonts w:ascii="Arial" w:hAnsi="Arial" w:cs="Arial"/>
        </w:rPr>
        <w:t xml:space="preserve">FSAR </w:t>
      </w:r>
      <w:r>
        <w:rPr>
          <w:rFonts w:ascii="Arial" w:hAnsi="Arial" w:cs="Arial"/>
        </w:rPr>
        <w:t xml:space="preserve">and subsequent FSAR </w:t>
      </w:r>
      <w:r w:rsidRPr="00C949E7">
        <w:rPr>
          <w:rFonts w:ascii="Arial" w:hAnsi="Arial" w:cs="Arial"/>
        </w:rPr>
        <w:t>updates to the NRC</w:t>
      </w:r>
      <w:r>
        <w:rPr>
          <w:rFonts w:ascii="Arial" w:hAnsi="Arial" w:cs="Arial"/>
        </w:rPr>
        <w:t xml:space="preserve"> at intervals not to exceed</w:t>
      </w:r>
      <w:r w:rsidRPr="00C949E7">
        <w:rPr>
          <w:rFonts w:ascii="Arial" w:hAnsi="Arial" w:cs="Arial"/>
        </w:rPr>
        <w:t xml:space="preserve"> five years. </w:t>
      </w:r>
      <w:r>
        <w:rPr>
          <w:rFonts w:ascii="Arial" w:hAnsi="Arial" w:cs="Arial"/>
        </w:rPr>
        <w:t xml:space="preserve"> Prior to the final rule, NPUF licensees were only required to submit an updated FSAR at the time of license renewal.  The final rule results in an increased recordkeeping and reporting burden.  (New)</w:t>
      </w:r>
    </w:p>
    <w:p w:rsidR="00840553" w:rsidP="00840553" w14:paraId="5909E997" w14:textId="77777777">
      <w:pPr>
        <w:spacing w:after="0" w:line="240" w:lineRule="auto"/>
        <w:rPr>
          <w:rFonts w:ascii="Arial" w:hAnsi="Arial" w:cs="Arial"/>
        </w:rPr>
      </w:pPr>
    </w:p>
    <w:p w:rsidR="00840553" w:rsidP="00840553" w14:paraId="6C533C51" w14:textId="77777777">
      <w:pPr>
        <w:spacing w:after="0" w:line="240" w:lineRule="auto"/>
        <w:ind w:left="720"/>
        <w:rPr>
          <w:rFonts w:ascii="Arial" w:hAnsi="Arial" w:cs="Arial"/>
        </w:rPr>
      </w:pPr>
      <w:r w:rsidRPr="00044B2F">
        <w:rPr>
          <w:rFonts w:ascii="Arial" w:hAnsi="Arial" w:cs="Arial"/>
          <w:u w:val="single"/>
        </w:rPr>
        <w:t xml:space="preserve">Section </w:t>
      </w:r>
      <w:r w:rsidRPr="006C0007">
        <w:rPr>
          <w:rFonts w:ascii="Arial" w:hAnsi="Arial" w:cs="Arial"/>
          <w:u w:val="single"/>
        </w:rPr>
        <w:t>50.75</w:t>
      </w:r>
      <w:r>
        <w:rPr>
          <w:rFonts w:ascii="Arial" w:hAnsi="Arial" w:cs="Arial"/>
        </w:rPr>
        <w:t xml:space="preserve"> requires all NPUF licensees to submit a preliminary decommissioning plan at or about 2 years prior to the projected end of operations.  However, because no licensees are expected to trigger these information collection requirements during the 3</w:t>
      </w:r>
      <w:r>
        <w:rPr>
          <w:rFonts w:ascii="Arial" w:hAnsi="Arial" w:cs="Arial"/>
        </w:rPr>
        <w:noBreakHyphen/>
        <w:t xml:space="preserve">year period covered by this supporting statement, there is no change to the </w:t>
      </w:r>
      <w:r w:rsidRPr="1300CC48">
        <w:rPr>
          <w:rFonts w:ascii="Arial" w:hAnsi="Arial" w:cs="Arial"/>
        </w:rPr>
        <w:t>information collection</w:t>
      </w:r>
      <w:r>
        <w:rPr>
          <w:rFonts w:ascii="Arial" w:hAnsi="Arial" w:cs="Arial"/>
        </w:rPr>
        <w:t xml:space="preserve"> burden</w:t>
      </w:r>
      <w:r w:rsidRPr="1300CC48">
        <w:rPr>
          <w:rFonts w:ascii="Arial" w:hAnsi="Arial" w:cs="Arial"/>
        </w:rPr>
        <w:t xml:space="preserve"> in 10 CFR Part 50</w:t>
      </w:r>
      <w:r>
        <w:rPr>
          <w:rFonts w:ascii="Arial" w:hAnsi="Arial" w:cs="Arial"/>
        </w:rPr>
        <w:t>.  (Change in Respondents)</w:t>
      </w:r>
    </w:p>
    <w:p w:rsidR="00840553" w:rsidP="00840553" w14:paraId="503DCFEF" w14:textId="77777777">
      <w:pPr>
        <w:spacing w:after="0" w:line="240" w:lineRule="auto"/>
        <w:ind w:left="720"/>
        <w:rPr>
          <w:rFonts w:ascii="Arial" w:hAnsi="Arial" w:cs="Arial"/>
        </w:rPr>
      </w:pPr>
    </w:p>
    <w:p w:rsidR="00840553" w:rsidP="00840553" w14:paraId="6E5EDBDD" w14:textId="77777777">
      <w:pPr>
        <w:spacing w:after="0" w:line="240" w:lineRule="auto"/>
        <w:ind w:left="720"/>
        <w:rPr>
          <w:rFonts w:ascii="Arial" w:hAnsi="Arial" w:cs="Arial"/>
        </w:rPr>
      </w:pPr>
      <w:r w:rsidRPr="00044B2F">
        <w:rPr>
          <w:rFonts w:ascii="Arial" w:hAnsi="Arial" w:cs="Arial"/>
          <w:u w:val="single"/>
        </w:rPr>
        <w:t xml:space="preserve">Section </w:t>
      </w:r>
      <w:r w:rsidRPr="008D5503">
        <w:rPr>
          <w:rFonts w:ascii="Arial" w:hAnsi="Arial" w:cs="Arial"/>
          <w:u w:val="single"/>
        </w:rPr>
        <w:t>50.82</w:t>
      </w:r>
      <w:r>
        <w:rPr>
          <w:rFonts w:ascii="Arial" w:hAnsi="Arial" w:cs="Arial"/>
        </w:rPr>
        <w:t xml:space="preserve"> requires all NPUF licensees make application for license termination within 2 years following permanent cessation of operations.</w:t>
      </w:r>
      <w:r w:rsidRPr="008D5503">
        <w:rPr>
          <w:rFonts w:ascii="Arial" w:hAnsi="Arial" w:cs="Arial"/>
        </w:rPr>
        <w:t xml:space="preserve"> </w:t>
      </w:r>
      <w:r>
        <w:rPr>
          <w:rFonts w:ascii="Arial" w:hAnsi="Arial" w:cs="Arial"/>
        </w:rPr>
        <w:t xml:space="preserve"> However, because no licensees are expected to trigger these information collection requirements during the 3</w:t>
      </w:r>
      <w:r>
        <w:rPr>
          <w:rFonts w:ascii="Arial" w:hAnsi="Arial" w:cs="Arial"/>
        </w:rPr>
        <w:noBreakHyphen/>
        <w:t xml:space="preserve">year period covered by this supporting statement, there is no change to the </w:t>
      </w:r>
      <w:r w:rsidRPr="1300CC48">
        <w:rPr>
          <w:rFonts w:ascii="Arial" w:hAnsi="Arial" w:cs="Arial"/>
        </w:rPr>
        <w:t>information collection</w:t>
      </w:r>
      <w:r>
        <w:rPr>
          <w:rFonts w:ascii="Arial" w:hAnsi="Arial" w:cs="Arial"/>
        </w:rPr>
        <w:t xml:space="preserve"> burden</w:t>
      </w:r>
      <w:r w:rsidRPr="1300CC48">
        <w:rPr>
          <w:rFonts w:ascii="Arial" w:hAnsi="Arial" w:cs="Arial"/>
        </w:rPr>
        <w:t xml:space="preserve"> in 10 CFR Part 50</w:t>
      </w:r>
      <w:r>
        <w:rPr>
          <w:rFonts w:ascii="Arial" w:hAnsi="Arial" w:cs="Arial"/>
        </w:rPr>
        <w:t>.  (Change in Respondents)</w:t>
      </w:r>
    </w:p>
    <w:p w:rsidR="00840553" w:rsidRPr="00C949E7" w:rsidP="00840553" w14:paraId="48259789" w14:textId="77777777">
      <w:pPr>
        <w:spacing w:after="0" w:line="240" w:lineRule="auto"/>
        <w:ind w:left="720"/>
        <w:rPr>
          <w:rFonts w:ascii="Arial" w:hAnsi="Arial" w:cs="Arial"/>
        </w:rPr>
      </w:pPr>
    </w:p>
    <w:p w:rsidR="00840553" w:rsidP="00840553" w14:paraId="65332C1F" w14:textId="77777777">
      <w:pPr>
        <w:spacing w:after="0" w:line="240" w:lineRule="auto"/>
        <w:ind w:left="720"/>
        <w:rPr>
          <w:rFonts w:ascii="Arial" w:hAnsi="Arial" w:cs="Arial"/>
        </w:rPr>
      </w:pPr>
      <w:r w:rsidRPr="00044B2F">
        <w:rPr>
          <w:rFonts w:ascii="Arial" w:hAnsi="Arial" w:cs="Arial"/>
          <w:u w:val="single"/>
        </w:rPr>
        <w:t xml:space="preserve">Section </w:t>
      </w:r>
      <w:r w:rsidRPr="00B341D0">
        <w:rPr>
          <w:rFonts w:ascii="Arial" w:hAnsi="Arial" w:cs="Arial"/>
          <w:u w:val="single"/>
        </w:rPr>
        <w:t>50.135</w:t>
      </w:r>
      <w:r>
        <w:rPr>
          <w:rFonts w:ascii="Arial" w:hAnsi="Arial" w:cs="Arial"/>
        </w:rPr>
        <w:t xml:space="preserve"> defines a license renewal process specific to testing facilities licensed under Section 50.21(c) and NPUFs licensed under Section 50.22, consolidating existing </w:t>
      </w:r>
      <w:r>
        <w:rPr>
          <w:rFonts w:ascii="Arial" w:hAnsi="Arial" w:cs="Arial"/>
        </w:rPr>
        <w:t xml:space="preserve">requirements for current and future licensees in one section.  The final rule does not change the current license renewal process for testing facilities and class 103 NPUFs.  </w:t>
      </w:r>
    </w:p>
    <w:p w:rsidR="00840553" w:rsidP="00840553" w14:paraId="77309ACB" w14:textId="77777777">
      <w:pPr>
        <w:spacing w:after="0" w:line="240" w:lineRule="auto"/>
        <w:ind w:left="720"/>
        <w:rPr>
          <w:rFonts w:ascii="Arial" w:hAnsi="Arial" w:cs="Arial"/>
        </w:rPr>
      </w:pPr>
    </w:p>
    <w:p w:rsidR="00840553" w:rsidP="00840553" w14:paraId="1EAF4F6A" w14:textId="77777777">
      <w:pPr>
        <w:spacing w:after="0" w:line="240" w:lineRule="auto"/>
        <w:ind w:left="720"/>
        <w:rPr>
          <w:rFonts w:ascii="Arial" w:hAnsi="Arial" w:cs="Arial"/>
        </w:rPr>
      </w:pPr>
      <w:r>
        <w:rPr>
          <w:rFonts w:ascii="Arial" w:hAnsi="Arial" w:cs="Arial"/>
        </w:rPr>
        <w:t>Prior to the final rule, licenses were required to prepare a license renewal application according to the requirements in Section 50.33.  Because these licensees will submit information under Section 50.135 and not Section 50.33, there is an offsetting burden.  However, because no licensees are expected to trigger these information collection requirements during the 3</w:t>
      </w:r>
      <w:r>
        <w:rPr>
          <w:rFonts w:ascii="Arial" w:hAnsi="Arial" w:cs="Arial"/>
        </w:rPr>
        <w:noBreakHyphen/>
        <w:t xml:space="preserve">year period covered by this supporting statement, there is no change to the </w:t>
      </w:r>
      <w:r w:rsidRPr="1300CC48">
        <w:rPr>
          <w:rFonts w:ascii="Arial" w:hAnsi="Arial" w:cs="Arial"/>
        </w:rPr>
        <w:t>information collection</w:t>
      </w:r>
      <w:r>
        <w:rPr>
          <w:rFonts w:ascii="Arial" w:hAnsi="Arial" w:cs="Arial"/>
        </w:rPr>
        <w:t xml:space="preserve"> burden</w:t>
      </w:r>
      <w:r w:rsidRPr="1300CC48">
        <w:rPr>
          <w:rFonts w:ascii="Arial" w:hAnsi="Arial" w:cs="Arial"/>
        </w:rPr>
        <w:t xml:space="preserve"> in 10 CFR Part 50</w:t>
      </w:r>
      <w:r>
        <w:rPr>
          <w:rFonts w:ascii="Arial" w:hAnsi="Arial" w:cs="Arial"/>
        </w:rPr>
        <w:t>.  (New)</w:t>
      </w:r>
    </w:p>
    <w:p w:rsidR="00C26505" w:rsidP="00840553" w14:paraId="70C0FEE8" w14:textId="77777777">
      <w:pPr>
        <w:spacing w:after="0" w:line="240" w:lineRule="auto"/>
        <w:ind w:left="720"/>
        <w:rPr>
          <w:rFonts w:ascii="Arial" w:hAnsi="Arial" w:cs="Arial"/>
        </w:rPr>
      </w:pPr>
    </w:p>
    <w:p w:rsidR="00C26505" w:rsidP="00C26505" w14:paraId="2F143B73" w14:textId="77777777">
      <w:pPr>
        <w:spacing w:after="0" w:line="240" w:lineRule="auto"/>
        <w:ind w:left="720"/>
        <w:rPr>
          <w:rFonts w:ascii="Arial" w:hAnsi="Arial" w:cs="Arial"/>
        </w:rPr>
      </w:pPr>
      <w:r w:rsidRPr="00044B2F">
        <w:rPr>
          <w:rFonts w:ascii="Arial" w:hAnsi="Arial" w:cs="Arial"/>
        </w:rPr>
        <w:t xml:space="preserve">The </w:t>
      </w:r>
      <w:r>
        <w:rPr>
          <w:rFonts w:ascii="Arial" w:hAnsi="Arial" w:cs="Arial"/>
        </w:rPr>
        <w:t>collections</w:t>
      </w:r>
      <w:r w:rsidRPr="00044B2F">
        <w:rPr>
          <w:rFonts w:ascii="Arial" w:hAnsi="Arial" w:cs="Arial"/>
        </w:rPr>
        <w:t xml:space="preserve"> required by the </w:t>
      </w:r>
      <w:r>
        <w:rPr>
          <w:rFonts w:ascii="Arial" w:hAnsi="Arial" w:cs="Arial"/>
        </w:rPr>
        <w:t>final rule</w:t>
      </w:r>
      <w:r w:rsidRPr="00044B2F">
        <w:rPr>
          <w:rFonts w:ascii="Arial" w:hAnsi="Arial" w:cs="Arial"/>
        </w:rPr>
        <w:t xml:space="preserve"> in Part 5</w:t>
      </w:r>
      <w:r>
        <w:rPr>
          <w:rFonts w:ascii="Arial" w:hAnsi="Arial" w:cs="Arial"/>
        </w:rPr>
        <w:t>1</w:t>
      </w:r>
      <w:r w:rsidRPr="00044B2F">
        <w:rPr>
          <w:rFonts w:ascii="Arial" w:hAnsi="Arial" w:cs="Arial"/>
        </w:rPr>
        <w:t xml:space="preserve"> are necessary </w:t>
      </w:r>
      <w:r>
        <w:rPr>
          <w:rFonts w:ascii="Arial" w:hAnsi="Arial" w:cs="Arial"/>
        </w:rPr>
        <w:t>in order to</w:t>
      </w:r>
      <w:r w:rsidRPr="00044B2F">
        <w:rPr>
          <w:rFonts w:ascii="Arial" w:hAnsi="Arial" w:cs="Arial"/>
        </w:rPr>
        <w:t xml:space="preserve"> create a more efficient licensing process that continue</w:t>
      </w:r>
      <w:r>
        <w:rPr>
          <w:rFonts w:ascii="Arial" w:hAnsi="Arial" w:cs="Arial"/>
        </w:rPr>
        <w:t>s</w:t>
      </w:r>
      <w:r w:rsidRPr="00044B2F">
        <w:rPr>
          <w:rFonts w:ascii="Arial" w:hAnsi="Arial" w:cs="Arial"/>
        </w:rPr>
        <w:t xml:space="preserve"> to protect public health, safety, and the environment.</w:t>
      </w:r>
      <w:r>
        <w:rPr>
          <w:rFonts w:ascii="Arial" w:hAnsi="Arial" w:cs="Arial"/>
        </w:rPr>
        <w:t xml:space="preserve">  </w:t>
      </w:r>
      <w:r w:rsidRPr="00083C62">
        <w:rPr>
          <w:rFonts w:ascii="Arial" w:hAnsi="Arial" w:cs="Arial"/>
        </w:rPr>
        <w:t xml:space="preserve">Specific requirements for reports and records in the amendments to </w:t>
      </w:r>
      <w:r>
        <w:rPr>
          <w:rFonts w:ascii="Arial" w:hAnsi="Arial" w:cs="Arial"/>
        </w:rPr>
        <w:t>Part 51</w:t>
      </w:r>
      <w:r w:rsidRPr="00083C62">
        <w:rPr>
          <w:rFonts w:ascii="Arial" w:hAnsi="Arial" w:cs="Arial"/>
        </w:rPr>
        <w:t xml:space="preserve"> are identified below.</w:t>
      </w:r>
    </w:p>
    <w:p w:rsidR="00C26505" w:rsidP="00C26505" w14:paraId="36397EEC" w14:textId="77777777">
      <w:pPr>
        <w:spacing w:after="0" w:line="240" w:lineRule="auto"/>
        <w:ind w:left="720"/>
        <w:rPr>
          <w:rFonts w:ascii="Arial" w:hAnsi="Arial" w:cs="Arial"/>
        </w:rPr>
      </w:pPr>
    </w:p>
    <w:p w:rsidR="00C26505" w:rsidRPr="00044B2F" w:rsidP="00C26505" w14:paraId="56C6FCE6" w14:textId="77777777">
      <w:pPr>
        <w:spacing w:after="0" w:line="240" w:lineRule="auto"/>
        <w:ind w:left="720"/>
        <w:rPr>
          <w:rFonts w:ascii="Arial" w:hAnsi="Arial" w:cs="Arial"/>
        </w:rPr>
      </w:pPr>
      <w:r w:rsidRPr="00044B2F">
        <w:rPr>
          <w:rFonts w:ascii="Arial" w:hAnsi="Arial" w:cs="Arial"/>
          <w:u w:val="single"/>
        </w:rPr>
        <w:t xml:space="preserve">Section </w:t>
      </w:r>
      <w:r>
        <w:rPr>
          <w:rFonts w:ascii="Arial" w:hAnsi="Arial" w:cs="Arial"/>
          <w:u w:val="single"/>
        </w:rPr>
        <w:t>51</w:t>
      </w:r>
      <w:r w:rsidRPr="00044B2F">
        <w:rPr>
          <w:rFonts w:ascii="Arial" w:hAnsi="Arial" w:cs="Arial"/>
          <w:u w:val="single"/>
        </w:rPr>
        <w:t>.</w:t>
      </w:r>
      <w:r>
        <w:rPr>
          <w:rFonts w:ascii="Arial" w:hAnsi="Arial" w:cs="Arial"/>
          <w:u w:val="single"/>
        </w:rPr>
        <w:t>56</w:t>
      </w:r>
      <w:r w:rsidRPr="00044B2F">
        <w:rPr>
          <w:rFonts w:ascii="Arial" w:hAnsi="Arial" w:cs="Arial"/>
        </w:rPr>
        <w:t xml:space="preserve"> </w:t>
      </w:r>
      <w:r w:rsidRPr="00557BFD">
        <w:rPr>
          <w:rFonts w:ascii="Arial" w:hAnsi="Arial" w:cs="Arial"/>
        </w:rPr>
        <w:t>clarifies an applicant’s existing requirements for meeting the provisions of Section</w:t>
      </w:r>
      <w:r>
        <w:rPr>
          <w:rFonts w:ascii="Arial" w:hAnsi="Arial" w:cs="Arial"/>
        </w:rPr>
        <w:t> </w:t>
      </w:r>
      <w:r w:rsidRPr="00557BFD">
        <w:rPr>
          <w:rFonts w:ascii="Arial" w:hAnsi="Arial" w:cs="Arial"/>
        </w:rPr>
        <w:t xml:space="preserve">51.45. </w:t>
      </w:r>
      <w:r>
        <w:rPr>
          <w:rFonts w:ascii="Arial" w:hAnsi="Arial" w:cs="Arial"/>
        </w:rPr>
        <w:t xml:space="preserve"> </w:t>
      </w:r>
      <w:r w:rsidRPr="00557BFD">
        <w:rPr>
          <w:rFonts w:ascii="Arial" w:hAnsi="Arial" w:cs="Arial"/>
        </w:rPr>
        <w:t xml:space="preserve">This change improves consistency throughout 10 CFR Part 51 with respect to environmental report submissions required from applicants for licensing actions. </w:t>
      </w:r>
      <w:r>
        <w:rPr>
          <w:rFonts w:ascii="Arial" w:hAnsi="Arial" w:cs="Arial"/>
        </w:rPr>
        <w:t xml:space="preserve"> Prior to the final rule, these licensees were required to report under Section 51.41.  Because licensees will submit information under Section 51.56 and not Section 51.45, there is an offsetting</w:t>
      </w:r>
      <w:r w:rsidRPr="00557BFD">
        <w:rPr>
          <w:rFonts w:ascii="Arial" w:hAnsi="Arial" w:cs="Arial"/>
        </w:rPr>
        <w:t xml:space="preserve"> burden.</w:t>
      </w:r>
      <w:r>
        <w:rPr>
          <w:rFonts w:ascii="Arial" w:hAnsi="Arial" w:cs="Arial"/>
        </w:rPr>
        <w:t xml:space="preserve">  (New</w:t>
      </w:r>
      <w:r w:rsidRPr="00044B2F">
        <w:rPr>
          <w:rFonts w:ascii="Arial" w:hAnsi="Arial" w:cs="Arial"/>
        </w:rPr>
        <w:t>)</w:t>
      </w:r>
    </w:p>
    <w:p w:rsidR="00C26505" w:rsidRPr="006B2E7F" w:rsidP="00840553" w14:paraId="5034766A" w14:textId="77777777">
      <w:pPr>
        <w:spacing w:after="0" w:line="240" w:lineRule="auto"/>
        <w:ind w:left="720"/>
        <w:rPr>
          <w:rFonts w:ascii="Arial" w:hAnsi="Arial" w:cs="Arial"/>
        </w:rPr>
      </w:pPr>
    </w:p>
    <w:p w:rsidR="00840553" w:rsidRPr="00044B2F" w:rsidP="00840553" w14:paraId="2BD558C0" w14:textId="77777777">
      <w:pPr>
        <w:pStyle w:val="ListParagraph"/>
        <w:numPr>
          <w:ilvl w:val="0"/>
          <w:numId w:val="2"/>
        </w:numPr>
        <w:spacing w:after="0" w:line="240" w:lineRule="auto"/>
        <w:rPr>
          <w:rFonts w:ascii="Arial" w:hAnsi="Arial" w:cs="Arial"/>
          <w:u w:val="single"/>
        </w:rPr>
      </w:pPr>
      <w:r w:rsidRPr="00044B2F">
        <w:rPr>
          <w:rFonts w:ascii="Arial" w:hAnsi="Arial" w:cs="Arial"/>
          <w:u w:val="single"/>
        </w:rPr>
        <w:t xml:space="preserve">Agency Use </w:t>
      </w:r>
      <w:r>
        <w:rPr>
          <w:rFonts w:ascii="Arial" w:hAnsi="Arial" w:cs="Arial"/>
          <w:u w:val="single"/>
        </w:rPr>
        <w:t xml:space="preserve">and Practical Utility </w:t>
      </w:r>
      <w:r w:rsidRPr="00044B2F">
        <w:rPr>
          <w:rFonts w:ascii="Arial" w:hAnsi="Arial" w:cs="Arial"/>
          <w:u w:val="single"/>
        </w:rPr>
        <w:t xml:space="preserve">of </w:t>
      </w:r>
      <w:r>
        <w:rPr>
          <w:rFonts w:ascii="Arial" w:hAnsi="Arial" w:cs="Arial"/>
          <w:u w:val="single"/>
        </w:rPr>
        <w:t xml:space="preserve">the </w:t>
      </w:r>
      <w:r w:rsidRPr="00044B2F">
        <w:rPr>
          <w:rFonts w:ascii="Arial" w:hAnsi="Arial" w:cs="Arial"/>
          <w:u w:val="single"/>
        </w:rPr>
        <w:t>Information</w:t>
      </w:r>
    </w:p>
    <w:p w:rsidR="00840553" w:rsidP="00840553" w14:paraId="32BA8BE7" w14:textId="77777777">
      <w:pPr>
        <w:spacing w:after="0" w:line="240" w:lineRule="auto"/>
        <w:ind w:left="720"/>
        <w:rPr>
          <w:rFonts w:ascii="Arial" w:hAnsi="Arial" w:cs="Arial"/>
        </w:rPr>
      </w:pPr>
    </w:p>
    <w:p w:rsidR="00840553" w:rsidP="00840553" w14:paraId="3995E1B4" w14:textId="77777777">
      <w:pPr>
        <w:spacing w:after="0" w:line="240" w:lineRule="auto"/>
        <w:ind w:left="720"/>
        <w:rPr>
          <w:rFonts w:ascii="Arial" w:hAnsi="Arial" w:cs="Arial"/>
        </w:rPr>
      </w:pPr>
      <w:r w:rsidRPr="006F317B">
        <w:rPr>
          <w:rFonts w:ascii="Arial" w:hAnsi="Arial" w:cs="Arial"/>
        </w:rPr>
        <w:t xml:space="preserve">Applicants or licensees requesting approval to construct or operate utilization or production facilities are required by the </w:t>
      </w:r>
      <w:r>
        <w:rPr>
          <w:rFonts w:ascii="Arial" w:hAnsi="Arial" w:cs="Arial"/>
        </w:rPr>
        <w:t>AEA</w:t>
      </w:r>
      <w:r w:rsidRPr="006F317B">
        <w:rPr>
          <w:rFonts w:ascii="Arial" w:hAnsi="Arial" w:cs="Arial"/>
        </w:rPr>
        <w:t xml:space="preserve"> to provide information and data that the NRC may determine necessary to ensure the health and safety of the public.</w:t>
      </w:r>
      <w:r>
        <w:rPr>
          <w:rFonts w:ascii="Arial" w:hAnsi="Arial" w:cs="Arial"/>
        </w:rPr>
        <w:t xml:space="preserve">  The information collected under the final rule will allow the NRC to ensure </w:t>
      </w:r>
      <w:r w:rsidRPr="006F317B">
        <w:rPr>
          <w:rFonts w:ascii="Arial" w:hAnsi="Arial" w:cs="Arial"/>
        </w:rPr>
        <w:t>that adequate protection of public health and safety is maintained</w:t>
      </w:r>
      <w:r>
        <w:rPr>
          <w:rFonts w:ascii="Arial" w:hAnsi="Arial" w:cs="Arial"/>
        </w:rPr>
        <w:t>.</w:t>
      </w:r>
    </w:p>
    <w:p w:rsidR="00840553" w:rsidP="00840553" w14:paraId="4600867D" w14:textId="77777777">
      <w:pPr>
        <w:spacing w:after="0" w:line="240" w:lineRule="auto"/>
        <w:ind w:left="720"/>
        <w:rPr>
          <w:rFonts w:ascii="Arial" w:hAnsi="Arial" w:cs="Arial"/>
        </w:rPr>
      </w:pPr>
    </w:p>
    <w:p w:rsidR="00840553" w:rsidP="00840553" w14:paraId="1D3449EC" w14:textId="77777777">
      <w:pPr>
        <w:spacing w:after="0" w:line="240" w:lineRule="auto"/>
        <w:ind w:left="720"/>
        <w:rPr>
          <w:rFonts w:ascii="Arial" w:hAnsi="Arial" w:cs="Arial"/>
        </w:rPr>
      </w:pPr>
      <w:r>
        <w:rPr>
          <w:rFonts w:ascii="Arial" w:hAnsi="Arial" w:cs="Arial"/>
        </w:rPr>
        <w:t>Prior to the final rule</w:t>
      </w:r>
      <w:r w:rsidRPr="00044B2F">
        <w:rPr>
          <w:rFonts w:ascii="Arial" w:hAnsi="Arial" w:cs="Arial"/>
        </w:rPr>
        <w:t xml:space="preserve">, NPUF licensees </w:t>
      </w:r>
      <w:r>
        <w:rPr>
          <w:rFonts w:ascii="Arial" w:hAnsi="Arial" w:cs="Arial"/>
        </w:rPr>
        <w:t>wer</w:t>
      </w:r>
      <w:r w:rsidRPr="00044B2F">
        <w:rPr>
          <w:rFonts w:ascii="Arial" w:hAnsi="Arial" w:cs="Arial"/>
        </w:rPr>
        <w:t xml:space="preserve">e not required to submit to the NRC updated FSARs except as part of a license renewal application. </w:t>
      </w:r>
      <w:r>
        <w:rPr>
          <w:rFonts w:ascii="Arial" w:hAnsi="Arial" w:cs="Arial"/>
        </w:rPr>
        <w:t xml:space="preserve"> </w:t>
      </w:r>
      <w:r w:rsidRPr="00044B2F">
        <w:rPr>
          <w:rFonts w:ascii="Arial" w:hAnsi="Arial" w:cs="Arial"/>
        </w:rPr>
        <w:t xml:space="preserve">Under the license renewal process, the NRC found that licensees were not always able to provide documentation describing the details of their licensing basis, including their design basis calculations, in license renewal applications. </w:t>
      </w:r>
      <w:r>
        <w:rPr>
          <w:rFonts w:ascii="Arial" w:hAnsi="Arial" w:cs="Arial"/>
        </w:rPr>
        <w:t xml:space="preserve"> </w:t>
      </w:r>
      <w:r w:rsidRPr="00044B2F">
        <w:rPr>
          <w:rFonts w:ascii="Arial" w:hAnsi="Arial" w:cs="Arial"/>
        </w:rPr>
        <w:t xml:space="preserve">The lack of ongoing FSAR updates added burden to the license renewal process for NPUF licensees and the NRC because many facilities’ licensing bases had to be re-established. </w:t>
      </w:r>
      <w:r>
        <w:rPr>
          <w:rFonts w:ascii="Arial" w:hAnsi="Arial" w:cs="Arial"/>
        </w:rPr>
        <w:t xml:space="preserve"> </w:t>
      </w:r>
      <w:r w:rsidRPr="00044B2F">
        <w:rPr>
          <w:rFonts w:ascii="Arial" w:hAnsi="Arial" w:cs="Arial"/>
        </w:rPr>
        <w:t>The submittal of update</w:t>
      </w:r>
      <w:r>
        <w:rPr>
          <w:rFonts w:ascii="Arial" w:hAnsi="Arial" w:cs="Arial"/>
        </w:rPr>
        <w:t>d</w:t>
      </w:r>
      <w:r w:rsidRPr="00044B2F">
        <w:rPr>
          <w:rFonts w:ascii="Arial" w:hAnsi="Arial" w:cs="Arial"/>
        </w:rPr>
        <w:t xml:space="preserve"> FSARs </w:t>
      </w:r>
      <w:r>
        <w:rPr>
          <w:rFonts w:ascii="Arial" w:hAnsi="Arial" w:cs="Arial"/>
        </w:rPr>
        <w:t xml:space="preserve">and subsequent FSAR updates </w:t>
      </w:r>
      <w:r w:rsidRPr="00044B2F">
        <w:rPr>
          <w:rFonts w:ascii="Arial" w:hAnsi="Arial" w:cs="Arial"/>
        </w:rPr>
        <w:t>create</w:t>
      </w:r>
      <w:r>
        <w:rPr>
          <w:rFonts w:ascii="Arial" w:hAnsi="Arial" w:cs="Arial"/>
        </w:rPr>
        <w:t>s</w:t>
      </w:r>
      <w:r w:rsidRPr="00044B2F">
        <w:rPr>
          <w:rFonts w:ascii="Arial" w:hAnsi="Arial" w:cs="Arial"/>
        </w:rPr>
        <w:t xml:space="preserve"> a mechanism for incorporation </w:t>
      </w:r>
      <w:r>
        <w:rPr>
          <w:rFonts w:ascii="Arial" w:hAnsi="Arial" w:cs="Arial"/>
        </w:rPr>
        <w:t xml:space="preserve">of </w:t>
      </w:r>
      <w:r w:rsidRPr="00044B2F">
        <w:rPr>
          <w:rFonts w:ascii="Arial" w:hAnsi="Arial" w:cs="Arial"/>
        </w:rPr>
        <w:t xml:space="preserve">design and operational changes into the licensing basis as they occur. </w:t>
      </w:r>
      <w:r>
        <w:rPr>
          <w:rFonts w:ascii="Arial" w:hAnsi="Arial" w:cs="Arial"/>
        </w:rPr>
        <w:t xml:space="preserve"> This information is used to ensure that </w:t>
      </w:r>
      <w:r w:rsidRPr="00044B2F">
        <w:rPr>
          <w:rFonts w:ascii="Arial" w:hAnsi="Arial" w:cs="Arial"/>
        </w:rPr>
        <w:t xml:space="preserve">licensing bases remain </w:t>
      </w:r>
      <w:r w:rsidRPr="00044B2F">
        <w:rPr>
          <w:rFonts w:ascii="Arial" w:hAnsi="Arial" w:cs="Arial"/>
        </w:rPr>
        <w:t>up-to-date</w:t>
      </w:r>
      <w:r>
        <w:rPr>
          <w:rFonts w:ascii="Arial" w:hAnsi="Arial" w:cs="Arial"/>
        </w:rPr>
        <w:t xml:space="preserve"> and</w:t>
      </w:r>
      <w:r w:rsidRPr="006F317B">
        <w:rPr>
          <w:rFonts w:ascii="Arial" w:hAnsi="Arial" w:cs="Arial"/>
        </w:rPr>
        <w:t xml:space="preserve"> that adequate protection of public health and safety is maintained</w:t>
      </w:r>
      <w:r w:rsidRPr="00044B2F">
        <w:rPr>
          <w:rFonts w:ascii="Arial" w:hAnsi="Arial" w:cs="Arial"/>
        </w:rPr>
        <w:t>.</w:t>
      </w:r>
    </w:p>
    <w:p w:rsidR="00AA6588" w:rsidP="00840553" w14:paraId="3CBFA4B1" w14:textId="77777777">
      <w:pPr>
        <w:spacing w:after="0" w:line="240" w:lineRule="auto"/>
        <w:ind w:left="720"/>
        <w:rPr>
          <w:rFonts w:ascii="Arial" w:hAnsi="Arial" w:cs="Arial"/>
        </w:rPr>
      </w:pPr>
    </w:p>
    <w:p w:rsidR="00AA6588" w:rsidP="00AA6588" w14:paraId="413A0B20" w14:textId="77777777">
      <w:pPr>
        <w:spacing w:after="0" w:line="240" w:lineRule="auto"/>
        <w:ind w:left="720"/>
        <w:rPr>
          <w:rFonts w:ascii="Arial" w:hAnsi="Arial" w:cs="Arial"/>
        </w:rPr>
      </w:pPr>
      <w:r>
        <w:rPr>
          <w:rFonts w:ascii="Arial" w:hAnsi="Arial" w:cs="Arial"/>
        </w:rPr>
        <w:t>Prior to the final rule</w:t>
      </w:r>
      <w:r w:rsidRPr="00044B2F">
        <w:rPr>
          <w:rFonts w:ascii="Arial" w:hAnsi="Arial" w:cs="Arial"/>
        </w:rPr>
        <w:t xml:space="preserve">, NPUF </w:t>
      </w:r>
      <w:r>
        <w:rPr>
          <w:rFonts w:ascii="Arial" w:hAnsi="Arial" w:cs="Arial"/>
        </w:rPr>
        <w:t>applicants were</w:t>
      </w:r>
      <w:r w:rsidRPr="00044B2F">
        <w:rPr>
          <w:rFonts w:ascii="Arial" w:hAnsi="Arial" w:cs="Arial"/>
        </w:rPr>
        <w:t xml:space="preserve"> </w:t>
      </w:r>
      <w:r>
        <w:rPr>
          <w:rFonts w:ascii="Arial" w:hAnsi="Arial" w:cs="Arial"/>
        </w:rPr>
        <w:t>required to submit</w:t>
      </w:r>
      <w:r w:rsidRPr="00044B2F">
        <w:rPr>
          <w:rFonts w:ascii="Arial" w:hAnsi="Arial" w:cs="Arial"/>
        </w:rPr>
        <w:t xml:space="preserve"> </w:t>
      </w:r>
      <w:r>
        <w:rPr>
          <w:rFonts w:ascii="Arial" w:hAnsi="Arial" w:cs="Arial"/>
        </w:rPr>
        <w:t xml:space="preserve">environmental reports to meet the provisions of Section 51.45.  The final rule clarifies these existing requirements for NPUFs and improves consistency throughout Part 51.  This information is used to ensure that the NRC continues to ensure the </w:t>
      </w:r>
      <w:r w:rsidRPr="009517EA">
        <w:rPr>
          <w:rFonts w:ascii="Arial" w:hAnsi="Arial" w:cs="Arial"/>
        </w:rPr>
        <w:t>protect</w:t>
      </w:r>
      <w:r>
        <w:rPr>
          <w:rFonts w:ascii="Arial" w:hAnsi="Arial" w:cs="Arial"/>
        </w:rPr>
        <w:t>ion of</w:t>
      </w:r>
      <w:r w:rsidRPr="009517EA">
        <w:rPr>
          <w:rFonts w:ascii="Arial" w:hAnsi="Arial" w:cs="Arial"/>
        </w:rPr>
        <w:t xml:space="preserve"> the radiological health and safety of the public</w:t>
      </w:r>
      <w:r w:rsidRPr="00044B2F">
        <w:rPr>
          <w:rFonts w:ascii="Arial" w:hAnsi="Arial" w:cs="Arial"/>
        </w:rPr>
        <w:t>.</w:t>
      </w:r>
    </w:p>
    <w:p w:rsidR="00D93F5A" w14:paraId="7A049469" w14:textId="24BEF46E">
      <w:pPr>
        <w:rPr>
          <w:rFonts w:ascii="Arial" w:hAnsi="Arial" w:cs="Arial"/>
        </w:rPr>
      </w:pPr>
      <w:r>
        <w:rPr>
          <w:rFonts w:ascii="Arial" w:hAnsi="Arial" w:cs="Arial"/>
        </w:rPr>
        <w:br w:type="page"/>
      </w:r>
    </w:p>
    <w:p w:rsidR="00840553" w:rsidRPr="00044B2F" w:rsidP="00840553" w14:paraId="1CBE6A65" w14:textId="77777777">
      <w:pPr>
        <w:pStyle w:val="ListParagraph"/>
        <w:numPr>
          <w:ilvl w:val="0"/>
          <w:numId w:val="2"/>
        </w:numPr>
        <w:spacing w:after="0" w:line="240" w:lineRule="auto"/>
        <w:rPr>
          <w:rFonts w:ascii="Arial" w:hAnsi="Arial" w:cs="Arial"/>
        </w:rPr>
      </w:pPr>
      <w:r w:rsidRPr="00044B2F">
        <w:rPr>
          <w:rFonts w:ascii="Arial" w:hAnsi="Arial" w:cs="Arial"/>
          <w:u w:val="single"/>
        </w:rPr>
        <w:t>Reduction of Burden Through Information Technology</w:t>
      </w:r>
    </w:p>
    <w:p w:rsidR="00840553" w:rsidP="00840553" w14:paraId="50046E0C" w14:textId="77777777">
      <w:pPr>
        <w:spacing w:after="0" w:line="240" w:lineRule="auto"/>
        <w:ind w:left="720"/>
        <w:rPr>
          <w:rFonts w:ascii="Arial" w:hAnsi="Arial" w:cs="Arial"/>
        </w:rPr>
      </w:pPr>
    </w:p>
    <w:p w:rsidR="00840553" w:rsidRPr="00E114B0" w:rsidP="00840553" w14:paraId="54FE9587" w14:textId="724B07A1">
      <w:pPr>
        <w:spacing w:after="0" w:line="240" w:lineRule="auto"/>
        <w:ind w:left="720"/>
        <w:rPr>
          <w:rFonts w:ascii="Arial" w:hAnsi="Arial" w:cs="Arial"/>
        </w:rPr>
      </w:pPr>
      <w:r w:rsidRPr="00E114B0">
        <w:rPr>
          <w:rFonts w:ascii="Arial" w:hAnsi="Arial" w:cs="Arial"/>
        </w:rPr>
        <w:t>The NRC encourages respondents to use information technology when it would be beneficial to them.  T</w:t>
      </w:r>
      <w:r w:rsidRPr="00E114B0">
        <w:rPr>
          <w:rFonts w:ascii="Arial" w:eastAsia="Calibri" w:hAnsi="Arial" w:cs="Arial"/>
        </w:rPr>
        <w:t xml:space="preserve">he NRC has issued </w:t>
      </w:r>
      <w:hyperlink r:id="rId8" w:history="1">
        <w:r w:rsidRPr="00C73705">
          <w:rPr>
            <w:rStyle w:val="Hyperlink"/>
            <w:rFonts w:ascii="Arial" w:eastAsia="Calibri" w:hAnsi="Arial" w:cs="Arial"/>
          </w:rPr>
          <w:t>Guidance for Electronic Submissions to the NRC</w:t>
        </w:r>
      </w:hyperlink>
      <w:r w:rsidRPr="00E114B0">
        <w:rPr>
          <w:rFonts w:ascii="Arial" w:eastAsia="Calibri" w:hAnsi="Arial" w:cs="Arial"/>
        </w:rPr>
        <w:t xml:space="preserve"> </w:t>
      </w:r>
      <w:r>
        <w:rPr>
          <w:rFonts w:ascii="Arial" w:eastAsia="Calibri" w:hAnsi="Arial" w:cs="Arial"/>
        </w:rPr>
        <w:t>(</w:t>
      </w:r>
      <w:r w:rsidRPr="00407AC3">
        <w:rPr>
          <w:rFonts w:ascii="Arial" w:hAnsi="Arial" w:cs="Arial"/>
        </w:rPr>
        <w:t xml:space="preserve">ADAMS Accession No. </w:t>
      </w:r>
      <w:r w:rsidRPr="00364977">
        <w:rPr>
          <w:rFonts w:ascii="Arial" w:eastAsia="Calibri" w:hAnsi="Arial" w:cs="Arial"/>
        </w:rPr>
        <w:t>ML13031A056</w:t>
      </w:r>
      <w:r>
        <w:rPr>
          <w:rFonts w:ascii="Arial" w:eastAsia="Calibri" w:hAnsi="Arial" w:cs="Arial"/>
        </w:rPr>
        <w:t xml:space="preserve">) </w:t>
      </w:r>
      <w:r w:rsidRPr="00E114B0">
        <w:rPr>
          <w:rFonts w:ascii="Arial" w:eastAsia="Calibri" w:hAnsi="Arial" w:cs="Arial"/>
        </w:rPr>
        <w:t xml:space="preserve">which provides direction for the electronic transmission and submittal of documents to the NRC.  Electronic transmission and submittal of documents can be accomplished via the following avenues: the Electronic Information Exchange process, which is available from the NRC's “Electronic Submittals” Web page, by Optical Storage Media (e.g. CD-ROM, DVD), by facsimile or by e-mail.  </w:t>
      </w:r>
      <w:r w:rsidRPr="00E114B0">
        <w:rPr>
          <w:rFonts w:ascii="Arial" w:hAnsi="Arial" w:cs="Arial"/>
        </w:rPr>
        <w:t>It is estimated that approximately 80% of the responses are filed electronically.</w:t>
      </w:r>
    </w:p>
    <w:p w:rsidR="00840553" w:rsidRPr="00563C01" w:rsidP="00840553" w14:paraId="45BB4DB6" w14:textId="77777777">
      <w:pPr>
        <w:pStyle w:val="ListParagraph"/>
        <w:spacing w:after="0" w:line="240" w:lineRule="auto"/>
        <w:rPr>
          <w:rFonts w:ascii="Arial" w:hAnsi="Arial" w:cs="Arial"/>
        </w:rPr>
      </w:pPr>
    </w:p>
    <w:p w:rsidR="00840553" w:rsidRPr="00044B2F" w:rsidP="00840553" w14:paraId="3DA107A6" w14:textId="77777777">
      <w:pPr>
        <w:pStyle w:val="ListParagraph"/>
        <w:numPr>
          <w:ilvl w:val="0"/>
          <w:numId w:val="2"/>
        </w:numPr>
        <w:spacing w:after="0" w:line="240" w:lineRule="auto"/>
        <w:rPr>
          <w:rFonts w:ascii="Arial" w:hAnsi="Arial" w:cs="Arial"/>
        </w:rPr>
      </w:pPr>
      <w:r w:rsidRPr="00044B2F">
        <w:rPr>
          <w:rFonts w:ascii="Arial" w:hAnsi="Arial" w:cs="Arial"/>
          <w:u w:val="single"/>
        </w:rPr>
        <w:t>Effort to Identify Duplication and Use Similar Information</w:t>
      </w:r>
    </w:p>
    <w:p w:rsidR="00840553" w:rsidP="00840553" w14:paraId="65AF3E8C" w14:textId="77777777">
      <w:pPr>
        <w:spacing w:after="0" w:line="240" w:lineRule="auto"/>
        <w:ind w:left="360" w:firstLine="360"/>
        <w:rPr>
          <w:rFonts w:ascii="Arial" w:hAnsi="Arial" w:cs="Arial"/>
        </w:rPr>
      </w:pPr>
    </w:p>
    <w:p w:rsidR="00840553" w:rsidRPr="00044B2F" w:rsidP="00840553" w14:paraId="0EFF797F" w14:textId="77777777">
      <w:pPr>
        <w:spacing w:after="0" w:line="240" w:lineRule="auto"/>
        <w:ind w:left="360" w:firstLine="360"/>
        <w:rPr>
          <w:rFonts w:ascii="Arial" w:hAnsi="Arial" w:cs="Arial"/>
        </w:rPr>
      </w:pPr>
      <w:r w:rsidRPr="00044B2F">
        <w:rPr>
          <w:rFonts w:ascii="Arial" w:hAnsi="Arial" w:cs="Arial"/>
        </w:rPr>
        <w:t xml:space="preserve">No sources of similar information are available. </w:t>
      </w:r>
      <w:r>
        <w:rPr>
          <w:rFonts w:ascii="Arial" w:hAnsi="Arial" w:cs="Arial"/>
        </w:rPr>
        <w:t xml:space="preserve"> </w:t>
      </w:r>
      <w:r w:rsidRPr="00044B2F">
        <w:rPr>
          <w:rFonts w:ascii="Arial" w:hAnsi="Arial" w:cs="Arial"/>
        </w:rPr>
        <w:t>There is no duplication of requirements.</w:t>
      </w:r>
    </w:p>
    <w:p w:rsidR="00840553" w:rsidRPr="00563C01" w:rsidP="00840553" w14:paraId="79E4C18B" w14:textId="77777777">
      <w:pPr>
        <w:pStyle w:val="ListParagraph"/>
        <w:spacing w:after="0" w:line="240" w:lineRule="auto"/>
        <w:rPr>
          <w:rFonts w:ascii="Arial" w:hAnsi="Arial" w:cs="Arial"/>
        </w:rPr>
      </w:pPr>
    </w:p>
    <w:p w:rsidR="00840553" w:rsidRPr="00044B2F" w:rsidP="00840553" w14:paraId="57E1EB7A" w14:textId="77777777">
      <w:pPr>
        <w:pStyle w:val="ListParagraph"/>
        <w:numPr>
          <w:ilvl w:val="0"/>
          <w:numId w:val="2"/>
        </w:numPr>
        <w:spacing w:after="0" w:line="240" w:lineRule="auto"/>
        <w:rPr>
          <w:rFonts w:ascii="Arial" w:hAnsi="Arial" w:cs="Arial"/>
        </w:rPr>
      </w:pPr>
      <w:r w:rsidRPr="00044B2F">
        <w:rPr>
          <w:rFonts w:ascii="Arial" w:hAnsi="Arial" w:cs="Arial"/>
          <w:u w:val="single"/>
        </w:rPr>
        <w:t>Effort to Reduce Small Business Burden</w:t>
      </w:r>
    </w:p>
    <w:p w:rsidR="00840553" w:rsidP="00840553" w14:paraId="11139C70" w14:textId="77777777">
      <w:pPr>
        <w:spacing w:after="0" w:line="240" w:lineRule="auto"/>
        <w:ind w:left="720"/>
        <w:rPr>
          <w:rFonts w:ascii="Arial" w:hAnsi="Arial" w:cs="Arial"/>
        </w:rPr>
      </w:pPr>
    </w:p>
    <w:p w:rsidR="00840553" w:rsidRPr="00860F1E" w:rsidP="00840553" w14:paraId="3865247E" w14:textId="77777777">
      <w:pPr>
        <w:spacing w:after="0" w:line="240" w:lineRule="auto"/>
        <w:ind w:left="720"/>
        <w:rPr>
          <w:rFonts w:ascii="Arial" w:hAnsi="Arial" w:cs="Arial"/>
        </w:rPr>
      </w:pPr>
      <w:r w:rsidRPr="00860F1E">
        <w:rPr>
          <w:rFonts w:ascii="Arial" w:hAnsi="Arial" w:cs="Arial"/>
        </w:rPr>
        <w:t>No small entities are expected to be impacted by the final rule.</w:t>
      </w:r>
    </w:p>
    <w:p w:rsidR="00840553" w:rsidRPr="00563C01" w:rsidP="00840553" w14:paraId="1B35CB45" w14:textId="77777777">
      <w:pPr>
        <w:pStyle w:val="ListParagraph"/>
        <w:spacing w:after="0" w:line="240" w:lineRule="auto"/>
        <w:rPr>
          <w:rFonts w:ascii="Arial" w:hAnsi="Arial" w:cs="Arial"/>
        </w:rPr>
      </w:pPr>
    </w:p>
    <w:p w:rsidR="00840553" w:rsidRPr="00044B2F" w:rsidP="00840553" w14:paraId="79C3D334" w14:textId="77777777">
      <w:pPr>
        <w:pStyle w:val="ListParagraph"/>
        <w:numPr>
          <w:ilvl w:val="0"/>
          <w:numId w:val="2"/>
        </w:numPr>
        <w:spacing w:after="0" w:line="240" w:lineRule="auto"/>
        <w:rPr>
          <w:rFonts w:ascii="Arial" w:hAnsi="Arial" w:cs="Arial"/>
        </w:rPr>
      </w:pPr>
      <w:r w:rsidRPr="00044B2F">
        <w:rPr>
          <w:rFonts w:ascii="Arial" w:hAnsi="Arial" w:cs="Arial"/>
          <w:u w:val="single"/>
        </w:rPr>
        <w:t>Consequences to Federal Program or Policy Activities if the Collection is Not Conducted or is Conducted Less Frequently</w:t>
      </w:r>
    </w:p>
    <w:p w:rsidR="00840553" w:rsidP="00840553" w14:paraId="688A7A7C" w14:textId="77777777">
      <w:pPr>
        <w:spacing w:after="0" w:line="240" w:lineRule="auto"/>
        <w:ind w:left="720"/>
        <w:rPr>
          <w:rFonts w:ascii="Arial" w:hAnsi="Arial" w:cs="Arial"/>
        </w:rPr>
      </w:pPr>
    </w:p>
    <w:p w:rsidR="00840553" w:rsidP="00840553" w14:paraId="2389C5FC" w14:textId="77777777">
      <w:pPr>
        <w:spacing w:after="0" w:line="240" w:lineRule="auto"/>
        <w:ind w:left="720"/>
        <w:rPr>
          <w:rFonts w:ascii="Arial" w:hAnsi="Arial" w:cs="Arial"/>
        </w:rPr>
      </w:pPr>
      <w:r w:rsidRPr="00044B2F">
        <w:rPr>
          <w:rFonts w:ascii="Arial" w:hAnsi="Arial" w:cs="Arial"/>
        </w:rPr>
        <w:t>If the information were not collected, or collected less frequently, the NRC would be unaware for extended periods of time whether NPUF licensees have</w:t>
      </w:r>
      <w:r>
        <w:rPr>
          <w:rFonts w:ascii="Arial" w:hAnsi="Arial" w:cs="Arial"/>
        </w:rPr>
        <w:t xml:space="preserve"> maintained their licensing bases</w:t>
      </w:r>
      <w:r w:rsidRPr="00044B2F">
        <w:rPr>
          <w:rFonts w:ascii="Arial" w:hAnsi="Arial" w:cs="Arial"/>
        </w:rPr>
        <w:t xml:space="preserve">. </w:t>
      </w:r>
      <w:r>
        <w:rPr>
          <w:rFonts w:ascii="Arial" w:hAnsi="Arial" w:cs="Arial"/>
        </w:rPr>
        <w:t xml:space="preserve"> Prior to the final rule</w:t>
      </w:r>
      <w:r w:rsidRPr="00044B2F">
        <w:rPr>
          <w:rFonts w:ascii="Arial" w:hAnsi="Arial" w:cs="Arial"/>
        </w:rPr>
        <w:t>, the NRC found that licensees were not always able to provide documentation describing the details of their licensing basis, including their design basis calculations, in license renewal applicatio</w:t>
      </w:r>
      <w:r>
        <w:rPr>
          <w:rFonts w:ascii="Arial" w:hAnsi="Arial" w:cs="Arial"/>
        </w:rPr>
        <w:t>ns.</w:t>
      </w:r>
    </w:p>
    <w:p w:rsidR="00840553" w:rsidRPr="00044B2F" w:rsidP="00840553" w14:paraId="777D0D57" w14:textId="77777777">
      <w:pPr>
        <w:spacing w:after="0" w:line="240" w:lineRule="auto"/>
        <w:ind w:left="720"/>
        <w:rPr>
          <w:rFonts w:ascii="Arial" w:hAnsi="Arial" w:cs="Arial"/>
        </w:rPr>
      </w:pPr>
    </w:p>
    <w:p w:rsidR="00840553" w:rsidRPr="00044B2F" w:rsidP="00840553" w14:paraId="1375B6AC" w14:textId="77777777">
      <w:pPr>
        <w:pStyle w:val="ListParagraph"/>
        <w:numPr>
          <w:ilvl w:val="0"/>
          <w:numId w:val="2"/>
        </w:numPr>
        <w:spacing w:after="0" w:line="240" w:lineRule="auto"/>
        <w:rPr>
          <w:rFonts w:ascii="Arial" w:hAnsi="Arial" w:cs="Arial"/>
        </w:rPr>
      </w:pPr>
      <w:r w:rsidRPr="00044B2F">
        <w:rPr>
          <w:rFonts w:ascii="Arial" w:hAnsi="Arial" w:cs="Arial"/>
          <w:u w:val="single"/>
        </w:rPr>
        <w:t>Circumstances which Justify Variations from OMB Guidelines</w:t>
      </w:r>
    </w:p>
    <w:p w:rsidR="00840553" w:rsidP="00840553" w14:paraId="25EDA5E6" w14:textId="77777777">
      <w:pPr>
        <w:pStyle w:val="ListParagraph"/>
        <w:spacing w:after="0" w:line="240" w:lineRule="auto"/>
        <w:rPr>
          <w:rFonts w:ascii="Arial" w:hAnsi="Arial" w:cs="Arial"/>
        </w:rPr>
      </w:pPr>
    </w:p>
    <w:p w:rsidR="00840553" w:rsidRPr="00B50B1C" w:rsidP="00840553" w14:paraId="290231FC" w14:textId="77777777">
      <w:pPr>
        <w:pStyle w:val="ListParagraph"/>
        <w:spacing w:after="0" w:line="240" w:lineRule="auto"/>
        <w:rPr>
          <w:rFonts w:ascii="Arial" w:hAnsi="Arial" w:cs="Arial"/>
        </w:rPr>
      </w:pPr>
      <w:r>
        <w:rPr>
          <w:rFonts w:ascii="Arial" w:hAnsi="Arial" w:cs="Arial"/>
        </w:rPr>
        <w:t xml:space="preserve">The </w:t>
      </w:r>
      <w:r w:rsidRPr="00B50B1C">
        <w:rPr>
          <w:rFonts w:ascii="Arial" w:hAnsi="Arial" w:cs="Arial"/>
        </w:rPr>
        <w:t xml:space="preserve">revisions to Part 50 </w:t>
      </w:r>
      <w:r>
        <w:rPr>
          <w:rFonts w:ascii="Arial" w:hAnsi="Arial" w:cs="Arial"/>
        </w:rPr>
        <w:t>do</w:t>
      </w:r>
      <w:r w:rsidRPr="00B50B1C">
        <w:rPr>
          <w:rFonts w:ascii="Arial" w:hAnsi="Arial" w:cs="Arial"/>
        </w:rPr>
        <w:t xml:space="preserve"> not conflict with OMB Guidelines. </w:t>
      </w:r>
    </w:p>
    <w:p w:rsidR="00840553" w:rsidRPr="00B50B1C" w:rsidP="00840553" w14:paraId="54446AAF" w14:textId="77777777">
      <w:pPr>
        <w:pStyle w:val="ListParagraph"/>
        <w:spacing w:after="0" w:line="240" w:lineRule="auto"/>
        <w:rPr>
          <w:rFonts w:ascii="Arial" w:hAnsi="Arial" w:cs="Arial"/>
        </w:rPr>
      </w:pPr>
    </w:p>
    <w:p w:rsidR="00840553" w:rsidRPr="00044B2F" w:rsidP="00840553" w14:paraId="5FBDA91E" w14:textId="77777777">
      <w:pPr>
        <w:pStyle w:val="ListParagraph"/>
        <w:numPr>
          <w:ilvl w:val="0"/>
          <w:numId w:val="2"/>
        </w:numPr>
        <w:spacing w:after="0" w:line="240" w:lineRule="auto"/>
        <w:rPr>
          <w:rFonts w:ascii="Arial" w:hAnsi="Arial" w:cs="Arial"/>
        </w:rPr>
      </w:pPr>
      <w:r w:rsidRPr="00044B2F">
        <w:rPr>
          <w:rFonts w:ascii="Arial" w:hAnsi="Arial" w:cs="Arial"/>
          <w:u w:val="single"/>
        </w:rPr>
        <w:t>Consultations Outside the NRC</w:t>
      </w:r>
    </w:p>
    <w:p w:rsidR="00840553" w:rsidP="00840553" w14:paraId="0A0DD32C" w14:textId="77777777">
      <w:pPr>
        <w:pStyle w:val="ListParagraph"/>
        <w:spacing w:after="0" w:line="240" w:lineRule="auto"/>
        <w:rPr>
          <w:rFonts w:ascii="Arial" w:hAnsi="Arial" w:cs="Arial"/>
        </w:rPr>
      </w:pPr>
    </w:p>
    <w:p w:rsidR="00840553" w:rsidP="00840553" w14:paraId="4F6AE858" w14:textId="77777777">
      <w:pPr>
        <w:pStyle w:val="ListParagraph"/>
        <w:spacing w:after="0" w:line="240" w:lineRule="auto"/>
        <w:rPr>
          <w:rFonts w:ascii="Arial" w:hAnsi="Arial" w:cs="Arial"/>
        </w:rPr>
      </w:pPr>
      <w:r w:rsidRPr="00540781">
        <w:rPr>
          <w:rFonts w:ascii="Arial" w:hAnsi="Arial" w:cs="Arial"/>
        </w:rPr>
        <w:t xml:space="preserve">On March 30, 2017, the NRC published a proposed rule, “Non-Power Production or Utilization Facility License Renewal,” in the Federal Register (82 FR 15643).  The public comment period to review and comment on the proposed rule and associated guidance was 75 days.  The NRC requested public comment on the potential impact of the information collections contained in the proposed rule. </w:t>
      </w:r>
    </w:p>
    <w:p w:rsidR="00840553" w:rsidP="00840553" w14:paraId="53605BFF" w14:textId="77777777">
      <w:pPr>
        <w:pStyle w:val="ListParagraph"/>
        <w:spacing w:after="0" w:line="240" w:lineRule="auto"/>
        <w:rPr>
          <w:rFonts w:ascii="Arial" w:hAnsi="Arial" w:cs="Arial"/>
        </w:rPr>
      </w:pPr>
    </w:p>
    <w:p w:rsidR="00840553" w:rsidRPr="00B50B1C" w:rsidP="00840553" w14:paraId="32B63249" w14:textId="77777777">
      <w:pPr>
        <w:pStyle w:val="ListParagraph"/>
        <w:spacing w:after="0" w:line="240" w:lineRule="auto"/>
        <w:rPr>
          <w:rFonts w:ascii="Arial" w:hAnsi="Arial" w:cs="Arial"/>
        </w:rPr>
      </w:pPr>
      <w:r w:rsidRPr="00407AC3">
        <w:rPr>
          <w:rFonts w:ascii="Arial" w:hAnsi="Arial" w:cs="Arial"/>
        </w:rPr>
        <w:t>The NRC staff prepared a summary and analysis of public comments received on the 2017 proposed rule and draft regulatory guide, which is available in ADAMS under Accession No. ML18031A005</w:t>
      </w:r>
      <w:r>
        <w:rPr>
          <w:rFonts w:ascii="Arial" w:hAnsi="Arial" w:cs="Arial"/>
        </w:rPr>
        <w:t xml:space="preserve"> and uploaded as a supplementary document</w:t>
      </w:r>
      <w:r w:rsidRPr="00407AC3">
        <w:rPr>
          <w:rFonts w:ascii="Arial" w:hAnsi="Arial" w:cs="Arial"/>
        </w:rPr>
        <w:t xml:space="preserve">.  </w:t>
      </w:r>
      <w:r>
        <w:rPr>
          <w:rFonts w:ascii="Arial" w:hAnsi="Arial" w:cs="Arial"/>
        </w:rPr>
        <w:t>Section C of the document discusses public comments received on eliminating license renewal for certain NPUFs, Section D addresses public comments on the new 10 CFR 50.135, and Section E discusses public comments received on requiring FSAR submittals from NPUF licensees.</w:t>
      </w:r>
    </w:p>
    <w:p w:rsidR="00840553" w:rsidRPr="00B50B1C" w:rsidP="00840553" w14:paraId="12B3DC89" w14:textId="77777777">
      <w:pPr>
        <w:pStyle w:val="ListParagraph"/>
        <w:spacing w:after="0" w:line="240" w:lineRule="auto"/>
        <w:rPr>
          <w:rFonts w:ascii="Arial" w:hAnsi="Arial" w:cs="Arial"/>
        </w:rPr>
      </w:pPr>
    </w:p>
    <w:p w:rsidR="00840553" w:rsidRPr="00044B2F" w:rsidP="00840553" w14:paraId="19202839" w14:textId="77777777">
      <w:pPr>
        <w:pStyle w:val="ListParagraph"/>
        <w:numPr>
          <w:ilvl w:val="0"/>
          <w:numId w:val="2"/>
        </w:numPr>
        <w:spacing w:after="0" w:line="240" w:lineRule="auto"/>
        <w:rPr>
          <w:rFonts w:ascii="Arial" w:hAnsi="Arial" w:cs="Arial"/>
        </w:rPr>
      </w:pPr>
      <w:r w:rsidRPr="00044B2F">
        <w:rPr>
          <w:rFonts w:ascii="Arial" w:hAnsi="Arial" w:cs="Arial"/>
          <w:u w:val="single"/>
        </w:rPr>
        <w:t>Payment or Gift to Respondents</w:t>
      </w:r>
    </w:p>
    <w:p w:rsidR="00840553" w:rsidP="00840553" w14:paraId="01B3CBE2" w14:textId="77777777">
      <w:pPr>
        <w:spacing w:after="0" w:line="240" w:lineRule="auto"/>
        <w:ind w:left="720"/>
        <w:rPr>
          <w:rFonts w:ascii="Arial" w:hAnsi="Arial" w:cs="Arial"/>
        </w:rPr>
      </w:pPr>
    </w:p>
    <w:p w:rsidR="00840553" w:rsidRPr="00563C01" w:rsidP="00D93F5A" w14:paraId="6A444A77" w14:textId="461388EF">
      <w:pPr>
        <w:spacing w:after="0" w:line="240" w:lineRule="auto"/>
        <w:ind w:left="720"/>
        <w:rPr>
          <w:rFonts w:ascii="Arial" w:hAnsi="Arial" w:cs="Arial"/>
        </w:rPr>
      </w:pPr>
      <w:r w:rsidRPr="00044B2F">
        <w:rPr>
          <w:rFonts w:ascii="Arial" w:hAnsi="Arial" w:cs="Arial"/>
        </w:rPr>
        <w:t>Not applicable.</w:t>
      </w:r>
    </w:p>
    <w:p w:rsidR="00840553" w:rsidRPr="00044B2F" w:rsidP="00840553" w14:paraId="58E9B8EE" w14:textId="77777777">
      <w:pPr>
        <w:pStyle w:val="ListParagraph"/>
        <w:numPr>
          <w:ilvl w:val="0"/>
          <w:numId w:val="2"/>
        </w:numPr>
        <w:spacing w:after="0" w:line="240" w:lineRule="auto"/>
        <w:rPr>
          <w:rFonts w:ascii="Arial" w:hAnsi="Arial" w:cs="Arial"/>
        </w:rPr>
      </w:pPr>
      <w:r w:rsidRPr="00044B2F">
        <w:rPr>
          <w:rFonts w:ascii="Arial" w:hAnsi="Arial" w:cs="Arial"/>
          <w:u w:val="single"/>
        </w:rPr>
        <w:t>Confidentiality of Information</w:t>
      </w:r>
    </w:p>
    <w:p w:rsidR="00840553" w:rsidP="00840553" w14:paraId="19686C6A" w14:textId="77777777">
      <w:pPr>
        <w:pStyle w:val="ListParagraph"/>
        <w:spacing w:after="0" w:line="240" w:lineRule="auto"/>
        <w:rPr>
          <w:rFonts w:ascii="Arial" w:hAnsi="Arial" w:cs="Arial"/>
        </w:rPr>
      </w:pPr>
    </w:p>
    <w:p w:rsidR="00840553" w:rsidP="00840553" w14:paraId="5613CBD7" w14:textId="77777777">
      <w:pPr>
        <w:pStyle w:val="ListParagraph"/>
        <w:spacing w:after="0" w:line="240" w:lineRule="auto"/>
        <w:rPr>
          <w:rFonts w:ascii="Arial" w:hAnsi="Arial" w:cs="Arial"/>
        </w:rPr>
      </w:pPr>
      <w:r w:rsidRPr="003D6F48">
        <w:rPr>
          <w:rFonts w:ascii="Arial" w:hAnsi="Arial" w:cs="Arial"/>
        </w:rPr>
        <w:t xml:space="preserve">Confidential and proprietary information is protected in accordance with NRC regulations at 10 CFR 9.17(a) and 10 CFR 2.390(b). </w:t>
      </w:r>
      <w:r>
        <w:rPr>
          <w:rFonts w:ascii="Arial" w:hAnsi="Arial" w:cs="Arial"/>
        </w:rPr>
        <w:t xml:space="preserve"> </w:t>
      </w:r>
      <w:r w:rsidRPr="003D6F48">
        <w:rPr>
          <w:rFonts w:ascii="Arial" w:hAnsi="Arial" w:cs="Arial"/>
        </w:rPr>
        <w:t>However, no information normally considered confidential or proprietary is requested.</w:t>
      </w:r>
    </w:p>
    <w:p w:rsidR="00840553" w:rsidP="00840553" w14:paraId="507FCCD3" w14:textId="77777777">
      <w:pPr>
        <w:pStyle w:val="ListParagraph"/>
        <w:spacing w:after="0" w:line="240" w:lineRule="auto"/>
        <w:rPr>
          <w:rFonts w:ascii="Arial" w:hAnsi="Arial" w:cs="Arial"/>
        </w:rPr>
      </w:pPr>
    </w:p>
    <w:p w:rsidR="00840553" w:rsidRPr="00044B2F" w:rsidP="00840553" w14:paraId="51E18CB3" w14:textId="77777777">
      <w:pPr>
        <w:pStyle w:val="ListParagraph"/>
        <w:numPr>
          <w:ilvl w:val="0"/>
          <w:numId w:val="2"/>
        </w:numPr>
        <w:spacing w:after="0" w:line="240" w:lineRule="auto"/>
        <w:rPr>
          <w:rFonts w:ascii="Arial" w:hAnsi="Arial" w:cs="Arial"/>
        </w:rPr>
      </w:pPr>
      <w:r w:rsidRPr="00044B2F">
        <w:rPr>
          <w:rFonts w:ascii="Arial" w:hAnsi="Arial" w:cs="Arial"/>
          <w:u w:val="single"/>
        </w:rPr>
        <w:t>Justification for Sensitive Questions</w:t>
      </w:r>
    </w:p>
    <w:p w:rsidR="00840553" w:rsidP="00840553" w14:paraId="54DF84E5" w14:textId="77777777">
      <w:pPr>
        <w:spacing w:after="0" w:line="240" w:lineRule="auto"/>
        <w:ind w:left="720"/>
        <w:rPr>
          <w:rFonts w:ascii="Arial" w:hAnsi="Arial" w:cs="Arial"/>
        </w:rPr>
      </w:pPr>
    </w:p>
    <w:p w:rsidR="00840553" w:rsidRPr="00044B2F" w:rsidP="00840553" w14:paraId="1DFA252D" w14:textId="77777777">
      <w:pPr>
        <w:spacing w:after="0" w:line="240" w:lineRule="auto"/>
        <w:ind w:left="720"/>
        <w:rPr>
          <w:rFonts w:ascii="Arial" w:hAnsi="Arial" w:cs="Arial"/>
        </w:rPr>
      </w:pPr>
      <w:r w:rsidRPr="00044B2F">
        <w:rPr>
          <w:rFonts w:ascii="Arial" w:hAnsi="Arial" w:cs="Arial"/>
        </w:rPr>
        <w:t xml:space="preserve">The </w:t>
      </w:r>
      <w:r>
        <w:rPr>
          <w:rFonts w:ascii="Arial" w:hAnsi="Arial" w:cs="Arial"/>
        </w:rPr>
        <w:t>final</w:t>
      </w:r>
      <w:r w:rsidRPr="00044B2F">
        <w:rPr>
          <w:rFonts w:ascii="Arial" w:hAnsi="Arial" w:cs="Arial"/>
        </w:rPr>
        <w:t xml:space="preserve"> rule </w:t>
      </w:r>
      <w:r>
        <w:rPr>
          <w:rFonts w:ascii="Arial" w:hAnsi="Arial" w:cs="Arial"/>
        </w:rPr>
        <w:t>does</w:t>
      </w:r>
      <w:r w:rsidRPr="00044B2F">
        <w:rPr>
          <w:rFonts w:ascii="Arial" w:hAnsi="Arial" w:cs="Arial"/>
        </w:rPr>
        <w:t xml:space="preserve"> not request sensitive information.</w:t>
      </w:r>
    </w:p>
    <w:p w:rsidR="00840553" w:rsidRPr="00563C01" w:rsidP="00840553" w14:paraId="2070FCFA" w14:textId="77777777">
      <w:pPr>
        <w:pStyle w:val="ListParagraph"/>
        <w:spacing w:after="0" w:line="240" w:lineRule="auto"/>
        <w:rPr>
          <w:rFonts w:ascii="Arial" w:hAnsi="Arial" w:cs="Arial"/>
        </w:rPr>
      </w:pPr>
    </w:p>
    <w:p w:rsidR="00840553" w:rsidRPr="00044B2F" w:rsidP="00840553" w14:paraId="29A5BD31" w14:textId="77777777">
      <w:pPr>
        <w:pStyle w:val="ListParagraph"/>
        <w:numPr>
          <w:ilvl w:val="0"/>
          <w:numId w:val="2"/>
        </w:numPr>
        <w:spacing w:after="0" w:line="240" w:lineRule="auto"/>
        <w:rPr>
          <w:rFonts w:ascii="Arial" w:hAnsi="Arial" w:cs="Arial"/>
        </w:rPr>
      </w:pPr>
      <w:r w:rsidRPr="00044B2F">
        <w:rPr>
          <w:rFonts w:ascii="Arial" w:hAnsi="Arial" w:cs="Arial"/>
          <w:u w:val="single"/>
        </w:rPr>
        <w:t>Estimated Burden and Burden Hour Cost</w:t>
      </w:r>
    </w:p>
    <w:p w:rsidR="00840553" w:rsidP="00840553" w14:paraId="5657C762" w14:textId="77777777">
      <w:pPr>
        <w:spacing w:after="0" w:line="240" w:lineRule="auto"/>
        <w:ind w:left="720"/>
        <w:rPr>
          <w:rFonts w:ascii="Arial" w:hAnsi="Arial" w:cs="Arial"/>
        </w:rPr>
      </w:pPr>
    </w:p>
    <w:p w:rsidR="00AA20D2" w:rsidRPr="00AA20D2" w:rsidP="00840553" w14:paraId="72770A8E" w14:textId="77777777">
      <w:pPr>
        <w:spacing w:after="0" w:line="240" w:lineRule="auto"/>
        <w:ind w:left="720"/>
        <w:rPr>
          <w:rFonts w:ascii="Arial" w:hAnsi="Arial" w:cs="Arial"/>
          <w:u w:val="single"/>
        </w:rPr>
      </w:pPr>
      <w:r w:rsidRPr="00AA20D2">
        <w:rPr>
          <w:rFonts w:ascii="Arial" w:hAnsi="Arial" w:cs="Arial"/>
          <w:u w:val="single"/>
        </w:rPr>
        <w:t>Part 50</w:t>
      </w:r>
    </w:p>
    <w:p w:rsidR="00840553" w:rsidRPr="00044B2F" w:rsidP="00840553" w14:paraId="0088D87E" w14:textId="1BF71F43">
      <w:pPr>
        <w:spacing w:after="0" w:line="240" w:lineRule="auto"/>
        <w:ind w:left="720"/>
        <w:rPr>
          <w:rFonts w:ascii="Arial" w:hAnsi="Arial" w:cs="Arial"/>
        </w:rPr>
      </w:pPr>
      <w:r w:rsidRPr="00044B2F">
        <w:rPr>
          <w:rFonts w:ascii="Arial" w:hAnsi="Arial" w:cs="Arial"/>
        </w:rPr>
        <w:t xml:space="preserve">Detailed burden estimates are included in the supplemental burden Excel spreadsheet titled, “Part 50 Burden Tables for the Non-Power Production or Utilization Facility License Renewal </w:t>
      </w:r>
      <w:r>
        <w:rPr>
          <w:rFonts w:ascii="Arial" w:hAnsi="Arial" w:cs="Arial"/>
        </w:rPr>
        <w:t>Final</w:t>
      </w:r>
      <w:r w:rsidRPr="00044B2F">
        <w:rPr>
          <w:rFonts w:ascii="Arial" w:hAnsi="Arial" w:cs="Arial"/>
        </w:rPr>
        <w:t xml:space="preserve"> Rule.”</w:t>
      </w:r>
    </w:p>
    <w:p w:rsidR="00840553" w:rsidP="00840553" w14:paraId="1CE5FDBE" w14:textId="77777777">
      <w:pPr>
        <w:spacing w:after="0" w:line="240" w:lineRule="auto"/>
        <w:ind w:left="720"/>
        <w:rPr>
          <w:rFonts w:ascii="Arial" w:hAnsi="Arial" w:cs="Arial"/>
        </w:rPr>
      </w:pPr>
    </w:p>
    <w:p w:rsidR="00840553" w:rsidRPr="00044B2F" w:rsidP="00840553" w14:paraId="3E441CB2" w14:textId="77777777">
      <w:pPr>
        <w:spacing w:after="0" w:line="240" w:lineRule="auto"/>
        <w:ind w:left="720"/>
        <w:rPr>
          <w:rFonts w:ascii="Arial" w:hAnsi="Arial" w:cs="Arial"/>
        </w:rPr>
      </w:pPr>
      <w:r w:rsidRPr="00044B2F">
        <w:rPr>
          <w:rFonts w:ascii="Arial" w:hAnsi="Arial" w:cs="Arial"/>
        </w:rPr>
        <w:t>The estimated number of annual respondents is</w:t>
      </w:r>
      <w:r>
        <w:rPr>
          <w:rFonts w:ascii="Arial" w:hAnsi="Arial" w:cs="Arial"/>
        </w:rPr>
        <w:t xml:space="preserve"> 16.  Of the 33 NPUFs required to submit an updated FSAR under Section 50.71(e),</w:t>
      </w:r>
      <w:r w:rsidRPr="00590D56">
        <w:rPr>
          <w:rFonts w:ascii="Arial" w:hAnsi="Arial" w:cs="Arial"/>
        </w:rPr>
        <w:t xml:space="preserve"> </w:t>
      </w:r>
      <w:r>
        <w:rPr>
          <w:rFonts w:ascii="Arial" w:hAnsi="Arial" w:cs="Arial"/>
        </w:rPr>
        <w:t xml:space="preserve">13 NPUFs </w:t>
      </w:r>
      <w:r w:rsidRPr="00F208CC">
        <w:rPr>
          <w:rFonts w:ascii="Arial" w:hAnsi="Arial" w:cs="Arial"/>
        </w:rPr>
        <w:t>will submit updated FSARs during the 3-year period covered by this supporting statement</w:t>
      </w:r>
      <w:r>
        <w:rPr>
          <w:rFonts w:ascii="Arial" w:hAnsi="Arial" w:cs="Arial"/>
        </w:rPr>
        <w:t>.  On average, NRC estimates that 5 NPUFs will submit updated FSARs each year during the 3-year period.  All 33 NPUFs will have a one-time recordkeeping burden associated with reviewing and updating procedures.</w:t>
      </w:r>
    </w:p>
    <w:p w:rsidR="00840553" w:rsidP="00840553" w14:paraId="560DA042" w14:textId="77777777">
      <w:pPr>
        <w:spacing w:after="0" w:line="240" w:lineRule="auto"/>
        <w:ind w:left="720"/>
        <w:rPr>
          <w:rFonts w:ascii="Arial" w:hAnsi="Arial" w:cs="Arial"/>
        </w:rPr>
      </w:pPr>
    </w:p>
    <w:p w:rsidR="00840553" w:rsidP="00840553" w14:paraId="63C9DFFD" w14:textId="77777777">
      <w:pPr>
        <w:spacing w:after="0" w:line="240" w:lineRule="auto"/>
        <w:ind w:left="720"/>
        <w:rPr>
          <w:rFonts w:ascii="Arial" w:hAnsi="Arial" w:cs="Arial"/>
        </w:rPr>
      </w:pPr>
      <w:r w:rsidRPr="003A1FB6">
        <w:rPr>
          <w:rFonts w:ascii="Arial" w:hAnsi="Arial" w:cs="Arial"/>
        </w:rPr>
        <w:t>The overall estimated annual burden is 1,076 hours at an estimated annual cost of $</w:t>
      </w:r>
      <w:r>
        <w:rPr>
          <w:rFonts w:ascii="Arial" w:hAnsi="Arial" w:cs="Arial"/>
        </w:rPr>
        <w:t>341,092</w:t>
      </w:r>
      <w:r w:rsidRPr="003A1FB6">
        <w:rPr>
          <w:rFonts w:ascii="Arial" w:hAnsi="Arial" w:cs="Arial"/>
        </w:rPr>
        <w:t xml:space="preserve"> (1,076 hours x $</w:t>
      </w:r>
      <w:r>
        <w:rPr>
          <w:rFonts w:ascii="Arial" w:hAnsi="Arial" w:cs="Arial"/>
        </w:rPr>
        <w:t>317</w:t>
      </w:r>
      <w:r w:rsidRPr="003A1FB6">
        <w:rPr>
          <w:rFonts w:ascii="Arial" w:hAnsi="Arial" w:cs="Arial"/>
        </w:rPr>
        <w:t>/</w:t>
      </w:r>
      <w:r w:rsidRPr="003A1FB6">
        <w:rPr>
          <w:rFonts w:ascii="Arial" w:hAnsi="Arial" w:cs="Arial"/>
        </w:rPr>
        <w:t>hr</w:t>
      </w:r>
      <w:r w:rsidRPr="003A1FB6">
        <w:rPr>
          <w:rFonts w:ascii="Arial" w:hAnsi="Arial" w:cs="Arial"/>
        </w:rPr>
        <w:t>).  This includes 1,023 hours for recordkeeping and 53 hours for reporting.</w:t>
      </w:r>
    </w:p>
    <w:p w:rsidR="00840553" w:rsidRPr="00044B2F" w:rsidP="00840553" w14:paraId="52A2C8D9" w14:textId="77777777">
      <w:pPr>
        <w:spacing w:after="0" w:line="240" w:lineRule="auto"/>
        <w:ind w:left="720"/>
        <w:rPr>
          <w:rFonts w:ascii="Arial" w:hAnsi="Arial" w:cs="Arial"/>
        </w:rPr>
      </w:pPr>
    </w:p>
    <w:p w:rsidR="00840553" w:rsidRPr="00F81655" w:rsidP="00840553" w14:paraId="4A0001CD" w14:textId="77777777">
      <w:pPr>
        <w:keepNext/>
        <w:widowControl w:val="0"/>
        <w:tabs>
          <w:tab w:val="left" w:pos="6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0" w:line="240" w:lineRule="auto"/>
        <w:jc w:val="center"/>
        <w:rPr>
          <w:rFonts w:ascii="Arial" w:hAnsi="Arial"/>
          <w:b/>
        </w:rPr>
      </w:pPr>
      <w:r>
        <w:rPr>
          <w:rFonts w:ascii="Arial" w:hAnsi="Arial"/>
          <w:b/>
        </w:rPr>
        <w:t>T</w:t>
      </w:r>
      <w:r w:rsidRPr="00F81655">
        <w:rPr>
          <w:rFonts w:ascii="Arial" w:hAnsi="Arial"/>
          <w:b/>
        </w:rPr>
        <w:t>otal</w:t>
      </w:r>
      <w:r>
        <w:rPr>
          <w:rFonts w:ascii="Arial" w:hAnsi="Arial"/>
          <w:b/>
        </w:rPr>
        <w:t xml:space="preserve"> Annual</w:t>
      </w:r>
      <w:r w:rsidRPr="00F81655">
        <w:rPr>
          <w:rFonts w:ascii="Arial" w:hAnsi="Arial"/>
          <w:b/>
        </w:rPr>
        <w:t xml:space="preserve"> Burden Summary</w:t>
      </w:r>
    </w:p>
    <w:tbl>
      <w:tblPr>
        <w:tblStyle w:val="TableGrid"/>
        <w:tblW w:w="0" w:type="auto"/>
        <w:jc w:val="center"/>
        <w:tblLook w:val="04A0"/>
      </w:tblPr>
      <w:tblGrid>
        <w:gridCol w:w="2875"/>
        <w:gridCol w:w="1980"/>
        <w:gridCol w:w="1535"/>
        <w:gridCol w:w="1975"/>
      </w:tblGrid>
      <w:tr w14:paraId="37397552" w14:textId="77777777" w:rsidTr="00364977">
        <w:tblPrEx>
          <w:tblW w:w="0" w:type="auto"/>
          <w:jc w:val="center"/>
          <w:tblLook w:val="04A0"/>
        </w:tblPrEx>
        <w:trPr>
          <w:jc w:val="center"/>
        </w:trPr>
        <w:tc>
          <w:tcPr>
            <w:tcW w:w="2875" w:type="dxa"/>
          </w:tcPr>
          <w:p w:rsidR="00840553" w:rsidRPr="00F81655" w:rsidP="00364977" w14:paraId="7D51EE8F" w14:textId="77777777">
            <w:pPr>
              <w:keepNext/>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center"/>
              <w:rPr>
                <w:rFonts w:ascii="Arial" w:hAnsi="Arial"/>
                <w:b/>
              </w:rPr>
            </w:pPr>
            <w:r w:rsidRPr="00F81655">
              <w:rPr>
                <w:rFonts w:ascii="Arial" w:hAnsi="Arial"/>
                <w:b/>
              </w:rPr>
              <w:t>Title</w:t>
            </w:r>
          </w:p>
        </w:tc>
        <w:tc>
          <w:tcPr>
            <w:tcW w:w="1980" w:type="dxa"/>
          </w:tcPr>
          <w:p w:rsidR="00840553" w:rsidRPr="00F81655" w:rsidP="00364977" w14:paraId="4B39E307" w14:textId="77777777">
            <w:pPr>
              <w:keepNext/>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center"/>
              <w:rPr>
                <w:rFonts w:ascii="Arial" w:hAnsi="Arial"/>
                <w:b/>
              </w:rPr>
            </w:pPr>
            <w:r w:rsidRPr="00F81655">
              <w:rPr>
                <w:rFonts w:ascii="Arial" w:hAnsi="Arial"/>
                <w:b/>
              </w:rPr>
              <w:t>Responses</w:t>
            </w:r>
          </w:p>
        </w:tc>
        <w:tc>
          <w:tcPr>
            <w:tcW w:w="1535" w:type="dxa"/>
          </w:tcPr>
          <w:p w:rsidR="00840553" w:rsidRPr="00F81655" w:rsidP="00364977" w14:paraId="06C75FC9" w14:textId="77777777">
            <w:pPr>
              <w:keepNext/>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center"/>
              <w:rPr>
                <w:rFonts w:ascii="Arial" w:hAnsi="Arial"/>
                <w:b/>
              </w:rPr>
            </w:pPr>
            <w:r w:rsidRPr="00F81655">
              <w:rPr>
                <w:rFonts w:ascii="Arial" w:hAnsi="Arial"/>
                <w:b/>
              </w:rPr>
              <w:t>Hours</w:t>
            </w:r>
          </w:p>
        </w:tc>
        <w:tc>
          <w:tcPr>
            <w:tcW w:w="1975" w:type="dxa"/>
          </w:tcPr>
          <w:p w:rsidR="00840553" w:rsidRPr="00F81655" w:rsidP="00364977" w14:paraId="29B24623" w14:textId="77777777">
            <w:pPr>
              <w:keepNext/>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center"/>
              <w:rPr>
                <w:rFonts w:ascii="Arial" w:hAnsi="Arial"/>
                <w:b/>
              </w:rPr>
            </w:pPr>
            <w:r w:rsidRPr="00F81655">
              <w:rPr>
                <w:rFonts w:ascii="Arial" w:hAnsi="Arial"/>
                <w:b/>
              </w:rPr>
              <w:t>Cost</w:t>
            </w:r>
          </w:p>
        </w:tc>
      </w:tr>
      <w:tr w14:paraId="3311B20F" w14:textId="77777777" w:rsidTr="00364977">
        <w:tblPrEx>
          <w:tblW w:w="0" w:type="auto"/>
          <w:jc w:val="center"/>
          <w:tblLook w:val="04A0"/>
        </w:tblPrEx>
        <w:trPr>
          <w:jc w:val="center"/>
        </w:trPr>
        <w:tc>
          <w:tcPr>
            <w:tcW w:w="2875" w:type="dxa"/>
          </w:tcPr>
          <w:p w:rsidR="00840553" w:rsidP="00364977" w14:paraId="3256A501" w14:textId="77777777">
            <w:pPr>
              <w:keepNext/>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r>
              <w:rPr>
                <w:rFonts w:ascii="Arial" w:hAnsi="Arial"/>
              </w:rPr>
              <w:t>One-Time Recordkeeping</w:t>
            </w:r>
          </w:p>
        </w:tc>
        <w:tc>
          <w:tcPr>
            <w:tcW w:w="1980" w:type="dxa"/>
          </w:tcPr>
          <w:p w:rsidR="00840553" w:rsidP="00364977" w14:paraId="4104E584" w14:textId="77777777">
            <w:pPr>
              <w:keepNext/>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center"/>
              <w:rPr>
                <w:rFonts w:ascii="Arial" w:hAnsi="Arial"/>
              </w:rPr>
            </w:pPr>
            <w:r>
              <w:rPr>
                <w:rFonts w:ascii="Arial" w:hAnsi="Arial"/>
              </w:rPr>
              <w:t>11</w:t>
            </w:r>
          </w:p>
        </w:tc>
        <w:tc>
          <w:tcPr>
            <w:tcW w:w="1535" w:type="dxa"/>
          </w:tcPr>
          <w:p w:rsidR="00840553" w:rsidP="00364977" w14:paraId="73E5BDBC" w14:textId="77777777">
            <w:pPr>
              <w:keepNext/>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center"/>
              <w:rPr>
                <w:rFonts w:ascii="Arial" w:hAnsi="Arial"/>
              </w:rPr>
            </w:pPr>
            <w:r>
              <w:rPr>
                <w:rFonts w:ascii="Arial" w:hAnsi="Arial"/>
              </w:rPr>
              <w:t>88</w:t>
            </w:r>
          </w:p>
        </w:tc>
        <w:tc>
          <w:tcPr>
            <w:tcW w:w="1975" w:type="dxa"/>
            <w:vAlign w:val="center"/>
          </w:tcPr>
          <w:p w:rsidR="00840553" w:rsidRPr="00ED4467" w:rsidP="00364977" w14:paraId="4FACCBC2" w14:textId="77777777">
            <w:pPr>
              <w:keepNext/>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center"/>
              <w:rPr>
                <w:rFonts w:ascii="Arial" w:hAnsi="Arial" w:cs="Arial"/>
              </w:rPr>
            </w:pPr>
            <w:r w:rsidRPr="00364977">
              <w:rPr>
                <w:rFonts w:ascii="Arial" w:hAnsi="Arial" w:cs="Arial"/>
                <w:color w:val="000000"/>
              </w:rPr>
              <w:t>$27,896</w:t>
            </w:r>
          </w:p>
        </w:tc>
      </w:tr>
      <w:tr w14:paraId="14889093" w14:textId="77777777" w:rsidTr="00364977">
        <w:tblPrEx>
          <w:tblW w:w="0" w:type="auto"/>
          <w:jc w:val="center"/>
          <w:tblLook w:val="04A0"/>
        </w:tblPrEx>
        <w:trPr>
          <w:jc w:val="center"/>
        </w:trPr>
        <w:tc>
          <w:tcPr>
            <w:tcW w:w="2875" w:type="dxa"/>
          </w:tcPr>
          <w:p w:rsidR="00840553" w:rsidP="00364977" w14:paraId="48E8C875" w14:textId="77777777">
            <w:pPr>
              <w:keepNext/>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r>
              <w:rPr>
                <w:rFonts w:ascii="Arial" w:hAnsi="Arial"/>
              </w:rPr>
              <w:t>Annual Recordkeeping</w:t>
            </w:r>
          </w:p>
        </w:tc>
        <w:tc>
          <w:tcPr>
            <w:tcW w:w="1980" w:type="dxa"/>
          </w:tcPr>
          <w:p w:rsidR="00840553" w:rsidP="00364977" w14:paraId="255F16A2" w14:textId="77777777">
            <w:pPr>
              <w:keepNext/>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center"/>
              <w:rPr>
                <w:rFonts w:ascii="Arial" w:hAnsi="Arial"/>
              </w:rPr>
            </w:pPr>
            <w:r>
              <w:rPr>
                <w:rFonts w:ascii="Arial" w:hAnsi="Arial"/>
              </w:rPr>
              <w:t>5</w:t>
            </w:r>
          </w:p>
        </w:tc>
        <w:tc>
          <w:tcPr>
            <w:tcW w:w="1535" w:type="dxa"/>
          </w:tcPr>
          <w:p w:rsidR="00840553" w:rsidP="00364977" w14:paraId="4BF40E6E" w14:textId="77777777">
            <w:pPr>
              <w:keepNext/>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center"/>
              <w:rPr>
                <w:rFonts w:ascii="Arial" w:hAnsi="Arial"/>
              </w:rPr>
            </w:pPr>
            <w:r>
              <w:rPr>
                <w:rFonts w:ascii="Arial" w:hAnsi="Arial"/>
              </w:rPr>
              <w:t>935</w:t>
            </w:r>
          </w:p>
        </w:tc>
        <w:tc>
          <w:tcPr>
            <w:tcW w:w="1975" w:type="dxa"/>
            <w:vAlign w:val="center"/>
          </w:tcPr>
          <w:p w:rsidR="00840553" w:rsidRPr="00ED4467" w:rsidP="00364977" w14:paraId="6CDA7A09" w14:textId="77777777">
            <w:pPr>
              <w:keepNext/>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center"/>
              <w:rPr>
                <w:rFonts w:ascii="Arial" w:hAnsi="Arial" w:cs="Arial"/>
              </w:rPr>
            </w:pPr>
            <w:r w:rsidRPr="00364977">
              <w:rPr>
                <w:rFonts w:ascii="Arial" w:hAnsi="Arial" w:cs="Arial"/>
                <w:color w:val="000000"/>
              </w:rPr>
              <w:t>$296,395</w:t>
            </w:r>
          </w:p>
        </w:tc>
      </w:tr>
      <w:tr w14:paraId="7BA5D39D" w14:textId="77777777" w:rsidTr="00364977">
        <w:tblPrEx>
          <w:tblW w:w="0" w:type="auto"/>
          <w:jc w:val="center"/>
          <w:tblLook w:val="04A0"/>
        </w:tblPrEx>
        <w:trPr>
          <w:jc w:val="center"/>
        </w:trPr>
        <w:tc>
          <w:tcPr>
            <w:tcW w:w="2875" w:type="dxa"/>
          </w:tcPr>
          <w:p w:rsidR="00840553" w:rsidP="00364977" w14:paraId="561F210E" w14:textId="77777777">
            <w:pPr>
              <w:keepNext/>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r>
              <w:rPr>
                <w:rFonts w:ascii="Arial" w:hAnsi="Arial"/>
              </w:rPr>
              <w:t>Annual Reporting</w:t>
            </w:r>
          </w:p>
        </w:tc>
        <w:tc>
          <w:tcPr>
            <w:tcW w:w="1980" w:type="dxa"/>
            <w:vAlign w:val="center"/>
          </w:tcPr>
          <w:p w:rsidR="00840553" w:rsidP="00364977" w14:paraId="03440522" w14:textId="77777777">
            <w:pPr>
              <w:keepNext/>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center"/>
              <w:rPr>
                <w:rFonts w:ascii="Arial" w:hAnsi="Arial"/>
              </w:rPr>
            </w:pPr>
            <w:r>
              <w:rPr>
                <w:rFonts w:ascii="Arial" w:hAnsi="Arial"/>
              </w:rPr>
              <w:t>5</w:t>
            </w:r>
          </w:p>
        </w:tc>
        <w:tc>
          <w:tcPr>
            <w:tcW w:w="1535" w:type="dxa"/>
            <w:vAlign w:val="center"/>
          </w:tcPr>
          <w:p w:rsidR="00840553" w:rsidP="00364977" w14:paraId="6385A42B" w14:textId="77777777">
            <w:pPr>
              <w:keepNext/>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center"/>
              <w:rPr>
                <w:rFonts w:ascii="Arial" w:hAnsi="Arial"/>
              </w:rPr>
            </w:pPr>
            <w:r>
              <w:rPr>
                <w:rFonts w:ascii="Arial" w:hAnsi="Arial"/>
              </w:rPr>
              <w:t>53</w:t>
            </w:r>
          </w:p>
        </w:tc>
        <w:tc>
          <w:tcPr>
            <w:tcW w:w="1975" w:type="dxa"/>
            <w:vAlign w:val="center"/>
          </w:tcPr>
          <w:p w:rsidR="00840553" w:rsidRPr="00ED4467" w:rsidP="00364977" w14:paraId="18F7F605" w14:textId="77777777">
            <w:pPr>
              <w:keepNext/>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center"/>
              <w:rPr>
                <w:rFonts w:ascii="Arial" w:hAnsi="Arial" w:cs="Arial"/>
              </w:rPr>
            </w:pPr>
            <w:r w:rsidRPr="00364977">
              <w:rPr>
                <w:rFonts w:ascii="Arial" w:hAnsi="Arial" w:cs="Arial"/>
                <w:color w:val="000000"/>
              </w:rPr>
              <w:t>$16,801</w:t>
            </w:r>
          </w:p>
        </w:tc>
      </w:tr>
      <w:tr w14:paraId="2F3A35BE" w14:textId="77777777" w:rsidTr="00364977">
        <w:tblPrEx>
          <w:tblW w:w="0" w:type="auto"/>
          <w:jc w:val="center"/>
          <w:tblLook w:val="04A0"/>
        </w:tblPrEx>
        <w:trPr>
          <w:jc w:val="center"/>
        </w:trPr>
        <w:tc>
          <w:tcPr>
            <w:tcW w:w="2875" w:type="dxa"/>
          </w:tcPr>
          <w:p w:rsidR="00840553" w:rsidRPr="00F81655" w:rsidP="00364977" w14:paraId="23B417E9" w14:textId="77777777">
            <w:pPr>
              <w:keepNext/>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b/>
              </w:rPr>
            </w:pPr>
            <w:r w:rsidRPr="00F81655">
              <w:rPr>
                <w:rFonts w:ascii="Arial" w:hAnsi="Arial"/>
                <w:b/>
              </w:rPr>
              <w:t>TOTAL</w:t>
            </w:r>
          </w:p>
        </w:tc>
        <w:tc>
          <w:tcPr>
            <w:tcW w:w="1980" w:type="dxa"/>
          </w:tcPr>
          <w:p w:rsidR="00840553" w:rsidP="00364977" w14:paraId="4F061272" w14:textId="77777777">
            <w:pPr>
              <w:keepNext/>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center"/>
              <w:rPr>
                <w:rFonts w:ascii="Arial" w:hAnsi="Arial"/>
              </w:rPr>
            </w:pPr>
            <w:r>
              <w:rPr>
                <w:rFonts w:ascii="Arial" w:hAnsi="Arial"/>
              </w:rPr>
              <w:t>21</w:t>
            </w:r>
          </w:p>
        </w:tc>
        <w:tc>
          <w:tcPr>
            <w:tcW w:w="1535" w:type="dxa"/>
          </w:tcPr>
          <w:p w:rsidR="00840553" w:rsidP="00364977" w14:paraId="36FE8039" w14:textId="77777777">
            <w:pPr>
              <w:keepNext/>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center"/>
              <w:rPr>
                <w:rFonts w:ascii="Arial" w:hAnsi="Arial"/>
              </w:rPr>
            </w:pPr>
            <w:r>
              <w:rPr>
                <w:rFonts w:ascii="Arial" w:hAnsi="Arial"/>
              </w:rPr>
              <w:t>1,076</w:t>
            </w:r>
          </w:p>
        </w:tc>
        <w:tc>
          <w:tcPr>
            <w:tcW w:w="1975" w:type="dxa"/>
            <w:vAlign w:val="bottom"/>
          </w:tcPr>
          <w:p w:rsidR="00840553" w:rsidRPr="00ED4467" w:rsidP="00364977" w14:paraId="5C89D842" w14:textId="77777777">
            <w:pPr>
              <w:keepNext/>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center"/>
              <w:rPr>
                <w:rFonts w:ascii="Arial" w:hAnsi="Arial" w:cs="Arial"/>
              </w:rPr>
            </w:pPr>
            <w:r w:rsidRPr="00364977">
              <w:rPr>
                <w:rFonts w:ascii="Arial" w:hAnsi="Arial" w:cs="Arial"/>
                <w:b/>
                <w:bCs/>
                <w:color w:val="000000"/>
              </w:rPr>
              <w:t>$341,092</w:t>
            </w:r>
          </w:p>
        </w:tc>
      </w:tr>
    </w:tbl>
    <w:p w:rsidR="00840553" w:rsidP="00840553" w14:paraId="672C84BA" w14:textId="77777777">
      <w:pPr>
        <w:widowControl w:val="0"/>
        <w:tabs>
          <w:tab w:val="left" w:pos="600"/>
          <w:tab w:val="left" w:pos="99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0" w:line="240" w:lineRule="auto"/>
        <w:ind w:left="450" w:hanging="30"/>
        <w:rPr>
          <w:rFonts w:ascii="Arial" w:hAnsi="Arial"/>
          <w:sz w:val="18"/>
          <w:szCs w:val="18"/>
        </w:rPr>
      </w:pPr>
      <w:r w:rsidRPr="00A70FF9">
        <w:rPr>
          <w:rFonts w:ascii="Arial" w:hAnsi="Arial"/>
          <w:sz w:val="18"/>
          <w:szCs w:val="18"/>
        </w:rPr>
        <w:t xml:space="preserve">*Each recordkeeper is counted as a single response. </w:t>
      </w:r>
      <w:r>
        <w:rPr>
          <w:rFonts w:ascii="Arial" w:hAnsi="Arial"/>
          <w:sz w:val="18"/>
          <w:szCs w:val="18"/>
        </w:rPr>
        <w:t xml:space="preserve"> </w:t>
      </w:r>
      <w:r w:rsidRPr="00A70FF9">
        <w:rPr>
          <w:rFonts w:ascii="Arial" w:hAnsi="Arial"/>
          <w:sz w:val="18"/>
          <w:szCs w:val="18"/>
        </w:rPr>
        <w:t xml:space="preserve">All one-time recordkeepers </w:t>
      </w:r>
      <w:r>
        <w:rPr>
          <w:rFonts w:ascii="Arial" w:hAnsi="Arial"/>
          <w:sz w:val="18"/>
          <w:szCs w:val="18"/>
        </w:rPr>
        <w:t>have been annualized over the 3-year period covered by this supporting statement.</w:t>
      </w:r>
    </w:p>
    <w:p w:rsidR="00840553" w:rsidP="00840553" w14:paraId="31ECB115" w14:textId="77777777">
      <w:pPr>
        <w:spacing w:after="0" w:line="240" w:lineRule="auto"/>
        <w:ind w:left="720"/>
        <w:rPr>
          <w:rFonts w:ascii="Arial" w:hAnsi="Arial" w:cs="Arial"/>
        </w:rPr>
      </w:pPr>
    </w:p>
    <w:p w:rsidR="00AA20D2" w:rsidP="00840553" w14:paraId="435E9963" w14:textId="5D9700A6">
      <w:pPr>
        <w:spacing w:after="0" w:line="240" w:lineRule="auto"/>
        <w:ind w:left="720"/>
        <w:rPr>
          <w:rFonts w:ascii="Arial" w:hAnsi="Arial" w:cs="Arial"/>
          <w:u w:val="single"/>
        </w:rPr>
      </w:pPr>
      <w:r w:rsidRPr="00AA20D2">
        <w:rPr>
          <w:rFonts w:ascii="Arial" w:hAnsi="Arial" w:cs="Arial"/>
          <w:u w:val="single"/>
        </w:rPr>
        <w:t>Part 51</w:t>
      </w:r>
    </w:p>
    <w:p w:rsidR="00D93F5A" w:rsidRPr="00044B2F" w:rsidP="00D93F5A" w14:paraId="5DCABA97" w14:textId="36D10D18">
      <w:pPr>
        <w:spacing w:after="0" w:line="240" w:lineRule="auto"/>
        <w:ind w:left="720"/>
        <w:rPr>
          <w:rFonts w:ascii="Arial" w:hAnsi="Arial" w:cs="Arial"/>
        </w:rPr>
      </w:pPr>
      <w:r>
        <w:rPr>
          <w:rFonts w:ascii="Arial" w:hAnsi="Arial" w:cs="Arial"/>
        </w:rPr>
        <w:t>Because the final rule only clarifies existing requirements, the final rule does not impact the recordkeeping or reporting burden in Part 51.</w:t>
      </w:r>
    </w:p>
    <w:p w:rsidR="00D93F5A" w14:paraId="3CF8F0FC" w14:textId="1F4B2A67">
      <w:pPr>
        <w:rPr>
          <w:rFonts w:ascii="Arial" w:hAnsi="Arial" w:cs="Arial"/>
          <w:u w:val="single"/>
        </w:rPr>
      </w:pPr>
      <w:r>
        <w:rPr>
          <w:rFonts w:ascii="Arial" w:hAnsi="Arial" w:cs="Arial"/>
          <w:u w:val="single"/>
        </w:rPr>
        <w:br w:type="page"/>
      </w:r>
    </w:p>
    <w:tbl>
      <w:tblPr>
        <w:tblW w:w="8550" w:type="dxa"/>
        <w:tblInd w:w="715" w:type="dxa"/>
        <w:tblCellMar>
          <w:left w:w="0" w:type="dxa"/>
          <w:right w:w="0" w:type="dxa"/>
        </w:tblCellMar>
        <w:tblLook w:val="04A0"/>
      </w:tblPr>
      <w:tblGrid>
        <w:gridCol w:w="2745"/>
        <w:gridCol w:w="1540"/>
        <w:gridCol w:w="1540"/>
        <w:gridCol w:w="1540"/>
        <w:gridCol w:w="1185"/>
      </w:tblGrid>
      <w:tr w14:paraId="633C5FC3" w14:textId="77777777" w:rsidTr="00364977">
        <w:tblPrEx>
          <w:tblW w:w="8550" w:type="dxa"/>
          <w:tblInd w:w="715" w:type="dxa"/>
          <w:tblCellMar>
            <w:left w:w="0" w:type="dxa"/>
            <w:right w:w="0" w:type="dxa"/>
          </w:tblCellMar>
          <w:tblLook w:val="04A0"/>
        </w:tblPrEx>
        <w:trPr>
          <w:trHeight w:val="450"/>
        </w:trPr>
        <w:tc>
          <w:tcPr>
            <w:tcW w:w="2745"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A20D2" w:rsidRPr="008131C5" w:rsidP="00364977" w14:paraId="18B647E6" w14:textId="77777777">
            <w:pPr>
              <w:jc w:val="center"/>
              <w:rPr>
                <w:rFonts w:ascii="Arial" w:hAnsi="Arial" w:cs="Arial"/>
                <w:b/>
                <w:bCs/>
                <w:color w:val="000000"/>
              </w:rPr>
            </w:pPr>
            <w:r w:rsidRPr="008131C5">
              <w:rPr>
                <w:rFonts w:ascii="Arial" w:hAnsi="Arial" w:cs="Arial"/>
                <w:b/>
                <w:bCs/>
                <w:color w:val="000000"/>
              </w:rPr>
              <w:t>Section</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A20D2" w:rsidRPr="008131C5" w:rsidP="00364977" w14:paraId="23F0FA3A" w14:textId="77777777">
            <w:pPr>
              <w:jc w:val="center"/>
              <w:rPr>
                <w:rFonts w:ascii="Arial" w:hAnsi="Arial" w:cs="Arial"/>
                <w:b/>
                <w:bCs/>
                <w:color w:val="000000"/>
              </w:rPr>
            </w:pPr>
            <w:r w:rsidRPr="008131C5">
              <w:rPr>
                <w:rFonts w:ascii="Arial" w:hAnsi="Arial" w:cs="Arial"/>
                <w:b/>
                <w:bCs/>
                <w:color w:val="000000"/>
              </w:rPr>
              <w:t>Number of Respondents</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A20D2" w:rsidRPr="008131C5" w:rsidP="00364977" w14:paraId="6EBC5B55" w14:textId="77777777">
            <w:pPr>
              <w:jc w:val="center"/>
              <w:rPr>
                <w:rFonts w:ascii="Arial" w:hAnsi="Arial" w:cs="Arial"/>
                <w:b/>
                <w:bCs/>
                <w:color w:val="000000"/>
              </w:rPr>
            </w:pPr>
            <w:r w:rsidRPr="008131C5">
              <w:rPr>
                <w:rFonts w:ascii="Arial" w:hAnsi="Arial" w:cs="Arial"/>
                <w:b/>
                <w:bCs/>
                <w:color w:val="000000"/>
              </w:rPr>
              <w:t>Responses per Respondent</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A20D2" w:rsidRPr="008131C5" w:rsidP="00364977" w14:paraId="4B08CB08" w14:textId="77777777">
            <w:pPr>
              <w:jc w:val="center"/>
              <w:rPr>
                <w:rFonts w:ascii="Arial" w:hAnsi="Arial" w:cs="Arial"/>
                <w:b/>
                <w:bCs/>
                <w:color w:val="000000"/>
              </w:rPr>
            </w:pPr>
            <w:r w:rsidRPr="008131C5">
              <w:rPr>
                <w:rFonts w:ascii="Arial" w:hAnsi="Arial" w:cs="Arial"/>
                <w:b/>
                <w:bCs/>
                <w:color w:val="000000"/>
              </w:rPr>
              <w:t>Burden Hours per Response</w:t>
            </w:r>
          </w:p>
        </w:tc>
        <w:tc>
          <w:tcPr>
            <w:tcW w:w="1185"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A20D2" w:rsidRPr="008131C5" w:rsidP="00364977" w14:paraId="2B61D530" w14:textId="77777777">
            <w:pPr>
              <w:jc w:val="center"/>
              <w:rPr>
                <w:rFonts w:ascii="Arial" w:hAnsi="Arial" w:cs="Arial"/>
                <w:b/>
                <w:bCs/>
                <w:color w:val="000000"/>
              </w:rPr>
            </w:pPr>
            <w:r w:rsidRPr="008131C5">
              <w:rPr>
                <w:rFonts w:ascii="Arial" w:hAnsi="Arial" w:cs="Arial"/>
                <w:b/>
                <w:bCs/>
                <w:color w:val="000000"/>
              </w:rPr>
              <w:t>Total Burden Hours</w:t>
            </w:r>
          </w:p>
        </w:tc>
      </w:tr>
      <w:tr w14:paraId="7F0CF175" w14:textId="77777777" w:rsidTr="00364977">
        <w:tblPrEx>
          <w:tblW w:w="8550" w:type="dxa"/>
          <w:tblInd w:w="715" w:type="dxa"/>
          <w:tblCellMar>
            <w:left w:w="0" w:type="dxa"/>
            <w:right w:w="0" w:type="dxa"/>
          </w:tblCellMar>
          <w:tblLook w:val="04A0"/>
        </w:tblPrEx>
        <w:trPr>
          <w:trHeight w:val="557"/>
        </w:trPr>
        <w:tc>
          <w:tcPr>
            <w:tcW w:w="2745" w:type="dxa"/>
            <w:vMerge/>
            <w:tcBorders>
              <w:top w:val="single" w:sz="4" w:space="0" w:color="auto"/>
              <w:left w:val="single" w:sz="4" w:space="0" w:color="auto"/>
              <w:bottom w:val="single" w:sz="4" w:space="0" w:color="auto"/>
              <w:right w:val="single" w:sz="4" w:space="0" w:color="auto"/>
            </w:tcBorders>
            <w:vAlign w:val="center"/>
            <w:hideMark/>
          </w:tcPr>
          <w:p w:rsidR="00AA20D2" w:rsidRPr="009A10BA" w:rsidP="00364977" w14:paraId="1E32A711" w14:textId="77777777">
            <w:pPr>
              <w:rPr>
                <w:rFonts w:ascii="Arial" w:hAnsi="Arial" w:cs="Arial"/>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0D2" w:rsidRPr="009A10BA" w:rsidP="00364977" w14:paraId="183FE7E2" w14:textId="77777777">
            <w:pPr>
              <w:rPr>
                <w:rFonts w:ascii="Arial" w:hAnsi="Arial" w:cs="Arial"/>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0D2" w:rsidRPr="009A10BA" w:rsidP="00364977" w14:paraId="66AF7F1F" w14:textId="77777777">
            <w:pPr>
              <w:rPr>
                <w:rFonts w:ascii="Arial" w:hAnsi="Arial" w:cs="Arial"/>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20D2" w:rsidRPr="009A10BA" w:rsidP="00364977" w14:paraId="75ACC70A" w14:textId="77777777">
            <w:pPr>
              <w:rPr>
                <w:rFonts w:ascii="Arial" w:hAnsi="Arial" w:cs="Arial"/>
                <w:b/>
                <w:bCs/>
                <w:color w:val="000000"/>
              </w:rPr>
            </w:pPr>
          </w:p>
        </w:tc>
        <w:tc>
          <w:tcPr>
            <w:tcW w:w="1185" w:type="dxa"/>
            <w:vMerge/>
            <w:tcBorders>
              <w:top w:val="single" w:sz="4" w:space="0" w:color="auto"/>
              <w:left w:val="single" w:sz="4" w:space="0" w:color="auto"/>
              <w:bottom w:val="single" w:sz="4" w:space="0" w:color="auto"/>
              <w:right w:val="single" w:sz="4" w:space="0" w:color="auto"/>
            </w:tcBorders>
            <w:vAlign w:val="center"/>
            <w:hideMark/>
          </w:tcPr>
          <w:p w:rsidR="00AA20D2" w:rsidRPr="009A10BA" w:rsidP="00364977" w14:paraId="005CB15D" w14:textId="77777777">
            <w:pPr>
              <w:rPr>
                <w:rFonts w:ascii="Arial" w:hAnsi="Arial" w:cs="Arial"/>
                <w:b/>
                <w:bCs/>
                <w:color w:val="000000"/>
              </w:rPr>
            </w:pPr>
          </w:p>
        </w:tc>
      </w:tr>
      <w:tr w14:paraId="7809781B" w14:textId="77777777" w:rsidTr="00364977">
        <w:tblPrEx>
          <w:tblW w:w="8550" w:type="dxa"/>
          <w:tblInd w:w="715" w:type="dxa"/>
          <w:tblCellMar>
            <w:left w:w="0" w:type="dxa"/>
            <w:right w:w="0" w:type="dxa"/>
          </w:tblCellMar>
          <w:tblLook w:val="04A0"/>
        </w:tblPrEx>
        <w:trPr>
          <w:trHeight w:val="450"/>
        </w:trPr>
        <w:tc>
          <w:tcPr>
            <w:tcW w:w="2745"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A20D2" w:rsidRPr="008131C5" w:rsidP="00364977" w14:paraId="2E9809F2" w14:textId="77777777">
            <w:pPr>
              <w:rPr>
                <w:rFonts w:ascii="Arial" w:hAnsi="Arial" w:cs="Arial"/>
                <w:color w:val="000000"/>
              </w:rPr>
            </w:pPr>
            <w:r w:rsidRPr="003D6F48">
              <w:rPr>
                <w:rFonts w:ascii="Arial" w:hAnsi="Arial" w:cs="Arial"/>
              </w:rPr>
              <w:t xml:space="preserve">10 CFR </w:t>
            </w:r>
            <w:r w:rsidRPr="008131C5">
              <w:rPr>
                <w:rFonts w:ascii="Arial" w:hAnsi="Arial" w:cs="Arial"/>
                <w:color w:val="000000"/>
              </w:rPr>
              <w:t>51.56</w:t>
            </w:r>
            <w:r w:rsidRPr="008131C5">
              <w:rPr>
                <w:rFonts w:ascii="Arial" w:hAnsi="Arial" w:cs="Arial"/>
                <w:color w:val="000000"/>
              </w:rPr>
              <w:br/>
              <w:t>Clarify environmental report requirements</w:t>
            </w:r>
          </w:p>
        </w:tc>
        <w:tc>
          <w:tcPr>
            <w:tcW w:w="15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A20D2" w:rsidRPr="008131C5" w:rsidP="00364977" w14:paraId="19C2551E" w14:textId="77777777">
            <w:pPr>
              <w:jc w:val="center"/>
              <w:rPr>
                <w:rFonts w:ascii="Arial" w:hAnsi="Arial" w:cs="Arial"/>
                <w:color w:val="000000"/>
              </w:rPr>
            </w:pPr>
            <w:r w:rsidRPr="008131C5">
              <w:rPr>
                <w:rFonts w:ascii="Arial" w:hAnsi="Arial" w:cs="Arial"/>
                <w:color w:val="000000"/>
              </w:rPr>
              <w:t>0</w:t>
            </w:r>
          </w:p>
        </w:tc>
        <w:tc>
          <w:tcPr>
            <w:tcW w:w="15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A20D2" w:rsidRPr="008131C5" w:rsidP="00364977" w14:paraId="4F482F52" w14:textId="77777777">
            <w:pPr>
              <w:jc w:val="center"/>
              <w:rPr>
                <w:rFonts w:ascii="Arial" w:hAnsi="Arial" w:cs="Arial"/>
                <w:color w:val="000000"/>
              </w:rPr>
            </w:pPr>
            <w:r w:rsidRPr="008131C5">
              <w:rPr>
                <w:rFonts w:ascii="Arial" w:hAnsi="Arial" w:cs="Arial"/>
                <w:color w:val="000000"/>
              </w:rPr>
              <w:t>1</w:t>
            </w:r>
          </w:p>
        </w:tc>
        <w:tc>
          <w:tcPr>
            <w:tcW w:w="15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A20D2" w:rsidRPr="008131C5" w:rsidP="00364977" w14:paraId="1F4C4B50" w14:textId="77777777">
            <w:pPr>
              <w:jc w:val="center"/>
              <w:rPr>
                <w:rFonts w:ascii="Arial" w:hAnsi="Arial" w:cs="Arial"/>
                <w:color w:val="000000"/>
              </w:rPr>
            </w:pPr>
            <w:r w:rsidRPr="008131C5">
              <w:rPr>
                <w:rFonts w:ascii="Arial" w:hAnsi="Arial" w:cs="Arial"/>
                <w:color w:val="000000"/>
              </w:rPr>
              <w:t>20</w:t>
            </w:r>
          </w:p>
        </w:tc>
        <w:tc>
          <w:tcPr>
            <w:tcW w:w="1185"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A20D2" w:rsidRPr="008131C5" w:rsidP="00364977" w14:paraId="4CF1EC77" w14:textId="77777777">
            <w:pPr>
              <w:jc w:val="center"/>
              <w:rPr>
                <w:rFonts w:ascii="Arial" w:hAnsi="Arial" w:cs="Arial"/>
                <w:color w:val="000000"/>
              </w:rPr>
            </w:pPr>
            <w:r w:rsidRPr="008131C5">
              <w:rPr>
                <w:rFonts w:ascii="Arial" w:hAnsi="Arial" w:cs="Arial"/>
                <w:color w:val="000000"/>
              </w:rPr>
              <w:t>0</w:t>
            </w:r>
          </w:p>
        </w:tc>
      </w:tr>
      <w:tr w14:paraId="2C31B7E1" w14:textId="77777777" w:rsidTr="00364977">
        <w:tblPrEx>
          <w:tblW w:w="8550" w:type="dxa"/>
          <w:tblInd w:w="715" w:type="dxa"/>
          <w:tblCellMar>
            <w:left w:w="0" w:type="dxa"/>
            <w:right w:w="0" w:type="dxa"/>
          </w:tblCellMar>
          <w:tblLook w:val="04A0"/>
        </w:tblPrEx>
        <w:trPr>
          <w:trHeight w:val="450"/>
        </w:trPr>
        <w:tc>
          <w:tcPr>
            <w:tcW w:w="2745" w:type="dxa"/>
            <w:vMerge/>
            <w:tcBorders>
              <w:top w:val="nil"/>
              <w:left w:val="single" w:sz="4" w:space="0" w:color="auto"/>
              <w:bottom w:val="single" w:sz="4" w:space="0" w:color="auto"/>
              <w:right w:val="single" w:sz="4" w:space="0" w:color="auto"/>
            </w:tcBorders>
            <w:vAlign w:val="center"/>
            <w:hideMark/>
          </w:tcPr>
          <w:p w:rsidR="00AA20D2" w:rsidRPr="009A10BA" w:rsidP="00364977" w14:paraId="1E518CB6" w14:textId="77777777">
            <w:pPr>
              <w:rPr>
                <w:rFonts w:ascii="Arial" w:hAnsi="Arial" w:cs="Arial"/>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AA20D2" w:rsidRPr="009A10BA" w:rsidP="00364977" w14:paraId="398FE0FC" w14:textId="77777777">
            <w:pPr>
              <w:rPr>
                <w:rFonts w:ascii="Arial" w:hAnsi="Arial" w:cs="Arial"/>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AA20D2" w:rsidRPr="009A10BA" w:rsidP="00364977" w14:paraId="5FB6E63B" w14:textId="77777777">
            <w:pPr>
              <w:rPr>
                <w:rFonts w:ascii="Arial" w:hAnsi="Arial" w:cs="Arial"/>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AA20D2" w:rsidRPr="009A10BA" w:rsidP="00364977" w14:paraId="06AB589A" w14:textId="77777777">
            <w:pPr>
              <w:rPr>
                <w:rFonts w:ascii="Arial" w:hAnsi="Arial" w:cs="Arial"/>
                <w:color w:val="000000"/>
              </w:rPr>
            </w:pPr>
          </w:p>
        </w:tc>
        <w:tc>
          <w:tcPr>
            <w:tcW w:w="1185" w:type="dxa"/>
            <w:vMerge/>
            <w:tcBorders>
              <w:top w:val="nil"/>
              <w:left w:val="single" w:sz="4" w:space="0" w:color="auto"/>
              <w:bottom w:val="single" w:sz="4" w:space="0" w:color="auto"/>
              <w:right w:val="single" w:sz="4" w:space="0" w:color="auto"/>
            </w:tcBorders>
            <w:vAlign w:val="center"/>
            <w:hideMark/>
          </w:tcPr>
          <w:p w:rsidR="00AA20D2" w:rsidRPr="009A10BA" w:rsidP="00364977" w14:paraId="7672C663" w14:textId="77777777">
            <w:pPr>
              <w:rPr>
                <w:rFonts w:ascii="Arial" w:hAnsi="Arial" w:cs="Arial"/>
                <w:color w:val="000000"/>
              </w:rPr>
            </w:pPr>
          </w:p>
        </w:tc>
      </w:tr>
      <w:tr w14:paraId="09844A06" w14:textId="77777777" w:rsidTr="00364977">
        <w:tblPrEx>
          <w:tblW w:w="8550" w:type="dxa"/>
          <w:tblInd w:w="715" w:type="dxa"/>
          <w:tblCellMar>
            <w:left w:w="0" w:type="dxa"/>
            <w:right w:w="0" w:type="dxa"/>
          </w:tblCellMar>
          <w:tblLook w:val="04A0"/>
        </w:tblPrEx>
        <w:trPr>
          <w:trHeight w:val="450"/>
        </w:trPr>
        <w:tc>
          <w:tcPr>
            <w:tcW w:w="2745"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A20D2" w:rsidRPr="008131C5" w:rsidP="00364977" w14:paraId="0A680C95" w14:textId="77777777">
            <w:pPr>
              <w:rPr>
                <w:rFonts w:ascii="Arial" w:hAnsi="Arial" w:cs="Arial"/>
                <w:color w:val="000000"/>
              </w:rPr>
            </w:pPr>
            <w:r w:rsidRPr="003D6F48">
              <w:rPr>
                <w:rFonts w:ascii="Arial" w:hAnsi="Arial" w:cs="Arial"/>
              </w:rPr>
              <w:t xml:space="preserve">10 CFR </w:t>
            </w:r>
            <w:r w:rsidRPr="008131C5">
              <w:rPr>
                <w:rFonts w:ascii="Arial" w:hAnsi="Arial" w:cs="Arial"/>
                <w:color w:val="000000"/>
              </w:rPr>
              <w:t>51.41</w:t>
            </w:r>
            <w:r w:rsidRPr="008131C5">
              <w:rPr>
                <w:rFonts w:ascii="Arial" w:hAnsi="Arial" w:cs="Arial"/>
                <w:color w:val="000000"/>
              </w:rPr>
              <w:br/>
              <w:t>Requirement to submit environmental information</w:t>
            </w:r>
          </w:p>
        </w:tc>
        <w:tc>
          <w:tcPr>
            <w:tcW w:w="15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A20D2" w:rsidRPr="008131C5" w:rsidP="00364977" w14:paraId="54B75B70" w14:textId="77777777">
            <w:pPr>
              <w:jc w:val="center"/>
              <w:rPr>
                <w:rFonts w:ascii="Arial" w:hAnsi="Arial" w:cs="Arial"/>
                <w:color w:val="000000"/>
              </w:rPr>
            </w:pPr>
            <w:r w:rsidRPr="008131C5">
              <w:rPr>
                <w:rFonts w:ascii="Arial" w:hAnsi="Arial" w:cs="Arial"/>
                <w:color w:val="000000"/>
              </w:rPr>
              <w:t>0</w:t>
            </w:r>
          </w:p>
        </w:tc>
        <w:tc>
          <w:tcPr>
            <w:tcW w:w="15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A20D2" w:rsidRPr="008131C5" w:rsidP="00364977" w14:paraId="193BB114" w14:textId="77777777">
            <w:pPr>
              <w:jc w:val="center"/>
              <w:rPr>
                <w:rFonts w:ascii="Arial" w:hAnsi="Arial" w:cs="Arial"/>
                <w:color w:val="000000"/>
              </w:rPr>
            </w:pPr>
            <w:r w:rsidRPr="008131C5">
              <w:rPr>
                <w:rFonts w:ascii="Arial" w:hAnsi="Arial" w:cs="Arial"/>
                <w:color w:val="000000"/>
              </w:rPr>
              <w:t>1</w:t>
            </w:r>
          </w:p>
        </w:tc>
        <w:tc>
          <w:tcPr>
            <w:tcW w:w="15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A20D2" w:rsidRPr="008131C5" w:rsidP="00364977" w14:paraId="22051A7E" w14:textId="77777777">
            <w:pPr>
              <w:jc w:val="center"/>
              <w:rPr>
                <w:rFonts w:ascii="Arial" w:hAnsi="Arial" w:cs="Arial"/>
                <w:color w:val="000000"/>
              </w:rPr>
            </w:pPr>
            <w:r w:rsidRPr="008131C5">
              <w:rPr>
                <w:rFonts w:ascii="Arial" w:hAnsi="Arial" w:cs="Arial"/>
                <w:color w:val="000000"/>
              </w:rPr>
              <w:t>-20</w:t>
            </w:r>
          </w:p>
        </w:tc>
        <w:tc>
          <w:tcPr>
            <w:tcW w:w="1185"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A20D2" w:rsidRPr="008131C5" w:rsidP="00364977" w14:paraId="38D61F87" w14:textId="77777777">
            <w:pPr>
              <w:jc w:val="center"/>
              <w:rPr>
                <w:rFonts w:ascii="Arial" w:hAnsi="Arial" w:cs="Arial"/>
                <w:color w:val="000000"/>
              </w:rPr>
            </w:pPr>
            <w:r w:rsidRPr="008131C5">
              <w:rPr>
                <w:rFonts w:ascii="Arial" w:hAnsi="Arial" w:cs="Arial"/>
                <w:color w:val="000000"/>
              </w:rPr>
              <w:t>0</w:t>
            </w:r>
          </w:p>
        </w:tc>
      </w:tr>
      <w:tr w14:paraId="6F9260D0" w14:textId="77777777" w:rsidTr="00364977">
        <w:tblPrEx>
          <w:tblW w:w="8550" w:type="dxa"/>
          <w:tblInd w:w="715" w:type="dxa"/>
          <w:tblCellMar>
            <w:left w:w="0" w:type="dxa"/>
            <w:right w:w="0" w:type="dxa"/>
          </w:tblCellMar>
          <w:tblLook w:val="04A0"/>
        </w:tblPrEx>
        <w:trPr>
          <w:trHeight w:val="450"/>
        </w:trPr>
        <w:tc>
          <w:tcPr>
            <w:tcW w:w="2745" w:type="dxa"/>
            <w:vMerge/>
            <w:tcBorders>
              <w:top w:val="nil"/>
              <w:left w:val="single" w:sz="4" w:space="0" w:color="auto"/>
              <w:bottom w:val="single" w:sz="4" w:space="0" w:color="auto"/>
              <w:right w:val="single" w:sz="4" w:space="0" w:color="auto"/>
            </w:tcBorders>
            <w:vAlign w:val="center"/>
            <w:hideMark/>
          </w:tcPr>
          <w:p w:rsidR="00AA20D2" w:rsidP="00364977" w14:paraId="331882B3" w14:textId="77777777">
            <w:pPr>
              <w:rPr>
                <w:rFonts w:ascii="Calibri" w:hAnsi="Calibri" w:cs="Calibri"/>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AA20D2" w:rsidP="00364977" w14:paraId="4E5AE18C" w14:textId="77777777">
            <w:pPr>
              <w:rPr>
                <w:rFonts w:ascii="Calibri" w:hAnsi="Calibri" w:cs="Calibri"/>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AA20D2" w:rsidP="00364977" w14:paraId="0F8B8D81" w14:textId="77777777">
            <w:pPr>
              <w:rPr>
                <w:rFonts w:ascii="Calibri" w:hAnsi="Calibri" w:cs="Calibri"/>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AA20D2" w:rsidP="00364977" w14:paraId="77C058F0" w14:textId="77777777">
            <w:pPr>
              <w:rPr>
                <w:rFonts w:ascii="Calibri" w:hAnsi="Calibri" w:cs="Calibri"/>
                <w:color w:val="000000"/>
              </w:rPr>
            </w:pPr>
          </w:p>
        </w:tc>
        <w:tc>
          <w:tcPr>
            <w:tcW w:w="1185" w:type="dxa"/>
            <w:vMerge/>
            <w:tcBorders>
              <w:top w:val="nil"/>
              <w:left w:val="single" w:sz="4" w:space="0" w:color="auto"/>
              <w:bottom w:val="single" w:sz="4" w:space="0" w:color="auto"/>
              <w:right w:val="single" w:sz="4" w:space="0" w:color="auto"/>
            </w:tcBorders>
            <w:vAlign w:val="center"/>
            <w:hideMark/>
          </w:tcPr>
          <w:p w:rsidR="00AA20D2" w:rsidP="00364977" w14:paraId="2920EF8B" w14:textId="77777777">
            <w:pPr>
              <w:rPr>
                <w:rFonts w:ascii="Calibri" w:hAnsi="Calibri" w:cs="Calibri"/>
                <w:color w:val="000000"/>
              </w:rPr>
            </w:pPr>
          </w:p>
        </w:tc>
      </w:tr>
    </w:tbl>
    <w:p w:rsidR="00AA20D2" w:rsidP="00AA20D2" w14:paraId="5D990A0A" w14:textId="77777777">
      <w:pPr>
        <w:spacing w:after="0" w:line="240" w:lineRule="auto"/>
        <w:ind w:left="720"/>
        <w:rPr>
          <w:rFonts w:ascii="Arial" w:hAnsi="Arial" w:cs="Arial"/>
        </w:rPr>
      </w:pPr>
      <w:r w:rsidRPr="00044B2F">
        <w:rPr>
          <w:rFonts w:ascii="Arial" w:hAnsi="Arial" w:cs="Arial"/>
        </w:rPr>
        <w:t xml:space="preserve"> </w:t>
      </w:r>
    </w:p>
    <w:p w:rsidR="00AA20D2" w:rsidP="00840553" w14:paraId="0075B6FE" w14:textId="77777777">
      <w:pPr>
        <w:spacing w:after="0" w:line="240" w:lineRule="auto"/>
        <w:ind w:left="720"/>
        <w:rPr>
          <w:rFonts w:ascii="Arial" w:hAnsi="Arial" w:cs="Arial"/>
        </w:rPr>
      </w:pPr>
    </w:p>
    <w:p w:rsidR="00840553" w:rsidRPr="00044B2F" w:rsidP="00840553" w14:paraId="6052407A" w14:textId="3753EC0B">
      <w:pPr>
        <w:spacing w:after="0" w:line="240" w:lineRule="auto"/>
        <w:ind w:left="720"/>
        <w:rPr>
          <w:rFonts w:ascii="Arial" w:hAnsi="Arial" w:cs="Arial"/>
        </w:rPr>
      </w:pPr>
      <w:r w:rsidRPr="00364977">
        <w:rPr>
          <w:rFonts w:ascii="Arial" w:hAnsi="Arial" w:cs="Arial"/>
        </w:rPr>
        <w:t>The $317 hourly rate used in the burden estimates is based on the NRC’s fee for hourly rates as noted in 10 CFR 170.20</w:t>
      </w:r>
      <w:r w:rsidR="004B0B2E">
        <w:rPr>
          <w:rFonts w:ascii="Arial" w:hAnsi="Arial" w:cs="Arial"/>
        </w:rPr>
        <w:t>,</w:t>
      </w:r>
      <w:r w:rsidRPr="00364977">
        <w:rPr>
          <w:rFonts w:ascii="Arial" w:hAnsi="Arial" w:cs="Arial"/>
        </w:rPr>
        <w:t xml:space="preserve"> “Average cost per professional staff-hour.” For more information on the hourly rate, see the “Revision of Fee Schedules, Fee Recovery for Fiscal Year 2024” final rule (89 FR 51789, June 20, 2024).</w:t>
      </w:r>
    </w:p>
    <w:p w:rsidR="00840553" w:rsidRPr="00563C01" w:rsidP="00840553" w14:paraId="4E807DF5" w14:textId="77777777">
      <w:pPr>
        <w:pStyle w:val="ListParagraph"/>
        <w:spacing w:after="0" w:line="240" w:lineRule="auto"/>
        <w:rPr>
          <w:rFonts w:ascii="Arial" w:hAnsi="Arial" w:cs="Arial"/>
        </w:rPr>
      </w:pPr>
    </w:p>
    <w:p w:rsidR="00840553" w:rsidRPr="00044B2F" w:rsidP="00840553" w14:paraId="326D0096" w14:textId="77777777">
      <w:pPr>
        <w:pStyle w:val="ListParagraph"/>
        <w:numPr>
          <w:ilvl w:val="0"/>
          <w:numId w:val="2"/>
        </w:numPr>
        <w:spacing w:after="0" w:line="240" w:lineRule="auto"/>
        <w:rPr>
          <w:rFonts w:ascii="Arial" w:hAnsi="Arial" w:cs="Arial"/>
        </w:rPr>
      </w:pPr>
      <w:r w:rsidRPr="00044B2F">
        <w:rPr>
          <w:rFonts w:ascii="Arial" w:hAnsi="Arial" w:cs="Arial"/>
          <w:u w:val="single"/>
        </w:rPr>
        <w:t>Estimate of Other Additional Costs</w:t>
      </w:r>
    </w:p>
    <w:p w:rsidR="00840553" w:rsidP="00840553" w14:paraId="1ABC5981" w14:textId="77777777">
      <w:pPr>
        <w:spacing w:after="0" w:line="240" w:lineRule="auto"/>
        <w:ind w:left="720"/>
        <w:rPr>
          <w:rFonts w:ascii="Arial" w:hAnsi="Arial" w:cs="Arial"/>
        </w:rPr>
      </w:pPr>
    </w:p>
    <w:p w:rsidR="00840553" w:rsidRPr="00044B2F" w:rsidP="00840553" w14:paraId="46C269A1" w14:textId="77777777">
      <w:pPr>
        <w:spacing w:after="0" w:line="240" w:lineRule="auto"/>
        <w:ind w:left="720"/>
        <w:rPr>
          <w:rFonts w:ascii="Arial" w:hAnsi="Arial" w:cs="Arial"/>
        </w:rPr>
      </w:pPr>
      <w:r w:rsidRPr="00044B2F">
        <w:rPr>
          <w:rFonts w:ascii="Arial" w:hAnsi="Arial" w:cs="Arial"/>
        </w:rPr>
        <w:t xml:space="preserve">The quantity of records to be maintained is roughly proportional to the recordkeeping burden and therefore can be used to calculate approximate records storage costs. </w:t>
      </w:r>
      <w:r>
        <w:rPr>
          <w:rFonts w:ascii="Arial" w:hAnsi="Arial" w:cs="Arial"/>
        </w:rPr>
        <w:t xml:space="preserve"> </w:t>
      </w:r>
      <w:r w:rsidRPr="00044B2F">
        <w:rPr>
          <w:rFonts w:ascii="Arial" w:hAnsi="Arial" w:cs="Arial"/>
        </w:rPr>
        <w:t xml:space="preserve">Based on the number of pages maintained for a typical clearance, the records storage cost has been determined to be equal to 0.0004 </w:t>
      </w:r>
      <w:r>
        <w:rPr>
          <w:rFonts w:ascii="Arial" w:hAnsi="Arial" w:cs="Arial"/>
        </w:rPr>
        <w:t>times</w:t>
      </w:r>
      <w:r w:rsidRPr="00044B2F">
        <w:rPr>
          <w:rFonts w:ascii="Arial" w:hAnsi="Arial" w:cs="Arial"/>
        </w:rPr>
        <w:t xml:space="preserve"> the recordkeeping burden cost. </w:t>
      </w:r>
      <w:r>
        <w:rPr>
          <w:rFonts w:ascii="Arial" w:hAnsi="Arial" w:cs="Arial"/>
        </w:rPr>
        <w:t xml:space="preserve"> </w:t>
      </w:r>
      <w:r w:rsidRPr="00044B2F">
        <w:rPr>
          <w:rFonts w:ascii="Arial" w:hAnsi="Arial" w:cs="Arial"/>
        </w:rPr>
        <w:t>Therefore, the records storage cost for this clearance is estimated to be $</w:t>
      </w:r>
      <w:r>
        <w:rPr>
          <w:rFonts w:ascii="Arial" w:hAnsi="Arial" w:cs="Arial"/>
        </w:rPr>
        <w:t>136</w:t>
      </w:r>
      <w:r w:rsidRPr="00044B2F">
        <w:rPr>
          <w:rFonts w:ascii="Arial" w:hAnsi="Arial" w:cs="Arial"/>
        </w:rPr>
        <w:t xml:space="preserve"> (0.0004 x </w:t>
      </w:r>
      <w:r>
        <w:rPr>
          <w:rFonts w:ascii="Arial" w:hAnsi="Arial" w:cs="Arial"/>
        </w:rPr>
        <w:t>1,076</w:t>
      </w:r>
      <w:r w:rsidRPr="00044B2F">
        <w:rPr>
          <w:rFonts w:ascii="Arial" w:hAnsi="Arial" w:cs="Arial"/>
        </w:rPr>
        <w:t xml:space="preserve"> hours x $</w:t>
      </w:r>
      <w:r>
        <w:rPr>
          <w:rFonts w:ascii="Arial" w:hAnsi="Arial" w:cs="Arial"/>
        </w:rPr>
        <w:t>317</w:t>
      </w:r>
      <w:r w:rsidRPr="00044B2F">
        <w:rPr>
          <w:rFonts w:ascii="Arial" w:hAnsi="Arial" w:cs="Arial"/>
        </w:rPr>
        <w:t>/hour)</w:t>
      </w:r>
      <w:r>
        <w:rPr>
          <w:rFonts w:ascii="Arial" w:hAnsi="Arial" w:cs="Arial"/>
        </w:rPr>
        <w:t xml:space="preserve">.  </w:t>
      </w:r>
    </w:p>
    <w:p w:rsidR="00840553" w:rsidRPr="00563C01" w:rsidP="00840553" w14:paraId="2B5B0F12" w14:textId="77777777">
      <w:pPr>
        <w:pStyle w:val="ListParagraph"/>
        <w:spacing w:after="0" w:line="240" w:lineRule="auto"/>
        <w:rPr>
          <w:rFonts w:ascii="Arial" w:hAnsi="Arial" w:cs="Arial"/>
        </w:rPr>
      </w:pPr>
    </w:p>
    <w:p w:rsidR="00840553" w:rsidRPr="00044B2F" w:rsidP="00840553" w14:paraId="5F5DE740" w14:textId="77777777">
      <w:pPr>
        <w:pStyle w:val="ListParagraph"/>
        <w:numPr>
          <w:ilvl w:val="0"/>
          <w:numId w:val="2"/>
        </w:numPr>
        <w:spacing w:after="0" w:line="240" w:lineRule="auto"/>
        <w:rPr>
          <w:rFonts w:ascii="Arial" w:hAnsi="Arial" w:cs="Arial"/>
        </w:rPr>
      </w:pPr>
      <w:r w:rsidRPr="00044B2F">
        <w:rPr>
          <w:rFonts w:ascii="Arial" w:hAnsi="Arial" w:cs="Arial"/>
          <w:u w:val="single"/>
        </w:rPr>
        <w:t>Estimated Annualized Cost to the Federal Government</w:t>
      </w:r>
    </w:p>
    <w:p w:rsidR="00840553" w:rsidP="00840553" w14:paraId="307D678E" w14:textId="77777777">
      <w:pPr>
        <w:spacing w:after="0" w:line="240" w:lineRule="auto"/>
        <w:ind w:left="720"/>
        <w:rPr>
          <w:rFonts w:ascii="Arial" w:hAnsi="Arial" w:cs="Arial"/>
        </w:rPr>
      </w:pPr>
    </w:p>
    <w:p w:rsidR="00840553" w:rsidP="00840553" w14:paraId="55FA7C3D" w14:textId="6C9A621C">
      <w:pPr>
        <w:spacing w:after="0" w:line="240" w:lineRule="auto"/>
        <w:ind w:left="720"/>
        <w:rPr>
          <w:rFonts w:ascii="Arial" w:hAnsi="Arial" w:cs="Arial"/>
        </w:rPr>
      </w:pPr>
      <w:r w:rsidRPr="00044B2F">
        <w:rPr>
          <w:rFonts w:ascii="Arial" w:hAnsi="Arial" w:cs="Arial"/>
        </w:rPr>
        <w:t>The annualized cost to the NRC</w:t>
      </w:r>
      <w:r w:rsidR="00B331F9">
        <w:rPr>
          <w:rFonts w:ascii="Arial" w:hAnsi="Arial" w:cs="Arial"/>
        </w:rPr>
        <w:t xml:space="preserve"> for Part 50 requirements</w:t>
      </w:r>
      <w:r w:rsidRPr="00044B2F">
        <w:rPr>
          <w:rFonts w:ascii="Arial" w:hAnsi="Arial" w:cs="Arial"/>
        </w:rPr>
        <w:t xml:space="preserve"> is estimated to be $</w:t>
      </w:r>
      <w:r>
        <w:rPr>
          <w:rFonts w:ascii="Arial" w:hAnsi="Arial" w:cs="Arial"/>
        </w:rPr>
        <w:t>133,140</w:t>
      </w:r>
      <w:r w:rsidRPr="00044B2F">
        <w:rPr>
          <w:rFonts w:ascii="Arial" w:hAnsi="Arial" w:cs="Arial"/>
        </w:rPr>
        <w:t xml:space="preserve"> (</w:t>
      </w:r>
      <w:r>
        <w:rPr>
          <w:rFonts w:ascii="Arial" w:hAnsi="Arial" w:cs="Arial"/>
        </w:rPr>
        <w:t>420</w:t>
      </w:r>
      <w:r w:rsidRPr="00044B2F">
        <w:rPr>
          <w:rFonts w:ascii="Arial" w:hAnsi="Arial" w:cs="Arial"/>
        </w:rPr>
        <w:t xml:space="preserve"> hours x $</w:t>
      </w:r>
      <w:r>
        <w:rPr>
          <w:rFonts w:ascii="Arial" w:hAnsi="Arial" w:cs="Arial"/>
        </w:rPr>
        <w:t>317</w:t>
      </w:r>
      <w:r w:rsidRPr="00044B2F">
        <w:rPr>
          <w:rFonts w:ascii="Arial" w:hAnsi="Arial" w:cs="Arial"/>
        </w:rPr>
        <w:t>/</w:t>
      </w:r>
      <w:r w:rsidRPr="00044B2F">
        <w:rPr>
          <w:rFonts w:ascii="Arial" w:hAnsi="Arial" w:cs="Arial"/>
        </w:rPr>
        <w:t>hr</w:t>
      </w:r>
      <w:r w:rsidRPr="00044B2F">
        <w:rPr>
          <w:rFonts w:ascii="Arial" w:hAnsi="Arial" w:cs="Arial"/>
        </w:rPr>
        <w:t>)</w:t>
      </w:r>
      <w:r w:rsidR="00B331F9">
        <w:rPr>
          <w:rFonts w:ascii="Arial" w:hAnsi="Arial" w:cs="Arial"/>
        </w:rPr>
        <w:t>.  There is no</w:t>
      </w:r>
      <w:r w:rsidR="001379C1">
        <w:rPr>
          <w:rFonts w:ascii="Arial" w:hAnsi="Arial" w:cs="Arial"/>
        </w:rPr>
        <w:t xml:space="preserve"> annualized cost to the NRC for changes to Part 51.</w:t>
      </w:r>
    </w:p>
    <w:p w:rsidR="00840553" w:rsidRPr="00044B2F" w:rsidP="00840553" w14:paraId="057D1F35" w14:textId="77777777">
      <w:pPr>
        <w:spacing w:after="0" w:line="240" w:lineRule="auto"/>
        <w:ind w:left="720"/>
        <w:rPr>
          <w:rFonts w:ascii="Arial" w:hAnsi="Arial" w:cs="Arial"/>
        </w:rPr>
      </w:pPr>
    </w:p>
    <w:p w:rsidR="00840553" w:rsidP="00840553" w14:paraId="2C22EF13" w14:textId="77777777">
      <w:pPr>
        <w:keepNext/>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hAnsi="Arial" w:cs="Arial"/>
        </w:rPr>
      </w:pPr>
      <w:r w:rsidRPr="408A3737">
        <w:rPr>
          <w:rFonts w:ascii="Arial" w:hAnsi="Arial" w:cs="Arial"/>
          <w:b/>
          <w:bCs/>
          <w:color w:val="000000" w:themeColor="text1"/>
        </w:rPr>
        <w:t>Annualized NRC Cost</w:t>
      </w:r>
    </w:p>
    <w:tbl>
      <w:tblPr>
        <w:tblStyle w:val="TableGrid"/>
        <w:tblW w:w="8820" w:type="dxa"/>
        <w:jc w:val="center"/>
        <w:tblLayout w:type="fixed"/>
        <w:tblLook w:val="04A0"/>
      </w:tblPr>
      <w:tblGrid>
        <w:gridCol w:w="1980"/>
        <w:gridCol w:w="1255"/>
        <w:gridCol w:w="1175"/>
        <w:gridCol w:w="1615"/>
        <w:gridCol w:w="1085"/>
        <w:gridCol w:w="1710"/>
      </w:tblGrid>
      <w:tr w14:paraId="3916811A" w14:textId="77777777" w:rsidTr="00364977">
        <w:tblPrEx>
          <w:tblW w:w="8820" w:type="dxa"/>
          <w:jc w:val="center"/>
          <w:tblLayout w:type="fixed"/>
          <w:tblLook w:val="04A0"/>
        </w:tblPrEx>
        <w:trPr>
          <w:tblHeader/>
          <w:jc w:val="center"/>
        </w:trPr>
        <w:tc>
          <w:tcPr>
            <w:tcW w:w="1980" w:type="dxa"/>
          </w:tcPr>
          <w:p w:rsidR="00840553" w:rsidRPr="003F0735" w:rsidP="00364977" w14:paraId="533A75EE" w14:textId="77777777">
            <w:pPr>
              <w:keepNext/>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rPr>
            </w:pPr>
            <w:r w:rsidRPr="003F0735">
              <w:rPr>
                <w:rFonts w:ascii="Arial" w:hAnsi="Arial" w:cs="Arial"/>
                <w:b/>
              </w:rPr>
              <w:t>NRC Action</w:t>
            </w:r>
          </w:p>
        </w:tc>
        <w:tc>
          <w:tcPr>
            <w:tcW w:w="1255" w:type="dxa"/>
          </w:tcPr>
          <w:p w:rsidR="00840553" w:rsidRPr="003F0735" w:rsidP="00364977" w14:paraId="04CB16FD" w14:textId="77777777">
            <w:pPr>
              <w:keepNext/>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rPr>
            </w:pPr>
            <w:r w:rsidRPr="003F0735">
              <w:rPr>
                <w:rFonts w:ascii="Arial" w:hAnsi="Arial" w:cs="Arial"/>
                <w:b/>
              </w:rPr>
              <w:t>Rule Text Provision</w:t>
            </w:r>
          </w:p>
        </w:tc>
        <w:tc>
          <w:tcPr>
            <w:tcW w:w="1175" w:type="dxa"/>
          </w:tcPr>
          <w:p w:rsidR="00840553" w:rsidRPr="003F0735" w:rsidP="00364977" w14:paraId="7E3D8E1F" w14:textId="77777777">
            <w:pPr>
              <w:keepNext/>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rPr>
            </w:pPr>
            <w:r w:rsidRPr="003F0735">
              <w:rPr>
                <w:rFonts w:ascii="Arial" w:hAnsi="Arial" w:cs="Arial"/>
                <w:b/>
              </w:rPr>
              <w:t xml:space="preserve">No. </w:t>
            </w:r>
            <w:r>
              <w:rPr>
                <w:rFonts w:ascii="Arial" w:hAnsi="Arial" w:cs="Arial"/>
                <w:b/>
              </w:rPr>
              <w:t xml:space="preserve">of Actions per </w:t>
            </w:r>
            <w:r w:rsidRPr="003F0735">
              <w:rPr>
                <w:rFonts w:ascii="Arial" w:hAnsi="Arial" w:cs="Arial"/>
                <w:b/>
              </w:rPr>
              <w:t>Year</w:t>
            </w:r>
          </w:p>
        </w:tc>
        <w:tc>
          <w:tcPr>
            <w:tcW w:w="1615" w:type="dxa"/>
          </w:tcPr>
          <w:p w:rsidR="00840553" w:rsidRPr="003F0735" w:rsidP="00364977" w14:paraId="1A822D88" w14:textId="77777777">
            <w:pPr>
              <w:keepNext/>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rPr>
            </w:pPr>
            <w:r w:rsidRPr="003F0735">
              <w:rPr>
                <w:rFonts w:ascii="Arial" w:hAnsi="Arial" w:cs="Arial"/>
                <w:b/>
              </w:rPr>
              <w:t>Burden Hours</w:t>
            </w:r>
            <w:r>
              <w:rPr>
                <w:rFonts w:ascii="Arial" w:hAnsi="Arial" w:cs="Arial"/>
                <w:b/>
              </w:rPr>
              <w:t xml:space="preserve"> per </w:t>
            </w:r>
            <w:r w:rsidRPr="003F0735">
              <w:rPr>
                <w:rFonts w:ascii="Arial" w:hAnsi="Arial" w:cs="Arial"/>
                <w:b/>
              </w:rPr>
              <w:t>Action</w:t>
            </w:r>
          </w:p>
        </w:tc>
        <w:tc>
          <w:tcPr>
            <w:tcW w:w="1085" w:type="dxa"/>
          </w:tcPr>
          <w:p w:rsidR="00840553" w:rsidRPr="003F0735" w:rsidP="00364977" w14:paraId="0F196E09" w14:textId="77777777">
            <w:pPr>
              <w:keepNext/>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rPr>
            </w:pPr>
            <w:r w:rsidRPr="003F0735">
              <w:rPr>
                <w:rFonts w:ascii="Arial" w:hAnsi="Arial" w:cs="Arial"/>
                <w:b/>
              </w:rPr>
              <w:t>Total Hours</w:t>
            </w:r>
          </w:p>
        </w:tc>
        <w:tc>
          <w:tcPr>
            <w:tcW w:w="1710" w:type="dxa"/>
          </w:tcPr>
          <w:p w:rsidR="00840553" w:rsidRPr="003F0735" w:rsidP="00364977" w14:paraId="5D9F0883" w14:textId="77777777">
            <w:pPr>
              <w:keepNext/>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rPr>
            </w:pPr>
            <w:r w:rsidRPr="003F0735">
              <w:rPr>
                <w:rFonts w:ascii="Arial" w:hAnsi="Arial" w:cs="Arial"/>
                <w:b/>
              </w:rPr>
              <w:t>Total Cost</w:t>
            </w:r>
          </w:p>
        </w:tc>
      </w:tr>
      <w:tr w14:paraId="62BA84B8" w14:textId="77777777" w:rsidTr="00364977">
        <w:tblPrEx>
          <w:tblW w:w="8820" w:type="dxa"/>
          <w:jc w:val="center"/>
          <w:tblLayout w:type="fixed"/>
          <w:tblLook w:val="04A0"/>
        </w:tblPrEx>
        <w:trPr>
          <w:jc w:val="center"/>
        </w:trPr>
        <w:tc>
          <w:tcPr>
            <w:tcW w:w="1980" w:type="dxa"/>
          </w:tcPr>
          <w:p w:rsidR="00840553" w:rsidP="00364977" w14:paraId="2F63916C" w14:textId="77777777">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rPr>
                <w:rFonts w:ascii="Arial" w:hAnsi="Arial" w:cs="Arial"/>
              </w:rPr>
            </w:pPr>
            <w:r>
              <w:rPr>
                <w:rFonts w:ascii="Arial" w:hAnsi="Arial" w:cs="Arial"/>
              </w:rPr>
              <w:t>Reviewing Updated FSAR (&lt;100 kW)</w:t>
            </w:r>
          </w:p>
        </w:tc>
        <w:tc>
          <w:tcPr>
            <w:tcW w:w="1255" w:type="dxa"/>
            <w:vAlign w:val="center"/>
          </w:tcPr>
          <w:p w:rsidR="00840553" w:rsidRPr="008B0F72" w:rsidP="00364977" w14:paraId="19CEA0F2" w14:textId="77777777">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sidRPr="008B0F72">
              <w:rPr>
                <w:rFonts w:ascii="Arial" w:hAnsi="Arial" w:cs="Arial"/>
              </w:rPr>
              <w:t>50.</w:t>
            </w:r>
            <w:r>
              <w:rPr>
                <w:rFonts w:ascii="Arial" w:hAnsi="Arial" w:cs="Arial"/>
              </w:rPr>
              <w:t>71(e)</w:t>
            </w:r>
          </w:p>
        </w:tc>
        <w:tc>
          <w:tcPr>
            <w:tcW w:w="1175" w:type="dxa"/>
            <w:vAlign w:val="center"/>
          </w:tcPr>
          <w:p w:rsidR="00840553" w:rsidP="00364977" w14:paraId="27012D0C" w14:textId="77777777">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Pr>
                <w:rFonts w:ascii="Arial" w:hAnsi="Arial" w:cs="Arial"/>
              </w:rPr>
              <w:t>0</w:t>
            </w:r>
          </w:p>
        </w:tc>
        <w:tc>
          <w:tcPr>
            <w:tcW w:w="1615" w:type="dxa"/>
            <w:vAlign w:val="center"/>
          </w:tcPr>
          <w:p w:rsidR="00840553" w:rsidP="00364977" w14:paraId="7329E39F" w14:textId="77777777">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Pr>
                <w:rFonts w:ascii="Arial" w:hAnsi="Arial" w:cs="Arial"/>
              </w:rPr>
              <w:t>60</w:t>
            </w:r>
          </w:p>
        </w:tc>
        <w:tc>
          <w:tcPr>
            <w:tcW w:w="1085" w:type="dxa"/>
            <w:vAlign w:val="center"/>
          </w:tcPr>
          <w:p w:rsidR="00840553" w:rsidP="00364977" w14:paraId="290E48CB" w14:textId="77777777">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Pr>
                <w:rFonts w:ascii="Arial" w:hAnsi="Arial" w:cs="Arial"/>
              </w:rPr>
              <w:t>0</w:t>
            </w:r>
          </w:p>
        </w:tc>
        <w:tc>
          <w:tcPr>
            <w:tcW w:w="1710" w:type="dxa"/>
            <w:vAlign w:val="center"/>
          </w:tcPr>
          <w:p w:rsidR="00840553" w:rsidP="00364977" w14:paraId="240B5B4E" w14:textId="77777777">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Pr>
                <w:rFonts w:ascii="Arial" w:hAnsi="Arial" w:cs="Arial"/>
                <w:color w:val="000000"/>
              </w:rPr>
              <w:t xml:space="preserve">$0 </w:t>
            </w:r>
          </w:p>
        </w:tc>
      </w:tr>
      <w:tr w14:paraId="484C3917" w14:textId="77777777" w:rsidTr="00364977">
        <w:tblPrEx>
          <w:tblW w:w="8820" w:type="dxa"/>
          <w:jc w:val="center"/>
          <w:tblLayout w:type="fixed"/>
          <w:tblLook w:val="04A0"/>
        </w:tblPrEx>
        <w:trPr>
          <w:jc w:val="center"/>
        </w:trPr>
        <w:tc>
          <w:tcPr>
            <w:tcW w:w="1980" w:type="dxa"/>
          </w:tcPr>
          <w:p w:rsidR="00840553" w:rsidP="00364977" w14:paraId="28826854" w14:textId="77777777">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rPr>
                <w:rFonts w:ascii="Arial" w:hAnsi="Arial" w:cs="Arial"/>
              </w:rPr>
            </w:pPr>
            <w:r>
              <w:rPr>
                <w:rFonts w:ascii="Arial" w:hAnsi="Arial" w:cs="Arial"/>
              </w:rPr>
              <w:t>Reviewing Updated FSAR (&gt;=100 kW, &lt;2,000kW)</w:t>
            </w:r>
          </w:p>
        </w:tc>
        <w:tc>
          <w:tcPr>
            <w:tcW w:w="1255" w:type="dxa"/>
            <w:vAlign w:val="center"/>
          </w:tcPr>
          <w:p w:rsidR="00840553" w:rsidRPr="008B0F72" w:rsidP="00364977" w14:paraId="2DE91E0E" w14:textId="77777777">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sidRPr="008B0F72">
              <w:rPr>
                <w:rFonts w:ascii="Arial" w:hAnsi="Arial" w:cs="Arial"/>
              </w:rPr>
              <w:t>50.</w:t>
            </w:r>
            <w:r>
              <w:rPr>
                <w:rFonts w:ascii="Arial" w:hAnsi="Arial" w:cs="Arial"/>
              </w:rPr>
              <w:t>71(e)</w:t>
            </w:r>
          </w:p>
        </w:tc>
        <w:tc>
          <w:tcPr>
            <w:tcW w:w="1175" w:type="dxa"/>
            <w:vAlign w:val="center"/>
          </w:tcPr>
          <w:p w:rsidR="00840553" w:rsidP="00364977" w14:paraId="6332DA1F" w14:textId="77777777">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Pr>
                <w:rFonts w:ascii="Arial" w:hAnsi="Arial" w:cs="Arial"/>
              </w:rPr>
              <w:t>4</w:t>
            </w:r>
          </w:p>
        </w:tc>
        <w:tc>
          <w:tcPr>
            <w:tcW w:w="1615" w:type="dxa"/>
            <w:vAlign w:val="center"/>
          </w:tcPr>
          <w:p w:rsidR="00840553" w:rsidP="00364977" w14:paraId="30E6CBB4" w14:textId="77777777">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Pr>
                <w:rFonts w:ascii="Arial" w:hAnsi="Arial" w:cs="Arial"/>
              </w:rPr>
              <w:t>80</w:t>
            </w:r>
          </w:p>
        </w:tc>
        <w:tc>
          <w:tcPr>
            <w:tcW w:w="1085" w:type="dxa"/>
            <w:vAlign w:val="center"/>
          </w:tcPr>
          <w:p w:rsidR="00840553" w:rsidP="00364977" w14:paraId="21217635" w14:textId="77777777">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Pr>
                <w:rFonts w:ascii="Arial" w:hAnsi="Arial" w:cs="Arial"/>
              </w:rPr>
              <w:t>320</w:t>
            </w:r>
          </w:p>
        </w:tc>
        <w:tc>
          <w:tcPr>
            <w:tcW w:w="1710" w:type="dxa"/>
            <w:vAlign w:val="center"/>
          </w:tcPr>
          <w:p w:rsidR="00840553" w:rsidP="00364977" w14:paraId="1BC0A37A" w14:textId="77777777">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Pr>
                <w:rFonts w:ascii="Arial" w:hAnsi="Arial" w:cs="Arial"/>
                <w:color w:val="000000"/>
              </w:rPr>
              <w:t xml:space="preserve">$101,440 </w:t>
            </w:r>
          </w:p>
        </w:tc>
      </w:tr>
      <w:tr w14:paraId="7F0209AD" w14:textId="77777777" w:rsidTr="00364977">
        <w:tblPrEx>
          <w:tblW w:w="8820" w:type="dxa"/>
          <w:jc w:val="center"/>
          <w:tblLayout w:type="fixed"/>
          <w:tblLook w:val="04A0"/>
        </w:tblPrEx>
        <w:trPr>
          <w:jc w:val="center"/>
        </w:trPr>
        <w:tc>
          <w:tcPr>
            <w:tcW w:w="1980" w:type="dxa"/>
          </w:tcPr>
          <w:p w:rsidR="00840553" w:rsidP="00364977" w14:paraId="2F3702EB" w14:textId="77777777">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rPr>
                <w:rFonts w:ascii="Arial" w:hAnsi="Arial" w:cs="Arial"/>
              </w:rPr>
            </w:pPr>
            <w:r>
              <w:rPr>
                <w:rFonts w:ascii="Arial" w:hAnsi="Arial" w:cs="Arial"/>
              </w:rPr>
              <w:t>Reviewing Updated FSAR (&gt;2,000 kW)</w:t>
            </w:r>
          </w:p>
        </w:tc>
        <w:tc>
          <w:tcPr>
            <w:tcW w:w="1255" w:type="dxa"/>
            <w:vAlign w:val="center"/>
          </w:tcPr>
          <w:p w:rsidR="00840553" w:rsidRPr="008B0F72" w:rsidP="00364977" w14:paraId="6C77C9DC" w14:textId="77777777">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sidRPr="008B0F72">
              <w:rPr>
                <w:rFonts w:ascii="Arial" w:hAnsi="Arial" w:cs="Arial"/>
              </w:rPr>
              <w:t>50.</w:t>
            </w:r>
            <w:r>
              <w:rPr>
                <w:rFonts w:ascii="Arial" w:hAnsi="Arial" w:cs="Arial"/>
              </w:rPr>
              <w:t>71(e)</w:t>
            </w:r>
          </w:p>
        </w:tc>
        <w:tc>
          <w:tcPr>
            <w:tcW w:w="1175" w:type="dxa"/>
            <w:vAlign w:val="center"/>
          </w:tcPr>
          <w:p w:rsidR="00840553" w:rsidP="00364977" w14:paraId="4A87EA9E" w14:textId="77777777">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Pr>
                <w:rFonts w:ascii="Arial" w:hAnsi="Arial" w:cs="Arial"/>
              </w:rPr>
              <w:t>1</w:t>
            </w:r>
          </w:p>
        </w:tc>
        <w:tc>
          <w:tcPr>
            <w:tcW w:w="1615" w:type="dxa"/>
            <w:vAlign w:val="center"/>
          </w:tcPr>
          <w:p w:rsidR="00840553" w:rsidP="00364977" w14:paraId="5B40863D" w14:textId="77777777">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Pr>
                <w:rFonts w:ascii="Arial" w:hAnsi="Arial" w:cs="Arial"/>
              </w:rPr>
              <w:t>100</w:t>
            </w:r>
          </w:p>
        </w:tc>
        <w:tc>
          <w:tcPr>
            <w:tcW w:w="1085" w:type="dxa"/>
            <w:vAlign w:val="center"/>
          </w:tcPr>
          <w:p w:rsidR="00840553" w:rsidP="00364977" w14:paraId="556AC001" w14:textId="77777777">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Pr>
                <w:rFonts w:ascii="Arial" w:hAnsi="Arial" w:cs="Arial"/>
              </w:rPr>
              <w:t>100</w:t>
            </w:r>
          </w:p>
        </w:tc>
        <w:tc>
          <w:tcPr>
            <w:tcW w:w="1710" w:type="dxa"/>
            <w:vAlign w:val="center"/>
          </w:tcPr>
          <w:p w:rsidR="00840553" w:rsidP="00364977" w14:paraId="7B54CB23" w14:textId="77777777">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Pr>
                <w:rFonts w:ascii="Arial" w:hAnsi="Arial" w:cs="Arial"/>
                <w:color w:val="000000"/>
              </w:rPr>
              <w:t xml:space="preserve">$31,700 </w:t>
            </w:r>
          </w:p>
        </w:tc>
      </w:tr>
      <w:tr w14:paraId="4BF8D684" w14:textId="77777777" w:rsidTr="00364977">
        <w:tblPrEx>
          <w:tblW w:w="8820" w:type="dxa"/>
          <w:jc w:val="center"/>
          <w:tblLayout w:type="fixed"/>
          <w:tblLook w:val="04A0"/>
        </w:tblPrEx>
        <w:trPr>
          <w:trHeight w:val="512"/>
          <w:jc w:val="center"/>
        </w:trPr>
        <w:tc>
          <w:tcPr>
            <w:tcW w:w="1980" w:type="dxa"/>
            <w:vAlign w:val="center"/>
          </w:tcPr>
          <w:p w:rsidR="00840553" w:rsidRPr="00F52634" w:rsidP="00364977" w14:paraId="0C3A3DBE" w14:textId="77777777">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rPr>
            </w:pPr>
            <w:r w:rsidRPr="00F52634">
              <w:rPr>
                <w:rFonts w:ascii="Arial" w:hAnsi="Arial" w:cs="Arial"/>
                <w:b/>
              </w:rPr>
              <w:t>Total</w:t>
            </w:r>
          </w:p>
        </w:tc>
        <w:tc>
          <w:tcPr>
            <w:tcW w:w="1255" w:type="dxa"/>
            <w:vAlign w:val="center"/>
          </w:tcPr>
          <w:p w:rsidR="00840553" w:rsidRPr="008B0F72" w:rsidP="00364977" w14:paraId="315F5A4C" w14:textId="77777777">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p>
        </w:tc>
        <w:tc>
          <w:tcPr>
            <w:tcW w:w="1175" w:type="dxa"/>
            <w:vAlign w:val="center"/>
          </w:tcPr>
          <w:p w:rsidR="00840553" w:rsidRPr="00F52634" w:rsidP="00364977" w14:paraId="3217D8E5" w14:textId="77777777">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rPr>
            </w:pPr>
            <w:r>
              <w:rPr>
                <w:rFonts w:ascii="Arial" w:hAnsi="Arial" w:cs="Arial"/>
                <w:b/>
              </w:rPr>
              <w:t>5</w:t>
            </w:r>
          </w:p>
        </w:tc>
        <w:tc>
          <w:tcPr>
            <w:tcW w:w="1615" w:type="dxa"/>
            <w:vAlign w:val="center"/>
          </w:tcPr>
          <w:p w:rsidR="00840553" w:rsidRPr="00F52634" w:rsidP="00364977" w14:paraId="57E8A760" w14:textId="77777777">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rPr>
            </w:pPr>
          </w:p>
        </w:tc>
        <w:tc>
          <w:tcPr>
            <w:tcW w:w="1085" w:type="dxa"/>
            <w:vAlign w:val="center"/>
          </w:tcPr>
          <w:p w:rsidR="00840553" w:rsidRPr="00F52634" w:rsidP="00364977" w14:paraId="1369F415" w14:textId="77777777">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rPr>
            </w:pPr>
            <w:r w:rsidRPr="00F52634">
              <w:rPr>
                <w:rFonts w:ascii="Arial" w:hAnsi="Arial" w:cs="Arial"/>
                <w:b/>
              </w:rPr>
              <w:t>42</w:t>
            </w:r>
            <w:r>
              <w:rPr>
                <w:rFonts w:ascii="Arial" w:hAnsi="Arial" w:cs="Arial"/>
                <w:b/>
              </w:rPr>
              <w:t>0</w:t>
            </w:r>
          </w:p>
        </w:tc>
        <w:tc>
          <w:tcPr>
            <w:tcW w:w="1710" w:type="dxa"/>
            <w:vAlign w:val="center"/>
          </w:tcPr>
          <w:p w:rsidR="00840553" w:rsidRPr="00F52634" w:rsidP="00364977" w14:paraId="62C573D0" w14:textId="77777777">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rPr>
            </w:pPr>
            <w:r>
              <w:rPr>
                <w:rFonts w:ascii="Arial" w:hAnsi="Arial" w:cs="Arial"/>
                <w:b/>
                <w:bCs/>
                <w:color w:val="000000"/>
              </w:rPr>
              <w:t xml:space="preserve">$133,140 </w:t>
            </w:r>
          </w:p>
        </w:tc>
      </w:tr>
    </w:tbl>
    <w:p w:rsidR="00840553" w:rsidP="00840553" w14:paraId="244A6BA2" w14:textId="77777777">
      <w:pPr>
        <w:spacing w:after="0" w:line="240" w:lineRule="auto"/>
        <w:rPr>
          <w:rFonts w:ascii="Arial" w:hAnsi="Arial" w:cs="Arial"/>
        </w:rPr>
      </w:pPr>
    </w:p>
    <w:p w:rsidR="00840553" w:rsidRPr="00044B2F" w:rsidP="00840553" w14:paraId="3BDCFCFC" w14:textId="77777777">
      <w:pPr>
        <w:spacing w:after="0" w:line="240" w:lineRule="auto"/>
        <w:ind w:left="720"/>
        <w:rPr>
          <w:rFonts w:ascii="Arial" w:hAnsi="Arial" w:cs="Arial"/>
        </w:rPr>
      </w:pPr>
      <w:r w:rsidRPr="00E9706C">
        <w:rPr>
          <w:rFonts w:ascii="Arial" w:hAnsi="Arial" w:cs="Arial"/>
        </w:rPr>
        <w:t xml:space="preserve">The staff developed estimates of annualized costs to the Federal Government related to </w:t>
      </w:r>
      <w:r>
        <w:rPr>
          <w:rFonts w:ascii="Arial" w:hAnsi="Arial" w:cs="Arial"/>
        </w:rPr>
        <w:t>reviewing updated FSARs</w:t>
      </w:r>
      <w:r w:rsidRPr="00E9706C">
        <w:rPr>
          <w:rFonts w:ascii="Arial" w:hAnsi="Arial" w:cs="Arial"/>
        </w:rPr>
        <w:t xml:space="preserve">. </w:t>
      </w:r>
      <w:r>
        <w:rPr>
          <w:rFonts w:ascii="Arial" w:hAnsi="Arial" w:cs="Arial"/>
        </w:rPr>
        <w:t xml:space="preserve"> </w:t>
      </w:r>
      <w:r w:rsidRPr="00E9706C">
        <w:rPr>
          <w:rFonts w:ascii="Arial" w:hAnsi="Arial" w:cs="Arial"/>
        </w:rPr>
        <w:t>These estimates are based on staff experience and subject matter expertise and include the burden needed to review, analyze, and process the collected information and any</w:t>
      </w:r>
      <w:r>
        <w:rPr>
          <w:rFonts w:ascii="Arial" w:hAnsi="Arial" w:cs="Arial"/>
        </w:rPr>
        <w:t xml:space="preserve"> relevant operational expenses.</w:t>
      </w:r>
    </w:p>
    <w:p w:rsidR="00840553" w:rsidRPr="00563C01" w:rsidP="00840553" w14:paraId="27E2329B" w14:textId="77777777">
      <w:pPr>
        <w:pStyle w:val="ListParagraph"/>
        <w:spacing w:after="0" w:line="240" w:lineRule="auto"/>
        <w:rPr>
          <w:rFonts w:ascii="Arial" w:hAnsi="Arial" w:cs="Arial"/>
        </w:rPr>
      </w:pPr>
    </w:p>
    <w:p w:rsidR="00840553" w:rsidRPr="00044B2F" w:rsidP="00840553" w14:paraId="2BBC1CBB" w14:textId="77777777">
      <w:pPr>
        <w:pStyle w:val="ListParagraph"/>
        <w:numPr>
          <w:ilvl w:val="0"/>
          <w:numId w:val="2"/>
        </w:numPr>
        <w:spacing w:after="0" w:line="240" w:lineRule="auto"/>
        <w:rPr>
          <w:rFonts w:ascii="Arial" w:hAnsi="Arial" w:cs="Arial"/>
        </w:rPr>
      </w:pPr>
      <w:r w:rsidRPr="00044B2F">
        <w:rPr>
          <w:rFonts w:ascii="Arial" w:hAnsi="Arial" w:cs="Arial"/>
          <w:u w:val="single"/>
        </w:rPr>
        <w:t>Reasons for Changes in Burden or Cost</w:t>
      </w:r>
    </w:p>
    <w:p w:rsidR="00840553" w:rsidP="00840553" w14:paraId="6AA70327" w14:textId="77777777">
      <w:pPr>
        <w:spacing w:after="0" w:line="240" w:lineRule="auto"/>
        <w:ind w:left="720"/>
        <w:rPr>
          <w:rFonts w:ascii="Arial" w:hAnsi="Arial" w:cs="Arial"/>
        </w:rPr>
      </w:pPr>
    </w:p>
    <w:p w:rsidR="00840553" w:rsidP="00840553" w14:paraId="2430EB7A" w14:textId="77777777">
      <w:pPr>
        <w:spacing w:after="0" w:line="240" w:lineRule="auto"/>
        <w:ind w:left="720"/>
        <w:rPr>
          <w:rFonts w:ascii="Arial" w:hAnsi="Arial" w:cs="Arial"/>
        </w:rPr>
      </w:pPr>
      <w:r>
        <w:rPr>
          <w:rFonts w:ascii="Arial" w:hAnsi="Arial" w:cs="Arial"/>
        </w:rPr>
        <w:t>The final rule would increase the burden for the Part 50 information collection by 1,076 hours.  The estimate of 1,076 hours is composed of one-time and annual burdens associated with the final rule.  The burden results in an increased burden hour cost of $341,092 (1,076 hours x $317/hour).</w:t>
      </w:r>
    </w:p>
    <w:p w:rsidR="00840553" w:rsidP="00840553" w14:paraId="03C667EA" w14:textId="77777777">
      <w:pPr>
        <w:spacing w:after="0" w:line="240" w:lineRule="auto"/>
        <w:ind w:left="720"/>
        <w:rPr>
          <w:rFonts w:ascii="Arial" w:hAnsi="Arial" w:cs="Arial"/>
        </w:rPr>
      </w:pPr>
    </w:p>
    <w:p w:rsidR="00840553" w:rsidP="00840553" w14:paraId="6D8D1F26" w14:textId="77777777">
      <w:pPr>
        <w:spacing w:after="0" w:line="240" w:lineRule="auto"/>
        <w:ind w:left="720"/>
        <w:rPr>
          <w:rFonts w:ascii="Arial" w:hAnsi="Arial" w:cs="Arial"/>
        </w:rPr>
      </w:pPr>
      <w:r>
        <w:rPr>
          <w:rFonts w:ascii="Arial" w:hAnsi="Arial" w:cs="Arial"/>
        </w:rPr>
        <w:t>The final rule would require licensees to update procedures as well as submit an updated FSAR and subsequent FSAR updates to the NRC at intervals not to exceed 5 years.  This rule change will result in increases in recordkeeping and reporting burden within the 3-year period covered by this supporting statement.</w:t>
      </w:r>
    </w:p>
    <w:p w:rsidR="004B5D2F" w:rsidP="00840553" w14:paraId="71FB44BC" w14:textId="77777777">
      <w:pPr>
        <w:spacing w:after="0" w:line="240" w:lineRule="auto"/>
        <w:ind w:left="720"/>
        <w:rPr>
          <w:rFonts w:ascii="Arial" w:hAnsi="Arial" w:cs="Arial"/>
        </w:rPr>
      </w:pPr>
    </w:p>
    <w:p w:rsidR="004B5D2F" w:rsidP="004B5D2F" w14:paraId="7EBA7197" w14:textId="76893157">
      <w:pPr>
        <w:spacing w:after="0" w:line="240" w:lineRule="auto"/>
        <w:ind w:left="720"/>
        <w:rPr>
          <w:rFonts w:ascii="Arial" w:hAnsi="Arial" w:cs="Arial"/>
        </w:rPr>
      </w:pPr>
      <w:r>
        <w:rPr>
          <w:rFonts w:ascii="Arial" w:hAnsi="Arial" w:cs="Arial"/>
        </w:rPr>
        <w:t>Because the final rule’s changes to Part 51 only clarify existing requirements, there is no change in burden or cost to Part 51 information collections.</w:t>
      </w:r>
    </w:p>
    <w:p w:rsidR="00840553" w:rsidRPr="00563C01" w:rsidP="00840553" w14:paraId="59F0D5E9" w14:textId="77777777">
      <w:pPr>
        <w:pStyle w:val="ListParagraph"/>
        <w:spacing w:after="0" w:line="240" w:lineRule="auto"/>
        <w:rPr>
          <w:rFonts w:ascii="Arial" w:hAnsi="Arial" w:cs="Arial"/>
        </w:rPr>
      </w:pPr>
    </w:p>
    <w:p w:rsidR="00840553" w:rsidRPr="00044B2F" w:rsidP="00840553" w14:paraId="074B3513" w14:textId="77777777">
      <w:pPr>
        <w:pStyle w:val="ListParagraph"/>
        <w:numPr>
          <w:ilvl w:val="0"/>
          <w:numId w:val="2"/>
        </w:numPr>
        <w:spacing w:after="0" w:line="240" w:lineRule="auto"/>
        <w:rPr>
          <w:rFonts w:ascii="Arial" w:hAnsi="Arial" w:cs="Arial"/>
        </w:rPr>
      </w:pPr>
      <w:r w:rsidRPr="00044B2F">
        <w:rPr>
          <w:rFonts w:ascii="Arial" w:hAnsi="Arial" w:cs="Arial"/>
          <w:u w:val="single"/>
        </w:rPr>
        <w:t>Publication for Statistical Use</w:t>
      </w:r>
    </w:p>
    <w:p w:rsidR="00840553" w:rsidP="00840553" w14:paraId="6B3FBCD1" w14:textId="77777777">
      <w:pPr>
        <w:pStyle w:val="ListParagraph"/>
        <w:spacing w:after="0" w:line="240" w:lineRule="auto"/>
        <w:rPr>
          <w:rFonts w:ascii="Arial" w:hAnsi="Arial" w:cs="Arial"/>
        </w:rPr>
      </w:pPr>
    </w:p>
    <w:p w:rsidR="00840553" w:rsidP="00840553" w14:paraId="073B907F" w14:textId="77777777">
      <w:pPr>
        <w:pStyle w:val="ListParagraph"/>
        <w:spacing w:after="0" w:line="240" w:lineRule="auto"/>
        <w:rPr>
          <w:rFonts w:ascii="Arial" w:hAnsi="Arial" w:cs="Arial"/>
        </w:rPr>
      </w:pPr>
      <w:r w:rsidRPr="00E9706C">
        <w:rPr>
          <w:rFonts w:ascii="Arial" w:hAnsi="Arial" w:cs="Arial"/>
        </w:rPr>
        <w:t>The information being collected is not expected to be published for statistical use.</w:t>
      </w:r>
    </w:p>
    <w:p w:rsidR="00840553" w:rsidP="00840553" w14:paraId="13230147" w14:textId="77777777">
      <w:pPr>
        <w:pStyle w:val="ListParagraph"/>
        <w:spacing w:after="0" w:line="240" w:lineRule="auto"/>
        <w:rPr>
          <w:rFonts w:ascii="Arial" w:hAnsi="Arial" w:cs="Arial"/>
        </w:rPr>
      </w:pPr>
    </w:p>
    <w:p w:rsidR="00840553" w:rsidRPr="00044B2F" w:rsidP="00840553" w14:paraId="40F4A98E" w14:textId="77777777">
      <w:pPr>
        <w:pStyle w:val="ListParagraph"/>
        <w:numPr>
          <w:ilvl w:val="0"/>
          <w:numId w:val="2"/>
        </w:numPr>
        <w:spacing w:after="0" w:line="240" w:lineRule="auto"/>
        <w:rPr>
          <w:rFonts w:ascii="Arial" w:hAnsi="Arial" w:cs="Arial"/>
        </w:rPr>
      </w:pPr>
      <w:r w:rsidRPr="00044B2F">
        <w:rPr>
          <w:rFonts w:ascii="Arial" w:hAnsi="Arial" w:cs="Arial"/>
          <w:u w:val="single"/>
        </w:rPr>
        <w:t>Reason for Not Displaying the Expiration Date</w:t>
      </w:r>
    </w:p>
    <w:p w:rsidR="00840553" w:rsidP="00840553" w14:paraId="05197F3C" w14:textId="77777777">
      <w:pPr>
        <w:pStyle w:val="ListParagraph"/>
        <w:spacing w:after="0" w:line="240" w:lineRule="auto"/>
        <w:rPr>
          <w:rFonts w:ascii="Arial" w:hAnsi="Arial" w:cs="Arial"/>
        </w:rPr>
      </w:pPr>
    </w:p>
    <w:p w:rsidR="00840553" w:rsidP="00840553" w14:paraId="3E32E1AF" w14:textId="77777777">
      <w:pPr>
        <w:pStyle w:val="ListParagraph"/>
        <w:spacing w:after="0" w:line="240" w:lineRule="auto"/>
        <w:rPr>
          <w:rFonts w:ascii="Arial" w:hAnsi="Arial" w:cs="Arial"/>
        </w:rPr>
      </w:pPr>
      <w:r w:rsidRPr="00E9706C">
        <w:rPr>
          <w:rFonts w:ascii="Arial" w:hAnsi="Arial" w:cs="Arial"/>
        </w:rPr>
        <w:t xml:space="preserve">The recordkeeping and reporting requirements for this information collection are associated with regulations and are not submitted on instruments such as forms or surveys. </w:t>
      </w:r>
      <w:r>
        <w:rPr>
          <w:rFonts w:ascii="Arial" w:hAnsi="Arial" w:cs="Arial"/>
        </w:rPr>
        <w:t xml:space="preserve"> </w:t>
      </w:r>
      <w:r w:rsidRPr="00E9706C">
        <w:rPr>
          <w:rFonts w:ascii="Arial" w:hAnsi="Arial" w:cs="Arial"/>
        </w:rPr>
        <w:t xml:space="preserve">For this reason, there are no data instruments on which to display an OMB expiration date. </w:t>
      </w:r>
      <w:r>
        <w:rPr>
          <w:rFonts w:ascii="Arial" w:hAnsi="Arial" w:cs="Arial"/>
        </w:rPr>
        <w:t xml:space="preserve"> </w:t>
      </w:r>
      <w:r w:rsidRPr="00E9706C">
        <w:rPr>
          <w:rFonts w:ascii="Arial" w:hAnsi="Arial" w:cs="Arial"/>
        </w:rPr>
        <w:t>Further, amending the regulatory text of the CFR to display information that, in an annual publication, could become obsolete would be unduly burdensome and too difficult to keep current.</w:t>
      </w:r>
    </w:p>
    <w:p w:rsidR="00840553" w:rsidP="00840553" w14:paraId="4108DBF4" w14:textId="77777777">
      <w:pPr>
        <w:pStyle w:val="ListParagraph"/>
        <w:spacing w:after="0" w:line="240" w:lineRule="auto"/>
        <w:rPr>
          <w:rFonts w:ascii="Arial" w:hAnsi="Arial" w:cs="Arial"/>
        </w:rPr>
      </w:pPr>
    </w:p>
    <w:p w:rsidR="00840553" w:rsidRPr="00044B2F" w:rsidP="00840553" w14:paraId="0BEAF044" w14:textId="77777777">
      <w:pPr>
        <w:pStyle w:val="ListParagraph"/>
        <w:numPr>
          <w:ilvl w:val="0"/>
          <w:numId w:val="2"/>
        </w:numPr>
        <w:spacing w:after="0" w:line="240" w:lineRule="auto"/>
        <w:rPr>
          <w:rFonts w:ascii="Arial" w:hAnsi="Arial" w:cs="Arial"/>
        </w:rPr>
      </w:pPr>
      <w:r w:rsidRPr="00044B2F">
        <w:rPr>
          <w:rFonts w:ascii="Arial" w:hAnsi="Arial" w:cs="Arial"/>
          <w:u w:val="single"/>
        </w:rPr>
        <w:t>Exceptions to the Certification Statement</w:t>
      </w:r>
    </w:p>
    <w:p w:rsidR="00840553" w:rsidP="00840553" w14:paraId="4F102543" w14:textId="77777777">
      <w:pPr>
        <w:spacing w:after="0" w:line="240" w:lineRule="auto"/>
        <w:ind w:left="720"/>
        <w:rPr>
          <w:rFonts w:ascii="Arial" w:hAnsi="Arial" w:cs="Arial"/>
        </w:rPr>
      </w:pPr>
    </w:p>
    <w:p w:rsidR="00840553" w:rsidP="00840553" w14:paraId="39725CE6" w14:textId="77777777">
      <w:pPr>
        <w:spacing w:after="0" w:line="240" w:lineRule="auto"/>
        <w:ind w:left="720"/>
        <w:rPr>
          <w:rFonts w:ascii="Arial" w:hAnsi="Arial" w:cs="Arial"/>
        </w:rPr>
      </w:pPr>
      <w:r w:rsidRPr="00044B2F">
        <w:rPr>
          <w:rFonts w:ascii="Arial" w:hAnsi="Arial" w:cs="Arial"/>
        </w:rPr>
        <w:t>None.</w:t>
      </w:r>
    </w:p>
    <w:p w:rsidR="00840553" w:rsidRPr="00044B2F" w:rsidP="00840553" w14:paraId="7362AA0F" w14:textId="77777777">
      <w:pPr>
        <w:spacing w:after="0" w:line="240" w:lineRule="auto"/>
        <w:ind w:left="720"/>
        <w:rPr>
          <w:rFonts w:ascii="Arial" w:hAnsi="Arial" w:cs="Arial"/>
        </w:rPr>
      </w:pPr>
    </w:p>
    <w:p w:rsidR="00840553" w:rsidRPr="00044B2F" w:rsidP="00840553" w14:paraId="78931A61" w14:textId="77777777">
      <w:pPr>
        <w:pStyle w:val="ListParagraph"/>
        <w:numPr>
          <w:ilvl w:val="0"/>
          <w:numId w:val="1"/>
        </w:numPr>
        <w:spacing w:after="0" w:line="240" w:lineRule="auto"/>
        <w:rPr>
          <w:rFonts w:ascii="Arial" w:hAnsi="Arial" w:cs="Arial"/>
        </w:rPr>
      </w:pPr>
      <w:r w:rsidRPr="00044B2F">
        <w:rPr>
          <w:rFonts w:ascii="Arial" w:hAnsi="Arial" w:cs="Arial"/>
        </w:rPr>
        <w:t>COLLECTIONS OF INFORMATION EMPLOYING STATISTICAL METHODS</w:t>
      </w:r>
    </w:p>
    <w:p w:rsidR="00840553" w:rsidP="00840553" w14:paraId="3E680242" w14:textId="77777777">
      <w:pPr>
        <w:spacing w:after="0" w:line="240" w:lineRule="auto"/>
        <w:rPr>
          <w:rFonts w:ascii="Arial" w:hAnsi="Arial" w:cs="Arial"/>
        </w:rPr>
      </w:pPr>
    </w:p>
    <w:p w:rsidR="00840553" w:rsidP="00840553" w14:paraId="372B841B" w14:textId="77777777">
      <w:pPr>
        <w:spacing w:after="0" w:line="240" w:lineRule="auto"/>
        <w:rPr>
          <w:rFonts w:ascii="Arial" w:hAnsi="Arial" w:cs="Arial"/>
        </w:rPr>
      </w:pPr>
      <w:r w:rsidRPr="00044B2F">
        <w:rPr>
          <w:rFonts w:ascii="Arial" w:hAnsi="Arial" w:cs="Arial"/>
        </w:rPr>
        <w:t>Not applicable.</w:t>
      </w:r>
    </w:p>
    <w:p w:rsidR="004553B5" w14:paraId="4FC3F90F" w14:textId="77777777"/>
    <w:sectPr w:rsidSect="00840553">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1895795"/>
      <w:docPartObj>
        <w:docPartGallery w:val="Page Numbers (Bottom of Page)"/>
        <w:docPartUnique/>
      </w:docPartObj>
    </w:sdtPr>
    <w:sdtEndPr>
      <w:rPr>
        <w:rFonts w:ascii="Arial" w:hAnsi="Arial" w:cs="Arial"/>
        <w:noProof/>
      </w:rPr>
    </w:sdtEndPr>
    <w:sdtContent>
      <w:p w:rsidR="008E5DC6" w:rsidRPr="00E5741E" w14:paraId="1B77C964" w14:textId="77777777">
        <w:pPr>
          <w:pStyle w:val="Footer"/>
          <w:jc w:val="center"/>
          <w:rPr>
            <w:rFonts w:ascii="Arial" w:hAnsi="Arial" w:cs="Arial"/>
          </w:rPr>
        </w:pPr>
        <w:r w:rsidRPr="00E5741E">
          <w:rPr>
            <w:rFonts w:ascii="Arial" w:hAnsi="Arial" w:cs="Arial"/>
          </w:rPr>
          <w:fldChar w:fldCharType="begin"/>
        </w:r>
        <w:r w:rsidRPr="00E5741E">
          <w:rPr>
            <w:rFonts w:ascii="Arial" w:hAnsi="Arial" w:cs="Arial"/>
          </w:rPr>
          <w:instrText xml:space="preserve"> PAGE   \* MERGEFORMAT </w:instrText>
        </w:r>
        <w:r w:rsidRPr="00E5741E">
          <w:rPr>
            <w:rFonts w:ascii="Arial" w:hAnsi="Arial" w:cs="Arial"/>
          </w:rPr>
          <w:fldChar w:fldCharType="separate"/>
        </w:r>
        <w:r>
          <w:rPr>
            <w:rFonts w:ascii="Arial" w:hAnsi="Arial" w:cs="Arial"/>
            <w:noProof/>
          </w:rPr>
          <w:t>3</w:t>
        </w:r>
        <w:r w:rsidRPr="00E5741E">
          <w:rPr>
            <w:rFonts w:ascii="Arial" w:hAnsi="Arial" w:cs="Arial"/>
            <w:noProof/>
          </w:rPr>
          <w:fldChar w:fldCharType="end"/>
        </w:r>
      </w:p>
    </w:sdtContent>
  </w:sdt>
  <w:p w:rsidR="008E5DC6" w14:paraId="5D75C30A"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766F4B"/>
    <w:multiLevelType w:val="hybridMultilevel"/>
    <w:tmpl w:val="EAD44E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E5B7098"/>
    <w:multiLevelType w:val="hybridMultilevel"/>
    <w:tmpl w:val="130618F4"/>
    <w:lvl w:ilvl="0">
      <w:start w:val="1"/>
      <w:numFmt w:val="upperLetter"/>
      <w:lvlText w:val="%1."/>
      <w:lvlJc w:val="left"/>
      <w:pPr>
        <w:ind w:left="36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52D61EDA"/>
    <w:multiLevelType w:val="hybridMultilevel"/>
    <w:tmpl w:val="A3EC01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710A6BDD"/>
    <w:multiLevelType w:val="hybridMultilevel"/>
    <w:tmpl w:val="7F9E756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539130316">
    <w:abstractNumId w:val="1"/>
  </w:num>
  <w:num w:numId="2" w16cid:durableId="1494375891">
    <w:abstractNumId w:val="0"/>
  </w:num>
  <w:num w:numId="3" w16cid:durableId="1319267312">
    <w:abstractNumId w:val="2"/>
  </w:num>
  <w:num w:numId="4" w16cid:durableId="8998249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553"/>
    <w:rsid w:val="000058DE"/>
    <w:rsid w:val="00026BDE"/>
    <w:rsid w:val="00044B2F"/>
    <w:rsid w:val="00053F8E"/>
    <w:rsid w:val="00072D3E"/>
    <w:rsid w:val="00083C62"/>
    <w:rsid w:val="000B12A3"/>
    <w:rsid w:val="000C7096"/>
    <w:rsid w:val="001114CB"/>
    <w:rsid w:val="00133783"/>
    <w:rsid w:val="001379C1"/>
    <w:rsid w:val="001D7059"/>
    <w:rsid w:val="00244665"/>
    <w:rsid w:val="002B0242"/>
    <w:rsid w:val="003454D4"/>
    <w:rsid w:val="00364977"/>
    <w:rsid w:val="00396C2D"/>
    <w:rsid w:val="003A1FB6"/>
    <w:rsid w:val="003D6F48"/>
    <w:rsid w:val="003E170D"/>
    <w:rsid w:val="003F0735"/>
    <w:rsid w:val="00407AC3"/>
    <w:rsid w:val="004553B5"/>
    <w:rsid w:val="004B0B2E"/>
    <w:rsid w:val="004B5D2F"/>
    <w:rsid w:val="004F0820"/>
    <w:rsid w:val="00522316"/>
    <w:rsid w:val="0052622E"/>
    <w:rsid w:val="00540781"/>
    <w:rsid w:val="0054499F"/>
    <w:rsid w:val="00557BFD"/>
    <w:rsid w:val="00562C28"/>
    <w:rsid w:val="00563C01"/>
    <w:rsid w:val="00590D56"/>
    <w:rsid w:val="005E19F2"/>
    <w:rsid w:val="006A513A"/>
    <w:rsid w:val="006B2E7F"/>
    <w:rsid w:val="006C0007"/>
    <w:rsid w:val="006C4E70"/>
    <w:rsid w:val="006D166A"/>
    <w:rsid w:val="006F317B"/>
    <w:rsid w:val="00720039"/>
    <w:rsid w:val="008131C5"/>
    <w:rsid w:val="00836173"/>
    <w:rsid w:val="00840553"/>
    <w:rsid w:val="00843A20"/>
    <w:rsid w:val="00860F1E"/>
    <w:rsid w:val="008B0F72"/>
    <w:rsid w:val="008B49BC"/>
    <w:rsid w:val="008D5503"/>
    <w:rsid w:val="008D6721"/>
    <w:rsid w:val="008E5DC6"/>
    <w:rsid w:val="00915567"/>
    <w:rsid w:val="009517EA"/>
    <w:rsid w:val="009A10BA"/>
    <w:rsid w:val="009A2961"/>
    <w:rsid w:val="009E0532"/>
    <w:rsid w:val="00A70FF9"/>
    <w:rsid w:val="00AA20D2"/>
    <w:rsid w:val="00AA6588"/>
    <w:rsid w:val="00AF3B01"/>
    <w:rsid w:val="00B1023D"/>
    <w:rsid w:val="00B331F9"/>
    <w:rsid w:val="00B341D0"/>
    <w:rsid w:val="00B50B1C"/>
    <w:rsid w:val="00B746DD"/>
    <w:rsid w:val="00B80EB9"/>
    <w:rsid w:val="00BB010B"/>
    <w:rsid w:val="00C26505"/>
    <w:rsid w:val="00C73705"/>
    <w:rsid w:val="00C92C19"/>
    <w:rsid w:val="00C949E7"/>
    <w:rsid w:val="00CE38AA"/>
    <w:rsid w:val="00D34330"/>
    <w:rsid w:val="00D74424"/>
    <w:rsid w:val="00D85BF8"/>
    <w:rsid w:val="00D93F5A"/>
    <w:rsid w:val="00DE3AE8"/>
    <w:rsid w:val="00DE7E28"/>
    <w:rsid w:val="00E114B0"/>
    <w:rsid w:val="00E5741E"/>
    <w:rsid w:val="00E9706C"/>
    <w:rsid w:val="00ED3218"/>
    <w:rsid w:val="00ED4467"/>
    <w:rsid w:val="00F0444A"/>
    <w:rsid w:val="00F208CC"/>
    <w:rsid w:val="00F30DED"/>
    <w:rsid w:val="00F52634"/>
    <w:rsid w:val="00F81655"/>
    <w:rsid w:val="00FB34F4"/>
    <w:rsid w:val="1300CC48"/>
    <w:rsid w:val="408A373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1203619"/>
  <w15:chartTrackingRefBased/>
  <w15:docId w15:val="{96C3EE91-C898-427C-BB1C-C9F0118F1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0553"/>
    <w:rPr>
      <w:rFonts w:asciiTheme="minorHAnsi" w:hAnsiTheme="minorHAnsi"/>
      <w:kern w:val="0"/>
      <w14:ligatures w14:val="none"/>
    </w:rPr>
  </w:style>
  <w:style w:type="paragraph" w:styleId="Heading1">
    <w:name w:val="heading 1"/>
    <w:basedOn w:val="Normal"/>
    <w:next w:val="Normal"/>
    <w:link w:val="Heading1Char"/>
    <w:uiPriority w:val="9"/>
    <w:qFormat/>
    <w:rsid w:val="008405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05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05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05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05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05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05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05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05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5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05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055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055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4055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4055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4055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4055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4055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405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05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05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055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40553"/>
    <w:pPr>
      <w:spacing w:before="160"/>
      <w:jc w:val="center"/>
    </w:pPr>
    <w:rPr>
      <w:i/>
      <w:iCs/>
      <w:color w:val="404040" w:themeColor="text1" w:themeTint="BF"/>
    </w:rPr>
  </w:style>
  <w:style w:type="character" w:customStyle="1" w:styleId="QuoteChar">
    <w:name w:val="Quote Char"/>
    <w:basedOn w:val="DefaultParagraphFont"/>
    <w:link w:val="Quote"/>
    <w:uiPriority w:val="29"/>
    <w:rsid w:val="00840553"/>
    <w:rPr>
      <w:i/>
      <w:iCs/>
      <w:color w:val="404040" w:themeColor="text1" w:themeTint="BF"/>
    </w:rPr>
  </w:style>
  <w:style w:type="paragraph" w:styleId="ListParagraph">
    <w:name w:val="List Paragraph"/>
    <w:basedOn w:val="Normal"/>
    <w:uiPriority w:val="34"/>
    <w:qFormat/>
    <w:rsid w:val="00840553"/>
    <w:pPr>
      <w:ind w:left="720"/>
      <w:contextualSpacing/>
    </w:pPr>
  </w:style>
  <w:style w:type="character" w:styleId="IntenseEmphasis">
    <w:name w:val="Intense Emphasis"/>
    <w:basedOn w:val="DefaultParagraphFont"/>
    <w:uiPriority w:val="21"/>
    <w:qFormat/>
    <w:rsid w:val="00840553"/>
    <w:rPr>
      <w:i/>
      <w:iCs/>
      <w:color w:val="0F4761" w:themeColor="accent1" w:themeShade="BF"/>
    </w:rPr>
  </w:style>
  <w:style w:type="paragraph" w:styleId="IntenseQuote">
    <w:name w:val="Intense Quote"/>
    <w:basedOn w:val="Normal"/>
    <w:next w:val="Normal"/>
    <w:link w:val="IntenseQuoteChar"/>
    <w:uiPriority w:val="30"/>
    <w:qFormat/>
    <w:rsid w:val="008405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0553"/>
    <w:rPr>
      <w:i/>
      <w:iCs/>
      <w:color w:val="0F4761" w:themeColor="accent1" w:themeShade="BF"/>
    </w:rPr>
  </w:style>
  <w:style w:type="character" w:styleId="IntenseReference">
    <w:name w:val="Intense Reference"/>
    <w:basedOn w:val="DefaultParagraphFont"/>
    <w:uiPriority w:val="32"/>
    <w:qFormat/>
    <w:rsid w:val="00840553"/>
    <w:rPr>
      <w:b/>
      <w:bCs/>
      <w:smallCaps/>
      <w:color w:val="0F4761" w:themeColor="accent1" w:themeShade="BF"/>
      <w:spacing w:val="5"/>
    </w:rPr>
  </w:style>
  <w:style w:type="table" w:styleId="TableGrid">
    <w:name w:val="Table Grid"/>
    <w:basedOn w:val="TableNormal"/>
    <w:rsid w:val="00840553"/>
    <w:pPr>
      <w:spacing w:after="0" w:line="240" w:lineRule="auto"/>
    </w:pPr>
    <w:rPr>
      <w:rFonts w:asciiTheme="minorHAnsi" w:hAnsi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840553"/>
    <w:pPr>
      <w:spacing w:after="0" w:line="240" w:lineRule="auto"/>
    </w:pPr>
    <w:rPr>
      <w:rFonts w:ascii="Arial" w:eastAsia="Times New Roman" w:hAnsi="Arial" w:cs="Times New Roman"/>
      <w:szCs w:val="21"/>
    </w:rPr>
  </w:style>
  <w:style w:type="character" w:customStyle="1" w:styleId="PlainTextChar">
    <w:name w:val="Plain Text Char"/>
    <w:basedOn w:val="DefaultParagraphFont"/>
    <w:link w:val="PlainText"/>
    <w:uiPriority w:val="99"/>
    <w:rsid w:val="00840553"/>
    <w:rPr>
      <w:rFonts w:eastAsia="Times New Roman" w:cs="Times New Roman"/>
      <w:kern w:val="0"/>
      <w:szCs w:val="21"/>
      <w14:ligatures w14:val="none"/>
    </w:rPr>
  </w:style>
  <w:style w:type="paragraph" w:styleId="Footer">
    <w:name w:val="footer"/>
    <w:basedOn w:val="Normal"/>
    <w:link w:val="FooterChar"/>
    <w:uiPriority w:val="99"/>
    <w:unhideWhenUsed/>
    <w:rsid w:val="008405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553"/>
    <w:rPr>
      <w:rFonts w:asciiTheme="minorHAnsi" w:hAnsiTheme="minorHAnsi"/>
      <w:kern w:val="0"/>
      <w14:ligatures w14:val="none"/>
    </w:rPr>
  </w:style>
  <w:style w:type="character" w:styleId="Hyperlink">
    <w:name w:val="Hyperlink"/>
    <w:basedOn w:val="DefaultParagraphFont"/>
    <w:uiPriority w:val="99"/>
    <w:unhideWhenUsed/>
    <w:rsid w:val="00840553"/>
    <w:rPr>
      <w:color w:val="467886" w:themeColor="hyperlink"/>
      <w:u w:val="single"/>
    </w:rPr>
  </w:style>
  <w:style w:type="paragraph" w:styleId="Revision">
    <w:name w:val="Revision"/>
    <w:hidden/>
    <w:uiPriority w:val="99"/>
    <w:semiHidden/>
    <w:rsid w:val="00522316"/>
    <w:pPr>
      <w:spacing w:after="0" w:line="240" w:lineRule="auto"/>
    </w:pPr>
    <w:rPr>
      <w:rFonts w:asciiTheme="minorHAnsi" w:hAnsiTheme="minorHAnsi"/>
      <w:kern w:val="0"/>
      <w14:ligatures w14:val="none"/>
    </w:rPr>
  </w:style>
  <w:style w:type="paragraph" w:styleId="Header">
    <w:name w:val="header"/>
    <w:basedOn w:val="Normal"/>
    <w:link w:val="HeaderChar"/>
    <w:uiPriority w:val="99"/>
    <w:unhideWhenUsed/>
    <w:rsid w:val="00ED32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218"/>
    <w:rPr>
      <w:rFonts w:asciiTheme="minorHAnsi" w:hAnsiTheme="minorHAns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nrc.gov/docs/ML1303/ML13031A056.pdf"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B4BA22DB67774A947A3A08D4BF3AC7" ma:contentTypeVersion="9" ma:contentTypeDescription="Create a new document." ma:contentTypeScope="" ma:versionID="4900f0f853f54e75c0eeac0f62fd8a42">
  <xsd:schema xmlns:xsd="http://www.w3.org/2001/XMLSchema" xmlns:xs="http://www.w3.org/2001/XMLSchema" xmlns:p="http://schemas.microsoft.com/office/2006/metadata/properties" xmlns:ns2="d4e282bb-1ef9-4cbd-a653-06682fc7ad56" xmlns:ns3="77ee5da4-ed23-4982-a1a3-8661ddde364f" targetNamespace="http://schemas.microsoft.com/office/2006/metadata/properties" ma:root="true" ma:fieldsID="a468bc76ef2d8682caa4338aa7e4a407" ns2:_="" ns3:_="">
    <xsd:import namespace="d4e282bb-1ef9-4cbd-a653-06682fc7ad56"/>
    <xsd:import namespace="77ee5da4-ed23-4982-a1a3-8661ddde364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282bb-1ef9-4cbd-a653-06682fc7ad5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e5da4-ed23-4982-a1a3-8661ddde36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4e282bb-1ef9-4cbd-a653-06682fc7ad56">NPWYQKRF7TSA-1555704804-400</_dlc_DocId>
    <_dlc_DocIdUrl xmlns="d4e282bb-1ef9-4cbd-a653-06682fc7ad56">
      <Url>https://usnrc.sharepoint.com/teams/NMSS-Non-power-Reactor-License-Renewal-Rulemaking/_layouts/15/DocIdRedir.aspx?ID=NPWYQKRF7TSA-1555704804-400</Url>
      <Description>NPWYQKRF7TSA-1555704804-400</Description>
    </_dlc_DocIdUrl>
  </documentManagement>
</p:properties>
</file>

<file path=customXml/itemProps1.xml><?xml version="1.0" encoding="utf-8"?>
<ds:datastoreItem xmlns:ds="http://schemas.openxmlformats.org/officeDocument/2006/customXml" ds:itemID="{E4815DFF-9DC4-4B77-A776-186DB448A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282bb-1ef9-4cbd-a653-06682fc7ad56"/>
    <ds:schemaRef ds:uri="77ee5da4-ed23-4982-a1a3-8661ddde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28C8DE-C218-4AA6-B107-232391042338}">
  <ds:schemaRefs>
    <ds:schemaRef ds:uri="http://schemas.microsoft.com/sharepoint/events"/>
  </ds:schemaRefs>
</ds:datastoreItem>
</file>

<file path=customXml/itemProps3.xml><?xml version="1.0" encoding="utf-8"?>
<ds:datastoreItem xmlns:ds="http://schemas.openxmlformats.org/officeDocument/2006/customXml" ds:itemID="{E14F9D26-BD6B-4ABC-90B5-7C2DF869CD76}">
  <ds:schemaRefs>
    <ds:schemaRef ds:uri="http://schemas.microsoft.com/sharepoint/v3/contenttype/forms"/>
  </ds:schemaRefs>
</ds:datastoreItem>
</file>

<file path=customXml/itemProps4.xml><?xml version="1.0" encoding="utf-8"?>
<ds:datastoreItem xmlns:ds="http://schemas.openxmlformats.org/officeDocument/2006/customXml" ds:itemID="{6EF4A85D-F576-4BD1-97A5-A8ADA00CA693}">
  <ds:schemaRefs>
    <ds:schemaRef ds:uri="http://schemas.microsoft.com/office/2006/metadata/properties"/>
    <ds:schemaRef ds:uri="http://schemas.microsoft.com/office/infopath/2007/PartnerControls"/>
    <ds:schemaRef ds:uri="d4e282bb-1ef9-4cbd-a653-06682fc7ad56"/>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Template>
  <TotalTime>15</TotalTime>
  <Pages>9</Pages>
  <Words>3546</Words>
  <Characters>20215</Characters>
  <Application>Microsoft Office Word</Application>
  <DocSecurity>0</DocSecurity>
  <Lines>168</Lines>
  <Paragraphs>47</Paragraphs>
  <ScaleCrop>false</ScaleCrop>
  <Company/>
  <LinksUpToDate>false</LinksUpToDate>
  <CharactersWithSpaces>23714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Benney</dc:creator>
  <cp:lastModifiedBy>Kristen Benney</cp:lastModifiedBy>
  <cp:revision>5</cp:revision>
  <dcterms:created xsi:type="dcterms:W3CDTF">2024-10-07T19:08:00Z</dcterms:created>
  <dcterms:modified xsi:type="dcterms:W3CDTF">2024-10-15T20:15:00Z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0x0101004DB4BA22DB67774A947A3A08D4BF3AC7</vt:lpwstr>
  </property>
  <property fmtid="{D5CDD505-2E9C-101B-9397-08002B2CF9AE}" pid="3" name="_dlc_DocIdItemGuid">
    <vt:lpwstr>a9715c9d-fd92-43e2-85ef-afc4641044f0</vt:lpwstr>
  </property>
</Properties>
</file>